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bCs/>
          <w:kern w:val="0"/>
          <w:sz w:val="32"/>
          <w:szCs w:val="32"/>
        </w:rPr>
      </w:pPr>
      <w:bookmarkStart w:id="36" w:name="_GoBack"/>
      <w:bookmarkEnd w:id="36"/>
      <w:bookmarkStart w:id="0" w:name="_Hlk103022493"/>
      <w:bookmarkStart w:id="1" w:name="_Hlk103016174"/>
      <w:r>
        <w:rPr>
          <w:rFonts w:hint="eastAsia" w:ascii="黑体" w:hAnsi="黑体" w:eastAsia="黑体"/>
          <w:bCs/>
          <w:kern w:val="0"/>
          <w:sz w:val="32"/>
          <w:szCs w:val="32"/>
        </w:rPr>
        <w:t>附件1</w:t>
      </w:r>
    </w:p>
    <w:p>
      <w:pPr>
        <w:spacing w:line="580" w:lineRule="exact"/>
        <w:jc w:val="center"/>
        <w:rPr>
          <w:rFonts w:hint="eastAsia" w:ascii="方正小标宋简体" w:hAnsi="方正小标宋简体" w:eastAsia="方正小标宋简体"/>
          <w:bCs/>
          <w:kern w:val="0"/>
          <w:sz w:val="44"/>
          <w:szCs w:val="48"/>
        </w:rPr>
      </w:pPr>
    </w:p>
    <w:p>
      <w:pPr>
        <w:spacing w:line="580" w:lineRule="exact"/>
        <w:jc w:val="center"/>
        <w:rPr>
          <w:rFonts w:hint="eastAsia" w:ascii="方正小标宋简体" w:hAnsi="方正小标宋简体" w:eastAsia="方正小标宋简体"/>
          <w:bCs/>
          <w:kern w:val="0"/>
          <w:sz w:val="44"/>
          <w:szCs w:val="48"/>
        </w:rPr>
      </w:pPr>
      <w:bookmarkStart w:id="2" w:name="OLE_LINK5"/>
      <w:bookmarkStart w:id="3" w:name="_Hlk164349148"/>
      <w:r>
        <w:rPr>
          <w:rFonts w:hint="eastAsia" w:ascii="方正小标宋简体" w:hAnsi="方正小标宋简体" w:eastAsia="方正小标宋简体"/>
          <w:bCs/>
          <w:kern w:val="0"/>
          <w:sz w:val="44"/>
          <w:szCs w:val="48"/>
        </w:rPr>
        <w:t>深圳市关于进一步扩大试点范围加快推进功能型无人车高质量发展的指导意见（试行）</w:t>
      </w:r>
    </w:p>
    <w:bookmarkEnd w:id="2"/>
    <w:p>
      <w:pPr>
        <w:spacing w:line="580" w:lineRule="exact"/>
        <w:jc w:val="center"/>
        <w:rPr>
          <w:rFonts w:hint="eastAsia" w:ascii="楷体_GB2312" w:hAnsi="仿宋" w:eastAsia="楷体_GB2312"/>
          <w:bCs/>
          <w:kern w:val="0"/>
          <w:sz w:val="32"/>
          <w:szCs w:val="36"/>
        </w:rPr>
      </w:pPr>
      <w:r>
        <w:rPr>
          <w:rFonts w:hint="eastAsia" w:ascii="楷体_GB2312" w:hAnsi="仿宋" w:eastAsia="楷体_GB2312"/>
          <w:bCs/>
          <w:kern w:val="0"/>
          <w:sz w:val="32"/>
          <w:szCs w:val="36"/>
        </w:rPr>
        <w:t>（公开征求意见稿）</w:t>
      </w:r>
      <w:bookmarkEnd w:id="3"/>
    </w:p>
    <w:p>
      <w:pPr>
        <w:spacing w:line="580" w:lineRule="exact"/>
        <w:jc w:val="center"/>
        <w:rPr>
          <w:rFonts w:hint="eastAsia" w:ascii="楷体_GB2312" w:hAnsi="仿宋" w:eastAsia="楷体_GB2312"/>
          <w:bCs/>
          <w:kern w:val="0"/>
          <w:sz w:val="32"/>
          <w:szCs w:val="36"/>
        </w:rPr>
      </w:pPr>
    </w:p>
    <w:p>
      <w:pPr>
        <w:overflowPunct w:val="0"/>
        <w:spacing w:line="560" w:lineRule="exact"/>
        <w:ind w:firstLine="640" w:firstLineChars="200"/>
        <w:rPr>
          <w:rFonts w:hint="eastAsia" w:ascii="仿宋_GB2312" w:hAnsi="仿宋_GB2312" w:eastAsia="仿宋_GB2312" w:cs="仿宋_GB2312"/>
          <w:snapToGrid w:val="0"/>
          <w:color w:val="000000"/>
          <w:sz w:val="32"/>
          <w:szCs w:val="32"/>
        </w:rPr>
      </w:pPr>
      <w:bookmarkStart w:id="4" w:name="OLE_LINK11"/>
      <w:r>
        <w:rPr>
          <w:rFonts w:hint="eastAsia" w:ascii="仿宋_GB2312" w:hAnsi="仿宋_GB2312" w:eastAsia="仿宋_GB2312" w:cs="仿宋_GB2312"/>
          <w:snapToGrid w:val="0"/>
          <w:color w:val="000000"/>
          <w:sz w:val="32"/>
          <w:szCs w:val="32"/>
        </w:rPr>
        <w:t>功能型无人车出现以来，深圳市积极推动小规模、区域化、多场景的应用试点，推动产品、技术等方面取得了较大突破。目前，功能型无人车已基本具备在全市范围内开展进一步试点应用的技术基础与产品条件。</w:t>
      </w:r>
    </w:p>
    <w:p>
      <w:pPr>
        <w:overflowPunct w:val="0"/>
        <w:spacing w:line="560" w:lineRule="exact"/>
        <w:ind w:firstLine="640" w:firstLineChars="20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为进一步推动全市功能型无人车产业规模化发展，促进构建完善的管理机制，培育高效的监管能力，探索可行的商业模式，进一步为功能型无人车在城市物流、环卫等领域的商业化、规模化应用积累经验，打造功能型无人车产业集群，结合我市工作实际，提出以下指导意见。</w:t>
      </w:r>
      <w:bookmarkEnd w:id="4"/>
    </w:p>
    <w:p>
      <w:pPr>
        <w:overflowPunct w:val="0"/>
        <w:spacing w:line="560" w:lineRule="exact"/>
        <w:ind w:firstLine="640" w:firstLineChars="200"/>
        <w:outlineLvl w:val="0"/>
        <w:rPr>
          <w:rFonts w:hint="eastAsia" w:ascii="黑体" w:hAnsi="黑体" w:eastAsia="黑体" w:cs="黑体"/>
          <w:bCs/>
          <w:snapToGrid w:val="0"/>
          <w:color w:val="000000"/>
          <w:sz w:val="32"/>
          <w:szCs w:val="32"/>
        </w:rPr>
      </w:pPr>
      <w:r>
        <w:rPr>
          <w:rFonts w:hint="eastAsia" w:ascii="黑体" w:hAnsi="黑体" w:eastAsia="黑体" w:cs="黑体"/>
          <w:bCs/>
          <w:snapToGrid w:val="0"/>
          <w:color w:val="000000"/>
          <w:sz w:val="32"/>
          <w:szCs w:val="32"/>
        </w:rPr>
        <w:t>一、总体要求</w:t>
      </w:r>
    </w:p>
    <w:p>
      <w:pPr>
        <w:snapToGrid w:val="0"/>
        <w:spacing w:line="560" w:lineRule="exact"/>
        <w:ind w:firstLine="640"/>
        <w:rPr>
          <w:rFonts w:hint="eastAsia" w:ascii="楷体_GB2312" w:hAnsi="仿宋" w:eastAsia="楷体_GB2312"/>
          <w:sz w:val="32"/>
          <w:szCs w:val="32"/>
        </w:rPr>
      </w:pPr>
      <w:r>
        <w:rPr>
          <w:rFonts w:hint="eastAsia" w:ascii="楷体_GB2312" w:hAnsi="仿宋" w:eastAsia="楷体_GB2312"/>
          <w:sz w:val="32"/>
          <w:szCs w:val="32"/>
        </w:rPr>
        <w:t>（一）指导思想</w:t>
      </w:r>
    </w:p>
    <w:p>
      <w:pPr>
        <w:overflowPunct w:val="0"/>
        <w:spacing w:line="560" w:lineRule="exact"/>
        <w:ind w:firstLine="640" w:firstLineChars="200"/>
        <w:rPr>
          <w:rFonts w:hint="eastAsia" w:ascii="仿宋_GB2312" w:hAnsi="仿宋" w:eastAsia="仿宋_GB2312" w:cs="仿宋_GB2312"/>
          <w:sz w:val="32"/>
          <w:szCs w:val="32"/>
        </w:rPr>
      </w:pPr>
      <w:r>
        <w:rPr>
          <w:rFonts w:ascii="仿宋_GB2312" w:hAnsi="仿宋_GB2312" w:eastAsia="仿宋_GB2312" w:cs="仿宋_GB2312"/>
          <w:snapToGrid w:val="0"/>
          <w:color w:val="000000"/>
          <w:sz w:val="32"/>
          <w:szCs w:val="32"/>
        </w:rPr>
        <w:t>以习近平新时代中国特色社会主义思想为指导，</w:t>
      </w:r>
      <w:r>
        <w:rPr>
          <w:rFonts w:hint="eastAsia" w:ascii="仿宋_GB2312" w:hAnsi="仿宋_GB2312" w:eastAsia="仿宋_GB2312" w:cs="仿宋_GB2312"/>
          <w:snapToGrid w:val="0"/>
          <w:color w:val="000000"/>
          <w:sz w:val="32"/>
          <w:szCs w:val="32"/>
        </w:rPr>
        <w:t>全面落实党的二十大和二十届二中、三中全会精神，</w:t>
      </w:r>
      <w:r>
        <w:rPr>
          <w:rFonts w:ascii="仿宋_GB2312" w:hAnsi="仿宋_GB2312" w:eastAsia="仿宋_GB2312" w:cs="仿宋_GB2312"/>
          <w:snapToGrid w:val="0"/>
          <w:color w:val="000000"/>
          <w:sz w:val="32"/>
          <w:szCs w:val="32"/>
        </w:rPr>
        <w:t>深入贯彻落实习近平总书记对广东、深圳系列重要讲话重要指示精神，认真贯彻落实党中央</w:t>
      </w:r>
      <w:r>
        <w:rPr>
          <w:rFonts w:hint="eastAsia" w:ascii="仿宋_GB2312" w:hAnsi="仿宋_GB2312" w:eastAsia="仿宋_GB2312" w:cs="仿宋_GB2312"/>
          <w:snapToGrid w:val="0"/>
          <w:color w:val="000000"/>
          <w:sz w:val="32"/>
          <w:szCs w:val="32"/>
        </w:rPr>
        <w:t>关于健全因地制宜发展新质生产力体制机制、加强新领域新赛道制度供给的</w:t>
      </w:r>
      <w:r>
        <w:rPr>
          <w:rFonts w:ascii="仿宋_GB2312" w:hAnsi="仿宋_GB2312" w:eastAsia="仿宋_GB2312" w:cs="仿宋_GB2312"/>
          <w:snapToGrid w:val="0"/>
          <w:color w:val="000000"/>
          <w:sz w:val="32"/>
          <w:szCs w:val="32"/>
        </w:rPr>
        <w:t>决策部署，</w:t>
      </w:r>
      <w:r>
        <w:rPr>
          <w:rFonts w:hint="eastAsia" w:ascii="仿宋_GB2312" w:hAnsi="仿宋" w:eastAsia="仿宋_GB2312" w:cs="仿宋_GB2312"/>
          <w:sz w:val="32"/>
          <w:szCs w:val="32"/>
        </w:rPr>
        <w:t>促进无人驾驶技术与交通运输、城市服务深度融合，助力功能型无人车产业在深圳集聚发展，鼓励基于夜间道路高质量时空资源,</w:t>
      </w:r>
      <w:r>
        <w:rPr>
          <w:rFonts w:hint="eastAsia" w:ascii="仿宋_GB2312" w:eastAsia="仿宋_GB2312"/>
          <w:color w:val="040404"/>
          <w:sz w:val="32"/>
          <w:szCs w:val="32"/>
        </w:rPr>
        <w:t>聚焦夜间无人物流配送（仓到仓运输）、无人夜间环卫清扫（道路清扫）等场景的</w:t>
      </w:r>
      <w:r>
        <w:rPr>
          <w:rFonts w:hint="eastAsia" w:ascii="仿宋_GB2312" w:hAnsi="仿宋" w:eastAsia="仿宋_GB2312" w:cs="仿宋_GB2312"/>
          <w:sz w:val="32"/>
          <w:szCs w:val="32"/>
        </w:rPr>
        <w:t>探索应用，</w:t>
      </w:r>
      <w:r>
        <w:rPr>
          <w:rFonts w:hint="eastAsia" w:ascii="仿宋_GB2312" w:hAnsi="仿宋" w:eastAsia="仿宋_GB2312"/>
          <w:sz w:val="32"/>
          <w:szCs w:val="32"/>
        </w:rPr>
        <w:t>打造功能型无人车高质量发展先行示范城市</w:t>
      </w:r>
      <w:r>
        <w:rPr>
          <w:rFonts w:hint="eastAsia" w:ascii="仿宋_GB2312" w:hAnsi="仿宋" w:eastAsia="仿宋_GB2312" w:cs="仿宋_GB2312"/>
          <w:sz w:val="32"/>
          <w:szCs w:val="32"/>
        </w:rPr>
        <w:t>。</w:t>
      </w:r>
    </w:p>
    <w:p>
      <w:pPr>
        <w:snapToGrid w:val="0"/>
        <w:spacing w:line="560" w:lineRule="exact"/>
        <w:ind w:firstLine="640"/>
        <w:rPr>
          <w:rFonts w:hint="eastAsia" w:ascii="楷体_GB2312" w:hAnsi="仿宋" w:eastAsia="楷体_GB2312"/>
          <w:sz w:val="32"/>
          <w:szCs w:val="32"/>
          <w:lang w:val="en"/>
        </w:rPr>
      </w:pPr>
      <w:r>
        <w:rPr>
          <w:rFonts w:hint="eastAsia" w:ascii="楷体_GB2312" w:hAnsi="仿宋" w:eastAsia="楷体_GB2312"/>
          <w:sz w:val="32"/>
          <w:szCs w:val="32"/>
        </w:rPr>
        <w:t>（二）基本原则</w:t>
      </w:r>
    </w:p>
    <w:p>
      <w:pPr>
        <w:overflowPunct w:val="0"/>
        <w:spacing w:line="560" w:lineRule="exact"/>
        <w:ind w:firstLine="642" w:firstLineChars="200"/>
        <w:rPr>
          <w:rFonts w:hint="eastAsia" w:ascii="仿宋_GB2312" w:hAnsi="仿宋" w:eastAsia="仿宋_GB2312" w:cs="仿宋_GB2312"/>
          <w:sz w:val="32"/>
          <w:szCs w:val="32"/>
        </w:rPr>
      </w:pPr>
      <w:r>
        <w:rPr>
          <w:rFonts w:hint="eastAsia" w:ascii="仿宋_GB2312" w:hAnsi="仿宋" w:eastAsia="仿宋_GB2312" w:cs="仿宋_GB2312"/>
          <w:b/>
          <w:bCs/>
          <w:sz w:val="32"/>
          <w:szCs w:val="32"/>
        </w:rPr>
        <w:t>统筹推进，试点先行。</w:t>
      </w:r>
      <w:r>
        <w:rPr>
          <w:rFonts w:hint="eastAsia" w:ascii="仿宋_GB2312" w:hAnsi="仿宋" w:eastAsia="仿宋_GB2312" w:cs="仿宋_GB2312"/>
          <w:sz w:val="32"/>
          <w:szCs w:val="32"/>
        </w:rPr>
        <w:t>发挥</w:t>
      </w:r>
      <w:bookmarkStart w:id="5" w:name="OLE_LINK6"/>
      <w:r>
        <w:rPr>
          <w:rFonts w:hint="eastAsia" w:ascii="仿宋_GB2312" w:hAnsi="仿宋" w:eastAsia="仿宋_GB2312" w:cs="仿宋_GB2312"/>
          <w:sz w:val="32"/>
          <w:szCs w:val="32"/>
        </w:rPr>
        <w:t>市级层面统筹协调</w:t>
      </w:r>
      <w:bookmarkEnd w:id="5"/>
      <w:r>
        <w:rPr>
          <w:rFonts w:hint="eastAsia" w:ascii="仿宋_GB2312" w:hAnsi="仿宋" w:eastAsia="仿宋_GB2312" w:cs="仿宋_GB2312"/>
          <w:sz w:val="32"/>
          <w:szCs w:val="32"/>
        </w:rPr>
        <w:t>作用</w:t>
      </w:r>
      <w:r>
        <w:rPr>
          <w:rFonts w:hint="eastAsia" w:ascii="仿宋_GB2312" w:hAnsi="仿宋_GB2312" w:eastAsia="仿宋_GB2312" w:cs="仿宋_GB2312"/>
          <w:sz w:val="32"/>
          <w:szCs w:val="32"/>
        </w:rPr>
        <w:t>，整体推进功能型无人车运营试点管理工作</w:t>
      </w:r>
      <w:r>
        <w:rPr>
          <w:rFonts w:ascii="仿宋_GB2312" w:hAnsi="仿宋" w:eastAsia="仿宋_GB2312" w:cs="仿宋_GB2312"/>
          <w:sz w:val="32"/>
          <w:szCs w:val="32"/>
        </w:rPr>
        <w:t>。</w:t>
      </w:r>
    </w:p>
    <w:p>
      <w:pPr>
        <w:overflowPunct w:val="0"/>
        <w:spacing w:line="560" w:lineRule="exact"/>
        <w:ind w:firstLine="642" w:firstLineChars="200"/>
        <w:rPr>
          <w:rFonts w:hint="eastAsia" w:ascii="仿宋_GB2312" w:hAnsi="仿宋" w:eastAsia="仿宋_GB2312" w:cs="仿宋_GB2312"/>
          <w:sz w:val="32"/>
          <w:szCs w:val="32"/>
        </w:rPr>
      </w:pPr>
      <w:r>
        <w:rPr>
          <w:rFonts w:hint="eastAsia" w:ascii="仿宋_GB2312" w:hAnsi="仿宋" w:eastAsia="仿宋_GB2312" w:cs="仿宋_GB2312"/>
          <w:b/>
          <w:bCs/>
          <w:sz w:val="32"/>
          <w:szCs w:val="32"/>
        </w:rPr>
        <w:t>统一监管，安全可控。</w:t>
      </w:r>
      <w:r>
        <w:rPr>
          <w:rFonts w:hint="eastAsia" w:ascii="仿宋_GB2312" w:hAnsi="仿宋" w:eastAsia="仿宋_GB2312" w:cs="仿宋_GB2312"/>
          <w:sz w:val="32"/>
          <w:szCs w:val="32"/>
        </w:rPr>
        <w:t>加快搭</w:t>
      </w:r>
      <w:r>
        <w:rPr>
          <w:rFonts w:hint="eastAsia" w:ascii="仿宋_GB2312" w:hAnsi="仿宋" w:eastAsia="仿宋_GB2312"/>
          <w:bCs/>
          <w:sz w:val="32"/>
          <w:szCs w:val="32"/>
        </w:rPr>
        <w:t>建</w:t>
      </w:r>
      <w:r>
        <w:rPr>
          <w:rFonts w:hint="eastAsia" w:ascii="仿宋_GB2312" w:hAnsi="仿宋_GB2312" w:eastAsia="仿宋_GB2312" w:cs="仿宋_GB2312"/>
          <w:sz w:val="32"/>
          <w:szCs w:val="32"/>
        </w:rPr>
        <w:t>功能型无人车</w:t>
      </w:r>
      <w:r>
        <w:rPr>
          <w:rFonts w:ascii="仿宋_GB2312" w:hAnsi="仿宋_GB2312" w:eastAsia="仿宋_GB2312" w:cs="仿宋_GB2312"/>
          <w:sz w:val="32"/>
          <w:szCs w:val="32"/>
        </w:rPr>
        <w:t>监管平台</w:t>
      </w:r>
      <w:r>
        <w:rPr>
          <w:rFonts w:hint="eastAsia" w:ascii="仿宋_GB2312" w:hAnsi="仿宋_GB2312" w:eastAsia="仿宋_GB2312" w:cs="仿宋_GB2312"/>
          <w:sz w:val="32"/>
          <w:szCs w:val="32"/>
        </w:rPr>
        <w:t>，</w:t>
      </w:r>
      <w:r>
        <w:rPr>
          <w:rFonts w:hint="eastAsia" w:ascii="仿宋_GB2312" w:hAnsi="仿宋" w:eastAsia="仿宋_GB2312" w:cs="仿宋_GB2312"/>
          <w:sz w:val="32"/>
          <w:szCs w:val="32"/>
        </w:rPr>
        <w:t>基于平台实现功能型无人车运行数据的统一接入，</w:t>
      </w:r>
      <w:r>
        <w:rPr>
          <w:rFonts w:ascii="仿宋_GB2312" w:hAnsi="仿宋" w:eastAsia="仿宋_GB2312" w:cs="仿宋_GB2312"/>
          <w:sz w:val="32"/>
          <w:szCs w:val="32"/>
        </w:rPr>
        <w:t>强化安全管理，保障道路交通安全。</w:t>
      </w:r>
    </w:p>
    <w:p>
      <w:pPr>
        <w:overflowPunct w:val="0"/>
        <w:spacing w:line="560" w:lineRule="exact"/>
        <w:ind w:firstLine="642" w:firstLineChars="200"/>
        <w:rPr>
          <w:rFonts w:hint="eastAsia" w:ascii="仿宋_GB2312" w:hAnsi="仿宋" w:eastAsia="仿宋_GB2312" w:cs="仿宋_GB2312"/>
          <w:sz w:val="32"/>
          <w:szCs w:val="32"/>
        </w:rPr>
      </w:pPr>
      <w:r>
        <w:rPr>
          <w:rFonts w:ascii="仿宋_GB2312" w:hAnsi="仿宋" w:eastAsia="仿宋_GB2312" w:cs="仿宋_GB2312"/>
          <w:b/>
          <w:bCs/>
          <w:sz w:val="32"/>
          <w:szCs w:val="32"/>
        </w:rPr>
        <w:t>统一标识</w:t>
      </w:r>
      <w:r>
        <w:rPr>
          <w:rFonts w:hint="eastAsia" w:ascii="仿宋_GB2312" w:hAnsi="仿宋" w:eastAsia="仿宋_GB2312" w:cs="仿宋_GB2312"/>
          <w:b/>
          <w:bCs/>
          <w:sz w:val="32"/>
          <w:szCs w:val="32"/>
        </w:rPr>
        <w:t>，有序发展。</w:t>
      </w:r>
      <w:r>
        <w:rPr>
          <w:rFonts w:hint="eastAsia" w:ascii="仿宋_GB2312" w:hAnsi="仿宋" w:eastAsia="仿宋_GB2312" w:cs="仿宋_GB2312"/>
          <w:sz w:val="32"/>
          <w:szCs w:val="32"/>
        </w:rPr>
        <w:t>统一全市功能型无人车车辆标识样式，拓展利用夜间道路时空资源，加强功能型无人车上路通行管理，维护道路交通秩序，</w:t>
      </w:r>
      <w:r>
        <w:rPr>
          <w:rFonts w:ascii="仿宋_GB2312" w:hAnsi="仿宋" w:eastAsia="仿宋_GB2312" w:cs="仿宋_GB2312"/>
          <w:sz w:val="32"/>
          <w:szCs w:val="32"/>
        </w:rPr>
        <w:t>循序渐进地</w:t>
      </w:r>
      <w:r>
        <w:rPr>
          <w:rFonts w:hint="eastAsia" w:ascii="仿宋_GB2312" w:hAnsi="仿宋" w:eastAsia="仿宋_GB2312" w:cs="仿宋_GB2312"/>
          <w:sz w:val="32"/>
          <w:szCs w:val="32"/>
        </w:rPr>
        <w:t>推进试点</w:t>
      </w:r>
      <w:r>
        <w:rPr>
          <w:rFonts w:ascii="仿宋_GB2312" w:hAnsi="仿宋" w:eastAsia="仿宋_GB2312" w:cs="仿宋_GB2312"/>
          <w:sz w:val="32"/>
          <w:szCs w:val="32"/>
        </w:rPr>
        <w:t>工作</w:t>
      </w:r>
      <w:r>
        <w:rPr>
          <w:rFonts w:hint="eastAsia" w:ascii="仿宋_GB2312" w:hAnsi="仿宋" w:eastAsia="仿宋_GB2312" w:cs="仿宋_GB2312"/>
          <w:sz w:val="32"/>
          <w:szCs w:val="32"/>
        </w:rPr>
        <w:t>。</w:t>
      </w:r>
    </w:p>
    <w:p>
      <w:pPr>
        <w:overflowPunct w:val="0"/>
        <w:spacing w:line="560" w:lineRule="exact"/>
        <w:ind w:firstLine="642" w:firstLineChars="200"/>
        <w:rPr>
          <w:rFonts w:hint="eastAsia" w:ascii="仿宋_GB2312" w:hAnsi="仿宋" w:eastAsia="仿宋_GB2312" w:cs="仿宋_GB2312"/>
          <w:sz w:val="32"/>
          <w:szCs w:val="32"/>
        </w:rPr>
      </w:pPr>
      <w:r>
        <w:rPr>
          <w:rFonts w:hint="eastAsia" w:ascii="仿宋_GB2312" w:hAnsi="仿宋" w:eastAsia="仿宋_GB2312" w:cs="仿宋_GB2312"/>
          <w:b/>
          <w:bCs/>
          <w:sz w:val="32"/>
          <w:szCs w:val="32"/>
        </w:rPr>
        <w:t>强化管理，平稳规范</w:t>
      </w:r>
      <w:r>
        <w:rPr>
          <w:rFonts w:hint="eastAsia" w:ascii="仿宋_GB2312" w:hAnsi="仿宋" w:eastAsia="仿宋_GB2312" w:cs="仿宋_GB2312"/>
          <w:sz w:val="32"/>
          <w:szCs w:val="32"/>
        </w:rPr>
        <w:t>。明确由具备相应业务资质的主体申请使用功能型无人车开展</w:t>
      </w:r>
      <w:r>
        <w:rPr>
          <w:rFonts w:hint="eastAsia" w:ascii="仿宋_GB2312" w:hAnsi="Times New Roman" w:eastAsia="仿宋_GB2312"/>
          <w:sz w:val="32"/>
          <w:szCs w:val="32"/>
        </w:rPr>
        <w:t>无人物流、环卫等服务或者作业，严格规范申请要求与试点管理工作，促进行业平稳、规范发展。</w:t>
      </w:r>
    </w:p>
    <w:p>
      <w:pPr>
        <w:overflowPunct w:val="0"/>
        <w:spacing w:line="560" w:lineRule="exact"/>
        <w:ind w:firstLine="642" w:firstLineChars="200"/>
        <w:rPr>
          <w:rFonts w:hint="eastAsia" w:ascii="仿宋_GB2312" w:hAnsi="仿宋" w:eastAsia="仿宋_GB2312" w:cs="仿宋_GB2312"/>
          <w:sz w:val="32"/>
          <w:szCs w:val="32"/>
        </w:rPr>
      </w:pPr>
      <w:r>
        <w:rPr>
          <w:rFonts w:hint="eastAsia" w:ascii="仿宋_GB2312" w:hAnsi="仿宋" w:eastAsia="仿宋_GB2312" w:cs="仿宋_GB2312"/>
          <w:b/>
          <w:bCs/>
          <w:sz w:val="32"/>
          <w:szCs w:val="32"/>
        </w:rPr>
        <w:t>分类指导，提质增效</w:t>
      </w:r>
      <w:r>
        <w:rPr>
          <w:rFonts w:hint="eastAsia" w:ascii="仿宋_GB2312" w:hAnsi="仿宋" w:eastAsia="仿宋_GB2312" w:cs="仿宋_GB2312"/>
          <w:sz w:val="32"/>
          <w:szCs w:val="32"/>
        </w:rPr>
        <w:t>。市级层面结合功能型无人车应用场景，统筹做好功能型无人车规模引导工作，逐步提高功能型无人车在城市物流、环卫等领域夜间作业车辆的占有率，实现提质增效。</w:t>
      </w:r>
    </w:p>
    <w:p>
      <w:pPr>
        <w:overflowPunct w:val="0"/>
        <w:spacing w:line="560" w:lineRule="exact"/>
        <w:ind w:firstLine="640" w:firstLineChars="200"/>
        <w:outlineLvl w:val="0"/>
        <w:rPr>
          <w:rFonts w:hint="eastAsia" w:ascii="黑体" w:hAnsi="黑体" w:eastAsia="黑体" w:cs="黑体"/>
          <w:bCs/>
          <w:snapToGrid w:val="0"/>
          <w:color w:val="000000"/>
          <w:sz w:val="32"/>
          <w:szCs w:val="32"/>
        </w:rPr>
      </w:pPr>
      <w:r>
        <w:rPr>
          <w:rFonts w:hint="eastAsia" w:ascii="黑体" w:hAnsi="黑体" w:eastAsia="黑体" w:cs="黑体"/>
          <w:bCs/>
          <w:snapToGrid w:val="0"/>
          <w:color w:val="000000"/>
          <w:sz w:val="32"/>
          <w:szCs w:val="32"/>
        </w:rPr>
        <w:t>二、适用范围</w:t>
      </w:r>
    </w:p>
    <w:p>
      <w:pPr>
        <w:overflowPunct w:val="0"/>
        <w:spacing w:line="560" w:lineRule="exact"/>
        <w:ind w:firstLine="640" w:firstLineChars="20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本意见适用于深圳市范围内物流、环卫功能型无人车运营试点管理。</w:t>
      </w:r>
    </w:p>
    <w:p>
      <w:pPr>
        <w:overflowPunct w:val="0"/>
        <w:spacing w:line="560" w:lineRule="exact"/>
        <w:ind w:firstLine="640" w:firstLineChars="20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（一）功能型无人车是指具备无人驾驶功能的电动轮式车辆，能够在无需人工主动操作的情况下，实现在道路上自动、安全行驶，包括无人物流车、无人环卫车等。</w:t>
      </w:r>
    </w:p>
    <w:p>
      <w:pPr>
        <w:overflowPunct w:val="0"/>
        <w:spacing w:line="560" w:lineRule="exact"/>
        <w:ind w:firstLine="640" w:firstLineChars="200"/>
        <w:rPr>
          <w:rFonts w:ascii="仿宋_GB2312" w:hAnsi="Times New Roman" w:eastAsia="仿宋_GB2312"/>
          <w:sz w:val="32"/>
          <w:szCs w:val="32"/>
        </w:rPr>
      </w:pPr>
      <w:r>
        <w:rPr>
          <w:rFonts w:hint="eastAsia" w:ascii="仿宋_GB2312" w:hAnsi="仿宋_GB2312" w:eastAsia="仿宋_GB2312" w:cs="仿宋_GB2312"/>
          <w:snapToGrid w:val="0"/>
          <w:color w:val="000000"/>
          <w:sz w:val="32"/>
          <w:szCs w:val="32"/>
        </w:rPr>
        <w:t>（二</w:t>
      </w:r>
      <w:r>
        <w:rPr>
          <w:rFonts w:ascii="仿宋_GB2312" w:hAnsi="仿宋_GB2312" w:eastAsia="仿宋_GB2312" w:cs="仿宋_GB2312"/>
          <w:snapToGrid w:val="0"/>
          <w:color w:val="000000"/>
          <w:sz w:val="32"/>
          <w:szCs w:val="32"/>
        </w:rPr>
        <w:t>）</w:t>
      </w:r>
      <w:r>
        <w:rPr>
          <w:rFonts w:hint="eastAsia" w:ascii="仿宋_GB2312" w:hAnsi="仿宋_GB2312" w:eastAsia="仿宋_GB2312" w:cs="仿宋_GB2312"/>
          <w:snapToGrid w:val="0"/>
          <w:color w:val="000000"/>
          <w:sz w:val="32"/>
          <w:szCs w:val="32"/>
        </w:rPr>
        <w:t>运营试点是指</w:t>
      </w:r>
      <w:r>
        <w:rPr>
          <w:rFonts w:hint="eastAsia" w:ascii="仿宋_GB2312" w:hAnsi="Times New Roman" w:eastAsia="仿宋_GB2312"/>
          <w:sz w:val="32"/>
          <w:szCs w:val="32"/>
        </w:rPr>
        <w:t>以探索商业模式为目的，在城市道路、区域范围内用于社会车辆通行的各类道路进行的无人物流、环卫等服务或者作业的试点活动。</w:t>
      </w:r>
    </w:p>
    <w:bookmarkEnd w:id="0"/>
    <w:p>
      <w:pPr>
        <w:spacing w:line="560" w:lineRule="exact"/>
        <w:ind w:firstLine="640"/>
        <w:outlineLvl w:val="0"/>
        <w:rPr>
          <w:rFonts w:hint="eastAsia" w:ascii="黑体" w:hAnsi="黑体" w:eastAsia="黑体" w:cs="黑体"/>
          <w:snapToGrid w:val="0"/>
          <w:color w:val="000000"/>
          <w:sz w:val="32"/>
          <w:szCs w:val="32"/>
        </w:rPr>
      </w:pPr>
      <w:r>
        <w:rPr>
          <w:rFonts w:hint="eastAsia" w:ascii="黑体" w:hAnsi="黑体" w:eastAsia="黑体" w:cs="黑体"/>
          <w:snapToGrid w:val="0"/>
          <w:color w:val="000000"/>
          <w:sz w:val="32"/>
          <w:szCs w:val="32"/>
        </w:rPr>
        <w:t>三、组织架构</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市工业和信息化部门负责统筹协调全市功能型无人车高质量发展试点工作，解决功能型无人车运营</w:t>
      </w:r>
      <w:r>
        <w:rPr>
          <w:rFonts w:ascii="仿宋_GB2312" w:hAnsi="仿宋_GB2312" w:eastAsia="仿宋_GB2312" w:cs="仿宋_GB2312"/>
          <w:sz w:val="32"/>
          <w:szCs w:val="32"/>
        </w:rPr>
        <w:t>试点推进过程中的</w:t>
      </w:r>
      <w:r>
        <w:rPr>
          <w:rFonts w:hint="eastAsia" w:ascii="仿宋_GB2312" w:hAnsi="仿宋_GB2312" w:eastAsia="仿宋_GB2312" w:cs="仿宋_GB2312"/>
          <w:sz w:val="32"/>
          <w:szCs w:val="32"/>
        </w:rPr>
        <w:t>重大事项及问题；负责组织各相关单位对初步审核通过的申请进行联合审议；负责车辆标识发放工作。</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市交通运输部门负责办理功能型无人物流车试点申请；负责完善智能网联汽车政府监管平台实现功能型无人车数据接入工作；负责优化停车管理，实现功能型无人车辆自动识别抬杆。</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市城管和综合执法部门负责办理功能型无人环卫车试点申请。</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市公安交警部门负责无标识功能型无人车上路行驶执法，负责涉功能型无人车的交通事故调查处置。</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各区政府（含新区、深汕特别合作区管委会，下同）负责辖区内功能型无人车高质量发展试点日常管理、安全应急及产业发展等工作。</w:t>
      </w:r>
    </w:p>
    <w:p>
      <w:pPr>
        <w:spacing w:line="560" w:lineRule="exact"/>
        <w:ind w:firstLine="640"/>
        <w:outlineLvl w:val="0"/>
        <w:rPr>
          <w:rFonts w:hint="eastAsia" w:ascii="黑体" w:hAnsi="黑体" w:eastAsia="黑体" w:cs="黑体"/>
          <w:snapToGrid w:val="0"/>
          <w:color w:val="000000"/>
          <w:sz w:val="32"/>
          <w:szCs w:val="32"/>
        </w:rPr>
      </w:pPr>
      <w:r>
        <w:rPr>
          <w:rFonts w:hint="eastAsia" w:ascii="黑体" w:hAnsi="黑体" w:eastAsia="黑体" w:cs="黑体"/>
          <w:snapToGrid w:val="0"/>
          <w:color w:val="000000"/>
          <w:sz w:val="32"/>
          <w:szCs w:val="32"/>
        </w:rPr>
        <w:t>四、申请条件及流程</w:t>
      </w:r>
    </w:p>
    <w:p>
      <w:pPr>
        <w:snapToGrid w:val="0"/>
        <w:spacing w:line="560" w:lineRule="exact"/>
        <w:ind w:firstLine="640"/>
        <w:rPr>
          <w:rFonts w:hint="eastAsia" w:ascii="楷体_GB2312" w:hAnsi="仿宋" w:eastAsia="楷体_GB2312"/>
          <w:sz w:val="32"/>
          <w:szCs w:val="32"/>
        </w:rPr>
      </w:pPr>
      <w:r>
        <w:rPr>
          <w:rFonts w:hint="eastAsia" w:ascii="楷体_GB2312" w:hAnsi="仿宋" w:eastAsia="楷体_GB2312"/>
          <w:sz w:val="32"/>
          <w:szCs w:val="32"/>
        </w:rPr>
        <w:t>（一）申请条件</w:t>
      </w:r>
    </w:p>
    <w:p>
      <w:pPr>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1.</w:t>
      </w:r>
      <w:bookmarkStart w:id="6" w:name="OLE_LINK9"/>
      <w:r>
        <w:rPr>
          <w:rFonts w:hint="eastAsia" w:ascii="仿宋_GB2312" w:hAnsi="仿宋_GB2312" w:eastAsia="仿宋_GB2312" w:cs="仿宋_GB2312"/>
          <w:snapToGrid w:val="0"/>
          <w:color w:val="000000"/>
          <w:sz w:val="32"/>
          <w:szCs w:val="32"/>
        </w:rPr>
        <w:t>申请主体是指提出功能型无人车运营试点申请、组织功能型无人车运营试点活动并承担相应责任的</w:t>
      </w:r>
      <w:bookmarkStart w:id="7" w:name="OLE_LINK3"/>
      <w:r>
        <w:rPr>
          <w:rFonts w:hint="eastAsia" w:ascii="仿宋_GB2312" w:hAnsi="仿宋_GB2312" w:eastAsia="仿宋_GB2312" w:cs="仿宋_GB2312"/>
          <w:snapToGrid w:val="0"/>
          <w:color w:val="000000"/>
          <w:sz w:val="32"/>
          <w:szCs w:val="32"/>
        </w:rPr>
        <w:t>独立法人单位或者多个独立法人单位组成的联合体</w:t>
      </w:r>
      <w:bookmarkEnd w:id="7"/>
      <w:r>
        <w:rPr>
          <w:rFonts w:hint="eastAsia" w:ascii="仿宋_GB2312" w:hAnsi="仿宋_GB2312" w:eastAsia="仿宋_GB2312" w:cs="仿宋_GB2312"/>
          <w:snapToGrid w:val="0"/>
          <w:color w:val="000000"/>
          <w:sz w:val="32"/>
          <w:szCs w:val="32"/>
        </w:rPr>
        <w:t>，应当按照国家及深圳市有关规定取得从事城市物流、环卫等业务的相关资质</w:t>
      </w:r>
      <w:bookmarkStart w:id="8" w:name="OLE_LINK8"/>
      <w:r>
        <w:rPr>
          <w:rFonts w:hint="eastAsia" w:ascii="仿宋_GB2312" w:hAnsi="仿宋_GB2312" w:eastAsia="仿宋_GB2312" w:cs="仿宋_GB2312"/>
          <w:snapToGrid w:val="0"/>
          <w:color w:val="000000"/>
          <w:sz w:val="32"/>
          <w:szCs w:val="32"/>
        </w:rPr>
        <w:t>。</w:t>
      </w:r>
      <w:bookmarkEnd w:id="8"/>
      <w:r>
        <w:rPr>
          <w:rFonts w:hint="eastAsia" w:ascii="仿宋_GB2312" w:hAnsi="Times New Roman" w:eastAsia="仿宋_GB2312"/>
          <w:sz w:val="32"/>
          <w:szCs w:val="32"/>
        </w:rPr>
        <w:t>由多个独立法人单位组成的联合体申请主体，各单位还应当签署运营服务及相关侵权责任划分的协议。</w:t>
      </w:r>
      <w:bookmarkEnd w:id="6"/>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sz w:val="32"/>
          <w:szCs w:val="32"/>
        </w:rPr>
        <w:t>2.申请主体应当提交</w:t>
      </w:r>
      <w:r>
        <w:rPr>
          <w:rFonts w:hint="eastAsia" w:ascii="仿宋_GB2312" w:hAnsi="仿宋_GB2312" w:eastAsia="仿宋_GB2312" w:cs="仿宋_GB2312"/>
          <w:sz w:val="32"/>
          <w:szCs w:val="32"/>
        </w:rPr>
        <w:t>运营服务能力报告，报告至少包括申请主体情况介绍，运营服务团队说明、</w:t>
      </w:r>
      <w:r>
        <w:rPr>
          <w:rFonts w:ascii="仿宋_GB2312" w:hAnsi="仿宋_GB2312" w:eastAsia="仿宋_GB2312" w:cs="仿宋_GB2312"/>
          <w:sz w:val="32"/>
          <w:szCs w:val="32"/>
        </w:rPr>
        <w:t>安全保障团队</w:t>
      </w:r>
      <w:r>
        <w:rPr>
          <w:rFonts w:hint="eastAsia" w:ascii="仿宋_GB2312" w:hAnsi="仿宋_GB2312" w:eastAsia="仿宋_GB2312" w:cs="仿宋_GB2312"/>
          <w:sz w:val="32"/>
          <w:szCs w:val="32"/>
        </w:rPr>
        <w:t>说明、运营管理</w:t>
      </w:r>
      <w:r>
        <w:rPr>
          <w:rFonts w:ascii="仿宋_GB2312" w:hAnsi="仿宋_GB2312" w:eastAsia="仿宋_GB2312" w:cs="仿宋_GB2312"/>
          <w:sz w:val="32"/>
          <w:szCs w:val="32"/>
        </w:rPr>
        <w:t>制度说明</w:t>
      </w:r>
      <w:r>
        <w:rPr>
          <w:rFonts w:hint="eastAsia" w:ascii="仿宋_GB2312" w:hAnsi="仿宋_GB2312" w:eastAsia="仿宋_GB2312" w:cs="仿宋_GB2312"/>
          <w:sz w:val="32"/>
          <w:szCs w:val="32"/>
        </w:rPr>
        <w:t>等内容（详见附件1）。</w:t>
      </w:r>
    </w:p>
    <w:p>
      <w:pPr>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z w:val="32"/>
          <w:szCs w:val="32"/>
        </w:rPr>
        <w:t>3.申请主体应当</w:t>
      </w:r>
      <w:r>
        <w:rPr>
          <w:rFonts w:hint="eastAsia" w:ascii="仿宋_GB2312" w:hAnsi="仿宋_GB2312" w:eastAsia="仿宋_GB2312" w:cs="仿宋_GB2312"/>
          <w:snapToGrid w:val="0"/>
          <w:color w:val="000000"/>
          <w:sz w:val="32"/>
          <w:szCs w:val="32"/>
        </w:rPr>
        <w:t>提交功能型无人车运营试点方案，其中，试点方案至少包括试点场景、试点区域及路段、时间、规模、车辆行驶规则、风险分析及应对措施等内容（详见附件2）。</w:t>
      </w:r>
    </w:p>
    <w:p>
      <w:pPr>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4.申请主体应当结合功能型无人车运营过程中可能面临的风险因素，为不同类型的车辆购置匹配的商业保险。属无人环卫车应用试点的，为每台车辆购买不低于100万元的商业保险；属无人物流车应用试点的，为每台车辆购买不低于300万元的商业保险。</w:t>
      </w:r>
    </w:p>
    <w:p>
      <w:pPr>
        <w:overflowPunct w:val="0"/>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z w:val="32"/>
          <w:szCs w:val="32"/>
        </w:rPr>
        <w:t>5.首次在深圳市申请开展运营试点的车型应当在国家认可的第三方检测机构完成自动</w:t>
      </w:r>
      <w:r>
        <w:rPr>
          <w:rFonts w:hint="eastAsia" w:ascii="仿宋_GB2312" w:hAnsi="仿宋_GB2312" w:eastAsia="仿宋_GB2312" w:cs="仿宋_GB2312"/>
          <w:snapToGrid w:val="0"/>
          <w:color w:val="000000"/>
          <w:sz w:val="32"/>
          <w:szCs w:val="32"/>
        </w:rPr>
        <w:t>驾驶功能检测项目（详见附件3），并取得相应检测报告；同型号、同型式的车辆可按照抽检比例进行检测，首次抽检比例10%。</w:t>
      </w:r>
    </w:p>
    <w:p>
      <w:pPr>
        <w:overflowPunct w:val="0"/>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6.车辆应当具备车辆状态记录、存储及在线监控功能，能实时回传车辆标识、控制模式、位置、速度、加速度、行驶方向等信息至政府监管平台，并自动记录和存储车辆事故或者失效状况发生前至少90秒的数据，数据存储时间不少于1年。</w:t>
      </w:r>
    </w:p>
    <w:p>
      <w:pPr>
        <w:overflowPunct w:val="0"/>
        <w:spacing w:line="560" w:lineRule="exact"/>
        <w:ind w:firstLine="640" w:firstLineChars="200"/>
        <w:rPr>
          <w:rFonts w:hint="eastAsia" w:ascii="楷体_GB2312" w:hAnsi="仿宋_GB2312" w:eastAsia="楷体_GB2312" w:cs="仿宋_GB2312"/>
          <w:snapToGrid w:val="0"/>
          <w:color w:val="000000"/>
          <w:sz w:val="32"/>
          <w:szCs w:val="32"/>
        </w:rPr>
      </w:pPr>
      <w:r>
        <w:rPr>
          <w:rFonts w:hint="eastAsia" w:ascii="楷体_GB2312" w:hAnsi="仿宋_GB2312" w:eastAsia="楷体_GB2312" w:cs="仿宋_GB2312"/>
          <w:snapToGrid w:val="0"/>
          <w:color w:val="000000"/>
          <w:sz w:val="32"/>
          <w:szCs w:val="32"/>
        </w:rPr>
        <w:t>（二）申请流程</w:t>
      </w:r>
    </w:p>
    <w:p>
      <w:pPr>
        <w:overflowPunct w:val="0"/>
        <w:spacing w:line="560" w:lineRule="exact"/>
        <w:ind w:firstLine="642" w:firstLineChars="200"/>
        <w:rPr>
          <w:rFonts w:hint="eastAsia" w:ascii="仿宋_GB2312" w:hAnsi="仿宋_GB2312" w:eastAsia="仿宋_GB2312" w:cs="仿宋_GB2312"/>
          <w:snapToGrid w:val="0"/>
          <w:color w:val="000000"/>
          <w:sz w:val="32"/>
          <w:szCs w:val="32"/>
        </w:rPr>
      </w:pPr>
      <w:r>
        <w:rPr>
          <w:rFonts w:ascii="仿宋_GB2312" w:hAnsi="仿宋_GB2312" w:eastAsia="仿宋_GB2312" w:cs="仿宋_GB2312"/>
          <w:b/>
          <w:bCs/>
          <w:snapToGrid w:val="0"/>
          <w:color w:val="000000"/>
          <w:sz w:val="32"/>
          <w:szCs w:val="32"/>
        </w:rPr>
        <w:t>1</w:t>
      </w:r>
      <w:r>
        <w:rPr>
          <w:rFonts w:hint="eastAsia" w:ascii="仿宋_GB2312" w:hAnsi="仿宋_GB2312" w:eastAsia="仿宋_GB2312" w:cs="仿宋_GB2312"/>
          <w:b/>
          <w:bCs/>
          <w:snapToGrid w:val="0"/>
          <w:color w:val="000000"/>
          <w:sz w:val="32"/>
          <w:szCs w:val="32"/>
        </w:rPr>
        <w:t>.提交申请。</w:t>
      </w:r>
      <w:r>
        <w:rPr>
          <w:rFonts w:hint="eastAsia" w:ascii="仿宋_GB2312" w:hAnsi="仿宋_GB2312" w:eastAsia="仿宋_GB2312" w:cs="仿宋_GB2312"/>
          <w:snapToGrid w:val="0"/>
          <w:color w:val="000000"/>
          <w:sz w:val="32"/>
          <w:szCs w:val="32"/>
        </w:rPr>
        <w:t>申请主体</w:t>
      </w:r>
      <w:r>
        <w:rPr>
          <w:rFonts w:ascii="仿宋_GB2312" w:hAnsi="仿宋_GB2312" w:eastAsia="仿宋_GB2312" w:cs="仿宋_GB2312"/>
          <w:snapToGrid w:val="0"/>
          <w:color w:val="000000"/>
          <w:sz w:val="32"/>
          <w:szCs w:val="32"/>
        </w:rPr>
        <w:t>根据</w:t>
      </w:r>
      <w:r>
        <w:rPr>
          <w:rFonts w:hint="eastAsia" w:ascii="仿宋_GB2312" w:hAnsi="仿宋_GB2312" w:eastAsia="仿宋_GB2312" w:cs="仿宋_GB2312"/>
          <w:snapToGrid w:val="0"/>
          <w:color w:val="000000"/>
          <w:sz w:val="32"/>
          <w:szCs w:val="32"/>
        </w:rPr>
        <w:t>本意见的</w:t>
      </w:r>
      <w:r>
        <w:rPr>
          <w:rFonts w:ascii="仿宋_GB2312" w:hAnsi="仿宋_GB2312" w:eastAsia="仿宋_GB2312" w:cs="仿宋_GB2312"/>
          <w:snapToGrid w:val="0"/>
          <w:color w:val="000000"/>
          <w:sz w:val="32"/>
          <w:szCs w:val="32"/>
        </w:rPr>
        <w:t>要求</w:t>
      </w:r>
      <w:r>
        <w:rPr>
          <w:rFonts w:hint="eastAsia" w:ascii="仿宋_GB2312" w:hAnsi="仿宋_GB2312" w:eastAsia="仿宋_GB2312" w:cs="仿宋_GB2312"/>
          <w:snapToGrid w:val="0"/>
          <w:color w:val="000000"/>
          <w:sz w:val="32"/>
          <w:szCs w:val="32"/>
        </w:rPr>
        <w:t>，向</w:t>
      </w:r>
      <w:bookmarkStart w:id="9" w:name="OLE_LINK4"/>
      <w:r>
        <w:rPr>
          <w:rFonts w:hint="eastAsia" w:ascii="仿宋_GB2312" w:hAnsi="仿宋_GB2312" w:eastAsia="仿宋_GB2312" w:cs="仿宋_GB2312"/>
          <w:sz w:val="32"/>
          <w:szCs w:val="32"/>
        </w:rPr>
        <w:t>市行业主管部门</w:t>
      </w:r>
      <w:bookmarkEnd w:id="9"/>
      <w:r>
        <w:rPr>
          <w:rFonts w:hint="eastAsia" w:ascii="仿宋_GB2312" w:hAnsi="仿宋_GB2312" w:eastAsia="仿宋_GB2312" w:cs="仿宋_GB2312"/>
          <w:sz w:val="32"/>
          <w:szCs w:val="32"/>
        </w:rPr>
        <w:t>提交</w:t>
      </w:r>
      <w:r>
        <w:rPr>
          <w:rFonts w:hint="eastAsia" w:ascii="仿宋_GB2312" w:hAnsi="仿宋_GB2312" w:eastAsia="仿宋_GB2312" w:cs="仿宋_GB2312"/>
          <w:snapToGrid w:val="0"/>
          <w:color w:val="000000"/>
          <w:sz w:val="32"/>
          <w:szCs w:val="32"/>
        </w:rPr>
        <w:t>《安全性自我声明》（详见附件4）以及相关申请材料。其中，属无人物流车应用试点的，向市交通运输部门提交申请，属无人环卫车应用试点的，向市城管和综合执法部门提交申请。</w:t>
      </w:r>
    </w:p>
    <w:p>
      <w:pPr>
        <w:overflowPunct w:val="0"/>
        <w:spacing w:line="560" w:lineRule="exact"/>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napToGrid w:val="0"/>
          <w:color w:val="000000"/>
          <w:sz w:val="32"/>
          <w:szCs w:val="32"/>
        </w:rPr>
        <w:t>2.审核确认。</w:t>
      </w:r>
      <w:r>
        <w:rPr>
          <w:rFonts w:hint="eastAsia" w:ascii="仿宋_GB2312" w:hAnsi="仿宋_GB2312" w:eastAsia="仿宋_GB2312" w:cs="仿宋_GB2312"/>
          <w:snapToGrid w:val="0"/>
          <w:color w:val="000000"/>
          <w:sz w:val="32"/>
          <w:szCs w:val="32"/>
        </w:rPr>
        <w:t>市行业主管部门应当在收到申请材料后10个工作日内，委托</w:t>
      </w:r>
      <w:r>
        <w:rPr>
          <w:rFonts w:hint="eastAsia" w:ascii="仿宋_GB2312" w:hAnsi="Times New Roman" w:eastAsia="仿宋_GB2312"/>
          <w:sz w:val="32"/>
          <w:szCs w:val="32"/>
        </w:rPr>
        <w:t>具备市政公用工程、公路等交通专业领域工程咨询甲级资质的第三方评估机构，</w:t>
      </w:r>
      <w:r>
        <w:rPr>
          <w:rFonts w:hint="eastAsia" w:ascii="仿宋_GB2312" w:hAnsi="仿宋_GB2312" w:eastAsia="仿宋_GB2312" w:cs="仿宋_GB2312"/>
          <w:snapToGrid w:val="0"/>
          <w:color w:val="000000"/>
          <w:sz w:val="32"/>
          <w:szCs w:val="32"/>
        </w:rPr>
        <w:t>对申请主体提交的材料进行审核。</w:t>
      </w:r>
      <w:r>
        <w:rPr>
          <w:rFonts w:hint="eastAsia" w:ascii="仿宋_GB2312" w:hAnsi="仿宋_GB2312" w:eastAsia="仿宋_GB2312" w:cs="仿宋_GB2312"/>
          <w:sz w:val="32"/>
          <w:szCs w:val="32"/>
        </w:rPr>
        <w:t>初步审核不通过的，市行业主管部门需向申请主体反馈书面意见，明确指出审核不通过的原因，申请主体按照反馈意见修改完善后，方可再次提交申请；</w:t>
      </w:r>
      <w:r>
        <w:rPr>
          <w:rFonts w:hint="eastAsia" w:ascii="仿宋_GB2312" w:hAnsi="仿宋_GB2312" w:eastAsia="仿宋_GB2312" w:cs="仿宋_GB2312"/>
          <w:snapToGrid w:val="0"/>
          <w:color w:val="000000"/>
          <w:sz w:val="32"/>
          <w:szCs w:val="32"/>
        </w:rPr>
        <w:t>初步审核通过的，市行业主管部门应及时向</w:t>
      </w:r>
      <w:r>
        <w:rPr>
          <w:rFonts w:hint="eastAsia" w:ascii="仿宋_GB2312" w:hAnsi="仿宋_GB2312" w:eastAsia="仿宋_GB2312" w:cs="仿宋_GB2312"/>
          <w:sz w:val="32"/>
          <w:szCs w:val="32"/>
        </w:rPr>
        <w:t>市工业和信息化部门反馈初步审核结果。</w:t>
      </w:r>
    </w:p>
    <w:p>
      <w:pPr>
        <w:overflowPunct w:val="0"/>
        <w:spacing w:line="560" w:lineRule="exact"/>
        <w:ind w:firstLine="640" w:firstLineChars="200"/>
        <w:rPr>
          <w:rFonts w:hint="eastAsia" w:ascii="仿宋_GB2312" w:hAnsi="黑体" w:eastAsia="仿宋_GB2312"/>
          <w:sz w:val="32"/>
          <w:szCs w:val="32"/>
        </w:rPr>
      </w:pPr>
      <w:r>
        <w:rPr>
          <w:rFonts w:hint="eastAsia" w:ascii="仿宋_GB2312" w:hAnsi="仿宋_GB2312" w:eastAsia="仿宋_GB2312" w:cs="仿宋_GB2312"/>
          <w:sz w:val="32"/>
          <w:szCs w:val="32"/>
        </w:rPr>
        <w:t>市工业和信息化部门组织市交通运输、城管和综合执法、公安交警等部门，对初步审核通过的申请进行</w:t>
      </w:r>
      <w:bookmarkStart w:id="10" w:name="OLE_LINK2"/>
      <w:r>
        <w:rPr>
          <w:rFonts w:hint="eastAsia" w:ascii="仿宋_GB2312" w:hAnsi="仿宋_GB2312" w:eastAsia="仿宋_GB2312" w:cs="仿宋_GB2312"/>
          <w:sz w:val="32"/>
          <w:szCs w:val="32"/>
        </w:rPr>
        <w:t>联合审议</w:t>
      </w:r>
      <w:bookmarkEnd w:id="10"/>
      <w:r>
        <w:rPr>
          <w:rFonts w:hint="eastAsia" w:ascii="仿宋_GB2312" w:hAnsi="仿宋_GB2312" w:eastAsia="仿宋_GB2312" w:cs="仿宋_GB2312"/>
          <w:sz w:val="32"/>
          <w:szCs w:val="32"/>
        </w:rPr>
        <w:t>。市行业主管部门根据联合审议情况对《安全性自我声明》确认盖章。</w:t>
      </w:r>
    </w:p>
    <w:p>
      <w:pPr>
        <w:overflowPunct w:val="0"/>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黑体" w:eastAsia="仿宋_GB2312"/>
          <w:b/>
          <w:bCs/>
          <w:sz w:val="32"/>
          <w:szCs w:val="32"/>
        </w:rPr>
        <w:t>3.标识发放</w:t>
      </w:r>
      <w:r>
        <w:rPr>
          <w:rFonts w:hint="eastAsia" w:ascii="仿宋_GB2312" w:hAnsi="仿宋_GB2312" w:eastAsia="仿宋_GB2312" w:cs="仿宋_GB2312"/>
          <w:snapToGrid w:val="0"/>
          <w:color w:val="000000"/>
          <w:sz w:val="32"/>
          <w:szCs w:val="32"/>
        </w:rPr>
        <w:t>。联合审议通过的，申请主体向</w:t>
      </w:r>
      <w:bookmarkStart w:id="11" w:name="_Hlk188382408"/>
      <w:r>
        <w:rPr>
          <w:rFonts w:hint="eastAsia" w:ascii="仿宋_GB2312" w:hAnsi="仿宋_GB2312" w:eastAsia="仿宋_GB2312" w:cs="仿宋_GB2312"/>
          <w:snapToGrid w:val="0"/>
          <w:color w:val="000000"/>
          <w:sz w:val="32"/>
          <w:szCs w:val="32"/>
        </w:rPr>
        <w:t>市</w:t>
      </w:r>
      <w:r>
        <w:rPr>
          <w:rFonts w:hint="eastAsia" w:ascii="仿宋_GB2312" w:hAnsi="仿宋_GB2312" w:eastAsia="仿宋_GB2312" w:cs="仿宋_GB2312"/>
          <w:sz w:val="32"/>
          <w:szCs w:val="32"/>
        </w:rPr>
        <w:t>工业和信息化</w:t>
      </w:r>
      <w:r>
        <w:rPr>
          <w:rFonts w:hint="eastAsia" w:ascii="仿宋_GB2312" w:hAnsi="仿宋_GB2312" w:eastAsia="仿宋_GB2312" w:cs="仿宋_GB2312"/>
          <w:snapToGrid w:val="0"/>
          <w:color w:val="000000"/>
          <w:sz w:val="32"/>
          <w:szCs w:val="32"/>
        </w:rPr>
        <w:t>部门</w:t>
      </w:r>
      <w:bookmarkEnd w:id="11"/>
      <w:r>
        <w:rPr>
          <w:rFonts w:hint="eastAsia" w:ascii="仿宋_GB2312" w:hAnsi="仿宋_GB2312" w:eastAsia="仿宋_GB2312" w:cs="仿宋_GB2312"/>
          <w:snapToGrid w:val="0"/>
          <w:color w:val="000000"/>
          <w:sz w:val="32"/>
          <w:szCs w:val="32"/>
        </w:rPr>
        <w:t>申领与试点申请功能型无人车一一对应的车辆标识（样式详见附件5）。市</w:t>
      </w:r>
      <w:r>
        <w:rPr>
          <w:rFonts w:hint="eastAsia" w:ascii="仿宋_GB2312" w:hAnsi="仿宋_GB2312" w:eastAsia="仿宋_GB2312" w:cs="仿宋_GB2312"/>
          <w:sz w:val="32"/>
          <w:szCs w:val="32"/>
        </w:rPr>
        <w:t>工业和信息化</w:t>
      </w:r>
      <w:r>
        <w:rPr>
          <w:rFonts w:hint="eastAsia" w:ascii="仿宋_GB2312" w:hAnsi="仿宋_GB2312" w:eastAsia="仿宋_GB2312" w:cs="仿宋_GB2312"/>
          <w:snapToGrid w:val="0"/>
          <w:color w:val="000000"/>
          <w:sz w:val="32"/>
          <w:szCs w:val="32"/>
        </w:rPr>
        <w:t>部门可以委托第三方机构负责车辆标识的制作及发放。</w:t>
      </w:r>
    </w:p>
    <w:p>
      <w:pPr>
        <w:overflowPunct w:val="0"/>
        <w:spacing w:line="560" w:lineRule="exact"/>
        <w:ind w:firstLine="640" w:firstLineChars="200"/>
        <w:outlineLvl w:val="0"/>
        <w:rPr>
          <w:rFonts w:hint="eastAsia" w:ascii="黑体" w:hAnsi="黑体" w:eastAsia="黑体" w:cs="黑体"/>
          <w:bCs/>
          <w:snapToGrid w:val="0"/>
          <w:color w:val="000000"/>
          <w:sz w:val="32"/>
          <w:szCs w:val="32"/>
        </w:rPr>
      </w:pPr>
      <w:r>
        <w:rPr>
          <w:rFonts w:hint="eastAsia" w:ascii="黑体" w:hAnsi="黑体" w:eastAsia="黑体" w:cs="黑体"/>
          <w:bCs/>
          <w:snapToGrid w:val="0"/>
          <w:color w:val="000000"/>
          <w:sz w:val="32"/>
          <w:szCs w:val="32"/>
        </w:rPr>
        <w:t>五、试点要求</w:t>
      </w:r>
    </w:p>
    <w:p>
      <w:pPr>
        <w:snapToGrid w:val="0"/>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（一）试点主体应当严格按照已确认的运营试点方案，</w:t>
      </w:r>
      <w:bookmarkStart w:id="12" w:name="OLE_LINK1"/>
      <w:r>
        <w:rPr>
          <w:rFonts w:hint="eastAsia" w:ascii="仿宋_GB2312" w:hAnsi="仿宋_GB2312" w:eastAsia="仿宋_GB2312" w:cs="仿宋_GB2312"/>
          <w:snapToGrid w:val="0"/>
          <w:color w:val="000000"/>
          <w:sz w:val="32"/>
          <w:szCs w:val="32"/>
        </w:rPr>
        <w:t>使用取得车辆标识的功能型无人车在机动车道或者非机动车道开展运营试点活动</w:t>
      </w:r>
      <w:bookmarkEnd w:id="12"/>
      <w:r>
        <w:rPr>
          <w:rFonts w:hint="eastAsia" w:ascii="仿宋_GB2312" w:hAnsi="仿宋_GB2312" w:eastAsia="仿宋_GB2312" w:cs="仿宋_GB2312"/>
          <w:snapToGrid w:val="0"/>
          <w:color w:val="000000"/>
          <w:sz w:val="32"/>
          <w:szCs w:val="32"/>
        </w:rPr>
        <w:t>，遵守道路交通通行规则，保障道路交通安全。</w:t>
      </w:r>
    </w:p>
    <w:p>
      <w:pPr>
        <w:snapToGrid w:val="0"/>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（二）试点主体因业务需要，</w:t>
      </w:r>
      <w:bookmarkStart w:id="13" w:name="OLE_LINK10"/>
      <w:r>
        <w:rPr>
          <w:rFonts w:hint="eastAsia" w:ascii="仿宋_GB2312" w:hAnsi="仿宋_GB2312" w:eastAsia="仿宋_GB2312" w:cs="仿宋_GB2312"/>
          <w:snapToGrid w:val="0"/>
          <w:color w:val="000000"/>
          <w:sz w:val="32"/>
          <w:szCs w:val="32"/>
        </w:rPr>
        <w:t>拟申请新增车辆规模或试点区域道路的，应当按照本意见“四、申请条件及流程”的要求提交申请。</w:t>
      </w:r>
    </w:p>
    <w:bookmarkEnd w:id="13"/>
    <w:p>
      <w:pPr>
        <w:snapToGrid w:val="0"/>
        <w:spacing w:line="560" w:lineRule="exact"/>
        <w:ind w:firstLine="640"/>
        <w:rPr>
          <w:rFonts w:hint="eastAsia" w:ascii="仿宋_GB2312" w:hAnsi="仿宋" w:eastAsia="仿宋_GB2312"/>
          <w:bCs/>
          <w:sz w:val="32"/>
          <w:szCs w:val="32"/>
        </w:rPr>
      </w:pPr>
      <w:r>
        <w:rPr>
          <w:rFonts w:hint="eastAsia" w:ascii="仿宋_GB2312" w:hAnsi="仿宋_GB2312" w:eastAsia="仿宋_GB2312" w:cs="仿宋_GB2312"/>
          <w:snapToGrid w:val="0"/>
          <w:color w:val="000000"/>
          <w:sz w:val="32"/>
          <w:szCs w:val="32"/>
        </w:rPr>
        <w:t>（三）试点主体如需续期的，应当在</w:t>
      </w:r>
      <w:bookmarkStart w:id="14" w:name="_Hlk188373820"/>
      <w:r>
        <w:rPr>
          <w:rFonts w:hint="eastAsia" w:ascii="仿宋_GB2312" w:hAnsi="仿宋_GB2312" w:eastAsia="仿宋_GB2312" w:cs="仿宋_GB2312"/>
          <w:snapToGrid w:val="0"/>
          <w:color w:val="000000"/>
          <w:sz w:val="32"/>
          <w:szCs w:val="32"/>
        </w:rPr>
        <w:t>运营试点有效</w:t>
      </w:r>
      <w:r>
        <w:rPr>
          <w:rFonts w:hint="eastAsia" w:ascii="仿宋_GB2312" w:hAnsi="仿宋" w:eastAsia="仿宋_GB2312"/>
          <w:bCs/>
          <w:sz w:val="32"/>
          <w:szCs w:val="32"/>
        </w:rPr>
        <w:t>期满前15个工作日内</w:t>
      </w:r>
      <w:bookmarkEnd w:id="14"/>
      <w:r>
        <w:rPr>
          <w:rFonts w:hint="eastAsia" w:ascii="仿宋_GB2312" w:hAnsi="仿宋" w:eastAsia="仿宋_GB2312"/>
          <w:bCs/>
          <w:sz w:val="32"/>
          <w:szCs w:val="32"/>
        </w:rPr>
        <w:t>，</w:t>
      </w:r>
      <w:bookmarkStart w:id="15" w:name="_Hlk188373834"/>
      <w:r>
        <w:rPr>
          <w:rFonts w:hint="eastAsia" w:ascii="仿宋_GB2312" w:hAnsi="仿宋" w:eastAsia="仿宋_GB2312"/>
          <w:bCs/>
          <w:sz w:val="32"/>
          <w:szCs w:val="32"/>
        </w:rPr>
        <w:t>向</w:t>
      </w:r>
      <w:r>
        <w:rPr>
          <w:rFonts w:hint="eastAsia" w:ascii="仿宋_GB2312" w:hAnsi="仿宋_GB2312" w:eastAsia="仿宋_GB2312" w:cs="仿宋_GB2312"/>
          <w:snapToGrid w:val="0"/>
          <w:color w:val="000000"/>
          <w:sz w:val="32"/>
          <w:szCs w:val="32"/>
        </w:rPr>
        <w:t>市行业主管部门</w:t>
      </w:r>
      <w:r>
        <w:rPr>
          <w:rFonts w:hint="eastAsia" w:ascii="仿宋_GB2312" w:hAnsi="仿宋" w:eastAsia="仿宋_GB2312"/>
          <w:bCs/>
          <w:sz w:val="32"/>
          <w:szCs w:val="32"/>
        </w:rPr>
        <w:t>提交申请续期</w:t>
      </w:r>
      <w:bookmarkEnd w:id="15"/>
      <w:r>
        <w:rPr>
          <w:rFonts w:hint="eastAsia" w:ascii="仿宋_GB2312" w:hAnsi="仿宋" w:eastAsia="仿宋_GB2312"/>
          <w:bCs/>
          <w:sz w:val="32"/>
          <w:szCs w:val="32"/>
        </w:rPr>
        <w:t>。</w:t>
      </w:r>
    </w:p>
    <w:p>
      <w:pPr>
        <w:snapToGrid w:val="0"/>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（四）试点主体通过租赁车辆开展相关活动的，租赁期限应当大于运营试点有效期。</w:t>
      </w:r>
    </w:p>
    <w:p>
      <w:pPr>
        <w:snapToGrid w:val="0"/>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（五）试点主体</w:t>
      </w:r>
      <w:r>
        <w:rPr>
          <w:rFonts w:ascii="仿宋_GB2312" w:hAnsi="仿宋_GB2312" w:eastAsia="仿宋_GB2312" w:cs="仿宋_GB2312"/>
          <w:snapToGrid w:val="0"/>
          <w:color w:val="000000"/>
          <w:sz w:val="32"/>
          <w:szCs w:val="32"/>
        </w:rPr>
        <w:t>应当按照网络安全</w:t>
      </w:r>
      <w:r>
        <w:rPr>
          <w:rFonts w:hint="eastAsia" w:ascii="仿宋_GB2312" w:hAnsi="仿宋_GB2312" w:eastAsia="仿宋_GB2312" w:cs="仿宋_GB2312"/>
          <w:snapToGrid w:val="0"/>
          <w:color w:val="000000"/>
          <w:sz w:val="32"/>
          <w:szCs w:val="32"/>
        </w:rPr>
        <w:t>及数据安全</w:t>
      </w:r>
      <w:r>
        <w:rPr>
          <w:rFonts w:ascii="仿宋_GB2312" w:hAnsi="仿宋_GB2312" w:eastAsia="仿宋_GB2312" w:cs="仿宋_GB2312"/>
          <w:snapToGrid w:val="0"/>
          <w:color w:val="000000"/>
          <w:sz w:val="32"/>
          <w:szCs w:val="32"/>
        </w:rPr>
        <w:t>相关法律、法规的要求，建立网络安全管理制度，落实网络安全等级保护制度，提高网络安全保护水平</w:t>
      </w:r>
      <w:r>
        <w:rPr>
          <w:rFonts w:hint="eastAsia" w:ascii="仿宋_GB2312" w:hAnsi="仿宋_GB2312" w:eastAsia="仿宋_GB2312" w:cs="仿宋_GB2312"/>
          <w:snapToGrid w:val="0"/>
          <w:color w:val="000000"/>
          <w:sz w:val="32"/>
          <w:szCs w:val="32"/>
        </w:rPr>
        <w:t>；</w:t>
      </w:r>
      <w:r>
        <w:rPr>
          <w:rFonts w:ascii="仿宋_GB2312" w:hAnsi="仿宋_GB2312" w:eastAsia="仿宋_GB2312" w:cs="仿宋_GB2312"/>
          <w:snapToGrid w:val="0"/>
          <w:color w:val="000000"/>
          <w:sz w:val="32"/>
          <w:szCs w:val="32"/>
        </w:rPr>
        <w:t>建立健全数据安全和个人信息保护管理制度，落实数据安全和个人信息保护责任。发生或者可能发生涉及国家安全、个人信息等数据泄露、损毁、丢失等情况的，</w:t>
      </w:r>
      <w:r>
        <w:rPr>
          <w:rFonts w:hint="eastAsia" w:ascii="仿宋_GB2312" w:hAnsi="仿宋_GB2312" w:eastAsia="仿宋_GB2312" w:cs="仿宋_GB2312"/>
          <w:snapToGrid w:val="0"/>
          <w:color w:val="000000"/>
          <w:sz w:val="32"/>
          <w:szCs w:val="32"/>
        </w:rPr>
        <w:t>试点主体</w:t>
      </w:r>
      <w:r>
        <w:rPr>
          <w:rFonts w:ascii="仿宋_GB2312" w:hAnsi="仿宋_GB2312" w:eastAsia="仿宋_GB2312" w:cs="仿宋_GB2312"/>
          <w:snapToGrid w:val="0"/>
          <w:color w:val="000000"/>
          <w:sz w:val="32"/>
          <w:szCs w:val="32"/>
        </w:rPr>
        <w:t>应当立即采取补救措施，按照规定及时告知用户并向有关主管部门报告。</w:t>
      </w:r>
    </w:p>
    <w:p>
      <w:pPr>
        <w:snapToGrid w:val="0"/>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（六）试点主体应当根据功能型无人车投放规模及运营试点情况，优化调整服务运载工具，促进城市物流配送、环卫清洁等服务及作业提质增效。</w:t>
      </w:r>
      <w:bookmarkStart w:id="16" w:name="OLE_LINK7"/>
    </w:p>
    <w:p>
      <w:pPr>
        <w:snapToGrid w:val="0"/>
        <w:spacing w:line="560" w:lineRule="exact"/>
        <w:ind w:firstLine="640"/>
        <w:rPr>
          <w:rFonts w:hint="eastAsia" w:ascii="仿宋_GB2312" w:hAnsi="仿宋_GB2312" w:eastAsia="仿宋_GB2312" w:cs="仿宋_GB2312"/>
          <w:snapToGrid w:val="0"/>
          <w:color w:val="000000"/>
          <w:sz w:val="32"/>
          <w:szCs w:val="32"/>
        </w:rPr>
      </w:pPr>
      <w:r>
        <w:rPr>
          <w:rFonts w:hint="eastAsia" w:ascii="仿宋_GB2312" w:hAnsi="仿宋_GB2312" w:eastAsia="仿宋_GB2312" w:cs="仿宋_GB2312"/>
          <w:snapToGrid w:val="0"/>
          <w:color w:val="000000"/>
          <w:sz w:val="32"/>
          <w:szCs w:val="32"/>
        </w:rPr>
        <w:t>（七）车辆</w:t>
      </w:r>
      <w:r>
        <w:rPr>
          <w:rFonts w:ascii="仿宋_GB2312" w:hAnsi="仿宋_GB2312" w:eastAsia="仿宋_GB2312" w:cs="仿宋_GB2312"/>
          <w:snapToGrid w:val="0"/>
          <w:color w:val="000000"/>
          <w:sz w:val="32"/>
          <w:szCs w:val="32"/>
        </w:rPr>
        <w:t>在开展</w:t>
      </w:r>
      <w:r>
        <w:rPr>
          <w:rFonts w:hint="eastAsia" w:ascii="仿宋_GB2312" w:hAnsi="仿宋_GB2312" w:eastAsia="仿宋_GB2312" w:cs="仿宋_GB2312"/>
          <w:snapToGrid w:val="0"/>
          <w:color w:val="000000"/>
          <w:sz w:val="32"/>
          <w:szCs w:val="32"/>
        </w:rPr>
        <w:t>运营试点</w:t>
      </w:r>
      <w:r>
        <w:rPr>
          <w:rFonts w:ascii="仿宋_GB2312" w:hAnsi="仿宋_GB2312" w:eastAsia="仿宋_GB2312" w:cs="仿宋_GB2312"/>
          <w:snapToGrid w:val="0"/>
          <w:color w:val="000000"/>
          <w:sz w:val="32"/>
          <w:szCs w:val="32"/>
        </w:rPr>
        <w:t>期间发生交通事故的，</w:t>
      </w:r>
      <w:r>
        <w:rPr>
          <w:rFonts w:hint="eastAsia" w:ascii="仿宋_GB2312" w:hAnsi="仿宋_GB2312" w:eastAsia="仿宋_GB2312" w:cs="仿宋_GB2312"/>
          <w:snapToGrid w:val="0"/>
          <w:color w:val="000000"/>
          <w:sz w:val="32"/>
          <w:szCs w:val="32"/>
        </w:rPr>
        <w:t>试点</w:t>
      </w:r>
      <w:bookmarkEnd w:id="16"/>
      <w:r>
        <w:rPr>
          <w:rFonts w:hint="eastAsia" w:ascii="仿宋_GB2312" w:hAnsi="仿宋_GB2312" w:eastAsia="仿宋_GB2312" w:cs="仿宋_GB2312"/>
          <w:snapToGrid w:val="0"/>
          <w:color w:val="000000"/>
          <w:sz w:val="32"/>
          <w:szCs w:val="32"/>
        </w:rPr>
        <w:t>主体</w:t>
      </w:r>
      <w:r>
        <w:rPr>
          <w:rFonts w:ascii="仿宋_GB2312" w:hAnsi="仿宋_GB2312" w:eastAsia="仿宋_GB2312" w:cs="仿宋_GB2312"/>
          <w:snapToGrid w:val="0"/>
          <w:color w:val="000000"/>
          <w:sz w:val="32"/>
          <w:szCs w:val="32"/>
        </w:rPr>
        <w:t>应当立即暂停</w:t>
      </w:r>
      <w:r>
        <w:rPr>
          <w:rFonts w:hint="eastAsia" w:ascii="仿宋_GB2312" w:hAnsi="仿宋_GB2312" w:eastAsia="仿宋_GB2312" w:cs="仿宋_GB2312"/>
          <w:snapToGrid w:val="0"/>
          <w:color w:val="000000"/>
          <w:sz w:val="32"/>
          <w:szCs w:val="32"/>
        </w:rPr>
        <w:t>事故车辆</w:t>
      </w:r>
      <w:r>
        <w:rPr>
          <w:rFonts w:ascii="仿宋_GB2312" w:hAnsi="仿宋_GB2312" w:eastAsia="仿宋_GB2312" w:cs="仿宋_GB2312"/>
          <w:snapToGrid w:val="0"/>
          <w:color w:val="000000"/>
          <w:sz w:val="32"/>
          <w:szCs w:val="32"/>
        </w:rPr>
        <w:t>运行</w:t>
      </w:r>
      <w:r>
        <w:rPr>
          <w:rFonts w:hint="eastAsia" w:ascii="仿宋_GB2312" w:hAnsi="仿宋_GB2312" w:eastAsia="仿宋_GB2312" w:cs="仿宋_GB2312"/>
          <w:snapToGrid w:val="0"/>
          <w:color w:val="000000"/>
          <w:sz w:val="32"/>
          <w:szCs w:val="32"/>
        </w:rPr>
        <w:t>、</w:t>
      </w:r>
      <w:r>
        <w:rPr>
          <w:rFonts w:ascii="仿宋_GB2312" w:hAnsi="仿宋_GB2312" w:eastAsia="仿宋_GB2312" w:cs="仿宋_GB2312"/>
          <w:snapToGrid w:val="0"/>
          <w:color w:val="000000"/>
          <w:sz w:val="32"/>
          <w:szCs w:val="32"/>
        </w:rPr>
        <w:t>报警并派员现场处置</w:t>
      </w:r>
      <w:r>
        <w:rPr>
          <w:rFonts w:hint="eastAsia" w:ascii="仿宋_GB2312" w:hAnsi="仿宋_GB2312" w:eastAsia="仿宋_GB2312" w:cs="仿宋_GB2312"/>
          <w:snapToGrid w:val="0"/>
          <w:color w:val="000000"/>
          <w:sz w:val="32"/>
          <w:szCs w:val="32"/>
        </w:rPr>
        <w:t>，主动配合市行业主管部门事故调查、责任认定等工作。并将事故发生前后的视频信息提交并形成事故分析报告，报市相关行业主管、公安交警等部门以及相关区政府备案</w:t>
      </w:r>
      <w:r>
        <w:rPr>
          <w:rFonts w:ascii="仿宋_GB2312" w:hAnsi="仿宋_GB2312" w:eastAsia="仿宋_GB2312" w:cs="仿宋_GB2312"/>
          <w:snapToGrid w:val="0"/>
          <w:color w:val="000000"/>
          <w:sz w:val="32"/>
          <w:szCs w:val="32"/>
        </w:rPr>
        <w:t>。</w:t>
      </w:r>
    </w:p>
    <w:p>
      <w:pPr>
        <w:snapToGrid w:val="0"/>
        <w:spacing w:line="560" w:lineRule="exact"/>
        <w:ind w:firstLine="640"/>
        <w:rPr>
          <w:rFonts w:hint="eastAsia" w:ascii="仿宋_GB2312" w:hAnsi="仿宋_GB2312" w:eastAsia="仿宋_GB2312" w:cs="仿宋_GB2312"/>
          <w:snapToGrid w:val="0"/>
          <w:color w:val="000000"/>
          <w:sz w:val="32"/>
          <w:szCs w:val="32"/>
        </w:rPr>
      </w:pPr>
      <w:bookmarkStart w:id="17" w:name="_Toc103169794"/>
      <w:r>
        <w:rPr>
          <w:rFonts w:hint="eastAsia" w:ascii="仿宋_GB2312" w:hAnsi="仿宋_GB2312" w:eastAsia="仿宋_GB2312" w:cs="仿宋_GB2312"/>
          <w:snapToGrid w:val="0"/>
          <w:color w:val="000000"/>
          <w:sz w:val="32"/>
          <w:szCs w:val="32"/>
        </w:rPr>
        <w:t>（八）如试点主体</w:t>
      </w:r>
      <w:bookmarkStart w:id="18" w:name="_Hlk188373990"/>
      <w:r>
        <w:rPr>
          <w:rFonts w:hint="eastAsia" w:ascii="仿宋_GB2312" w:hAnsi="仿宋_GB2312" w:eastAsia="仿宋_GB2312" w:cs="仿宋_GB2312"/>
          <w:snapToGrid w:val="0"/>
          <w:color w:val="000000"/>
          <w:sz w:val="32"/>
          <w:szCs w:val="32"/>
        </w:rPr>
        <w:t>存在严重违规行为、发生</w:t>
      </w:r>
      <w:r>
        <w:rPr>
          <w:rFonts w:ascii="仿宋_GB2312" w:hAnsi="仿宋_GB2312" w:eastAsia="仿宋_GB2312" w:cs="仿宋_GB2312"/>
          <w:snapToGrid w:val="0"/>
          <w:color w:val="000000"/>
          <w:sz w:val="32"/>
          <w:szCs w:val="32"/>
        </w:rPr>
        <w:t>致人死亡</w:t>
      </w:r>
      <w:r>
        <w:rPr>
          <w:rFonts w:hint="eastAsia" w:ascii="仿宋_GB2312" w:hAnsi="仿宋_GB2312" w:eastAsia="仿宋_GB2312" w:cs="仿宋_GB2312"/>
          <w:snapToGrid w:val="0"/>
          <w:color w:val="000000"/>
          <w:sz w:val="32"/>
          <w:szCs w:val="32"/>
        </w:rPr>
        <w:t>责任</w:t>
      </w:r>
      <w:r>
        <w:rPr>
          <w:rFonts w:ascii="仿宋_GB2312" w:hAnsi="仿宋_GB2312" w:eastAsia="仿宋_GB2312" w:cs="仿宋_GB2312"/>
          <w:snapToGrid w:val="0"/>
          <w:color w:val="000000"/>
          <w:sz w:val="32"/>
          <w:szCs w:val="32"/>
        </w:rPr>
        <w:t>交通事故</w:t>
      </w:r>
      <w:bookmarkEnd w:id="18"/>
      <w:r>
        <w:rPr>
          <w:rFonts w:hint="eastAsia" w:ascii="仿宋_GB2312" w:hAnsi="仿宋_GB2312" w:eastAsia="仿宋_GB2312" w:cs="仿宋_GB2312"/>
          <w:snapToGrid w:val="0"/>
          <w:color w:val="000000"/>
          <w:sz w:val="32"/>
          <w:szCs w:val="32"/>
        </w:rPr>
        <w:t>，或者</w:t>
      </w:r>
      <w:r>
        <w:rPr>
          <w:rFonts w:ascii="仿宋_GB2312" w:hAnsi="仿宋_GB2312" w:eastAsia="仿宋_GB2312" w:cs="仿宋_GB2312"/>
          <w:snapToGrid w:val="0"/>
          <w:color w:val="000000"/>
          <w:sz w:val="32"/>
          <w:szCs w:val="32"/>
        </w:rPr>
        <w:t>出现其他可能会对国家安全、公共安全、人身财产安全造成</w:t>
      </w:r>
      <w:r>
        <w:rPr>
          <w:rFonts w:hint="eastAsia" w:ascii="仿宋_GB2312" w:hAnsi="仿宋_GB2312" w:eastAsia="仿宋_GB2312" w:cs="仿宋_GB2312"/>
          <w:snapToGrid w:val="0"/>
          <w:color w:val="000000"/>
          <w:sz w:val="32"/>
          <w:szCs w:val="32"/>
        </w:rPr>
        <w:t>重大</w:t>
      </w:r>
      <w:r>
        <w:rPr>
          <w:rFonts w:ascii="仿宋_GB2312" w:hAnsi="仿宋_GB2312" w:eastAsia="仿宋_GB2312" w:cs="仿宋_GB2312"/>
          <w:snapToGrid w:val="0"/>
          <w:color w:val="000000"/>
          <w:sz w:val="32"/>
          <w:szCs w:val="32"/>
        </w:rPr>
        <w:t>危害</w:t>
      </w:r>
      <w:r>
        <w:rPr>
          <w:rFonts w:hint="eastAsia" w:ascii="仿宋_GB2312" w:hAnsi="仿宋_GB2312" w:eastAsia="仿宋_GB2312" w:cs="仿宋_GB2312"/>
          <w:snapToGrid w:val="0"/>
          <w:color w:val="000000"/>
          <w:sz w:val="32"/>
          <w:szCs w:val="32"/>
        </w:rPr>
        <w:t>的</w:t>
      </w:r>
      <w:r>
        <w:rPr>
          <w:rFonts w:ascii="仿宋_GB2312" w:hAnsi="仿宋_GB2312" w:eastAsia="仿宋_GB2312" w:cs="仿宋_GB2312"/>
          <w:snapToGrid w:val="0"/>
          <w:color w:val="000000"/>
          <w:sz w:val="32"/>
          <w:szCs w:val="32"/>
        </w:rPr>
        <w:t>情形的</w:t>
      </w:r>
      <w:r>
        <w:rPr>
          <w:rFonts w:hint="eastAsia" w:ascii="仿宋_GB2312" w:hAnsi="仿宋_GB2312" w:eastAsia="仿宋_GB2312" w:cs="仿宋_GB2312"/>
          <w:snapToGrid w:val="0"/>
          <w:color w:val="000000"/>
          <w:sz w:val="32"/>
          <w:szCs w:val="32"/>
        </w:rPr>
        <w:t>，市行业主管部门</w:t>
      </w:r>
      <w:r>
        <w:rPr>
          <w:rFonts w:ascii="仿宋_GB2312" w:hAnsi="仿宋_GB2312" w:eastAsia="仿宋_GB2312" w:cs="仿宋_GB2312"/>
          <w:snapToGrid w:val="0"/>
          <w:color w:val="000000"/>
          <w:sz w:val="32"/>
          <w:szCs w:val="32"/>
        </w:rPr>
        <w:t>应</w:t>
      </w:r>
      <w:r>
        <w:rPr>
          <w:rFonts w:hint="eastAsia" w:ascii="仿宋_GB2312" w:hAnsi="仿宋_GB2312" w:eastAsia="仿宋_GB2312" w:cs="仿宋_GB2312"/>
          <w:snapToGrid w:val="0"/>
          <w:color w:val="000000"/>
          <w:sz w:val="32"/>
          <w:szCs w:val="32"/>
        </w:rPr>
        <w:t>当立即暂停或者终止该试点主体的试点活动。由市公安交警部门会同市行业主管部门组织开展深度调查，查找安全隐患和管理漏洞，推动问题整改，构成犯罪的，依法追究相关责任人刑事责任。</w:t>
      </w:r>
    </w:p>
    <w:p>
      <w:pPr>
        <w:overflowPunct w:val="0"/>
        <w:spacing w:line="560" w:lineRule="exact"/>
        <w:ind w:firstLine="640" w:firstLineChars="200"/>
        <w:outlineLvl w:val="0"/>
        <w:rPr>
          <w:rFonts w:hint="eastAsia" w:ascii="黑体" w:hAnsi="黑体" w:eastAsia="黑体" w:cs="黑体"/>
          <w:bCs/>
          <w:snapToGrid w:val="0"/>
          <w:color w:val="000000"/>
          <w:sz w:val="32"/>
          <w:szCs w:val="32"/>
        </w:rPr>
      </w:pPr>
      <w:r>
        <w:rPr>
          <w:rFonts w:hint="eastAsia" w:ascii="黑体" w:hAnsi="黑体" w:eastAsia="黑体" w:cs="黑体"/>
          <w:bCs/>
          <w:snapToGrid w:val="0"/>
          <w:color w:val="000000"/>
          <w:sz w:val="32"/>
          <w:szCs w:val="32"/>
        </w:rPr>
        <w:t>六、保障</w:t>
      </w:r>
      <w:bookmarkEnd w:id="17"/>
      <w:r>
        <w:rPr>
          <w:rFonts w:hint="eastAsia" w:ascii="黑体" w:hAnsi="黑体" w:eastAsia="黑体" w:cs="黑体"/>
          <w:bCs/>
          <w:snapToGrid w:val="0"/>
          <w:color w:val="000000"/>
          <w:sz w:val="32"/>
          <w:szCs w:val="32"/>
        </w:rPr>
        <w:t>措施</w:t>
      </w:r>
    </w:p>
    <w:p>
      <w:pPr>
        <w:overflowPunct w:val="0"/>
        <w:spacing w:line="560" w:lineRule="exact"/>
        <w:ind w:firstLine="64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（一）加强市区协同。</w:t>
      </w:r>
      <w:r>
        <w:rPr>
          <w:rFonts w:hint="eastAsia" w:ascii="仿宋_GB2312" w:hAnsi="仿宋_GB2312" w:eastAsia="仿宋_GB2312" w:cs="仿宋_GB2312"/>
          <w:snapToGrid w:val="0"/>
          <w:color w:val="000000"/>
          <w:sz w:val="32"/>
          <w:szCs w:val="32"/>
        </w:rPr>
        <w:t>建立市、区协同管理机制，各区政府</w:t>
      </w:r>
      <w:r>
        <w:rPr>
          <w:rFonts w:hint="eastAsia" w:ascii="仿宋_GB2312" w:hAnsi="仿宋_GB2312" w:eastAsia="仿宋_GB2312" w:cs="仿宋_GB2312"/>
          <w:sz w:val="32"/>
          <w:szCs w:val="32"/>
        </w:rPr>
        <w:t>依据本意见</w:t>
      </w:r>
      <w:bookmarkStart w:id="19" w:name="_Hlk174440049"/>
      <w:r>
        <w:rPr>
          <w:rFonts w:hint="eastAsia" w:ascii="仿宋_GB2312" w:hAnsi="仿宋_GB2312" w:eastAsia="仿宋_GB2312" w:cs="仿宋_GB2312"/>
          <w:sz w:val="32"/>
          <w:szCs w:val="32"/>
        </w:rPr>
        <w:t>规定，结合工作实际，制定功能型无人车安全应急、产业发展等管理政策，支撑辖区内功能型无人车运营试点活动的日常管理</w:t>
      </w:r>
      <w:bookmarkEnd w:id="19"/>
      <w:r>
        <w:rPr>
          <w:rFonts w:hint="eastAsia" w:ascii="仿宋_GB2312" w:hAnsi="仿宋_GB2312" w:eastAsia="仿宋_GB2312" w:cs="仿宋_GB2312"/>
          <w:sz w:val="32"/>
          <w:szCs w:val="32"/>
        </w:rPr>
        <w:t>及发展。本意见实施前已在各区开展无人物流配送、无人环卫清扫等应用试点的，申请主体应当按照本意见管理规定，自本意见生效起三个月内提交申请材料并重新获取车辆标识。</w:t>
      </w:r>
    </w:p>
    <w:p>
      <w:pPr>
        <w:overflowPunct w:val="0"/>
        <w:spacing w:line="560" w:lineRule="exact"/>
        <w:ind w:firstLine="64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（二）加强动态评估。</w:t>
      </w:r>
      <w:r>
        <w:rPr>
          <w:rFonts w:hint="eastAsia" w:ascii="仿宋_GB2312" w:hAnsi="仿宋" w:eastAsia="仿宋_GB2312"/>
          <w:bCs/>
          <w:sz w:val="32"/>
          <w:szCs w:val="32"/>
        </w:rPr>
        <w:t>市各行业主管部门每三个月对功能型无人车运营试点工作进行动态评估，并将试点情况报</w:t>
      </w:r>
      <w:r>
        <w:rPr>
          <w:rFonts w:hint="eastAsia" w:ascii="仿宋_GB2312" w:hAnsi="仿宋_GB2312" w:eastAsia="仿宋_GB2312" w:cs="仿宋_GB2312"/>
          <w:sz w:val="32"/>
          <w:szCs w:val="32"/>
        </w:rPr>
        <w:t>市工业和信息化部门</w:t>
      </w:r>
      <w:r>
        <w:rPr>
          <w:rFonts w:hint="eastAsia" w:ascii="仿宋_GB2312" w:hAnsi="仿宋" w:eastAsia="仿宋_GB2312"/>
          <w:bCs/>
          <w:sz w:val="32"/>
          <w:szCs w:val="32"/>
        </w:rPr>
        <w:t>；</w:t>
      </w:r>
      <w:bookmarkStart w:id="20" w:name="_Hlk188382516"/>
      <w:r>
        <w:rPr>
          <w:rFonts w:hint="eastAsia" w:ascii="仿宋_GB2312" w:hAnsi="仿宋_GB2312" w:eastAsia="仿宋_GB2312" w:cs="仿宋_GB2312"/>
          <w:sz w:val="32"/>
          <w:szCs w:val="32"/>
        </w:rPr>
        <w:t>市工业和信息化部门</w:t>
      </w:r>
      <w:bookmarkEnd w:id="20"/>
      <w:r>
        <w:rPr>
          <w:rFonts w:hint="eastAsia" w:ascii="仿宋_GB2312" w:hAnsi="仿宋" w:eastAsia="仿宋_GB2312"/>
          <w:bCs/>
          <w:sz w:val="32"/>
          <w:szCs w:val="32"/>
        </w:rPr>
        <w:t>结合评估情况，会同市交通运输等部门动态调整试点车辆规模，并适时优化管理机制或相关管理措施。</w:t>
      </w:r>
    </w:p>
    <w:p>
      <w:pPr>
        <w:snapToGrid w:val="0"/>
        <w:spacing w:line="560" w:lineRule="exact"/>
        <w:ind w:firstLine="640"/>
        <w:rPr>
          <w:rFonts w:hint="eastAsia" w:ascii="仿宋_GB2312" w:hAnsi="仿宋_GB2312" w:eastAsia="仿宋_GB2312" w:cs="仿宋_GB2312"/>
          <w:snapToGrid w:val="0"/>
          <w:color w:val="000000"/>
          <w:sz w:val="32"/>
          <w:szCs w:val="32"/>
        </w:rPr>
      </w:pPr>
      <w:r>
        <w:rPr>
          <w:rFonts w:hint="eastAsia" w:ascii="楷体_GB2312" w:hAnsi="楷体_GB2312" w:eastAsia="楷体_GB2312" w:cs="楷体_GB2312"/>
          <w:sz w:val="32"/>
          <w:szCs w:val="32"/>
        </w:rPr>
        <w:t>（三）加强安全保障。</w:t>
      </w:r>
      <w:r>
        <w:rPr>
          <w:rFonts w:hint="eastAsia" w:ascii="仿宋_GB2312" w:hAnsi="仿宋" w:eastAsia="仿宋_GB2312"/>
          <w:bCs/>
          <w:sz w:val="32"/>
          <w:szCs w:val="32"/>
        </w:rPr>
        <w:t>市行业主管部门</w:t>
      </w:r>
      <w:r>
        <w:rPr>
          <w:rFonts w:hint="eastAsia" w:ascii="仿宋_GB2312" w:hAnsi="仿宋_GB2312" w:eastAsia="仿宋_GB2312" w:cs="仿宋_GB2312"/>
          <w:snapToGrid w:val="0"/>
          <w:color w:val="000000"/>
          <w:sz w:val="32"/>
          <w:szCs w:val="32"/>
        </w:rPr>
        <w:t>通过多种方式向社会公布行业功能型无人车运行范围、时间及安全注意事项等信息，</w:t>
      </w:r>
      <w:r>
        <w:rPr>
          <w:rFonts w:hint="eastAsia" w:ascii="仿宋_GB2312" w:hAnsi="仿宋" w:eastAsia="仿宋_GB2312"/>
          <w:bCs/>
          <w:sz w:val="32"/>
          <w:szCs w:val="32"/>
        </w:rPr>
        <w:t>合理设置停放站点、标志标识，确保道路交通运行通畅有序，保障道路交通安全。</w:t>
      </w:r>
    </w:p>
    <w:p>
      <w:pPr>
        <w:overflowPunct w:val="0"/>
        <w:spacing w:line="560" w:lineRule="exact"/>
        <w:ind w:firstLine="640" w:firstLineChars="200"/>
        <w:rPr>
          <w:rFonts w:hint="eastAsia" w:ascii="仿宋_GB2312" w:hAnsi="仿宋" w:eastAsia="仿宋_GB2312"/>
          <w:bCs/>
          <w:sz w:val="32"/>
          <w:szCs w:val="32"/>
        </w:rPr>
      </w:pPr>
      <w:r>
        <w:rPr>
          <w:rFonts w:hint="eastAsia" w:ascii="楷体_GB2312" w:hAnsi="楷体_GB2312" w:eastAsia="楷体_GB2312" w:cs="楷体_GB2312"/>
          <w:sz w:val="32"/>
          <w:szCs w:val="32"/>
        </w:rPr>
        <w:t>（四）加强宣传推广。</w:t>
      </w:r>
      <w:bookmarkStart w:id="21" w:name="_Hlk188374372"/>
      <w:r>
        <w:rPr>
          <w:rFonts w:hint="eastAsia" w:ascii="仿宋_GB2312" w:hAnsi="仿宋" w:eastAsia="仿宋_GB2312"/>
          <w:bCs/>
          <w:sz w:val="32"/>
          <w:szCs w:val="32"/>
        </w:rPr>
        <w:t>全方位、多渠道</w:t>
      </w:r>
      <w:bookmarkEnd w:id="21"/>
      <w:r>
        <w:rPr>
          <w:rFonts w:hint="eastAsia" w:ascii="仿宋_GB2312" w:hAnsi="仿宋" w:eastAsia="仿宋_GB2312"/>
          <w:bCs/>
          <w:sz w:val="32"/>
          <w:szCs w:val="32"/>
        </w:rPr>
        <w:t>加强对功能型无人车技术的公众教育和普及工作，为全市功能型无人车应用发展营造良好的舆论氛围。</w:t>
      </w:r>
    </w:p>
    <w:bookmarkEnd w:id="1"/>
    <w:p>
      <w:pPr>
        <w:overflowPunct w:val="0"/>
        <w:spacing w:line="560" w:lineRule="exact"/>
        <w:ind w:firstLine="640" w:firstLineChars="200"/>
        <w:outlineLvl w:val="0"/>
        <w:rPr>
          <w:rFonts w:hint="eastAsia" w:ascii="黑体" w:hAnsi="黑体" w:eastAsia="黑体" w:cs="黑体"/>
          <w:bCs/>
          <w:snapToGrid w:val="0"/>
          <w:color w:val="000000"/>
          <w:sz w:val="32"/>
          <w:szCs w:val="32"/>
        </w:rPr>
      </w:pPr>
      <w:r>
        <w:rPr>
          <w:rFonts w:hint="eastAsia" w:ascii="黑体" w:hAnsi="黑体" w:eastAsia="黑体" w:cs="黑体"/>
          <w:bCs/>
          <w:snapToGrid w:val="0"/>
          <w:color w:val="000000"/>
          <w:sz w:val="32"/>
          <w:szCs w:val="32"/>
        </w:rPr>
        <w:t>七、附则</w:t>
      </w:r>
    </w:p>
    <w:p>
      <w:pPr>
        <w:overflowPunct w:val="0"/>
        <w:spacing w:line="560" w:lineRule="exact"/>
        <w:ind w:firstLine="640" w:firstLineChars="200"/>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（一）本意见自XXXX年XX月XX日起实施，有效期三年。</w:t>
      </w:r>
    </w:p>
    <w:p>
      <w:pPr>
        <w:spacing w:line="560" w:lineRule="exact"/>
        <w:ind w:firstLine="640" w:firstLineChars="200"/>
        <w:rPr>
          <w:rFonts w:ascii="仿宋_GB2312" w:hAnsi="Times New Roman" w:eastAsia="仿宋_GB2312"/>
          <w:sz w:val="32"/>
          <w:szCs w:val="32"/>
        </w:rPr>
      </w:pPr>
      <w:r>
        <w:rPr>
          <w:rFonts w:hint="eastAsia" w:ascii="仿宋_GB2312" w:hAnsi="仿宋_GB2312" w:eastAsia="仿宋_GB2312" w:cs="仿宋_GB2312"/>
          <w:snapToGrid w:val="0"/>
          <w:sz w:val="32"/>
          <w:szCs w:val="32"/>
        </w:rPr>
        <w:t>（二）在公</w:t>
      </w:r>
      <w:r>
        <w:rPr>
          <w:rFonts w:hint="eastAsia" w:ascii="仿宋_GB2312" w:hAnsi="Times New Roman" w:eastAsia="仿宋_GB2312"/>
          <w:sz w:val="32"/>
          <w:szCs w:val="32"/>
        </w:rPr>
        <w:t>园、广场、工业园区、产业园区、会展中心、体育场馆、绿道、碧道等相对独立的区域开展服务或者作业的功能型无人车，无需按照本意见进行申请，具体规定由相关行业主管部门另行制定。</w:t>
      </w:r>
    </w:p>
    <w:p>
      <w:pPr>
        <w:spacing w:line="560" w:lineRule="exact"/>
        <w:ind w:firstLine="640" w:firstLineChars="200"/>
        <w:rPr>
          <w:rFonts w:hint="eastAsia" w:ascii="仿宋_GB2312" w:hAnsi="仿宋" w:eastAsia="仿宋_GB2312" w:cs="宋体"/>
          <w:sz w:val="32"/>
          <w:szCs w:val="32"/>
        </w:rPr>
      </w:pPr>
    </w:p>
    <w:p>
      <w:pPr>
        <w:spacing w:line="56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附件：1.功能型无人车运营服务能力报告</w:t>
      </w:r>
    </w:p>
    <w:p>
      <w:pPr>
        <w:spacing w:line="560" w:lineRule="exact"/>
        <w:ind w:firstLine="1600" w:firstLineChars="500"/>
        <w:rPr>
          <w:rFonts w:hint="eastAsia" w:ascii="仿宋_GB2312" w:hAnsi="仿宋" w:eastAsia="仿宋_GB2312" w:cs="宋体"/>
          <w:sz w:val="32"/>
          <w:szCs w:val="32"/>
        </w:rPr>
      </w:pPr>
      <w:r>
        <w:rPr>
          <w:rFonts w:hint="eastAsia" w:ascii="仿宋_GB2312" w:hAnsi="仿宋" w:eastAsia="仿宋_GB2312" w:cs="宋体"/>
          <w:sz w:val="32"/>
          <w:szCs w:val="32"/>
        </w:rPr>
        <w:t>2.功能型无人车运营试点方案</w:t>
      </w:r>
    </w:p>
    <w:p>
      <w:pPr>
        <w:spacing w:line="560" w:lineRule="exact"/>
        <w:ind w:firstLine="1600" w:firstLineChars="500"/>
        <w:rPr>
          <w:rFonts w:hint="eastAsia" w:ascii="仿宋_GB2312" w:hAnsi="仿宋" w:eastAsia="仿宋_GB2312" w:cs="宋体"/>
          <w:sz w:val="32"/>
          <w:szCs w:val="32"/>
        </w:rPr>
      </w:pPr>
      <w:r>
        <w:rPr>
          <w:rFonts w:hint="eastAsia" w:ascii="仿宋_GB2312" w:hAnsi="仿宋" w:eastAsia="仿宋_GB2312" w:cs="宋体"/>
          <w:sz w:val="32"/>
          <w:szCs w:val="32"/>
        </w:rPr>
        <w:t>3.功能型无人车自动驾驶功能检测项目</w:t>
      </w:r>
    </w:p>
    <w:p>
      <w:pPr>
        <w:spacing w:line="560" w:lineRule="exact"/>
        <w:ind w:firstLine="1600" w:firstLineChars="500"/>
        <w:rPr>
          <w:rFonts w:hint="eastAsia" w:ascii="仿宋_GB2312" w:hAnsi="仿宋" w:eastAsia="仿宋_GB2312" w:cs="宋体"/>
          <w:sz w:val="32"/>
          <w:szCs w:val="32"/>
        </w:rPr>
      </w:pPr>
      <w:r>
        <w:rPr>
          <w:rFonts w:hint="eastAsia" w:ascii="仿宋_GB2312" w:hAnsi="仿宋" w:eastAsia="仿宋_GB2312" w:cs="宋体"/>
          <w:sz w:val="32"/>
          <w:szCs w:val="32"/>
        </w:rPr>
        <w:t>4.功能型无人车运营试点安全性自我声明</w:t>
      </w:r>
    </w:p>
    <w:p>
      <w:pPr>
        <w:spacing w:line="56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 xml:space="preserve">      5.功能型无人车车辆标识样式</w:t>
      </w:r>
    </w:p>
    <w:p>
      <w:pPr>
        <w:overflowPunct w:val="0"/>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p>
    <w:p>
      <w:pPr>
        <w:rPr>
          <w:rFonts w:hint="eastAsia" w:ascii="仿宋_GB2312" w:hAnsi="仿宋" w:eastAsia="仿宋_GB2312" w:cs="宋体"/>
          <w:sz w:val="32"/>
          <w:szCs w:val="32"/>
        </w:rPr>
        <w:sectPr>
          <w:headerReference r:id="rId5" w:type="default"/>
          <w:footerReference r:id="rId6" w:type="default"/>
          <w:pgSz w:w="11906" w:h="16838"/>
          <w:pgMar w:top="1814" w:right="1474" w:bottom="1814" w:left="1474" w:header="720" w:footer="1568" w:gutter="0"/>
          <w:pgNumType w:fmt="numberInDash"/>
          <w:cols w:space="720" w:num="1"/>
          <w:docGrid w:linePitch="326" w:charSpace="0"/>
        </w:sectPr>
      </w:pPr>
    </w:p>
    <w:p>
      <w:pPr>
        <w:spacing w:line="560" w:lineRule="exact"/>
        <w:jc w:val="left"/>
        <w:outlineLvl w:val="0"/>
        <w:rPr>
          <w:rFonts w:hint="eastAsia" w:ascii="黑体" w:hAnsi="黑体" w:eastAsia="黑体"/>
          <w:bCs/>
          <w:kern w:val="0"/>
          <w:sz w:val="32"/>
          <w:szCs w:val="44"/>
        </w:rPr>
      </w:pPr>
      <w:r>
        <w:rPr>
          <w:rFonts w:hint="eastAsia" w:ascii="黑体" w:hAnsi="黑体" w:eastAsia="黑体"/>
          <w:bCs/>
          <w:kern w:val="0"/>
          <w:sz w:val="32"/>
          <w:szCs w:val="44"/>
        </w:rPr>
        <w:t xml:space="preserve">附件1 </w:t>
      </w:r>
    </w:p>
    <w:p>
      <w:pPr>
        <w:spacing w:line="560" w:lineRule="exact"/>
        <w:ind w:firstLine="640"/>
        <w:rPr>
          <w:rFonts w:ascii="Times New Roman" w:hAnsi="Times New Roman" w:eastAsia="仿宋_GB2312"/>
          <w:sz w:val="32"/>
          <w:szCs w:val="32"/>
        </w:rPr>
      </w:pPr>
      <w:bookmarkStart w:id="22" w:name="_Toc178000879"/>
    </w:p>
    <w:p>
      <w:pPr>
        <w:spacing w:line="560" w:lineRule="exact"/>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功能型无人车运营服务能力报告</w:t>
      </w:r>
      <w:bookmarkEnd w:id="22"/>
    </w:p>
    <w:p>
      <w:pPr>
        <w:spacing w:line="560" w:lineRule="exact"/>
        <w:ind w:firstLine="640"/>
        <w:rPr>
          <w:rFonts w:ascii="Times New Roman" w:hAnsi="Times New Roman" w:eastAsia="仿宋_GB2312"/>
          <w:sz w:val="32"/>
          <w:szCs w:val="32"/>
        </w:rPr>
      </w:pPr>
    </w:p>
    <w:p>
      <w:pPr>
        <w:spacing w:line="560" w:lineRule="exact"/>
        <w:ind w:firstLine="640"/>
        <w:rPr>
          <w:rFonts w:hint="eastAsia" w:ascii="黑体" w:hAnsi="黑体" w:eastAsia="黑体"/>
          <w:sz w:val="32"/>
          <w:szCs w:val="32"/>
        </w:rPr>
      </w:pPr>
      <w:bookmarkStart w:id="23" w:name="_Toc178000880"/>
      <w:r>
        <w:rPr>
          <w:rFonts w:hint="eastAsia" w:ascii="黑体" w:hAnsi="黑体" w:eastAsia="黑体"/>
          <w:sz w:val="32"/>
          <w:szCs w:val="32"/>
        </w:rPr>
        <w:t>一、试点主体工商注册相关文件证明</w:t>
      </w:r>
      <w:bookmarkEnd w:id="23"/>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提供营业执照，加盖公章。</w:t>
      </w:r>
    </w:p>
    <w:p>
      <w:pPr>
        <w:spacing w:line="560" w:lineRule="exact"/>
        <w:ind w:firstLine="640"/>
        <w:rPr>
          <w:rFonts w:hint="eastAsia" w:ascii="黑体" w:hAnsi="黑体" w:eastAsia="黑体"/>
          <w:sz w:val="32"/>
          <w:szCs w:val="32"/>
        </w:rPr>
      </w:pPr>
      <w:bookmarkStart w:id="24" w:name="_Toc178000881"/>
      <w:r>
        <w:rPr>
          <w:rFonts w:hint="eastAsia" w:ascii="黑体" w:hAnsi="黑体" w:eastAsia="黑体"/>
          <w:sz w:val="32"/>
          <w:szCs w:val="32"/>
        </w:rPr>
        <w:t>二、申请主体</w:t>
      </w:r>
      <w:r>
        <w:rPr>
          <w:rFonts w:ascii="黑体" w:hAnsi="黑体" w:eastAsia="黑体"/>
          <w:sz w:val="32"/>
          <w:szCs w:val="32"/>
        </w:rPr>
        <w:t>情况介绍</w:t>
      </w:r>
      <w:bookmarkEnd w:id="24"/>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格式自拟，包括但不限申请主体技术团队介绍、主要成员履历、人员规模、车辆规模、发明专利、软著作等。</w:t>
      </w:r>
    </w:p>
    <w:p>
      <w:pPr>
        <w:spacing w:line="560" w:lineRule="exact"/>
        <w:ind w:firstLine="640"/>
        <w:rPr>
          <w:rFonts w:hint="eastAsia" w:ascii="黑体" w:hAnsi="黑体" w:eastAsia="黑体"/>
          <w:sz w:val="32"/>
          <w:szCs w:val="32"/>
        </w:rPr>
      </w:pPr>
      <w:bookmarkStart w:id="25" w:name="_Toc178000882"/>
      <w:r>
        <w:rPr>
          <w:rFonts w:hint="eastAsia" w:ascii="黑体" w:hAnsi="黑体" w:eastAsia="黑体"/>
          <w:sz w:val="32"/>
          <w:szCs w:val="32"/>
        </w:rPr>
        <w:t>三、申请主体在</w:t>
      </w:r>
      <w:r>
        <w:rPr>
          <w:rFonts w:ascii="黑体" w:hAnsi="黑体" w:eastAsia="黑体"/>
          <w:sz w:val="32"/>
          <w:szCs w:val="32"/>
        </w:rPr>
        <w:t>其他城市</w:t>
      </w:r>
      <w:r>
        <w:rPr>
          <w:rFonts w:hint="eastAsia" w:ascii="黑体" w:hAnsi="黑体" w:eastAsia="黑体"/>
          <w:sz w:val="32"/>
          <w:szCs w:val="32"/>
        </w:rPr>
        <w:t>、</w:t>
      </w:r>
      <w:r>
        <w:rPr>
          <w:rFonts w:ascii="黑体" w:hAnsi="黑体" w:eastAsia="黑体"/>
          <w:sz w:val="32"/>
          <w:szCs w:val="32"/>
        </w:rPr>
        <w:t>区域</w:t>
      </w:r>
      <w:r>
        <w:rPr>
          <w:rFonts w:hint="eastAsia" w:ascii="黑体" w:hAnsi="黑体" w:eastAsia="黑体"/>
          <w:sz w:val="32"/>
          <w:szCs w:val="32"/>
        </w:rPr>
        <w:t>开展的功能型无人车运营情况介绍及证明</w:t>
      </w:r>
      <w:bookmarkEnd w:id="25"/>
      <w:r>
        <w:rPr>
          <w:rFonts w:hint="eastAsia" w:ascii="黑体" w:hAnsi="黑体" w:eastAsia="黑体"/>
          <w:sz w:val="32"/>
          <w:szCs w:val="32"/>
        </w:rPr>
        <w:t>（若有）</w:t>
      </w:r>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详细</w:t>
      </w:r>
      <w:r>
        <w:rPr>
          <w:rFonts w:ascii="Times New Roman" w:hAnsi="Times New Roman" w:eastAsia="仿宋_GB2312"/>
          <w:sz w:val="32"/>
          <w:szCs w:val="32"/>
        </w:rPr>
        <w:t>介绍</w:t>
      </w:r>
      <w:r>
        <w:rPr>
          <w:rFonts w:hint="eastAsia" w:ascii="Times New Roman" w:hAnsi="Times New Roman" w:eastAsia="仿宋_GB2312"/>
          <w:sz w:val="32"/>
          <w:szCs w:val="32"/>
        </w:rPr>
        <w:t>在</w:t>
      </w:r>
      <w:r>
        <w:rPr>
          <w:rFonts w:ascii="Times New Roman" w:hAnsi="Times New Roman" w:eastAsia="仿宋_GB2312"/>
          <w:sz w:val="32"/>
          <w:szCs w:val="32"/>
        </w:rPr>
        <w:t>其他城市开展</w:t>
      </w:r>
      <w:r>
        <w:rPr>
          <w:rFonts w:hint="eastAsia" w:ascii="Times New Roman" w:hAnsi="Times New Roman" w:eastAsia="仿宋_GB2312"/>
          <w:sz w:val="32"/>
          <w:szCs w:val="32"/>
        </w:rPr>
        <w:t>运营的车辆</w:t>
      </w:r>
      <w:r>
        <w:rPr>
          <w:rFonts w:ascii="Times New Roman" w:hAnsi="Times New Roman" w:eastAsia="仿宋_GB2312"/>
          <w:sz w:val="32"/>
          <w:szCs w:val="32"/>
        </w:rPr>
        <w:t>数、里程数</w:t>
      </w:r>
      <w:r>
        <w:rPr>
          <w:rFonts w:hint="eastAsia" w:ascii="Times New Roman" w:hAnsi="Times New Roman" w:eastAsia="仿宋_GB2312"/>
          <w:sz w:val="32"/>
          <w:szCs w:val="32"/>
        </w:rPr>
        <w:t>等</w:t>
      </w:r>
      <w:r>
        <w:rPr>
          <w:rFonts w:ascii="Times New Roman" w:hAnsi="Times New Roman" w:eastAsia="仿宋_GB2312"/>
          <w:sz w:val="32"/>
          <w:szCs w:val="32"/>
        </w:rPr>
        <w:t>情况</w:t>
      </w:r>
      <w:r>
        <w:rPr>
          <w:rFonts w:hint="eastAsia" w:ascii="Times New Roman" w:hAnsi="Times New Roman" w:eastAsia="仿宋_GB2312"/>
          <w:sz w:val="32"/>
          <w:szCs w:val="32"/>
        </w:rPr>
        <w:t>，如获得牌照，需提供牌照信息，并对历史运营期间出现的异常行驶情况或交通事故（若有）相应情况进行说明。</w:t>
      </w:r>
    </w:p>
    <w:p>
      <w:pPr>
        <w:spacing w:line="560" w:lineRule="exact"/>
        <w:ind w:firstLine="640"/>
        <w:rPr>
          <w:rFonts w:hint="eastAsia" w:ascii="黑体" w:hAnsi="黑体" w:eastAsia="黑体"/>
          <w:sz w:val="32"/>
          <w:szCs w:val="32"/>
        </w:rPr>
      </w:pPr>
      <w:bookmarkStart w:id="26" w:name="_Toc178000883"/>
      <w:r>
        <w:rPr>
          <w:rFonts w:hint="eastAsia" w:ascii="黑体" w:hAnsi="黑体" w:eastAsia="黑体"/>
          <w:sz w:val="32"/>
          <w:szCs w:val="32"/>
        </w:rPr>
        <w:t>四、功能型无人车运营服务团队说明</w:t>
      </w:r>
      <w:bookmarkEnd w:id="26"/>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详细</w:t>
      </w:r>
      <w:r>
        <w:rPr>
          <w:rFonts w:ascii="Times New Roman" w:hAnsi="Times New Roman" w:eastAsia="仿宋_GB2312"/>
          <w:sz w:val="32"/>
          <w:szCs w:val="32"/>
        </w:rPr>
        <w:t>介绍</w:t>
      </w:r>
      <w:r>
        <w:rPr>
          <w:rFonts w:hint="eastAsia" w:ascii="Times New Roman" w:hAnsi="Times New Roman" w:eastAsia="仿宋_GB2312"/>
          <w:sz w:val="32"/>
          <w:szCs w:val="32"/>
        </w:rPr>
        <w:t>申请主体功能型无人车运营服务团队组成、职责、运营服务规范，其中，运营服务包括业务服务、车辆技术管理、远程监控等。</w:t>
      </w:r>
    </w:p>
    <w:p>
      <w:pPr>
        <w:spacing w:line="560" w:lineRule="exact"/>
        <w:ind w:firstLine="640"/>
        <w:rPr>
          <w:rFonts w:hint="eastAsia" w:ascii="黑体" w:hAnsi="黑体" w:eastAsia="黑体"/>
          <w:sz w:val="32"/>
          <w:szCs w:val="32"/>
        </w:rPr>
      </w:pPr>
      <w:bookmarkStart w:id="27" w:name="_Toc178000884"/>
      <w:r>
        <w:rPr>
          <w:rFonts w:hint="eastAsia" w:ascii="黑体" w:hAnsi="黑体" w:eastAsia="黑体"/>
          <w:sz w:val="32"/>
          <w:szCs w:val="32"/>
        </w:rPr>
        <w:t>五、功能型无人车安全保障团队说明</w:t>
      </w:r>
      <w:bookmarkEnd w:id="27"/>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详细介绍申请主体安全保障团队组成、职责、保障方案，其中，安全保障包括道路交通安全、网络及数据安全等。</w:t>
      </w:r>
    </w:p>
    <w:p>
      <w:pPr>
        <w:spacing w:line="560" w:lineRule="exact"/>
        <w:ind w:firstLine="640"/>
        <w:rPr>
          <w:rFonts w:hint="eastAsia" w:ascii="黑体" w:hAnsi="黑体" w:eastAsia="黑体"/>
          <w:sz w:val="32"/>
          <w:szCs w:val="32"/>
        </w:rPr>
      </w:pPr>
      <w:bookmarkStart w:id="28" w:name="_Toc178000885"/>
      <w:r>
        <w:rPr>
          <w:rFonts w:hint="eastAsia" w:ascii="黑体" w:hAnsi="黑体" w:eastAsia="黑体"/>
          <w:sz w:val="32"/>
          <w:szCs w:val="32"/>
        </w:rPr>
        <w:t>六、功能型无人车运营管理制度说明</w:t>
      </w:r>
      <w:bookmarkEnd w:id="28"/>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详细介绍申请主体安全生产制度、风险应对机制、应急处置机制、网络及数据安全保障制度、安全操作规程等。</w:t>
      </w:r>
    </w:p>
    <w:p>
      <w:pPr>
        <w:spacing w:line="560" w:lineRule="exact"/>
        <w:ind w:firstLine="640"/>
        <w:rPr>
          <w:rFonts w:hint="eastAsia" w:ascii="黑体" w:hAnsi="黑体" w:eastAsia="黑体"/>
          <w:sz w:val="32"/>
          <w:szCs w:val="32"/>
        </w:rPr>
      </w:pPr>
      <w:bookmarkStart w:id="29" w:name="_Toc178000886"/>
      <w:r>
        <w:rPr>
          <w:rFonts w:hint="eastAsia" w:ascii="黑体" w:hAnsi="黑体" w:eastAsia="黑体"/>
          <w:sz w:val="32"/>
          <w:szCs w:val="32"/>
        </w:rPr>
        <w:t>七、涉及公司的关系说明（若有）</w:t>
      </w:r>
      <w:bookmarkEnd w:id="29"/>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申请车辆所属、保险购买主体为申请主体母公司（子公司），或者安全员为申请主体母公司（子公司）员工的，补充两家公司关系证明，承诺发生事故后由申请主体承担相应责任，并加盖双方公司公章。禁止使用第三方外包服务。</w:t>
      </w:r>
    </w:p>
    <w:p>
      <w:pPr>
        <w:spacing w:line="560" w:lineRule="exact"/>
        <w:jc w:val="left"/>
        <w:outlineLvl w:val="0"/>
        <w:rPr>
          <w:rFonts w:hint="eastAsia" w:ascii="黑体" w:hAnsi="黑体" w:eastAsia="黑体"/>
          <w:bCs/>
          <w:kern w:val="0"/>
          <w:sz w:val="32"/>
          <w:szCs w:val="44"/>
        </w:rPr>
      </w:pPr>
      <w:r>
        <w:rPr>
          <w:rFonts w:ascii="Times New Roman" w:hAnsi="Times New Roman" w:eastAsia="仿宋_GB2312"/>
          <w:sz w:val="32"/>
          <w:szCs w:val="32"/>
        </w:rPr>
        <w:br w:type="page"/>
      </w:r>
      <w:r>
        <w:rPr>
          <w:rFonts w:hint="eastAsia" w:ascii="黑体" w:hAnsi="黑体" w:eastAsia="黑体"/>
          <w:bCs/>
          <w:kern w:val="0"/>
          <w:sz w:val="32"/>
          <w:szCs w:val="44"/>
        </w:rPr>
        <w:t>附件2</w:t>
      </w:r>
    </w:p>
    <w:p>
      <w:pPr>
        <w:spacing w:line="560" w:lineRule="exact"/>
        <w:jc w:val="center"/>
        <w:rPr>
          <w:rFonts w:hint="eastAsia" w:ascii="方正小标宋简体" w:hAnsi="方正小标宋简体" w:eastAsia="方正小标宋简体"/>
          <w:sz w:val="44"/>
          <w:szCs w:val="44"/>
        </w:rPr>
      </w:pPr>
    </w:p>
    <w:p>
      <w:pPr>
        <w:spacing w:line="560" w:lineRule="exact"/>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功能型无人车运营试点方案</w:t>
      </w:r>
    </w:p>
    <w:p>
      <w:pPr>
        <w:spacing w:line="560" w:lineRule="exact"/>
        <w:ind w:firstLine="640"/>
        <w:rPr>
          <w:rFonts w:ascii="Times New Roman" w:hAnsi="Times New Roman" w:eastAsia="仿宋_GB2312"/>
          <w:sz w:val="32"/>
          <w:szCs w:val="32"/>
        </w:rPr>
      </w:pPr>
      <w:bookmarkStart w:id="30" w:name="_Toc178000888"/>
    </w:p>
    <w:p>
      <w:pPr>
        <w:spacing w:line="560" w:lineRule="exact"/>
        <w:ind w:firstLine="640"/>
        <w:rPr>
          <w:rFonts w:hint="eastAsia" w:ascii="黑体" w:hAnsi="黑体" w:eastAsia="黑体"/>
          <w:sz w:val="32"/>
          <w:szCs w:val="32"/>
        </w:rPr>
      </w:pPr>
      <w:r>
        <w:rPr>
          <w:rFonts w:hint="eastAsia" w:ascii="黑体" w:hAnsi="黑体" w:eastAsia="黑体"/>
          <w:sz w:val="32"/>
          <w:szCs w:val="32"/>
        </w:rPr>
        <w:t>一、基本信息</w:t>
      </w:r>
      <w:bookmarkEnd w:id="30"/>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详细说明拟开展功能型无人车运营试点的车辆技术参数，至少包含车身长度、宽度、高度以及整备质量等。</w:t>
      </w:r>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详细说明拟申请开展功能型无人车运营试点的区域、路段、场景、时间、规模。</w:t>
      </w:r>
    </w:p>
    <w:p>
      <w:pPr>
        <w:spacing w:line="560" w:lineRule="exact"/>
        <w:ind w:firstLine="640"/>
        <w:rPr>
          <w:rFonts w:hint="eastAsia" w:ascii="黑体" w:hAnsi="黑体" w:eastAsia="黑体"/>
          <w:sz w:val="32"/>
          <w:szCs w:val="32"/>
        </w:rPr>
      </w:pPr>
      <w:bookmarkStart w:id="31" w:name="_Toc178000889"/>
      <w:r>
        <w:rPr>
          <w:rFonts w:hint="eastAsia" w:ascii="黑体" w:hAnsi="黑体" w:eastAsia="黑体"/>
          <w:sz w:val="32"/>
          <w:szCs w:val="32"/>
        </w:rPr>
        <w:t>二、车辆行驶规则</w:t>
      </w:r>
      <w:bookmarkEnd w:id="31"/>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详细说明车辆在各路段的行驶车道、运行速度及其他必要说明的通行规则。</w:t>
      </w:r>
    </w:p>
    <w:p>
      <w:pPr>
        <w:spacing w:line="560" w:lineRule="exact"/>
        <w:ind w:firstLine="640"/>
        <w:rPr>
          <w:rFonts w:hint="eastAsia" w:ascii="黑体" w:hAnsi="黑体" w:eastAsia="黑体"/>
          <w:sz w:val="32"/>
          <w:szCs w:val="32"/>
        </w:rPr>
      </w:pPr>
      <w:bookmarkStart w:id="32" w:name="_Toc178000890"/>
      <w:r>
        <w:rPr>
          <w:rFonts w:hint="eastAsia" w:ascii="黑体" w:hAnsi="黑体" w:eastAsia="黑体"/>
          <w:sz w:val="32"/>
          <w:szCs w:val="32"/>
        </w:rPr>
        <w:t>三、服务团队情况说明</w:t>
      </w:r>
      <w:bookmarkEnd w:id="32"/>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详细说明试点项目负责人、联系方式，以及试点开展期间负责运营服务、安全保障的团队情况，包括且不限于团队人员名单、职责分工、联系方式等。</w:t>
      </w:r>
    </w:p>
    <w:p>
      <w:pPr>
        <w:spacing w:line="560" w:lineRule="exact"/>
        <w:ind w:firstLine="640"/>
        <w:rPr>
          <w:rFonts w:hint="eastAsia" w:ascii="黑体" w:hAnsi="黑体" w:eastAsia="黑体"/>
          <w:sz w:val="32"/>
          <w:szCs w:val="32"/>
        </w:rPr>
      </w:pPr>
      <w:bookmarkStart w:id="33" w:name="_Toc178000891"/>
      <w:r>
        <w:rPr>
          <w:rFonts w:hint="eastAsia" w:ascii="黑体" w:hAnsi="黑体" w:eastAsia="黑体"/>
          <w:sz w:val="32"/>
          <w:szCs w:val="32"/>
        </w:rPr>
        <w:t>四、风险分析及应对措施</w:t>
      </w:r>
      <w:bookmarkEnd w:id="33"/>
    </w:p>
    <w:p>
      <w:pPr>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rPr>
        <w:t>风险包括但不限于功能型无人车在试点活动中突发交通事故、突遇极端天气、车辆失控等，需详细说明申请主体能够提供的有效措施以保障道路交通安全。</w:t>
      </w:r>
    </w:p>
    <w:p>
      <w:pPr>
        <w:spacing w:line="560" w:lineRule="exact"/>
        <w:jc w:val="left"/>
        <w:outlineLvl w:val="0"/>
        <w:rPr>
          <w:rFonts w:hint="eastAsia" w:ascii="黑体" w:hAnsi="黑体" w:eastAsia="黑体"/>
          <w:bCs/>
          <w:kern w:val="0"/>
          <w:sz w:val="32"/>
          <w:szCs w:val="44"/>
        </w:rPr>
      </w:pPr>
      <w:r>
        <w:rPr>
          <w:rFonts w:hint="eastAsia" w:ascii="黑体" w:hAnsi="黑体" w:eastAsia="黑体"/>
          <w:bCs/>
          <w:kern w:val="0"/>
          <w:sz w:val="32"/>
          <w:szCs w:val="44"/>
        </w:rPr>
        <w:br w:type="page"/>
      </w:r>
      <w:r>
        <w:rPr>
          <w:rFonts w:hint="eastAsia" w:ascii="黑体" w:hAnsi="黑体" w:eastAsia="黑体"/>
          <w:bCs/>
          <w:kern w:val="0"/>
          <w:sz w:val="32"/>
          <w:szCs w:val="44"/>
        </w:rPr>
        <w:t>附件</w:t>
      </w:r>
      <w:bookmarkStart w:id="34" w:name="_Hlk132021217"/>
      <w:r>
        <w:rPr>
          <w:rFonts w:hint="eastAsia" w:ascii="黑体" w:hAnsi="黑体" w:eastAsia="黑体"/>
          <w:bCs/>
          <w:kern w:val="0"/>
          <w:sz w:val="32"/>
          <w:szCs w:val="44"/>
        </w:rPr>
        <w:t>3</w:t>
      </w:r>
    </w:p>
    <w:p>
      <w:pPr>
        <w:overflowPunct w:val="0"/>
        <w:spacing w:line="560" w:lineRule="exact"/>
        <w:ind w:firstLine="640" w:firstLineChars="200"/>
        <w:rPr>
          <w:rFonts w:hint="eastAsia" w:ascii="仿宋_GB2312" w:hAnsi="仿宋_GB2312" w:eastAsia="仿宋_GB2312" w:cs="仿宋_GB2312"/>
          <w:snapToGrid w:val="0"/>
          <w:sz w:val="32"/>
          <w:szCs w:val="32"/>
        </w:rPr>
      </w:pPr>
    </w:p>
    <w:p>
      <w:pPr>
        <w:spacing w:line="560" w:lineRule="exact"/>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功能型无人车自动驾驶功能检测项目</w:t>
      </w:r>
      <w:bookmarkEnd w:id="34"/>
    </w:p>
    <w:tbl>
      <w:tblPr>
        <w:tblStyle w:val="14"/>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402"/>
        <w:gridCol w:w="4394"/>
        <w:tblGridChange w:id="0">
          <w:tblGrid>
            <w:gridCol w:w="846"/>
            <w:gridCol w:w="3402"/>
            <w:gridCol w:w="4394"/>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序号</w:t>
            </w:r>
          </w:p>
        </w:tc>
        <w:tc>
          <w:tcPr>
            <w:tcW w:w="3402"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测试项目</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测试场景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restart"/>
            <w:tcBorders>
              <w:top w:val="single" w:color="auto" w:sz="4" w:space="0"/>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1</w:t>
            </w:r>
          </w:p>
        </w:tc>
        <w:tc>
          <w:tcPr>
            <w:tcW w:w="3402" w:type="dxa"/>
            <w:vMerge w:val="restart"/>
            <w:tcBorders>
              <w:top w:val="single" w:color="auto" w:sz="4" w:space="0"/>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交通信号灯识别及响应</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机动车信号灯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bottom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非机动车信号灯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restart"/>
            <w:tcBorders>
              <w:top w:val="single" w:color="auto" w:sz="4" w:space="0"/>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2</w:t>
            </w:r>
          </w:p>
        </w:tc>
        <w:tc>
          <w:tcPr>
            <w:tcW w:w="3402" w:type="dxa"/>
            <w:vMerge w:val="restart"/>
            <w:tcBorders>
              <w:top w:val="single" w:color="auto" w:sz="4" w:space="0"/>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交通标志和标线识别及响应</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人行横道线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非机动车道标志标线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bottom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机动车道标志标线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3</w:t>
            </w:r>
          </w:p>
        </w:tc>
        <w:tc>
          <w:tcPr>
            <w:tcW w:w="3402"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障碍物识别及响应</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障碍物识别及响应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restart"/>
            <w:tcBorders>
              <w:top w:val="single" w:color="auto" w:sz="4" w:space="0"/>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4</w:t>
            </w:r>
          </w:p>
        </w:tc>
        <w:tc>
          <w:tcPr>
            <w:tcW w:w="3402" w:type="dxa"/>
            <w:vMerge w:val="restart"/>
            <w:tcBorders>
              <w:top w:val="single" w:color="auto" w:sz="4" w:space="0"/>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行人和非机动车识别及响应</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行人横穿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非机动车横穿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前方行人纵向行走（夜间）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bottom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前方非机动车纵向行驶（夜间）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restart"/>
            <w:tcBorders>
              <w:top w:val="single" w:color="auto" w:sz="4" w:space="0"/>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5</w:t>
            </w:r>
          </w:p>
        </w:tc>
        <w:tc>
          <w:tcPr>
            <w:tcW w:w="3402" w:type="dxa"/>
            <w:vMerge w:val="restart"/>
            <w:tcBorders>
              <w:top w:val="single" w:color="auto" w:sz="4" w:space="0"/>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周边车辆行驶状态识别及响应</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前方车辆切入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前方车辆切出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前方车辆静止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bottom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前方车辆静止（夜间）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6</w:t>
            </w:r>
          </w:p>
        </w:tc>
        <w:tc>
          <w:tcPr>
            <w:tcW w:w="3402"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最小风险策略</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靠边停车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restart"/>
            <w:tcBorders>
              <w:top w:val="single" w:color="auto" w:sz="4" w:space="0"/>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7</w:t>
            </w:r>
          </w:p>
        </w:tc>
        <w:tc>
          <w:tcPr>
            <w:tcW w:w="3402" w:type="dxa"/>
            <w:vMerge w:val="restart"/>
            <w:tcBorders>
              <w:top w:val="single" w:color="auto" w:sz="4" w:space="0"/>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紧急避险能力</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行人突然横穿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行人突然横穿(夜间)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非机动车突然横穿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非机动车突然横穿（夜间）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被遮挡的行人横穿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p>
        </w:tc>
        <w:tc>
          <w:tcPr>
            <w:tcW w:w="3402" w:type="dxa"/>
            <w:vMerge w:val="continue"/>
            <w:tcBorders>
              <w:left w:val="single" w:color="auto" w:sz="4" w:space="0"/>
              <w:bottom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前车车辆切出后存在静止车辆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8</w:t>
            </w:r>
          </w:p>
        </w:tc>
        <w:tc>
          <w:tcPr>
            <w:tcW w:w="3402"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人工接管</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远程人工接管及接管后的可操作性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b w:val="0"/>
                <w:bCs w:val="0"/>
                <w:szCs w:val="24"/>
              </w:rPr>
            </w:pPr>
            <w:r>
              <w:rPr>
                <w:rFonts w:hint="eastAsia" w:ascii="宋体" w:hAnsi="宋体" w:eastAsia="宋体" w:cs="宋体"/>
                <w:b w:val="0"/>
                <w:bCs w:val="0"/>
                <w:szCs w:val="24"/>
              </w:rPr>
              <w:t>9</w:t>
            </w:r>
          </w:p>
        </w:tc>
        <w:tc>
          <w:tcPr>
            <w:tcW w:w="3402"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环境测试</w:t>
            </w:r>
          </w:p>
        </w:tc>
        <w:tc>
          <w:tcPr>
            <w:tcW w:w="43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eastAsia="宋体" w:cs="宋体"/>
                <w:b w:val="0"/>
                <w:bCs w:val="0"/>
                <w:szCs w:val="24"/>
              </w:rPr>
            </w:pPr>
            <w:r>
              <w:rPr>
                <w:rFonts w:hint="eastAsia" w:ascii="宋体" w:hAnsi="宋体" w:eastAsia="宋体" w:cs="宋体"/>
                <w:b w:val="0"/>
                <w:bCs w:val="0"/>
                <w:szCs w:val="24"/>
              </w:rPr>
              <w:t>不规则公园林荫路通行</w:t>
            </w:r>
          </w:p>
        </w:tc>
      </w:tr>
    </w:tbl>
    <w:p>
      <w:pPr>
        <w:widowControl/>
        <w:spacing w:line="240" w:lineRule="auto"/>
        <w:jc w:val="left"/>
        <w:outlineLvl w:val="9"/>
        <w:rPr>
          <w:rFonts w:hint="eastAsia" w:ascii="黑体" w:hAnsi="黑体" w:eastAsia="黑体"/>
          <w:bCs/>
          <w:kern w:val="0"/>
          <w:sz w:val="32"/>
          <w:szCs w:val="44"/>
        </w:rPr>
      </w:pPr>
      <w:r>
        <w:rPr>
          <w:rFonts w:hint="eastAsia" w:ascii="黑体" w:hAnsi="黑体" w:eastAsia="黑体"/>
          <w:bCs/>
          <w:kern w:val="0"/>
          <w:sz w:val="32"/>
          <w:szCs w:val="44"/>
        </w:rPr>
        <w:t>附件4</w:t>
      </w:r>
    </w:p>
    <w:p>
      <w:pPr>
        <w:spacing w:line="560" w:lineRule="exact"/>
        <w:jc w:val="center"/>
        <w:rPr>
          <w:rFonts w:ascii="方正小标宋简体" w:hAnsi="Times New Roman" w:eastAsia="方正小标宋简体"/>
          <w:sz w:val="44"/>
          <w:szCs w:val="44"/>
        </w:rPr>
      </w:pPr>
    </w:p>
    <w:p>
      <w:pPr>
        <w:spacing w:line="560" w:lineRule="exact"/>
        <w:jc w:val="center"/>
        <w:rPr>
          <w:rFonts w:ascii="方正小标宋简体" w:hAnsi="Times New Roman" w:eastAsia="方正小标宋简体"/>
          <w:sz w:val="44"/>
          <w:szCs w:val="44"/>
        </w:rPr>
      </w:pPr>
      <w:bookmarkStart w:id="35" w:name="_Hlk190790374"/>
      <w:r>
        <w:rPr>
          <w:rFonts w:hint="eastAsia" w:ascii="方正小标宋简体" w:hAnsi="Times New Roman" w:eastAsia="方正小标宋简体"/>
          <w:sz w:val="44"/>
          <w:szCs w:val="44"/>
        </w:rPr>
        <w:t>功能型无人车运营试点安全性自我声明</w:t>
      </w:r>
      <w:bookmarkEnd w:id="35"/>
    </w:p>
    <w:p>
      <w:pPr>
        <w:spacing w:line="560" w:lineRule="exact"/>
        <w:jc w:val="center"/>
        <w:rPr>
          <w:rFonts w:ascii="方正小标宋简体" w:hAnsi="Times New Roman" w:eastAsia="方正小标宋简体"/>
          <w:sz w:val="44"/>
          <w:szCs w:val="44"/>
        </w:rPr>
      </w:pPr>
    </w:p>
    <w:p>
      <w:pPr>
        <w:spacing w:line="560" w:lineRule="exact"/>
        <w:rPr>
          <w:rFonts w:ascii="仿宋_GB2312" w:hAnsi="Times New Roman" w:eastAsia="仿宋_GB2312"/>
          <w:sz w:val="32"/>
          <w:szCs w:val="32"/>
        </w:rPr>
      </w:pP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我单位声明如下：</w:t>
      </w:r>
      <w:r>
        <w:rPr>
          <w:rFonts w:ascii="仿宋_GB2312" w:hAnsi="Times New Roman" w:eastAsia="仿宋_GB2312"/>
          <w:sz w:val="32"/>
          <w:szCs w:val="32"/>
        </w:rPr>
        <w:t xml:space="preserve"> </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本单位</w:t>
      </w:r>
      <w:r>
        <w:rPr>
          <w:rFonts w:hint="eastAsia" w:ascii="仿宋_GB2312" w:hAnsi="Times New Roman" w:eastAsia="仿宋_GB2312"/>
          <w:sz w:val="32"/>
          <w:szCs w:val="32"/>
          <w:u w:val="single"/>
        </w:rPr>
        <w:t>（功能型无人车运营试点主体名称）</w:t>
      </w:r>
      <w:r>
        <w:rPr>
          <w:rFonts w:hint="eastAsia" w:ascii="仿宋_GB2312" w:hAnsi="Times New Roman" w:eastAsia="仿宋_GB2312"/>
          <w:sz w:val="32"/>
          <w:szCs w:val="32"/>
        </w:rPr>
        <w:t>因业务需要，</w:t>
      </w:r>
      <w:r>
        <w:rPr>
          <w:rFonts w:hint="eastAsia" w:ascii="仿宋_GB2312" w:hAnsi="Times New Roman" w:eastAsia="仿宋_GB2312"/>
          <w:sz w:val="32"/>
          <w:szCs w:val="32"/>
          <w:u w:val="single"/>
        </w:rPr>
        <w:t xml:space="preserve">于   </w:t>
      </w:r>
      <w:r>
        <w:rPr>
          <w:rFonts w:ascii="仿宋_GB2312" w:hAnsi="Times New Roman" w:eastAsia="仿宋_GB2312"/>
          <w:sz w:val="32"/>
          <w:szCs w:val="32"/>
          <w:u w:val="single"/>
        </w:rPr>
        <w:t>年</w:t>
      </w:r>
      <w:r>
        <w:rPr>
          <w:rFonts w:hint="eastAsia" w:ascii="仿宋_GB2312" w:hAnsi="Times New Roman" w:eastAsia="仿宋_GB2312"/>
          <w:sz w:val="32"/>
          <w:szCs w:val="32"/>
          <w:u w:val="single"/>
        </w:rPr>
        <w:t xml:space="preserve">  </w:t>
      </w:r>
      <w:r>
        <w:rPr>
          <w:rFonts w:ascii="仿宋_GB2312" w:hAnsi="Times New Roman" w:eastAsia="仿宋_GB2312"/>
          <w:sz w:val="32"/>
          <w:szCs w:val="32"/>
          <w:u w:val="single"/>
        </w:rPr>
        <w:t>月</w:t>
      </w:r>
      <w:r>
        <w:rPr>
          <w:rFonts w:hint="eastAsia" w:ascii="仿宋_GB2312" w:hAnsi="Times New Roman" w:eastAsia="仿宋_GB2312"/>
          <w:sz w:val="32"/>
          <w:szCs w:val="32"/>
          <w:u w:val="single"/>
        </w:rPr>
        <w:t xml:space="preserve">  </w:t>
      </w:r>
      <w:r>
        <w:rPr>
          <w:rFonts w:ascii="仿宋_GB2312" w:hAnsi="Times New Roman" w:eastAsia="仿宋_GB2312"/>
          <w:sz w:val="32"/>
          <w:szCs w:val="32"/>
          <w:u w:val="single"/>
        </w:rPr>
        <w:t>日至</w:t>
      </w:r>
      <w:r>
        <w:rPr>
          <w:rFonts w:hint="eastAsia" w:ascii="仿宋_GB2312" w:hAnsi="Times New Roman" w:eastAsia="仿宋_GB2312"/>
          <w:sz w:val="32"/>
          <w:szCs w:val="32"/>
          <w:u w:val="single"/>
        </w:rPr>
        <w:t xml:space="preserve">   </w:t>
      </w:r>
      <w:r>
        <w:rPr>
          <w:rFonts w:ascii="仿宋_GB2312" w:hAnsi="Times New Roman" w:eastAsia="仿宋_GB2312"/>
          <w:sz w:val="32"/>
          <w:szCs w:val="32"/>
          <w:u w:val="single"/>
        </w:rPr>
        <w:t>年</w:t>
      </w:r>
      <w:r>
        <w:rPr>
          <w:rFonts w:hint="eastAsia" w:ascii="仿宋_GB2312" w:hAnsi="Times New Roman" w:eastAsia="仿宋_GB2312"/>
          <w:sz w:val="32"/>
          <w:szCs w:val="32"/>
          <w:u w:val="single"/>
        </w:rPr>
        <w:t xml:space="preserve">  </w:t>
      </w:r>
      <w:r>
        <w:rPr>
          <w:rFonts w:ascii="仿宋_GB2312" w:hAnsi="Times New Roman" w:eastAsia="仿宋_GB2312"/>
          <w:sz w:val="32"/>
          <w:szCs w:val="32"/>
          <w:u w:val="single"/>
        </w:rPr>
        <w:t>月</w:t>
      </w:r>
      <w:r>
        <w:rPr>
          <w:rFonts w:hint="eastAsia" w:ascii="仿宋_GB2312" w:hAnsi="Times New Roman" w:eastAsia="仿宋_GB2312"/>
          <w:sz w:val="32"/>
          <w:szCs w:val="32"/>
          <w:u w:val="single"/>
        </w:rPr>
        <w:t xml:space="preserve">  </w:t>
      </w:r>
      <w:r>
        <w:rPr>
          <w:rFonts w:ascii="仿宋_GB2312" w:hAnsi="Times New Roman" w:eastAsia="仿宋_GB2312"/>
          <w:sz w:val="32"/>
          <w:szCs w:val="32"/>
          <w:u w:val="single"/>
        </w:rPr>
        <w:t>日</w:t>
      </w:r>
      <w:r>
        <w:rPr>
          <w:rFonts w:ascii="仿宋_GB2312" w:hAnsi="Times New Roman" w:eastAsia="仿宋_GB2312"/>
          <w:sz w:val="32"/>
          <w:szCs w:val="32"/>
        </w:rPr>
        <w:t>，在深圳市</w:t>
      </w:r>
      <w:r>
        <w:rPr>
          <w:rFonts w:hint="eastAsia" w:ascii="仿宋_GB2312" w:hAnsi="Times New Roman" w:eastAsia="仿宋_GB2312"/>
          <w:sz w:val="32"/>
          <w:szCs w:val="32"/>
          <w:u w:val="single"/>
        </w:rPr>
        <w:t xml:space="preserve">    </w:t>
      </w:r>
      <w:r>
        <w:rPr>
          <w:rFonts w:ascii="仿宋_GB2312" w:hAnsi="Times New Roman" w:eastAsia="仿宋_GB2312"/>
          <w:sz w:val="32"/>
          <w:szCs w:val="32"/>
        </w:rPr>
        <w:t>区</w:t>
      </w:r>
      <w:r>
        <w:rPr>
          <w:rFonts w:hint="eastAsia" w:ascii="仿宋_GB2312" w:hAnsi="Times New Roman" w:eastAsia="仿宋_GB2312"/>
          <w:sz w:val="32"/>
          <w:szCs w:val="32"/>
        </w:rPr>
        <w:t>开展功能型无人车运营试点，在试点期间将严格按照《功能型无人车运营试点基本信息》（见背面）的内容，严格遵守道路交通安全法律法规，按照《深圳市关于进一步扩大试点范围推进功能型无人车高质量发展试点的指导意见（试行）》</w:t>
      </w:r>
      <w:r>
        <w:rPr>
          <w:rFonts w:ascii="仿宋_GB2312" w:hAnsi="Times New Roman" w:eastAsia="仿宋_GB2312"/>
          <w:sz w:val="32"/>
          <w:szCs w:val="32"/>
        </w:rPr>
        <w:t>有序开展</w:t>
      </w:r>
      <w:r>
        <w:rPr>
          <w:rFonts w:hint="eastAsia" w:ascii="仿宋_GB2312" w:hAnsi="Times New Roman" w:eastAsia="仿宋_GB2312"/>
          <w:sz w:val="32"/>
          <w:szCs w:val="32"/>
        </w:rPr>
        <w:t>试点活动。</w:t>
      </w:r>
    </w:p>
    <w:p>
      <w:pPr>
        <w:spacing w:line="560" w:lineRule="exact"/>
        <w:ind w:firstLine="640" w:firstLineChars="200"/>
        <w:jc w:val="left"/>
        <w:rPr>
          <w:rFonts w:ascii="仿宋_GB2312" w:hAnsi="Times New Roman" w:eastAsia="仿宋_GB2312"/>
          <w:sz w:val="32"/>
          <w:szCs w:val="32"/>
        </w:rPr>
      </w:pPr>
    </w:p>
    <w:p>
      <w:pPr>
        <w:spacing w:line="560" w:lineRule="exact"/>
        <w:jc w:val="left"/>
        <w:rPr>
          <w:rFonts w:ascii="仿宋_GB2312" w:hAnsi="Times New Roman" w:eastAsia="仿宋_GB2312"/>
          <w:sz w:val="32"/>
          <w:szCs w:val="32"/>
        </w:rPr>
      </w:pPr>
    </w:p>
    <w:p>
      <w:pPr>
        <w:spacing w:line="560" w:lineRule="exact"/>
        <w:jc w:val="left"/>
        <w:rPr>
          <w:rFonts w:ascii="仿宋_GB2312" w:hAnsi="Times New Roman" w:eastAsia="仿宋_GB2312"/>
          <w:sz w:val="32"/>
          <w:szCs w:val="32"/>
        </w:rPr>
      </w:pPr>
    </w:p>
    <w:p>
      <w:pPr>
        <w:spacing w:line="560" w:lineRule="exact"/>
        <w:jc w:val="left"/>
        <w:rPr>
          <w:rFonts w:ascii="仿宋_GB2312" w:hAnsi="Times New Roman" w:eastAsia="仿宋_GB2312"/>
          <w:sz w:val="32"/>
          <w:szCs w:val="32"/>
        </w:rPr>
      </w:pPr>
      <w:r>
        <w:rPr>
          <w:rFonts w:hint="eastAsia" w:ascii="仿宋_GB2312" w:hAnsi="Times New Roman" w:eastAsia="仿宋_GB2312"/>
          <w:sz w:val="32"/>
          <w:szCs w:val="32"/>
        </w:rPr>
        <w:t>声明单位：</w:t>
      </w:r>
      <w:r>
        <w:rPr>
          <w:rFonts w:hint="eastAsia" w:ascii="仿宋_GB2312" w:hAnsi="Times New Roman" w:eastAsia="仿宋_GB2312"/>
          <w:sz w:val="32"/>
          <w:szCs w:val="32"/>
          <w:u w:val="single"/>
        </w:rPr>
        <w:t xml:space="preserve">                    </w:t>
      </w:r>
      <w:r>
        <w:rPr>
          <w:rFonts w:hint="eastAsia" w:ascii="仿宋_GB2312" w:hAnsi="Times New Roman" w:eastAsia="仿宋_GB2312"/>
          <w:sz w:val="32"/>
          <w:szCs w:val="32"/>
        </w:rPr>
        <w:t xml:space="preserve"> </w:t>
      </w:r>
      <w:r>
        <w:rPr>
          <w:rFonts w:hint="eastAsia" w:ascii="仿宋_GB2312" w:hAnsi="Times New Roman" w:eastAsia="仿宋_GB2312"/>
          <w:sz w:val="32"/>
          <w:szCs w:val="32"/>
          <w:u w:val="single"/>
        </w:rPr>
        <w:t xml:space="preserve">                    </w:t>
      </w:r>
      <w:r>
        <w:rPr>
          <w:rFonts w:hint="eastAsia" w:ascii="仿宋_GB2312" w:hAnsi="Times New Roman" w:eastAsia="仿宋_GB2312"/>
          <w:sz w:val="32"/>
          <w:szCs w:val="32"/>
        </w:rPr>
        <w:t xml:space="preserve"> </w:t>
      </w:r>
      <w:r>
        <w:rPr>
          <w:rFonts w:ascii="仿宋_GB2312" w:hAnsi="Times New Roman" w:eastAsia="仿宋_GB2312"/>
          <w:sz w:val="32"/>
          <w:szCs w:val="32"/>
        </w:rPr>
        <w:t xml:space="preserve">                                                 </w:t>
      </w:r>
    </w:p>
    <w:p>
      <w:pPr>
        <w:spacing w:line="560" w:lineRule="exact"/>
        <w:ind w:firstLine="5320" w:firstLineChars="1900"/>
        <w:jc w:val="left"/>
        <w:rPr>
          <w:rFonts w:ascii="仿宋_GB2312" w:hAnsi="Times New Roman" w:eastAsia="仿宋_GB2312"/>
          <w:sz w:val="28"/>
          <w:szCs w:val="28"/>
        </w:rPr>
      </w:pPr>
      <w:r>
        <w:rPr>
          <w:rFonts w:hint="eastAsia" w:ascii="仿宋_GB2312" w:hAnsi="Times New Roman" w:eastAsia="仿宋_GB2312"/>
          <w:sz w:val="28"/>
          <w:szCs w:val="28"/>
        </w:rPr>
        <w:t>（试点主体单位法人签章）</w:t>
      </w:r>
      <w:r>
        <w:rPr>
          <w:rFonts w:ascii="仿宋_GB2312" w:hAnsi="Times New Roman" w:eastAsia="仿宋_GB2312"/>
          <w:sz w:val="32"/>
          <w:szCs w:val="32"/>
        </w:rPr>
        <w:t xml:space="preserve">    </w:t>
      </w:r>
    </w:p>
    <w:p>
      <w:pPr>
        <w:spacing w:line="560" w:lineRule="exact"/>
        <w:jc w:val="right"/>
      </w:pPr>
      <w:r>
        <w:rPr>
          <w:rFonts w:hint="eastAsia" w:ascii="仿宋_GB2312" w:hAnsi="Times New Roman" w:eastAsia="仿宋_GB2312"/>
          <w:sz w:val="32"/>
          <w:szCs w:val="32"/>
        </w:rPr>
        <w:t>年</w:t>
      </w:r>
      <w:r>
        <w:rPr>
          <w:rFonts w:ascii="仿宋_GB2312" w:hAnsi="Times New Roman" w:eastAsia="仿宋_GB2312"/>
          <w:sz w:val="32"/>
          <w:szCs w:val="32"/>
        </w:rPr>
        <w:t xml:space="preserve">   月   日</w:t>
      </w:r>
    </w:p>
    <w:p>
      <w:pPr>
        <w:spacing w:line="560" w:lineRule="exact"/>
        <w:jc w:val="left"/>
      </w:pPr>
      <w:r>
        <w:br w:type="page"/>
      </w:r>
      <w:r>
        <w:rPr>
          <w:rFonts w:hint="eastAsia" w:ascii="仿宋_GB2312" w:hAnsi="宋体" w:eastAsia="仿宋_GB2312"/>
          <w:kern w:val="0"/>
          <w:sz w:val="32"/>
          <w:szCs w:val="32"/>
        </w:rPr>
        <w:t>背面</w:t>
      </w:r>
    </w:p>
    <w:p>
      <w:pPr>
        <w:spacing w:before="100" w:beforeAutospacing="1" w:after="100" w:afterAutospacing="1" w:line="560" w:lineRule="exact"/>
        <w:jc w:val="center"/>
        <w:rPr>
          <w:rFonts w:ascii="方正小标宋简体" w:hAnsi="Times New Roman" w:eastAsia="方正小标宋简体"/>
          <w:kern w:val="0"/>
          <w:sz w:val="44"/>
          <w:szCs w:val="44"/>
        </w:rPr>
      </w:pPr>
      <w:r>
        <w:rPr>
          <w:rFonts w:hint="eastAsia" w:ascii="方正小标宋简体" w:hAnsi="Times New Roman" w:eastAsia="方正小标宋简体"/>
          <w:kern w:val="0"/>
          <w:sz w:val="44"/>
          <w:szCs w:val="44"/>
        </w:rPr>
        <w:t>功能型无人车运营试点基本信息</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8"/>
        <w:gridCol w:w="6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1618" w:type="dxa"/>
            <w:shd w:val="clear" w:color="auto" w:fill="auto"/>
            <w:vAlign w:val="center"/>
          </w:tcPr>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试点主体</w:t>
            </w:r>
          </w:p>
        </w:tc>
        <w:tc>
          <w:tcPr>
            <w:tcW w:w="6491" w:type="dxa"/>
            <w:shd w:val="clear" w:color="auto" w:fill="auto"/>
            <w:vAlign w:val="center"/>
          </w:tcPr>
          <w:p>
            <w:pPr>
              <w:spacing w:line="560" w:lineRule="exact"/>
              <w:rPr>
                <w:rFonts w:hint="eastAsia" w:ascii="仿宋_GB2312" w:hAnsi="等线" w:eastAsia="仿宋_GB2312"/>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1618" w:type="dxa"/>
            <w:shd w:val="clear" w:color="auto" w:fill="auto"/>
            <w:vAlign w:val="center"/>
          </w:tcPr>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试点车型</w:t>
            </w:r>
          </w:p>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及数量</w:t>
            </w:r>
          </w:p>
        </w:tc>
        <w:tc>
          <w:tcPr>
            <w:tcW w:w="6491" w:type="dxa"/>
            <w:shd w:val="clear" w:color="auto" w:fill="auto"/>
            <w:vAlign w:val="center"/>
          </w:tcPr>
          <w:p>
            <w:pPr>
              <w:spacing w:line="560" w:lineRule="exact"/>
              <w:jc w:val="center"/>
              <w:rPr>
                <w:rFonts w:hint="eastAsia" w:ascii="仿宋_GB2312" w:hAnsi="等线" w:eastAsia="仿宋_GB2312"/>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618" w:type="dxa"/>
            <w:shd w:val="clear" w:color="auto" w:fill="auto"/>
            <w:vAlign w:val="center"/>
          </w:tcPr>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服务团队</w:t>
            </w:r>
          </w:p>
        </w:tc>
        <w:tc>
          <w:tcPr>
            <w:tcW w:w="6491" w:type="dxa"/>
            <w:shd w:val="clear" w:color="auto" w:fill="auto"/>
            <w:vAlign w:val="center"/>
          </w:tcPr>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（须依次列出主要负责运营服务、安全保障的人员姓名、身份证号及联系方式）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1618" w:type="dxa"/>
            <w:shd w:val="clear" w:color="auto" w:fill="auto"/>
            <w:vAlign w:val="center"/>
          </w:tcPr>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路段或区域</w:t>
            </w:r>
          </w:p>
        </w:tc>
        <w:tc>
          <w:tcPr>
            <w:tcW w:w="6491" w:type="dxa"/>
            <w:shd w:val="clear" w:color="auto" w:fill="auto"/>
            <w:vAlign w:val="center"/>
          </w:tcPr>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（须依次列出各路段或区域的行驶车道）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618" w:type="dxa"/>
            <w:shd w:val="clear" w:color="auto" w:fill="auto"/>
            <w:vAlign w:val="center"/>
          </w:tcPr>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试点时间</w:t>
            </w:r>
          </w:p>
        </w:tc>
        <w:tc>
          <w:tcPr>
            <w:tcW w:w="6491" w:type="dxa"/>
            <w:shd w:val="clear" w:color="auto" w:fill="auto"/>
            <w:vAlign w:val="center"/>
          </w:tcPr>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（须列出每日车辆运行时间段）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1618" w:type="dxa"/>
            <w:shd w:val="clear" w:color="auto" w:fill="auto"/>
            <w:vAlign w:val="center"/>
          </w:tcPr>
          <w:p>
            <w:pPr>
              <w:spacing w:line="560" w:lineRule="exact"/>
              <w:jc w:val="center"/>
              <w:rPr>
                <w:rFonts w:hint="eastAsia" w:ascii="仿宋_GB2312" w:hAnsi="等线" w:eastAsia="仿宋_GB2312"/>
                <w:sz w:val="28"/>
                <w:szCs w:val="44"/>
              </w:rPr>
            </w:pPr>
            <w:r>
              <w:rPr>
                <w:rFonts w:hint="eastAsia" w:ascii="仿宋_GB2312" w:hAnsi="等线" w:eastAsia="仿宋_GB2312"/>
                <w:sz w:val="28"/>
                <w:szCs w:val="44"/>
              </w:rPr>
              <w:t>试点场景</w:t>
            </w:r>
          </w:p>
        </w:tc>
        <w:tc>
          <w:tcPr>
            <w:tcW w:w="6491" w:type="dxa"/>
            <w:shd w:val="clear" w:color="auto" w:fill="auto"/>
            <w:vAlign w:val="center"/>
          </w:tcPr>
          <w:p>
            <w:pPr>
              <w:spacing w:line="560" w:lineRule="exact"/>
              <w:jc w:val="center"/>
              <w:rPr>
                <w:rFonts w:hint="eastAsia" w:ascii="仿宋_GB2312" w:hAnsi="等线" w:eastAsia="仿宋_GB2312"/>
                <w:sz w:val="28"/>
                <w:szCs w:val="44"/>
              </w:rPr>
            </w:pPr>
          </w:p>
        </w:tc>
      </w:tr>
    </w:tbl>
    <w:p>
      <w:pPr>
        <w:spacing w:line="560" w:lineRule="exact"/>
        <w:jc w:val="left"/>
        <w:rPr>
          <w:rFonts w:ascii="仿宋_GB2312" w:hAnsi="Times New Roman" w:eastAsia="仿宋_GB2312"/>
          <w:sz w:val="32"/>
          <w:szCs w:val="32"/>
        </w:rPr>
      </w:pPr>
    </w:p>
    <w:p>
      <w:pPr>
        <w:spacing w:line="560" w:lineRule="exact"/>
        <w:jc w:val="left"/>
        <w:rPr>
          <w:rFonts w:ascii="仿宋_GB2312" w:hAnsi="Times New Roman" w:eastAsia="仿宋_GB2312"/>
          <w:sz w:val="32"/>
          <w:szCs w:val="32"/>
        </w:rPr>
      </w:pPr>
    </w:p>
    <w:p>
      <w:pPr>
        <w:spacing w:line="560" w:lineRule="exact"/>
        <w:ind w:right="320" w:firstLine="0" w:firstLineChars="0"/>
        <w:jc w:val="left"/>
        <w:rPr>
          <w:rFonts w:ascii="仿宋_GB2312" w:hAnsi="Times New Roman" w:eastAsia="仿宋_GB2312"/>
          <w:sz w:val="32"/>
          <w:szCs w:val="32"/>
        </w:rPr>
      </w:pPr>
      <w:r>
        <w:rPr>
          <w:rFonts w:hint="eastAsia" w:ascii="仿宋_GB2312" w:hAnsi="Times New Roman" w:eastAsia="仿宋_GB2312"/>
          <w:sz w:val="32"/>
          <w:szCs w:val="32"/>
        </w:rPr>
        <w:t>确认单位：</w:t>
      </w:r>
      <w:r>
        <w:rPr>
          <w:rFonts w:hint="eastAsia" w:ascii="仿宋_GB2312" w:hAnsi="Times New Roman" w:eastAsia="仿宋_GB2312"/>
          <w:sz w:val="32"/>
          <w:szCs w:val="32"/>
          <w:u w:val="single"/>
        </w:rPr>
        <w:t xml:space="preserve">                    </w:t>
      </w:r>
      <w:r>
        <w:rPr>
          <w:rFonts w:hint="eastAsia" w:ascii="仿宋_GB2312" w:hAnsi="Times New Roman" w:eastAsia="仿宋_GB2312"/>
          <w:sz w:val="32"/>
          <w:szCs w:val="32"/>
        </w:rPr>
        <w:t xml:space="preserve"> </w:t>
      </w:r>
      <w:r>
        <w:rPr>
          <w:rFonts w:hint="eastAsia" w:ascii="仿宋_GB2312" w:hAnsi="Times New Roman" w:eastAsia="仿宋_GB2312"/>
          <w:sz w:val="32"/>
          <w:szCs w:val="32"/>
          <w:u w:val="single"/>
        </w:rPr>
        <w:t xml:space="preserve">                    </w:t>
      </w:r>
      <w:r>
        <w:rPr>
          <w:rFonts w:hint="eastAsia" w:ascii="仿宋_GB2312" w:hAnsi="Times New Roman" w:eastAsia="仿宋_GB2312"/>
          <w:sz w:val="32"/>
          <w:szCs w:val="32"/>
        </w:rPr>
        <w:t xml:space="preserve"> </w:t>
      </w:r>
      <w:r>
        <w:rPr>
          <w:rFonts w:ascii="仿宋_GB2312" w:hAnsi="Times New Roman" w:eastAsia="仿宋_GB2312"/>
          <w:sz w:val="32"/>
          <w:szCs w:val="32"/>
        </w:rPr>
        <w:t xml:space="preserve">                                                 </w:t>
      </w:r>
    </w:p>
    <w:p>
      <w:pPr>
        <w:spacing w:line="560" w:lineRule="exact"/>
        <w:ind w:right="320" w:firstLine="6160" w:firstLineChars="2200"/>
        <w:jc w:val="left"/>
        <w:rPr>
          <w:rFonts w:ascii="仿宋_GB2312" w:hAnsi="Times New Roman" w:eastAsia="仿宋_GB2312"/>
          <w:sz w:val="28"/>
          <w:szCs w:val="28"/>
        </w:rPr>
      </w:pPr>
      <w:r>
        <w:rPr>
          <w:rFonts w:hint="eastAsia" w:ascii="仿宋_GB2312" w:hAnsi="Times New Roman" w:eastAsia="仿宋_GB2312"/>
          <w:sz w:val="28"/>
          <w:szCs w:val="28"/>
        </w:rPr>
        <w:t>（确认单位签章）</w:t>
      </w:r>
    </w:p>
    <w:p>
      <w:pPr>
        <w:spacing w:line="560" w:lineRule="exact"/>
        <w:ind w:right="320"/>
        <w:jc w:val="right"/>
      </w:pPr>
      <w:r>
        <w:rPr>
          <w:rFonts w:hint="eastAsia" w:ascii="仿宋_GB2312" w:hAnsi="Times New Roman" w:eastAsia="仿宋_GB2312"/>
          <w:sz w:val="32"/>
          <w:szCs w:val="32"/>
        </w:rPr>
        <w:t>年</w:t>
      </w:r>
      <w:r>
        <w:rPr>
          <w:rFonts w:ascii="仿宋_GB2312" w:hAnsi="Times New Roman" w:eastAsia="仿宋_GB2312"/>
          <w:sz w:val="32"/>
          <w:szCs w:val="32"/>
        </w:rPr>
        <w:t xml:space="preserve">   月   日</w:t>
      </w:r>
    </w:p>
    <w:p>
      <w:pPr>
        <w:spacing w:line="560" w:lineRule="exact"/>
        <w:jc w:val="left"/>
        <w:outlineLvl w:val="0"/>
        <w:rPr>
          <w:rFonts w:hint="eastAsia" w:ascii="黑体" w:hAnsi="黑体" w:eastAsia="黑体"/>
          <w:bCs/>
          <w:kern w:val="0"/>
          <w:sz w:val="32"/>
          <w:szCs w:val="44"/>
        </w:rPr>
      </w:pPr>
      <w:r>
        <w:rPr>
          <w:rFonts w:hint="eastAsia" w:ascii="黑体" w:hAnsi="黑体" w:eastAsia="黑体"/>
          <w:bCs/>
          <w:kern w:val="0"/>
          <w:sz w:val="32"/>
          <w:szCs w:val="44"/>
        </w:rPr>
        <w:br w:type="page"/>
      </w:r>
      <w:r>
        <w:rPr>
          <w:rFonts w:hint="eastAsia" w:ascii="黑体" w:hAnsi="黑体" w:eastAsia="黑体"/>
          <w:bCs/>
          <w:kern w:val="0"/>
          <w:sz w:val="32"/>
          <w:szCs w:val="44"/>
        </w:rPr>
        <w:t>附件5</w:t>
      </w:r>
    </w:p>
    <w:p>
      <w:pPr>
        <w:overflowPunct w:val="0"/>
        <w:spacing w:line="560" w:lineRule="exact"/>
        <w:ind w:firstLine="640" w:firstLineChars="200"/>
        <w:rPr>
          <w:rFonts w:hint="eastAsia" w:ascii="仿宋_GB2312" w:hAnsi="仿宋_GB2312" w:eastAsia="仿宋_GB2312" w:cs="仿宋_GB2312"/>
          <w:snapToGrid w:val="0"/>
          <w:sz w:val="32"/>
          <w:szCs w:val="32"/>
        </w:rPr>
      </w:pPr>
    </w:p>
    <w:p>
      <w:pPr>
        <w:spacing w:line="560" w:lineRule="exact"/>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功能型无人车车辆标识样式</w:t>
      </w:r>
    </w:p>
    <w:p>
      <w:pPr>
        <w:spacing w:before="240"/>
      </w:pPr>
    </w:p>
    <w:p>
      <w:pPr>
        <w:jc w:val="center"/>
        <w:rPr>
          <w:rFonts w:ascii="仿宋_GB2312" w:eastAsia="仿宋_GB2312"/>
        </w:rPr>
      </w:pPr>
      <w:r>
        <w:drawing>
          <wp:inline distT="0" distB="0" distL="0" distR="0">
            <wp:extent cx="5688330" cy="2305685"/>
            <wp:effectExtent l="0" t="0" r="7620" b="0"/>
            <wp:docPr id="1971153710" name="图片 1" descr="图形用户界面, 应用程序&#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153710" name="图片 1" descr="图形用户界面, 应用程序&#10;&#10;AI 生成的内容可能不正确。"/>
                    <pic:cNvPicPr>
                      <a:picLocks noChangeAspect="1"/>
                    </pic:cNvPicPr>
                  </pic:nvPicPr>
                  <pic:blipFill>
                    <a:blip r:embed="rId9"/>
                    <a:stretch>
                      <a:fillRect/>
                    </a:stretch>
                  </pic:blipFill>
                  <pic:spPr>
                    <a:xfrm>
                      <a:off x="0" y="0"/>
                      <a:ext cx="5688330" cy="2305685"/>
                    </a:xfrm>
                    <a:prstGeom prst="rect">
                      <a:avLst/>
                    </a:prstGeom>
                  </pic:spPr>
                </pic:pic>
              </a:graphicData>
            </a:graphic>
          </wp:inline>
        </w:drawing>
      </w:r>
    </w:p>
    <w:p>
      <w:pPr>
        <w:jc w:val="center"/>
        <w:rPr>
          <w:rFonts w:ascii="仿宋_GB2312" w:eastAsia="仿宋_GB2312"/>
        </w:rPr>
      </w:pPr>
      <w:r>
        <w:rPr>
          <w:rFonts w:ascii="仿宋_GB2312" w:eastAsia="仿宋_GB2312"/>
        </w:rPr>
        <w:t>图</w:t>
      </w:r>
      <w:r>
        <w:rPr>
          <w:rFonts w:hint="eastAsia" w:ascii="仿宋_GB2312" w:eastAsia="仿宋_GB2312"/>
        </w:rPr>
        <w:t>1</w:t>
      </w:r>
      <w:r>
        <w:rPr>
          <w:rFonts w:ascii="仿宋_GB2312" w:eastAsia="仿宋_GB2312"/>
        </w:rPr>
        <w:t xml:space="preserve"> </w:t>
      </w:r>
      <w:r>
        <w:rPr>
          <w:rFonts w:hint="eastAsia" w:ascii="仿宋_GB2312" w:eastAsia="仿宋_GB2312"/>
        </w:rPr>
        <w:t>深圳市无人物流车车辆标识示例</w:t>
      </w:r>
      <w:r>
        <w:rPr>
          <w:rFonts w:ascii="仿宋_GB2312" w:eastAsia="仿宋_GB2312"/>
        </w:rPr>
        <w:t>（尺寸单位：mm）</w:t>
      </w:r>
    </w:p>
    <w:p>
      <w:pPr>
        <w:jc w:val="center"/>
        <w:rPr>
          <w:rFonts w:ascii="仿宋_GB2312" w:eastAsia="仿宋_GB2312"/>
        </w:rPr>
      </w:pPr>
      <w:r>
        <w:drawing>
          <wp:inline distT="0" distB="0" distL="0" distR="0">
            <wp:extent cx="5688330" cy="2328545"/>
            <wp:effectExtent l="0" t="0" r="7620" b="0"/>
            <wp:docPr id="1806939600" name="图片 1" descr="图形用户界面, 应用程序&#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939600" name="图片 1" descr="图形用户界面, 应用程序&#10;&#10;AI 生成的内容可能不正确。"/>
                    <pic:cNvPicPr>
                      <a:picLocks noChangeAspect="1"/>
                    </pic:cNvPicPr>
                  </pic:nvPicPr>
                  <pic:blipFill>
                    <a:blip r:embed="rId10"/>
                    <a:stretch>
                      <a:fillRect/>
                    </a:stretch>
                  </pic:blipFill>
                  <pic:spPr>
                    <a:xfrm>
                      <a:off x="0" y="0"/>
                      <a:ext cx="5688330" cy="2328545"/>
                    </a:xfrm>
                    <a:prstGeom prst="rect">
                      <a:avLst/>
                    </a:prstGeom>
                  </pic:spPr>
                </pic:pic>
              </a:graphicData>
            </a:graphic>
          </wp:inline>
        </w:drawing>
      </w:r>
    </w:p>
    <w:p>
      <w:pPr>
        <w:ind w:firstLine="480"/>
        <w:jc w:val="center"/>
        <w:rPr>
          <w:rFonts w:ascii="仿宋_GB2312" w:eastAsia="仿宋_GB2312"/>
        </w:rPr>
      </w:pPr>
      <w:r>
        <w:rPr>
          <w:rFonts w:ascii="仿宋_GB2312" w:eastAsia="仿宋_GB2312"/>
        </w:rPr>
        <w:t>图</w:t>
      </w:r>
      <w:r>
        <w:rPr>
          <w:rFonts w:hint="eastAsia" w:ascii="仿宋_GB2312" w:eastAsia="仿宋_GB2312"/>
        </w:rPr>
        <w:t>2</w:t>
      </w:r>
      <w:r>
        <w:rPr>
          <w:rFonts w:ascii="仿宋_GB2312" w:eastAsia="仿宋_GB2312"/>
        </w:rPr>
        <w:t xml:space="preserve"> </w:t>
      </w:r>
      <w:r>
        <w:rPr>
          <w:rFonts w:hint="eastAsia" w:ascii="仿宋_GB2312" w:eastAsia="仿宋_GB2312"/>
        </w:rPr>
        <w:t>深圳市无人环卫车车辆标识示例</w:t>
      </w:r>
      <w:r>
        <w:rPr>
          <w:rFonts w:ascii="仿宋_GB2312" w:eastAsia="仿宋_GB2312"/>
        </w:rPr>
        <w:t>（尺寸单位：mm）</w:t>
      </w:r>
    </w:p>
    <w:p>
      <w:pPr>
        <w:spacing w:line="560" w:lineRule="exact"/>
        <w:ind w:firstLine="560" w:firstLineChars="200"/>
        <w:rPr>
          <w:rFonts w:hint="eastAsia" w:ascii="仿宋_GB2312" w:hAnsi="仿宋" w:eastAsia="仿宋_GB2312" w:cs="宋体"/>
          <w:sz w:val="28"/>
          <w:szCs w:val="28"/>
        </w:rPr>
      </w:pPr>
      <w:r>
        <w:rPr>
          <w:rFonts w:hint="eastAsia" w:ascii="仿宋_GB2312" w:hAnsi="仿宋" w:eastAsia="仿宋_GB2312" w:cs="宋体"/>
          <w:sz w:val="28"/>
          <w:szCs w:val="28"/>
        </w:rPr>
        <w:t>注：</w:t>
      </w:r>
    </w:p>
    <w:p>
      <w:pPr>
        <w:spacing w:line="560" w:lineRule="exact"/>
        <w:ind w:firstLine="560" w:firstLineChars="200"/>
        <w:rPr>
          <w:rFonts w:hint="eastAsia" w:ascii="仿宋_GB2312" w:hAnsi="仿宋" w:eastAsia="仿宋_GB2312" w:cs="宋体"/>
          <w:b/>
          <w:bCs/>
          <w:sz w:val="28"/>
          <w:szCs w:val="28"/>
        </w:rPr>
      </w:pPr>
      <w:r>
        <w:rPr>
          <w:rFonts w:hint="eastAsia" w:ascii="仿宋_GB2312" w:hAnsi="仿宋" w:eastAsia="仿宋_GB2312" w:cs="宋体"/>
          <w:sz w:val="28"/>
          <w:szCs w:val="28"/>
        </w:rPr>
        <w:t>“深圳·W”为无人物流车车辆标识号；“深圳·H”为无人环卫车车辆标识号。</w:t>
      </w:r>
    </w:p>
    <w:sectPr>
      <w:footerReference r:id="rId7" w:type="even"/>
      <w:pgSz w:w="11906" w:h="16838"/>
      <w:pgMar w:top="1814" w:right="1474" w:bottom="1814" w:left="1474" w:header="851" w:footer="992" w:gutter="0"/>
      <w:pgNumType w:fmt="numberInDash"/>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Light">
    <w:altName w:val="华文仿宋"/>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Microsoft YaHei UI">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67715" cy="346075"/>
              <wp:effectExtent l="0" t="0" r="3810" b="0"/>
              <wp:wrapNone/>
              <wp:docPr id="206211066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67715" cy="346075"/>
                      </a:xfrm>
                      <a:prstGeom prst="rect">
                        <a:avLst/>
                      </a:prstGeom>
                      <a:noFill/>
                      <a:ln>
                        <a:noFill/>
                      </a:ln>
                    </wps:spPr>
                    <wps:txbx>
                      <w:txbxContent>
                        <w:p>
                          <w:pPr>
                            <w:pStyle w:val="8"/>
                            <w:jc w:val="center"/>
                            <w:rPr>
                              <w:rFonts w:hint="eastAsia" w:ascii="仿宋_GB2312" w:eastAsia="仿宋_GB2312"/>
                              <w:sz w:val="28"/>
                              <w:szCs w:val="28"/>
                            </w:rPr>
                          </w:pPr>
                          <w:r>
                            <w:rPr>
                              <w:rFonts w:hint="eastAsia" w:ascii="仿宋_GB2312" w:hAnsi="Times New Roman" w:eastAsia="仿宋_GB2312"/>
                              <w:sz w:val="28"/>
                              <w:szCs w:val="28"/>
                            </w:rPr>
                            <w:fldChar w:fldCharType="begin"/>
                          </w:r>
                          <w:r>
                            <w:rPr>
                              <w:rFonts w:hint="eastAsia" w:ascii="仿宋_GB2312" w:hAnsi="Times New Roman" w:eastAsia="仿宋_GB2312"/>
                              <w:sz w:val="28"/>
                              <w:szCs w:val="28"/>
                            </w:rPr>
                            <w:instrText xml:space="preserve">PAGE   \* MERGEFORMAT</w:instrText>
                          </w:r>
                          <w:r>
                            <w:rPr>
                              <w:rFonts w:hint="eastAsia" w:ascii="仿宋_GB2312" w:hAnsi="Times New Roman" w:eastAsia="仿宋_GB2312"/>
                              <w:sz w:val="28"/>
                              <w:szCs w:val="28"/>
                            </w:rPr>
                            <w:fldChar w:fldCharType="separate"/>
                          </w:r>
                          <w:r>
                            <w:rPr>
                              <w:rFonts w:hint="eastAsia" w:ascii="仿宋_GB2312" w:hAnsi="Times New Roman" w:eastAsia="仿宋_GB2312"/>
                              <w:sz w:val="28"/>
                              <w:szCs w:val="28"/>
                              <w:lang w:val="zh-CN"/>
                            </w:rPr>
                            <w:t>1</w:t>
                          </w:r>
                          <w:r>
                            <w:rPr>
                              <w:rFonts w:hint="eastAsia" w:ascii="仿宋_GB2312" w:hAnsi="Times New Roman" w:eastAsia="仿宋_GB2312"/>
                              <w:sz w:val="28"/>
                              <w:szCs w:val="28"/>
                            </w:rPr>
                            <w:fldChar w:fldCharType="end"/>
                          </w:r>
                        </w:p>
                      </w:txbxContent>
                    </wps:txbx>
                    <wps:bodyPr rot="0" vert="horz" wrap="square" lIns="0" tIns="0" rIns="0" bIns="0" anchor="t" anchorCtr="0" upright="1">
                      <a:spAutoFit/>
                    </wps:bodyPr>
                  </wps:wsp>
                </a:graphicData>
              </a:graphic>
            </wp:anchor>
          </w:drawing>
        </mc:Choice>
        <mc:Fallback>
          <w:pict>
            <v:shape id="文本框 1" o:spid="_x0000_s1026" o:spt="202" type="#_x0000_t202" style="position:absolute;left:0pt;margin-top:0pt;height:27.25pt;width:60.45pt;mso-position-horizontal:center;mso-position-horizontal-relative:margin;z-index:251659264;mso-width-relative:page;mso-height-relative:page;" filled="f" stroked="f" coordsize="21600,21600" o:gfxdata="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">
              <v:fill on="f" focussize="0,0"/>
              <v:stroke on="f"/>
              <v:imagedata o:title=""/>
              <o:lock v:ext="edit" aspectratio="f"/>
              <v:textbox inset="0mm,0mm,0mm,0mm" style="mso-fit-shape-to-text:t;">
                <w:txbxContent>
                  <w:p>
                    <w:pPr>
                      <w:pStyle w:val="8"/>
                      <w:jc w:val="center"/>
                      <w:rPr>
                        <w:rFonts w:hint="eastAsia" w:ascii="仿宋_GB2312" w:eastAsia="仿宋_GB2312"/>
                        <w:sz w:val="28"/>
                        <w:szCs w:val="28"/>
                      </w:rPr>
                    </w:pPr>
                    <w:r>
                      <w:rPr>
                        <w:rFonts w:hint="eastAsia" w:ascii="仿宋_GB2312" w:hAnsi="Times New Roman" w:eastAsia="仿宋_GB2312"/>
                        <w:sz w:val="28"/>
                        <w:szCs w:val="28"/>
                      </w:rPr>
                      <w:fldChar w:fldCharType="begin"/>
                    </w:r>
                    <w:r>
                      <w:rPr>
                        <w:rFonts w:hint="eastAsia" w:ascii="仿宋_GB2312" w:hAnsi="Times New Roman" w:eastAsia="仿宋_GB2312"/>
                        <w:sz w:val="28"/>
                        <w:szCs w:val="28"/>
                      </w:rPr>
                      <w:instrText xml:space="preserve">PAGE   \* MERGEFORMAT</w:instrText>
                    </w:r>
                    <w:r>
                      <w:rPr>
                        <w:rFonts w:hint="eastAsia" w:ascii="仿宋_GB2312" w:hAnsi="Times New Roman" w:eastAsia="仿宋_GB2312"/>
                        <w:sz w:val="28"/>
                        <w:szCs w:val="28"/>
                      </w:rPr>
                      <w:fldChar w:fldCharType="separate"/>
                    </w:r>
                    <w:r>
                      <w:rPr>
                        <w:rFonts w:hint="eastAsia" w:ascii="仿宋_GB2312" w:hAnsi="Times New Roman" w:eastAsia="仿宋_GB2312"/>
                        <w:sz w:val="28"/>
                        <w:szCs w:val="28"/>
                        <w:lang w:val="zh-CN"/>
                      </w:rPr>
                      <w:t>1</w:t>
                    </w:r>
                    <w:r>
                      <w:rPr>
                        <w:rFonts w:hint="eastAsia" w:ascii="仿宋_GB2312" w:hAnsi="Times New Roman" w:eastAsia="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PAGE   \* MERGEFORMAT</w:instrText>
    </w:r>
    <w:r>
      <w:rPr>
        <w:rFonts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26 -</w:t>
    </w:r>
    <w:r>
      <w:rPr>
        <w:rFonts w:ascii="仿宋_GB2312" w:eastAsia="仿宋_GB2312"/>
        <w:sz w:val="32"/>
        <w:szCs w:val="32"/>
      </w:rPr>
      <w:fldChar w:fldCharType="end"/>
    </w:r>
  </w:p>
  <w:p>
    <w:pPr>
      <w:pStyle w:val="8"/>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FE63FA"/>
    <w:multiLevelType w:val="multilevel"/>
    <w:tmpl w:val="71FE63FA"/>
    <w:lvl w:ilvl="0" w:tentative="0">
      <w:start w:val="1"/>
      <w:numFmt w:val="decimal"/>
      <w:suff w:val="space"/>
      <w:lvlText w:val="第%1章"/>
      <w:lvlJc w:val="left"/>
      <w:pPr>
        <w:ind w:left="0" w:firstLine="0"/>
      </w:pPr>
      <w:rPr>
        <w:rFonts w:hint="default"/>
      </w:rPr>
    </w:lvl>
    <w:lvl w:ilvl="1" w:tentative="0">
      <w:start w:val="1"/>
      <w:numFmt w:val="decimal"/>
      <w:pStyle w:val="3"/>
      <w:isLgl/>
      <w:suff w:val="space"/>
      <w:lvlText w:val="%1.%2 "/>
      <w:lvlJc w:val="left"/>
      <w:pPr>
        <w:ind w:left="426" w:hanging="426"/>
      </w:pPr>
      <w:rPr>
        <w:rFonts w:hint="eastAsia"/>
      </w:rPr>
    </w:lvl>
    <w:lvl w:ilvl="2" w:tentative="0">
      <w:start w:val="1"/>
      <w:numFmt w:val="decimal"/>
      <w:pStyle w:val="4"/>
      <w:isLgl/>
      <w:suff w:val="space"/>
      <w:lvlText w:val="%1.%2.%3 "/>
      <w:lvlJc w:val="left"/>
      <w:pPr>
        <w:ind w:left="0" w:firstLine="0"/>
      </w:pPr>
      <w:rPr>
        <w:rFonts w:hint="eastAsia"/>
      </w:rPr>
    </w:lvl>
    <w:lvl w:ilvl="3" w:tentative="0">
      <w:start w:val="1"/>
      <w:numFmt w:val="decimal"/>
      <w:isLgl/>
      <w:suff w:val="space"/>
      <w:lvlText w:val="%1.%2.%3.%4 "/>
      <w:lvlJc w:val="left"/>
      <w:pPr>
        <w:ind w:left="0" w:firstLine="0"/>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hmNzUzZGUwYzczOTQ1ZTBiMzhkZjM5NzUwMGMwZjcifQ=="/>
  </w:docVars>
  <w:rsids>
    <w:rsidRoot w:val="00E84A4C"/>
    <w:rsid w:val="00000D82"/>
    <w:rsid w:val="00001AEB"/>
    <w:rsid w:val="00002B88"/>
    <w:rsid w:val="00003BFF"/>
    <w:rsid w:val="00005880"/>
    <w:rsid w:val="000066FF"/>
    <w:rsid w:val="00007551"/>
    <w:rsid w:val="00011BEB"/>
    <w:rsid w:val="00012203"/>
    <w:rsid w:val="00012366"/>
    <w:rsid w:val="000126C5"/>
    <w:rsid w:val="000127DC"/>
    <w:rsid w:val="00012C4D"/>
    <w:rsid w:val="00013CFD"/>
    <w:rsid w:val="00016367"/>
    <w:rsid w:val="00017996"/>
    <w:rsid w:val="00017C46"/>
    <w:rsid w:val="00020C8E"/>
    <w:rsid w:val="00021CB3"/>
    <w:rsid w:val="00021F15"/>
    <w:rsid w:val="00023273"/>
    <w:rsid w:val="00024F55"/>
    <w:rsid w:val="00025BBB"/>
    <w:rsid w:val="00026135"/>
    <w:rsid w:val="0002669F"/>
    <w:rsid w:val="0002757E"/>
    <w:rsid w:val="00027962"/>
    <w:rsid w:val="00027E45"/>
    <w:rsid w:val="00027F6B"/>
    <w:rsid w:val="0003371C"/>
    <w:rsid w:val="00033B98"/>
    <w:rsid w:val="00035D80"/>
    <w:rsid w:val="00036EE6"/>
    <w:rsid w:val="000376C4"/>
    <w:rsid w:val="00037B96"/>
    <w:rsid w:val="00040509"/>
    <w:rsid w:val="00041A93"/>
    <w:rsid w:val="00042B89"/>
    <w:rsid w:val="00045407"/>
    <w:rsid w:val="0004695B"/>
    <w:rsid w:val="00046C24"/>
    <w:rsid w:val="00047642"/>
    <w:rsid w:val="000508AB"/>
    <w:rsid w:val="00050F18"/>
    <w:rsid w:val="00051907"/>
    <w:rsid w:val="000526AE"/>
    <w:rsid w:val="00054236"/>
    <w:rsid w:val="00054E4D"/>
    <w:rsid w:val="000554ED"/>
    <w:rsid w:val="000561A5"/>
    <w:rsid w:val="00060176"/>
    <w:rsid w:val="000604F2"/>
    <w:rsid w:val="00061832"/>
    <w:rsid w:val="00061D56"/>
    <w:rsid w:val="00062615"/>
    <w:rsid w:val="000626BC"/>
    <w:rsid w:val="000634BA"/>
    <w:rsid w:val="00063A94"/>
    <w:rsid w:val="000644EB"/>
    <w:rsid w:val="00064D54"/>
    <w:rsid w:val="0006501A"/>
    <w:rsid w:val="000669D6"/>
    <w:rsid w:val="00067EB5"/>
    <w:rsid w:val="00070A15"/>
    <w:rsid w:val="00070CF7"/>
    <w:rsid w:val="00071D8C"/>
    <w:rsid w:val="000728FA"/>
    <w:rsid w:val="00072963"/>
    <w:rsid w:val="000764B7"/>
    <w:rsid w:val="00076F03"/>
    <w:rsid w:val="00076F9E"/>
    <w:rsid w:val="00081FBE"/>
    <w:rsid w:val="000867CE"/>
    <w:rsid w:val="00087C42"/>
    <w:rsid w:val="00090526"/>
    <w:rsid w:val="00091B8D"/>
    <w:rsid w:val="0009232E"/>
    <w:rsid w:val="0009280E"/>
    <w:rsid w:val="00093DB8"/>
    <w:rsid w:val="0009539C"/>
    <w:rsid w:val="000953ED"/>
    <w:rsid w:val="00096A61"/>
    <w:rsid w:val="000A03FB"/>
    <w:rsid w:val="000A068C"/>
    <w:rsid w:val="000A11EE"/>
    <w:rsid w:val="000A14DE"/>
    <w:rsid w:val="000A19CF"/>
    <w:rsid w:val="000A285F"/>
    <w:rsid w:val="000A2E03"/>
    <w:rsid w:val="000A568C"/>
    <w:rsid w:val="000A5691"/>
    <w:rsid w:val="000A5987"/>
    <w:rsid w:val="000A6AD1"/>
    <w:rsid w:val="000A7143"/>
    <w:rsid w:val="000A75D9"/>
    <w:rsid w:val="000A77E6"/>
    <w:rsid w:val="000B2BE0"/>
    <w:rsid w:val="000B39B8"/>
    <w:rsid w:val="000B3A9B"/>
    <w:rsid w:val="000B507C"/>
    <w:rsid w:val="000B599B"/>
    <w:rsid w:val="000B5B7D"/>
    <w:rsid w:val="000B67EC"/>
    <w:rsid w:val="000B788A"/>
    <w:rsid w:val="000B7C22"/>
    <w:rsid w:val="000C02EB"/>
    <w:rsid w:val="000C0B91"/>
    <w:rsid w:val="000C2932"/>
    <w:rsid w:val="000C3300"/>
    <w:rsid w:val="000C3677"/>
    <w:rsid w:val="000C3F80"/>
    <w:rsid w:val="000C5BA9"/>
    <w:rsid w:val="000C5CFA"/>
    <w:rsid w:val="000C788E"/>
    <w:rsid w:val="000D002A"/>
    <w:rsid w:val="000D13AA"/>
    <w:rsid w:val="000D1640"/>
    <w:rsid w:val="000D2456"/>
    <w:rsid w:val="000D3BED"/>
    <w:rsid w:val="000D5472"/>
    <w:rsid w:val="000D60E6"/>
    <w:rsid w:val="000D7B1D"/>
    <w:rsid w:val="000E10D9"/>
    <w:rsid w:val="000E19D8"/>
    <w:rsid w:val="000E296E"/>
    <w:rsid w:val="000E32CF"/>
    <w:rsid w:val="000E4E5B"/>
    <w:rsid w:val="000E57B2"/>
    <w:rsid w:val="000E6765"/>
    <w:rsid w:val="000E722E"/>
    <w:rsid w:val="000E7FA5"/>
    <w:rsid w:val="000F0C0B"/>
    <w:rsid w:val="000F0E98"/>
    <w:rsid w:val="000F266A"/>
    <w:rsid w:val="000F3B47"/>
    <w:rsid w:val="000F3F3C"/>
    <w:rsid w:val="000F4A61"/>
    <w:rsid w:val="000F4E26"/>
    <w:rsid w:val="000F5E14"/>
    <w:rsid w:val="000F77C4"/>
    <w:rsid w:val="0010197B"/>
    <w:rsid w:val="00102110"/>
    <w:rsid w:val="00102398"/>
    <w:rsid w:val="001047F8"/>
    <w:rsid w:val="001048BF"/>
    <w:rsid w:val="00104A79"/>
    <w:rsid w:val="00104C03"/>
    <w:rsid w:val="00104E4C"/>
    <w:rsid w:val="00110F93"/>
    <w:rsid w:val="001111D1"/>
    <w:rsid w:val="00111F3C"/>
    <w:rsid w:val="0011282D"/>
    <w:rsid w:val="00112A0C"/>
    <w:rsid w:val="00113DF9"/>
    <w:rsid w:val="001148B0"/>
    <w:rsid w:val="00114F93"/>
    <w:rsid w:val="00115ADB"/>
    <w:rsid w:val="00115B9B"/>
    <w:rsid w:val="00116058"/>
    <w:rsid w:val="0011635C"/>
    <w:rsid w:val="00116DF2"/>
    <w:rsid w:val="00121456"/>
    <w:rsid w:val="001265AF"/>
    <w:rsid w:val="00126D76"/>
    <w:rsid w:val="00132634"/>
    <w:rsid w:val="0013301B"/>
    <w:rsid w:val="0013363D"/>
    <w:rsid w:val="00133CAC"/>
    <w:rsid w:val="00133D76"/>
    <w:rsid w:val="00133E18"/>
    <w:rsid w:val="00134125"/>
    <w:rsid w:val="001345F0"/>
    <w:rsid w:val="00134646"/>
    <w:rsid w:val="001348F0"/>
    <w:rsid w:val="001353B8"/>
    <w:rsid w:val="00136B7F"/>
    <w:rsid w:val="001376F4"/>
    <w:rsid w:val="00144EBB"/>
    <w:rsid w:val="001457A2"/>
    <w:rsid w:val="00145DB5"/>
    <w:rsid w:val="0014796E"/>
    <w:rsid w:val="00147BA7"/>
    <w:rsid w:val="00147FF1"/>
    <w:rsid w:val="00150112"/>
    <w:rsid w:val="00151A42"/>
    <w:rsid w:val="00152B71"/>
    <w:rsid w:val="00153D5F"/>
    <w:rsid w:val="00153F6C"/>
    <w:rsid w:val="00160708"/>
    <w:rsid w:val="00161699"/>
    <w:rsid w:val="001634A6"/>
    <w:rsid w:val="00163D40"/>
    <w:rsid w:val="00164FF6"/>
    <w:rsid w:val="001652E2"/>
    <w:rsid w:val="00166336"/>
    <w:rsid w:val="001669F8"/>
    <w:rsid w:val="001679E3"/>
    <w:rsid w:val="00171E49"/>
    <w:rsid w:val="00172173"/>
    <w:rsid w:val="00174053"/>
    <w:rsid w:val="00175569"/>
    <w:rsid w:val="001769BC"/>
    <w:rsid w:val="00177749"/>
    <w:rsid w:val="00177C4C"/>
    <w:rsid w:val="00180D48"/>
    <w:rsid w:val="00183445"/>
    <w:rsid w:val="0018349D"/>
    <w:rsid w:val="0018607C"/>
    <w:rsid w:val="001862D0"/>
    <w:rsid w:val="00186451"/>
    <w:rsid w:val="00187327"/>
    <w:rsid w:val="00187938"/>
    <w:rsid w:val="0019078E"/>
    <w:rsid w:val="00190FC8"/>
    <w:rsid w:val="00192CD3"/>
    <w:rsid w:val="00193F51"/>
    <w:rsid w:val="001940FA"/>
    <w:rsid w:val="001945DC"/>
    <w:rsid w:val="00194AF8"/>
    <w:rsid w:val="00194D61"/>
    <w:rsid w:val="0019582C"/>
    <w:rsid w:val="0019646D"/>
    <w:rsid w:val="00196A7C"/>
    <w:rsid w:val="00196CB3"/>
    <w:rsid w:val="001A2824"/>
    <w:rsid w:val="001A3A9F"/>
    <w:rsid w:val="001A41E5"/>
    <w:rsid w:val="001A5574"/>
    <w:rsid w:val="001A79FB"/>
    <w:rsid w:val="001B198A"/>
    <w:rsid w:val="001B24CC"/>
    <w:rsid w:val="001B39F0"/>
    <w:rsid w:val="001B4A79"/>
    <w:rsid w:val="001B71D8"/>
    <w:rsid w:val="001B73D4"/>
    <w:rsid w:val="001C033F"/>
    <w:rsid w:val="001C1671"/>
    <w:rsid w:val="001C1E02"/>
    <w:rsid w:val="001C2155"/>
    <w:rsid w:val="001C4AF1"/>
    <w:rsid w:val="001C4DB4"/>
    <w:rsid w:val="001C5F8B"/>
    <w:rsid w:val="001C7493"/>
    <w:rsid w:val="001C7705"/>
    <w:rsid w:val="001C78F8"/>
    <w:rsid w:val="001C7E28"/>
    <w:rsid w:val="001D0CDD"/>
    <w:rsid w:val="001D3B1E"/>
    <w:rsid w:val="001D40C8"/>
    <w:rsid w:val="001D5E0D"/>
    <w:rsid w:val="001D5F05"/>
    <w:rsid w:val="001D5F83"/>
    <w:rsid w:val="001D6BBA"/>
    <w:rsid w:val="001E1F7C"/>
    <w:rsid w:val="001E229B"/>
    <w:rsid w:val="001E2587"/>
    <w:rsid w:val="001E3E1F"/>
    <w:rsid w:val="001E4FAC"/>
    <w:rsid w:val="001E5E09"/>
    <w:rsid w:val="001F0455"/>
    <w:rsid w:val="001F2F51"/>
    <w:rsid w:val="001F301E"/>
    <w:rsid w:val="001F3AC5"/>
    <w:rsid w:val="001F4AFF"/>
    <w:rsid w:val="001F76A6"/>
    <w:rsid w:val="002006E0"/>
    <w:rsid w:val="002035CD"/>
    <w:rsid w:val="00204E82"/>
    <w:rsid w:val="00205138"/>
    <w:rsid w:val="00205EB1"/>
    <w:rsid w:val="00206C8E"/>
    <w:rsid w:val="002076B5"/>
    <w:rsid w:val="00207895"/>
    <w:rsid w:val="00210030"/>
    <w:rsid w:val="0021054C"/>
    <w:rsid w:val="00210EAB"/>
    <w:rsid w:val="00212B78"/>
    <w:rsid w:val="00214528"/>
    <w:rsid w:val="00214558"/>
    <w:rsid w:val="00214A27"/>
    <w:rsid w:val="00215E3D"/>
    <w:rsid w:val="00216126"/>
    <w:rsid w:val="0021688C"/>
    <w:rsid w:val="0021694E"/>
    <w:rsid w:val="00216C76"/>
    <w:rsid w:val="00217800"/>
    <w:rsid w:val="00221AB9"/>
    <w:rsid w:val="00221FCD"/>
    <w:rsid w:val="00223095"/>
    <w:rsid w:val="002237BC"/>
    <w:rsid w:val="00224032"/>
    <w:rsid w:val="00224578"/>
    <w:rsid w:val="00224E9A"/>
    <w:rsid w:val="0022591B"/>
    <w:rsid w:val="00225CC4"/>
    <w:rsid w:val="00226266"/>
    <w:rsid w:val="00227EA1"/>
    <w:rsid w:val="002337D3"/>
    <w:rsid w:val="00233B31"/>
    <w:rsid w:val="002340BA"/>
    <w:rsid w:val="00234E8E"/>
    <w:rsid w:val="00235051"/>
    <w:rsid w:val="002356EB"/>
    <w:rsid w:val="00237F30"/>
    <w:rsid w:val="00240F06"/>
    <w:rsid w:val="00243C7B"/>
    <w:rsid w:val="00246C38"/>
    <w:rsid w:val="00250863"/>
    <w:rsid w:val="002523BD"/>
    <w:rsid w:val="002528B5"/>
    <w:rsid w:val="00252F6E"/>
    <w:rsid w:val="00254437"/>
    <w:rsid w:val="00255431"/>
    <w:rsid w:val="00256218"/>
    <w:rsid w:val="0025670A"/>
    <w:rsid w:val="00257FFB"/>
    <w:rsid w:val="002613C1"/>
    <w:rsid w:val="002638D7"/>
    <w:rsid w:val="00263C06"/>
    <w:rsid w:val="00263D14"/>
    <w:rsid w:val="00263D58"/>
    <w:rsid w:val="0026426A"/>
    <w:rsid w:val="00264A3E"/>
    <w:rsid w:val="00265187"/>
    <w:rsid w:val="00267389"/>
    <w:rsid w:val="0026786D"/>
    <w:rsid w:val="002707C5"/>
    <w:rsid w:val="00273F32"/>
    <w:rsid w:val="0027410C"/>
    <w:rsid w:val="002746D3"/>
    <w:rsid w:val="00275719"/>
    <w:rsid w:val="00276A51"/>
    <w:rsid w:val="0027726F"/>
    <w:rsid w:val="002803D0"/>
    <w:rsid w:val="00280678"/>
    <w:rsid w:val="0028182C"/>
    <w:rsid w:val="00281B7C"/>
    <w:rsid w:val="00281EB8"/>
    <w:rsid w:val="00281FC1"/>
    <w:rsid w:val="002824BE"/>
    <w:rsid w:val="0028310E"/>
    <w:rsid w:val="002873F1"/>
    <w:rsid w:val="00287954"/>
    <w:rsid w:val="00290D56"/>
    <w:rsid w:val="00292356"/>
    <w:rsid w:val="0029244D"/>
    <w:rsid w:val="00292A59"/>
    <w:rsid w:val="00292D09"/>
    <w:rsid w:val="00293676"/>
    <w:rsid w:val="00295826"/>
    <w:rsid w:val="002964FF"/>
    <w:rsid w:val="00296C7F"/>
    <w:rsid w:val="00296CC7"/>
    <w:rsid w:val="00297F86"/>
    <w:rsid w:val="002A0033"/>
    <w:rsid w:val="002A393C"/>
    <w:rsid w:val="002A4199"/>
    <w:rsid w:val="002A642D"/>
    <w:rsid w:val="002A70C2"/>
    <w:rsid w:val="002B06D1"/>
    <w:rsid w:val="002B0EE1"/>
    <w:rsid w:val="002B1405"/>
    <w:rsid w:val="002B2098"/>
    <w:rsid w:val="002B28A2"/>
    <w:rsid w:val="002B4F44"/>
    <w:rsid w:val="002B5F49"/>
    <w:rsid w:val="002B5F76"/>
    <w:rsid w:val="002C01E7"/>
    <w:rsid w:val="002C19EE"/>
    <w:rsid w:val="002C1AB4"/>
    <w:rsid w:val="002C1D8D"/>
    <w:rsid w:val="002C3294"/>
    <w:rsid w:val="002C4854"/>
    <w:rsid w:val="002C631C"/>
    <w:rsid w:val="002C6398"/>
    <w:rsid w:val="002C65D9"/>
    <w:rsid w:val="002C7612"/>
    <w:rsid w:val="002D12E0"/>
    <w:rsid w:val="002D1FA0"/>
    <w:rsid w:val="002D2011"/>
    <w:rsid w:val="002D24AB"/>
    <w:rsid w:val="002D299D"/>
    <w:rsid w:val="002D2B57"/>
    <w:rsid w:val="002D3051"/>
    <w:rsid w:val="002D30AE"/>
    <w:rsid w:val="002D5D01"/>
    <w:rsid w:val="002D7038"/>
    <w:rsid w:val="002D7426"/>
    <w:rsid w:val="002E05DA"/>
    <w:rsid w:val="002E0A27"/>
    <w:rsid w:val="002E0B85"/>
    <w:rsid w:val="002E3E31"/>
    <w:rsid w:val="002E3FCF"/>
    <w:rsid w:val="002E5E8B"/>
    <w:rsid w:val="002E61AB"/>
    <w:rsid w:val="002E6666"/>
    <w:rsid w:val="002F0DC0"/>
    <w:rsid w:val="002F1819"/>
    <w:rsid w:val="002F1C39"/>
    <w:rsid w:val="002F37C7"/>
    <w:rsid w:val="002F496A"/>
    <w:rsid w:val="002F57F4"/>
    <w:rsid w:val="002F5C29"/>
    <w:rsid w:val="002F5FA9"/>
    <w:rsid w:val="002F61ED"/>
    <w:rsid w:val="002F6674"/>
    <w:rsid w:val="002F6C6B"/>
    <w:rsid w:val="002F6F35"/>
    <w:rsid w:val="002F789D"/>
    <w:rsid w:val="00301939"/>
    <w:rsid w:val="003023A1"/>
    <w:rsid w:val="00303479"/>
    <w:rsid w:val="003035E2"/>
    <w:rsid w:val="00304D10"/>
    <w:rsid w:val="003071F2"/>
    <w:rsid w:val="00312434"/>
    <w:rsid w:val="00312F2E"/>
    <w:rsid w:val="00312FDC"/>
    <w:rsid w:val="0031359A"/>
    <w:rsid w:val="0032335E"/>
    <w:rsid w:val="00323476"/>
    <w:rsid w:val="00324A29"/>
    <w:rsid w:val="0032721D"/>
    <w:rsid w:val="00327BEF"/>
    <w:rsid w:val="00330FC6"/>
    <w:rsid w:val="00331377"/>
    <w:rsid w:val="003314F5"/>
    <w:rsid w:val="00331A1A"/>
    <w:rsid w:val="00331A91"/>
    <w:rsid w:val="00332168"/>
    <w:rsid w:val="00333D7F"/>
    <w:rsid w:val="00335C53"/>
    <w:rsid w:val="00336E90"/>
    <w:rsid w:val="0033702A"/>
    <w:rsid w:val="00340396"/>
    <w:rsid w:val="00341852"/>
    <w:rsid w:val="00341F31"/>
    <w:rsid w:val="00342303"/>
    <w:rsid w:val="00344047"/>
    <w:rsid w:val="00345FDA"/>
    <w:rsid w:val="00346EBA"/>
    <w:rsid w:val="003476B5"/>
    <w:rsid w:val="0035152D"/>
    <w:rsid w:val="003523ED"/>
    <w:rsid w:val="0035559F"/>
    <w:rsid w:val="00356D7E"/>
    <w:rsid w:val="003571B0"/>
    <w:rsid w:val="003579BE"/>
    <w:rsid w:val="00357E55"/>
    <w:rsid w:val="00357E88"/>
    <w:rsid w:val="00360731"/>
    <w:rsid w:val="00365616"/>
    <w:rsid w:val="00366D70"/>
    <w:rsid w:val="00367CA0"/>
    <w:rsid w:val="00370C93"/>
    <w:rsid w:val="003713FA"/>
    <w:rsid w:val="00372F51"/>
    <w:rsid w:val="00374EB7"/>
    <w:rsid w:val="00374EC6"/>
    <w:rsid w:val="00377D1F"/>
    <w:rsid w:val="00381DC7"/>
    <w:rsid w:val="00386360"/>
    <w:rsid w:val="00387BF7"/>
    <w:rsid w:val="00390C1B"/>
    <w:rsid w:val="0039335A"/>
    <w:rsid w:val="00393C44"/>
    <w:rsid w:val="00395300"/>
    <w:rsid w:val="003954A5"/>
    <w:rsid w:val="00395E65"/>
    <w:rsid w:val="00396014"/>
    <w:rsid w:val="003962DD"/>
    <w:rsid w:val="00396665"/>
    <w:rsid w:val="003A0475"/>
    <w:rsid w:val="003A1804"/>
    <w:rsid w:val="003A1FF8"/>
    <w:rsid w:val="003A2781"/>
    <w:rsid w:val="003A2AEC"/>
    <w:rsid w:val="003A2B44"/>
    <w:rsid w:val="003A4EDF"/>
    <w:rsid w:val="003A5386"/>
    <w:rsid w:val="003A54AB"/>
    <w:rsid w:val="003A7715"/>
    <w:rsid w:val="003A773A"/>
    <w:rsid w:val="003A79F2"/>
    <w:rsid w:val="003A7A0A"/>
    <w:rsid w:val="003A7D33"/>
    <w:rsid w:val="003B012B"/>
    <w:rsid w:val="003B3246"/>
    <w:rsid w:val="003B36AE"/>
    <w:rsid w:val="003B389A"/>
    <w:rsid w:val="003B46C6"/>
    <w:rsid w:val="003B47F8"/>
    <w:rsid w:val="003B556C"/>
    <w:rsid w:val="003B7147"/>
    <w:rsid w:val="003C202A"/>
    <w:rsid w:val="003C2BF8"/>
    <w:rsid w:val="003C304E"/>
    <w:rsid w:val="003C6FC4"/>
    <w:rsid w:val="003C751D"/>
    <w:rsid w:val="003C7F7D"/>
    <w:rsid w:val="003D08A0"/>
    <w:rsid w:val="003D10F5"/>
    <w:rsid w:val="003D13F3"/>
    <w:rsid w:val="003D1EDC"/>
    <w:rsid w:val="003D49F8"/>
    <w:rsid w:val="003D4CCA"/>
    <w:rsid w:val="003D59C1"/>
    <w:rsid w:val="003D5B13"/>
    <w:rsid w:val="003D6B24"/>
    <w:rsid w:val="003E1119"/>
    <w:rsid w:val="003E13F9"/>
    <w:rsid w:val="003E1AEB"/>
    <w:rsid w:val="003E2EAE"/>
    <w:rsid w:val="003E409A"/>
    <w:rsid w:val="003E6689"/>
    <w:rsid w:val="003E68A4"/>
    <w:rsid w:val="003E7767"/>
    <w:rsid w:val="003E77A2"/>
    <w:rsid w:val="003E7A08"/>
    <w:rsid w:val="003E7AD9"/>
    <w:rsid w:val="003F0456"/>
    <w:rsid w:val="003F0CC2"/>
    <w:rsid w:val="003F159B"/>
    <w:rsid w:val="003F16B4"/>
    <w:rsid w:val="003F33DB"/>
    <w:rsid w:val="003F4528"/>
    <w:rsid w:val="003F7102"/>
    <w:rsid w:val="004006B3"/>
    <w:rsid w:val="00400B4E"/>
    <w:rsid w:val="004011AD"/>
    <w:rsid w:val="00405ADE"/>
    <w:rsid w:val="00405D18"/>
    <w:rsid w:val="004065D7"/>
    <w:rsid w:val="0040740E"/>
    <w:rsid w:val="0040752A"/>
    <w:rsid w:val="00407677"/>
    <w:rsid w:val="00410380"/>
    <w:rsid w:val="00411129"/>
    <w:rsid w:val="004121F9"/>
    <w:rsid w:val="00413F6C"/>
    <w:rsid w:val="00415A7B"/>
    <w:rsid w:val="00416FA3"/>
    <w:rsid w:val="004177D1"/>
    <w:rsid w:val="00417AF0"/>
    <w:rsid w:val="00420153"/>
    <w:rsid w:val="00421380"/>
    <w:rsid w:val="00421C43"/>
    <w:rsid w:val="00422F38"/>
    <w:rsid w:val="00423597"/>
    <w:rsid w:val="0042369D"/>
    <w:rsid w:val="004243B7"/>
    <w:rsid w:val="0042445A"/>
    <w:rsid w:val="00426ACF"/>
    <w:rsid w:val="00426B6C"/>
    <w:rsid w:val="00427060"/>
    <w:rsid w:val="004272A9"/>
    <w:rsid w:val="004301B1"/>
    <w:rsid w:val="004306F0"/>
    <w:rsid w:val="004313BB"/>
    <w:rsid w:val="0043161C"/>
    <w:rsid w:val="0043196E"/>
    <w:rsid w:val="00432F19"/>
    <w:rsid w:val="0043318C"/>
    <w:rsid w:val="00434519"/>
    <w:rsid w:val="004349C1"/>
    <w:rsid w:val="00434B63"/>
    <w:rsid w:val="00435187"/>
    <w:rsid w:val="00435569"/>
    <w:rsid w:val="004426AB"/>
    <w:rsid w:val="00445EEE"/>
    <w:rsid w:val="00446243"/>
    <w:rsid w:val="00446C6A"/>
    <w:rsid w:val="00450053"/>
    <w:rsid w:val="004504DA"/>
    <w:rsid w:val="004519CD"/>
    <w:rsid w:val="00452F40"/>
    <w:rsid w:val="00454B19"/>
    <w:rsid w:val="00455147"/>
    <w:rsid w:val="00455635"/>
    <w:rsid w:val="00455BF4"/>
    <w:rsid w:val="0045642D"/>
    <w:rsid w:val="0045753B"/>
    <w:rsid w:val="0046012E"/>
    <w:rsid w:val="0046048A"/>
    <w:rsid w:val="00460D87"/>
    <w:rsid w:val="00461617"/>
    <w:rsid w:val="0046173B"/>
    <w:rsid w:val="0046180B"/>
    <w:rsid w:val="00462AED"/>
    <w:rsid w:val="004641EF"/>
    <w:rsid w:val="00465246"/>
    <w:rsid w:val="00465F3A"/>
    <w:rsid w:val="00466356"/>
    <w:rsid w:val="00466361"/>
    <w:rsid w:val="00467543"/>
    <w:rsid w:val="00467582"/>
    <w:rsid w:val="00467EEE"/>
    <w:rsid w:val="004705DF"/>
    <w:rsid w:val="00470618"/>
    <w:rsid w:val="00471E48"/>
    <w:rsid w:val="00472CBC"/>
    <w:rsid w:val="0047308B"/>
    <w:rsid w:val="0047380E"/>
    <w:rsid w:val="00473D33"/>
    <w:rsid w:val="00474642"/>
    <w:rsid w:val="00475B00"/>
    <w:rsid w:val="00476464"/>
    <w:rsid w:val="00476F1F"/>
    <w:rsid w:val="004778DE"/>
    <w:rsid w:val="004806AA"/>
    <w:rsid w:val="00480AD0"/>
    <w:rsid w:val="0048198B"/>
    <w:rsid w:val="00482904"/>
    <w:rsid w:val="004832E7"/>
    <w:rsid w:val="00483776"/>
    <w:rsid w:val="00483B18"/>
    <w:rsid w:val="004851D2"/>
    <w:rsid w:val="0048626D"/>
    <w:rsid w:val="00486D6B"/>
    <w:rsid w:val="004876B2"/>
    <w:rsid w:val="00490F08"/>
    <w:rsid w:val="00492225"/>
    <w:rsid w:val="00492318"/>
    <w:rsid w:val="004936FA"/>
    <w:rsid w:val="00494BA0"/>
    <w:rsid w:val="004959C5"/>
    <w:rsid w:val="00497B5C"/>
    <w:rsid w:val="004A0BC2"/>
    <w:rsid w:val="004A415A"/>
    <w:rsid w:val="004A501A"/>
    <w:rsid w:val="004A66BB"/>
    <w:rsid w:val="004A7A44"/>
    <w:rsid w:val="004A7C5E"/>
    <w:rsid w:val="004B1D6F"/>
    <w:rsid w:val="004B3C39"/>
    <w:rsid w:val="004B497C"/>
    <w:rsid w:val="004B4FAB"/>
    <w:rsid w:val="004B5781"/>
    <w:rsid w:val="004B5B48"/>
    <w:rsid w:val="004B5EB9"/>
    <w:rsid w:val="004B6203"/>
    <w:rsid w:val="004B77A6"/>
    <w:rsid w:val="004C06E4"/>
    <w:rsid w:val="004C0C03"/>
    <w:rsid w:val="004C1F55"/>
    <w:rsid w:val="004C2985"/>
    <w:rsid w:val="004C2A02"/>
    <w:rsid w:val="004C3A38"/>
    <w:rsid w:val="004C3AE3"/>
    <w:rsid w:val="004C4451"/>
    <w:rsid w:val="004D0035"/>
    <w:rsid w:val="004D02A7"/>
    <w:rsid w:val="004D047C"/>
    <w:rsid w:val="004D0725"/>
    <w:rsid w:val="004D0DCC"/>
    <w:rsid w:val="004D102B"/>
    <w:rsid w:val="004D1281"/>
    <w:rsid w:val="004D1532"/>
    <w:rsid w:val="004D2186"/>
    <w:rsid w:val="004D255B"/>
    <w:rsid w:val="004D2A58"/>
    <w:rsid w:val="004D4FCF"/>
    <w:rsid w:val="004D58BD"/>
    <w:rsid w:val="004D5B02"/>
    <w:rsid w:val="004D5EA4"/>
    <w:rsid w:val="004D66CE"/>
    <w:rsid w:val="004E00CD"/>
    <w:rsid w:val="004E19F5"/>
    <w:rsid w:val="004E1A11"/>
    <w:rsid w:val="004E2131"/>
    <w:rsid w:val="004E29EE"/>
    <w:rsid w:val="004E2CD0"/>
    <w:rsid w:val="004E42C4"/>
    <w:rsid w:val="004E470A"/>
    <w:rsid w:val="004E5C47"/>
    <w:rsid w:val="004E78B3"/>
    <w:rsid w:val="004E7B1E"/>
    <w:rsid w:val="004F1ACE"/>
    <w:rsid w:val="004F2737"/>
    <w:rsid w:val="004F2C99"/>
    <w:rsid w:val="004F31F3"/>
    <w:rsid w:val="004F36E8"/>
    <w:rsid w:val="004F4520"/>
    <w:rsid w:val="004F45A5"/>
    <w:rsid w:val="004F518B"/>
    <w:rsid w:val="004F6E58"/>
    <w:rsid w:val="00503F57"/>
    <w:rsid w:val="00504906"/>
    <w:rsid w:val="005063FC"/>
    <w:rsid w:val="00506B37"/>
    <w:rsid w:val="005074F1"/>
    <w:rsid w:val="00507AA6"/>
    <w:rsid w:val="005106E8"/>
    <w:rsid w:val="00510BAE"/>
    <w:rsid w:val="0051131B"/>
    <w:rsid w:val="0051137D"/>
    <w:rsid w:val="005126C4"/>
    <w:rsid w:val="005140E2"/>
    <w:rsid w:val="00515099"/>
    <w:rsid w:val="00516372"/>
    <w:rsid w:val="0051798C"/>
    <w:rsid w:val="005179A0"/>
    <w:rsid w:val="00517EF6"/>
    <w:rsid w:val="0052002D"/>
    <w:rsid w:val="0052075A"/>
    <w:rsid w:val="00520BBE"/>
    <w:rsid w:val="00522033"/>
    <w:rsid w:val="00522FF1"/>
    <w:rsid w:val="0052711F"/>
    <w:rsid w:val="00531B4F"/>
    <w:rsid w:val="00532FB0"/>
    <w:rsid w:val="00532FC6"/>
    <w:rsid w:val="005341DD"/>
    <w:rsid w:val="005356F0"/>
    <w:rsid w:val="00536D7C"/>
    <w:rsid w:val="00537F94"/>
    <w:rsid w:val="0054176A"/>
    <w:rsid w:val="00541919"/>
    <w:rsid w:val="005450F7"/>
    <w:rsid w:val="00546044"/>
    <w:rsid w:val="005472DA"/>
    <w:rsid w:val="00547449"/>
    <w:rsid w:val="00550A78"/>
    <w:rsid w:val="00550C46"/>
    <w:rsid w:val="00552096"/>
    <w:rsid w:val="005535B0"/>
    <w:rsid w:val="005545EF"/>
    <w:rsid w:val="005566E3"/>
    <w:rsid w:val="0056278C"/>
    <w:rsid w:val="00563BEA"/>
    <w:rsid w:val="0056533B"/>
    <w:rsid w:val="00565FB0"/>
    <w:rsid w:val="00566153"/>
    <w:rsid w:val="00572245"/>
    <w:rsid w:val="0057319D"/>
    <w:rsid w:val="00574797"/>
    <w:rsid w:val="005749D1"/>
    <w:rsid w:val="00574EAD"/>
    <w:rsid w:val="00575BD8"/>
    <w:rsid w:val="00575F60"/>
    <w:rsid w:val="0057659E"/>
    <w:rsid w:val="005766D0"/>
    <w:rsid w:val="00576A63"/>
    <w:rsid w:val="00576D9A"/>
    <w:rsid w:val="00577E21"/>
    <w:rsid w:val="00581FBA"/>
    <w:rsid w:val="00582A8B"/>
    <w:rsid w:val="0058343A"/>
    <w:rsid w:val="0058536F"/>
    <w:rsid w:val="005871F9"/>
    <w:rsid w:val="005900AA"/>
    <w:rsid w:val="005905AE"/>
    <w:rsid w:val="0059092E"/>
    <w:rsid w:val="00591847"/>
    <w:rsid w:val="00591C07"/>
    <w:rsid w:val="005921DA"/>
    <w:rsid w:val="005930DB"/>
    <w:rsid w:val="005937A0"/>
    <w:rsid w:val="00593EF6"/>
    <w:rsid w:val="0059488D"/>
    <w:rsid w:val="00596E8A"/>
    <w:rsid w:val="005A16A0"/>
    <w:rsid w:val="005A244C"/>
    <w:rsid w:val="005A30DC"/>
    <w:rsid w:val="005A36AF"/>
    <w:rsid w:val="005A392F"/>
    <w:rsid w:val="005A4643"/>
    <w:rsid w:val="005A46A8"/>
    <w:rsid w:val="005A5CF3"/>
    <w:rsid w:val="005A62EB"/>
    <w:rsid w:val="005A6E83"/>
    <w:rsid w:val="005A75BB"/>
    <w:rsid w:val="005B2A23"/>
    <w:rsid w:val="005B2C09"/>
    <w:rsid w:val="005B3D23"/>
    <w:rsid w:val="005B3E36"/>
    <w:rsid w:val="005B47C0"/>
    <w:rsid w:val="005B6BF2"/>
    <w:rsid w:val="005B6EA8"/>
    <w:rsid w:val="005B72B6"/>
    <w:rsid w:val="005B7822"/>
    <w:rsid w:val="005B7FD4"/>
    <w:rsid w:val="005C0470"/>
    <w:rsid w:val="005C1B74"/>
    <w:rsid w:val="005C33D1"/>
    <w:rsid w:val="005C4679"/>
    <w:rsid w:val="005C5F4D"/>
    <w:rsid w:val="005C72F7"/>
    <w:rsid w:val="005D07C3"/>
    <w:rsid w:val="005D1184"/>
    <w:rsid w:val="005D1DAE"/>
    <w:rsid w:val="005D479E"/>
    <w:rsid w:val="005D50E3"/>
    <w:rsid w:val="005D6922"/>
    <w:rsid w:val="005D6CCE"/>
    <w:rsid w:val="005D78DE"/>
    <w:rsid w:val="005E36DA"/>
    <w:rsid w:val="005E3A9C"/>
    <w:rsid w:val="005E4002"/>
    <w:rsid w:val="005E5270"/>
    <w:rsid w:val="005E6009"/>
    <w:rsid w:val="005E7B81"/>
    <w:rsid w:val="005F2D60"/>
    <w:rsid w:val="005F3A45"/>
    <w:rsid w:val="005F4560"/>
    <w:rsid w:val="005F740A"/>
    <w:rsid w:val="00601DEC"/>
    <w:rsid w:val="00603433"/>
    <w:rsid w:val="00603A39"/>
    <w:rsid w:val="006049E4"/>
    <w:rsid w:val="006057F8"/>
    <w:rsid w:val="00607AF5"/>
    <w:rsid w:val="00610E88"/>
    <w:rsid w:val="0061271A"/>
    <w:rsid w:val="0061273B"/>
    <w:rsid w:val="00613D2E"/>
    <w:rsid w:val="00614D70"/>
    <w:rsid w:val="00615993"/>
    <w:rsid w:val="00615ED3"/>
    <w:rsid w:val="00617155"/>
    <w:rsid w:val="00617D2C"/>
    <w:rsid w:val="00620F78"/>
    <w:rsid w:val="00622E5F"/>
    <w:rsid w:val="00622FD2"/>
    <w:rsid w:val="006254B0"/>
    <w:rsid w:val="0062769B"/>
    <w:rsid w:val="006308BE"/>
    <w:rsid w:val="0063092D"/>
    <w:rsid w:val="0063281D"/>
    <w:rsid w:val="00634108"/>
    <w:rsid w:val="00635DAD"/>
    <w:rsid w:val="00637978"/>
    <w:rsid w:val="00641BBA"/>
    <w:rsid w:val="00641C1A"/>
    <w:rsid w:val="0064274D"/>
    <w:rsid w:val="00643BF0"/>
    <w:rsid w:val="00643FB6"/>
    <w:rsid w:val="00645B79"/>
    <w:rsid w:val="006465EA"/>
    <w:rsid w:val="00647B34"/>
    <w:rsid w:val="00647E04"/>
    <w:rsid w:val="00647F85"/>
    <w:rsid w:val="00650BDC"/>
    <w:rsid w:val="006526A2"/>
    <w:rsid w:val="00653A7D"/>
    <w:rsid w:val="00654AB6"/>
    <w:rsid w:val="00655DC6"/>
    <w:rsid w:val="006573D7"/>
    <w:rsid w:val="00660378"/>
    <w:rsid w:val="006608A3"/>
    <w:rsid w:val="006616A2"/>
    <w:rsid w:val="006618FD"/>
    <w:rsid w:val="0066286F"/>
    <w:rsid w:val="006628D8"/>
    <w:rsid w:val="006674D0"/>
    <w:rsid w:val="00667642"/>
    <w:rsid w:val="00667A13"/>
    <w:rsid w:val="006700B5"/>
    <w:rsid w:val="00670F23"/>
    <w:rsid w:val="006712D4"/>
    <w:rsid w:val="00671948"/>
    <w:rsid w:val="00673785"/>
    <w:rsid w:val="00673CDB"/>
    <w:rsid w:val="00673F38"/>
    <w:rsid w:val="00674352"/>
    <w:rsid w:val="00675BB5"/>
    <w:rsid w:val="00676FA0"/>
    <w:rsid w:val="00677B82"/>
    <w:rsid w:val="00682517"/>
    <w:rsid w:val="006825C9"/>
    <w:rsid w:val="00682603"/>
    <w:rsid w:val="006833F9"/>
    <w:rsid w:val="00683DC9"/>
    <w:rsid w:val="006842B7"/>
    <w:rsid w:val="0068679F"/>
    <w:rsid w:val="00687AA0"/>
    <w:rsid w:val="00687BA4"/>
    <w:rsid w:val="006905FA"/>
    <w:rsid w:val="00692839"/>
    <w:rsid w:val="00694D09"/>
    <w:rsid w:val="006952CB"/>
    <w:rsid w:val="00695313"/>
    <w:rsid w:val="0069561A"/>
    <w:rsid w:val="0069622C"/>
    <w:rsid w:val="00697229"/>
    <w:rsid w:val="006A00E2"/>
    <w:rsid w:val="006A120C"/>
    <w:rsid w:val="006A168B"/>
    <w:rsid w:val="006A27CB"/>
    <w:rsid w:val="006A31F7"/>
    <w:rsid w:val="006A362F"/>
    <w:rsid w:val="006A4C02"/>
    <w:rsid w:val="006A673A"/>
    <w:rsid w:val="006A6ECA"/>
    <w:rsid w:val="006B0883"/>
    <w:rsid w:val="006B1364"/>
    <w:rsid w:val="006B1911"/>
    <w:rsid w:val="006B3325"/>
    <w:rsid w:val="006B3BEB"/>
    <w:rsid w:val="006B5DB9"/>
    <w:rsid w:val="006B7C5A"/>
    <w:rsid w:val="006C0968"/>
    <w:rsid w:val="006C2C76"/>
    <w:rsid w:val="006C2FD8"/>
    <w:rsid w:val="006C3BFB"/>
    <w:rsid w:val="006C3F81"/>
    <w:rsid w:val="006C5000"/>
    <w:rsid w:val="006C52C3"/>
    <w:rsid w:val="006C70A9"/>
    <w:rsid w:val="006D03E2"/>
    <w:rsid w:val="006D1302"/>
    <w:rsid w:val="006D3301"/>
    <w:rsid w:val="006D3377"/>
    <w:rsid w:val="006D3DCF"/>
    <w:rsid w:val="006D5A24"/>
    <w:rsid w:val="006D5C04"/>
    <w:rsid w:val="006E056B"/>
    <w:rsid w:val="006E221F"/>
    <w:rsid w:val="006E29D9"/>
    <w:rsid w:val="006E4705"/>
    <w:rsid w:val="006E7412"/>
    <w:rsid w:val="006E79CF"/>
    <w:rsid w:val="006F0165"/>
    <w:rsid w:val="006F02DA"/>
    <w:rsid w:val="006F0617"/>
    <w:rsid w:val="006F1B4B"/>
    <w:rsid w:val="006F3EF8"/>
    <w:rsid w:val="006F4B2C"/>
    <w:rsid w:val="006F4BA8"/>
    <w:rsid w:val="006F5984"/>
    <w:rsid w:val="006F5B24"/>
    <w:rsid w:val="006F5DA9"/>
    <w:rsid w:val="006F6FEF"/>
    <w:rsid w:val="006F78F6"/>
    <w:rsid w:val="00701CB7"/>
    <w:rsid w:val="007028F1"/>
    <w:rsid w:val="00703812"/>
    <w:rsid w:val="00703A12"/>
    <w:rsid w:val="007047B2"/>
    <w:rsid w:val="00704826"/>
    <w:rsid w:val="007049C2"/>
    <w:rsid w:val="00704B5C"/>
    <w:rsid w:val="00705A6A"/>
    <w:rsid w:val="00707164"/>
    <w:rsid w:val="00707372"/>
    <w:rsid w:val="0070795C"/>
    <w:rsid w:val="0071050B"/>
    <w:rsid w:val="00710CA1"/>
    <w:rsid w:val="00713BEA"/>
    <w:rsid w:val="00713C02"/>
    <w:rsid w:val="00713E2C"/>
    <w:rsid w:val="00715396"/>
    <w:rsid w:val="0071588C"/>
    <w:rsid w:val="007158EF"/>
    <w:rsid w:val="00715DEF"/>
    <w:rsid w:val="007161EA"/>
    <w:rsid w:val="00716264"/>
    <w:rsid w:val="0071690B"/>
    <w:rsid w:val="0071708E"/>
    <w:rsid w:val="00720222"/>
    <w:rsid w:val="00721304"/>
    <w:rsid w:val="00722A61"/>
    <w:rsid w:val="00723B18"/>
    <w:rsid w:val="00725257"/>
    <w:rsid w:val="00725286"/>
    <w:rsid w:val="00725411"/>
    <w:rsid w:val="007270A3"/>
    <w:rsid w:val="007277E3"/>
    <w:rsid w:val="00727F16"/>
    <w:rsid w:val="00730C1F"/>
    <w:rsid w:val="007324C2"/>
    <w:rsid w:val="00732CDE"/>
    <w:rsid w:val="0073364B"/>
    <w:rsid w:val="007341CE"/>
    <w:rsid w:val="00734B43"/>
    <w:rsid w:val="00735D3F"/>
    <w:rsid w:val="007360B5"/>
    <w:rsid w:val="007362C1"/>
    <w:rsid w:val="007408F6"/>
    <w:rsid w:val="00741122"/>
    <w:rsid w:val="00742405"/>
    <w:rsid w:val="007427B1"/>
    <w:rsid w:val="00743601"/>
    <w:rsid w:val="007457D3"/>
    <w:rsid w:val="00745B58"/>
    <w:rsid w:val="00746696"/>
    <w:rsid w:val="00746DA9"/>
    <w:rsid w:val="007470BA"/>
    <w:rsid w:val="00747430"/>
    <w:rsid w:val="00747F29"/>
    <w:rsid w:val="007507A0"/>
    <w:rsid w:val="00750DF2"/>
    <w:rsid w:val="00751240"/>
    <w:rsid w:val="00751E22"/>
    <w:rsid w:val="00751F60"/>
    <w:rsid w:val="007521A7"/>
    <w:rsid w:val="007525CA"/>
    <w:rsid w:val="007532B5"/>
    <w:rsid w:val="00755831"/>
    <w:rsid w:val="00756583"/>
    <w:rsid w:val="00756F62"/>
    <w:rsid w:val="0075787A"/>
    <w:rsid w:val="00763C99"/>
    <w:rsid w:val="0076436C"/>
    <w:rsid w:val="007666E6"/>
    <w:rsid w:val="00766EC9"/>
    <w:rsid w:val="00767B9C"/>
    <w:rsid w:val="007711D7"/>
    <w:rsid w:val="00771DCE"/>
    <w:rsid w:val="007729A3"/>
    <w:rsid w:val="00773195"/>
    <w:rsid w:val="00775A6B"/>
    <w:rsid w:val="00776370"/>
    <w:rsid w:val="00776602"/>
    <w:rsid w:val="007768A1"/>
    <w:rsid w:val="0078057D"/>
    <w:rsid w:val="00781864"/>
    <w:rsid w:val="007837F9"/>
    <w:rsid w:val="00784A1F"/>
    <w:rsid w:val="00784AC2"/>
    <w:rsid w:val="007857A2"/>
    <w:rsid w:val="00785944"/>
    <w:rsid w:val="007862E3"/>
    <w:rsid w:val="007869D5"/>
    <w:rsid w:val="007911C6"/>
    <w:rsid w:val="00791C3B"/>
    <w:rsid w:val="00792D8A"/>
    <w:rsid w:val="00796150"/>
    <w:rsid w:val="007963F1"/>
    <w:rsid w:val="0079668C"/>
    <w:rsid w:val="00797DA7"/>
    <w:rsid w:val="007A164E"/>
    <w:rsid w:val="007A3048"/>
    <w:rsid w:val="007A31E8"/>
    <w:rsid w:val="007A5580"/>
    <w:rsid w:val="007A6CF2"/>
    <w:rsid w:val="007A6D61"/>
    <w:rsid w:val="007A7D76"/>
    <w:rsid w:val="007B007C"/>
    <w:rsid w:val="007B019C"/>
    <w:rsid w:val="007B2BE5"/>
    <w:rsid w:val="007B2DA9"/>
    <w:rsid w:val="007B386D"/>
    <w:rsid w:val="007B3FBA"/>
    <w:rsid w:val="007B4B16"/>
    <w:rsid w:val="007B565B"/>
    <w:rsid w:val="007B5E90"/>
    <w:rsid w:val="007B6B00"/>
    <w:rsid w:val="007B77BB"/>
    <w:rsid w:val="007C0189"/>
    <w:rsid w:val="007C0A5C"/>
    <w:rsid w:val="007C1181"/>
    <w:rsid w:val="007C19C0"/>
    <w:rsid w:val="007C4905"/>
    <w:rsid w:val="007C5DD1"/>
    <w:rsid w:val="007C6BD9"/>
    <w:rsid w:val="007C7AE1"/>
    <w:rsid w:val="007C7D48"/>
    <w:rsid w:val="007D1E0B"/>
    <w:rsid w:val="007D4704"/>
    <w:rsid w:val="007D4853"/>
    <w:rsid w:val="007D5396"/>
    <w:rsid w:val="007D626D"/>
    <w:rsid w:val="007D648F"/>
    <w:rsid w:val="007D6685"/>
    <w:rsid w:val="007D6805"/>
    <w:rsid w:val="007D71C8"/>
    <w:rsid w:val="007D7231"/>
    <w:rsid w:val="007D7446"/>
    <w:rsid w:val="007D7649"/>
    <w:rsid w:val="007E0827"/>
    <w:rsid w:val="007E184C"/>
    <w:rsid w:val="007E1850"/>
    <w:rsid w:val="007E18BE"/>
    <w:rsid w:val="007E1C1D"/>
    <w:rsid w:val="007E2789"/>
    <w:rsid w:val="007E2AEC"/>
    <w:rsid w:val="007E2CDB"/>
    <w:rsid w:val="007E2F5A"/>
    <w:rsid w:val="007E38D9"/>
    <w:rsid w:val="007E457F"/>
    <w:rsid w:val="007E4AFA"/>
    <w:rsid w:val="007E5FD0"/>
    <w:rsid w:val="007E6E8A"/>
    <w:rsid w:val="007F0E08"/>
    <w:rsid w:val="007F179A"/>
    <w:rsid w:val="007F21D2"/>
    <w:rsid w:val="007F2607"/>
    <w:rsid w:val="007F3112"/>
    <w:rsid w:val="007F3E1F"/>
    <w:rsid w:val="007F5136"/>
    <w:rsid w:val="007F5323"/>
    <w:rsid w:val="007F5B86"/>
    <w:rsid w:val="007F7D42"/>
    <w:rsid w:val="00800539"/>
    <w:rsid w:val="00800E18"/>
    <w:rsid w:val="008025E9"/>
    <w:rsid w:val="008031C2"/>
    <w:rsid w:val="00803621"/>
    <w:rsid w:val="00803898"/>
    <w:rsid w:val="0080389C"/>
    <w:rsid w:val="00803D62"/>
    <w:rsid w:val="0080417C"/>
    <w:rsid w:val="00805477"/>
    <w:rsid w:val="0080561D"/>
    <w:rsid w:val="008058E2"/>
    <w:rsid w:val="008064F6"/>
    <w:rsid w:val="00806648"/>
    <w:rsid w:val="0080712A"/>
    <w:rsid w:val="008113AE"/>
    <w:rsid w:val="0081174C"/>
    <w:rsid w:val="00812141"/>
    <w:rsid w:val="008124E1"/>
    <w:rsid w:val="00815959"/>
    <w:rsid w:val="00815F5D"/>
    <w:rsid w:val="00815F83"/>
    <w:rsid w:val="008160D8"/>
    <w:rsid w:val="00816D08"/>
    <w:rsid w:val="0081773D"/>
    <w:rsid w:val="008177AA"/>
    <w:rsid w:val="008202BB"/>
    <w:rsid w:val="008222FE"/>
    <w:rsid w:val="00825B08"/>
    <w:rsid w:val="00826C9B"/>
    <w:rsid w:val="00827C2D"/>
    <w:rsid w:val="008303CD"/>
    <w:rsid w:val="00830AD3"/>
    <w:rsid w:val="00832051"/>
    <w:rsid w:val="00832D51"/>
    <w:rsid w:val="00833A83"/>
    <w:rsid w:val="00834529"/>
    <w:rsid w:val="00834CCA"/>
    <w:rsid w:val="00835111"/>
    <w:rsid w:val="00836D8B"/>
    <w:rsid w:val="0084332D"/>
    <w:rsid w:val="00844490"/>
    <w:rsid w:val="008461C7"/>
    <w:rsid w:val="00846452"/>
    <w:rsid w:val="00846A63"/>
    <w:rsid w:val="00852D11"/>
    <w:rsid w:val="00853772"/>
    <w:rsid w:val="008540B2"/>
    <w:rsid w:val="008548E4"/>
    <w:rsid w:val="00854E0E"/>
    <w:rsid w:val="008554F0"/>
    <w:rsid w:val="00855E80"/>
    <w:rsid w:val="00856CE7"/>
    <w:rsid w:val="0085711F"/>
    <w:rsid w:val="00857BF3"/>
    <w:rsid w:val="00862893"/>
    <w:rsid w:val="00863E93"/>
    <w:rsid w:val="00863FBA"/>
    <w:rsid w:val="0086561B"/>
    <w:rsid w:val="00865DE4"/>
    <w:rsid w:val="008716C6"/>
    <w:rsid w:val="00874732"/>
    <w:rsid w:val="00874A5B"/>
    <w:rsid w:val="00875957"/>
    <w:rsid w:val="0087614F"/>
    <w:rsid w:val="0088120F"/>
    <w:rsid w:val="00883E9F"/>
    <w:rsid w:val="00885CDD"/>
    <w:rsid w:val="00890113"/>
    <w:rsid w:val="00891E8E"/>
    <w:rsid w:val="00892346"/>
    <w:rsid w:val="0089282C"/>
    <w:rsid w:val="008931C9"/>
    <w:rsid w:val="00895AF6"/>
    <w:rsid w:val="00896F29"/>
    <w:rsid w:val="0089734C"/>
    <w:rsid w:val="008A0B74"/>
    <w:rsid w:val="008A270E"/>
    <w:rsid w:val="008A5DAA"/>
    <w:rsid w:val="008A63E0"/>
    <w:rsid w:val="008A7719"/>
    <w:rsid w:val="008A7BC1"/>
    <w:rsid w:val="008B0C2D"/>
    <w:rsid w:val="008B13EC"/>
    <w:rsid w:val="008B3DC9"/>
    <w:rsid w:val="008B50DA"/>
    <w:rsid w:val="008C4629"/>
    <w:rsid w:val="008C49AD"/>
    <w:rsid w:val="008C50CE"/>
    <w:rsid w:val="008C5503"/>
    <w:rsid w:val="008C5823"/>
    <w:rsid w:val="008C68C1"/>
    <w:rsid w:val="008C6C58"/>
    <w:rsid w:val="008D1C4A"/>
    <w:rsid w:val="008D4DE2"/>
    <w:rsid w:val="008D6323"/>
    <w:rsid w:val="008D67AB"/>
    <w:rsid w:val="008D685C"/>
    <w:rsid w:val="008E1A58"/>
    <w:rsid w:val="008E25FC"/>
    <w:rsid w:val="008E3D1B"/>
    <w:rsid w:val="008E518A"/>
    <w:rsid w:val="008E5498"/>
    <w:rsid w:val="008E65CD"/>
    <w:rsid w:val="008E6A15"/>
    <w:rsid w:val="008E702B"/>
    <w:rsid w:val="008E71FC"/>
    <w:rsid w:val="008F09D2"/>
    <w:rsid w:val="008F0F58"/>
    <w:rsid w:val="008F1C4F"/>
    <w:rsid w:val="008F30CF"/>
    <w:rsid w:val="008F37F6"/>
    <w:rsid w:val="008F4923"/>
    <w:rsid w:val="008F50C6"/>
    <w:rsid w:val="008F630F"/>
    <w:rsid w:val="008F6BB0"/>
    <w:rsid w:val="008F7245"/>
    <w:rsid w:val="008F7357"/>
    <w:rsid w:val="00900C9F"/>
    <w:rsid w:val="009016F7"/>
    <w:rsid w:val="0090232E"/>
    <w:rsid w:val="009045FA"/>
    <w:rsid w:val="00905283"/>
    <w:rsid w:val="009052D6"/>
    <w:rsid w:val="0090690F"/>
    <w:rsid w:val="00906CF4"/>
    <w:rsid w:val="00906D92"/>
    <w:rsid w:val="009071D7"/>
    <w:rsid w:val="009114F5"/>
    <w:rsid w:val="00912379"/>
    <w:rsid w:val="00913820"/>
    <w:rsid w:val="0091417D"/>
    <w:rsid w:val="0091422B"/>
    <w:rsid w:val="00915666"/>
    <w:rsid w:val="00915C16"/>
    <w:rsid w:val="009202DF"/>
    <w:rsid w:val="009205C8"/>
    <w:rsid w:val="009209BC"/>
    <w:rsid w:val="0092121C"/>
    <w:rsid w:val="00925A4D"/>
    <w:rsid w:val="00925DBE"/>
    <w:rsid w:val="0092630B"/>
    <w:rsid w:val="00926A62"/>
    <w:rsid w:val="00926CC0"/>
    <w:rsid w:val="009273C1"/>
    <w:rsid w:val="009309DD"/>
    <w:rsid w:val="00930D66"/>
    <w:rsid w:val="00931841"/>
    <w:rsid w:val="009318E9"/>
    <w:rsid w:val="00931A08"/>
    <w:rsid w:val="00933181"/>
    <w:rsid w:val="009331D9"/>
    <w:rsid w:val="0093409E"/>
    <w:rsid w:val="009348A6"/>
    <w:rsid w:val="00935DF5"/>
    <w:rsid w:val="00937DA7"/>
    <w:rsid w:val="0094065B"/>
    <w:rsid w:val="00940BA4"/>
    <w:rsid w:val="0094137E"/>
    <w:rsid w:val="00942A6B"/>
    <w:rsid w:val="0094351C"/>
    <w:rsid w:val="00943E4A"/>
    <w:rsid w:val="00944263"/>
    <w:rsid w:val="00944775"/>
    <w:rsid w:val="00944AD4"/>
    <w:rsid w:val="00945D2F"/>
    <w:rsid w:val="00945F31"/>
    <w:rsid w:val="00946830"/>
    <w:rsid w:val="0095016A"/>
    <w:rsid w:val="00950C50"/>
    <w:rsid w:val="009511D8"/>
    <w:rsid w:val="00951B1A"/>
    <w:rsid w:val="009524D8"/>
    <w:rsid w:val="00955479"/>
    <w:rsid w:val="0095644F"/>
    <w:rsid w:val="00956C0D"/>
    <w:rsid w:val="009578B3"/>
    <w:rsid w:val="009603D8"/>
    <w:rsid w:val="00960F7C"/>
    <w:rsid w:val="0096212C"/>
    <w:rsid w:val="00962B6F"/>
    <w:rsid w:val="00963A13"/>
    <w:rsid w:val="009641A6"/>
    <w:rsid w:val="009653DF"/>
    <w:rsid w:val="00965918"/>
    <w:rsid w:val="0096663C"/>
    <w:rsid w:val="00966E1C"/>
    <w:rsid w:val="009674EB"/>
    <w:rsid w:val="00970D33"/>
    <w:rsid w:val="009718C9"/>
    <w:rsid w:val="0097442A"/>
    <w:rsid w:val="00974CF5"/>
    <w:rsid w:val="00976D31"/>
    <w:rsid w:val="00981BCE"/>
    <w:rsid w:val="00983942"/>
    <w:rsid w:val="00984663"/>
    <w:rsid w:val="00984829"/>
    <w:rsid w:val="0098496F"/>
    <w:rsid w:val="00984CA3"/>
    <w:rsid w:val="00984FF7"/>
    <w:rsid w:val="00985034"/>
    <w:rsid w:val="00986BAF"/>
    <w:rsid w:val="00991BA1"/>
    <w:rsid w:val="00991DA0"/>
    <w:rsid w:val="009937FE"/>
    <w:rsid w:val="00994890"/>
    <w:rsid w:val="00994A46"/>
    <w:rsid w:val="00994BB8"/>
    <w:rsid w:val="009A1560"/>
    <w:rsid w:val="009A16B4"/>
    <w:rsid w:val="009A34DE"/>
    <w:rsid w:val="009A522E"/>
    <w:rsid w:val="009A540E"/>
    <w:rsid w:val="009A6C14"/>
    <w:rsid w:val="009A7C90"/>
    <w:rsid w:val="009B160D"/>
    <w:rsid w:val="009B18C3"/>
    <w:rsid w:val="009B30A9"/>
    <w:rsid w:val="009B34D1"/>
    <w:rsid w:val="009B584C"/>
    <w:rsid w:val="009B5C36"/>
    <w:rsid w:val="009B6F22"/>
    <w:rsid w:val="009C05F6"/>
    <w:rsid w:val="009C3F95"/>
    <w:rsid w:val="009C5801"/>
    <w:rsid w:val="009C6136"/>
    <w:rsid w:val="009C657C"/>
    <w:rsid w:val="009C6C18"/>
    <w:rsid w:val="009D1A56"/>
    <w:rsid w:val="009D1D25"/>
    <w:rsid w:val="009D1FD1"/>
    <w:rsid w:val="009D4C62"/>
    <w:rsid w:val="009D50AE"/>
    <w:rsid w:val="009D54FD"/>
    <w:rsid w:val="009D5CE7"/>
    <w:rsid w:val="009D73FD"/>
    <w:rsid w:val="009E0A2C"/>
    <w:rsid w:val="009E5173"/>
    <w:rsid w:val="009E56BC"/>
    <w:rsid w:val="009E6FFB"/>
    <w:rsid w:val="009F038B"/>
    <w:rsid w:val="009F0926"/>
    <w:rsid w:val="009F169D"/>
    <w:rsid w:val="009F403C"/>
    <w:rsid w:val="009F6081"/>
    <w:rsid w:val="009F699B"/>
    <w:rsid w:val="009F75C4"/>
    <w:rsid w:val="00A00DF4"/>
    <w:rsid w:val="00A0175A"/>
    <w:rsid w:val="00A02E47"/>
    <w:rsid w:val="00A03B8A"/>
    <w:rsid w:val="00A04216"/>
    <w:rsid w:val="00A04B20"/>
    <w:rsid w:val="00A05343"/>
    <w:rsid w:val="00A07852"/>
    <w:rsid w:val="00A10BFB"/>
    <w:rsid w:val="00A11A02"/>
    <w:rsid w:val="00A1311E"/>
    <w:rsid w:val="00A14420"/>
    <w:rsid w:val="00A15D60"/>
    <w:rsid w:val="00A15D96"/>
    <w:rsid w:val="00A167D8"/>
    <w:rsid w:val="00A20BEB"/>
    <w:rsid w:val="00A24E17"/>
    <w:rsid w:val="00A2577E"/>
    <w:rsid w:val="00A26CBE"/>
    <w:rsid w:val="00A27604"/>
    <w:rsid w:val="00A31074"/>
    <w:rsid w:val="00A31514"/>
    <w:rsid w:val="00A32042"/>
    <w:rsid w:val="00A32373"/>
    <w:rsid w:val="00A338AE"/>
    <w:rsid w:val="00A3429C"/>
    <w:rsid w:val="00A3449C"/>
    <w:rsid w:val="00A34E5C"/>
    <w:rsid w:val="00A35054"/>
    <w:rsid w:val="00A37371"/>
    <w:rsid w:val="00A42986"/>
    <w:rsid w:val="00A43BED"/>
    <w:rsid w:val="00A47278"/>
    <w:rsid w:val="00A474F1"/>
    <w:rsid w:val="00A47702"/>
    <w:rsid w:val="00A47B80"/>
    <w:rsid w:val="00A51D8C"/>
    <w:rsid w:val="00A525F4"/>
    <w:rsid w:val="00A52E07"/>
    <w:rsid w:val="00A53205"/>
    <w:rsid w:val="00A5378D"/>
    <w:rsid w:val="00A56072"/>
    <w:rsid w:val="00A56597"/>
    <w:rsid w:val="00A57476"/>
    <w:rsid w:val="00A6027D"/>
    <w:rsid w:val="00A60506"/>
    <w:rsid w:val="00A607A5"/>
    <w:rsid w:val="00A615E7"/>
    <w:rsid w:val="00A62028"/>
    <w:rsid w:val="00A63751"/>
    <w:rsid w:val="00A638F8"/>
    <w:rsid w:val="00A643BE"/>
    <w:rsid w:val="00A65041"/>
    <w:rsid w:val="00A65341"/>
    <w:rsid w:val="00A66AC8"/>
    <w:rsid w:val="00A70105"/>
    <w:rsid w:val="00A70E39"/>
    <w:rsid w:val="00A70E61"/>
    <w:rsid w:val="00A738DD"/>
    <w:rsid w:val="00A75A87"/>
    <w:rsid w:val="00A763FA"/>
    <w:rsid w:val="00A76AC7"/>
    <w:rsid w:val="00A77B70"/>
    <w:rsid w:val="00A805F9"/>
    <w:rsid w:val="00A80A19"/>
    <w:rsid w:val="00A8179E"/>
    <w:rsid w:val="00A82620"/>
    <w:rsid w:val="00A8462E"/>
    <w:rsid w:val="00A84722"/>
    <w:rsid w:val="00A87768"/>
    <w:rsid w:val="00A901B4"/>
    <w:rsid w:val="00A91548"/>
    <w:rsid w:val="00A940B3"/>
    <w:rsid w:val="00A94FFE"/>
    <w:rsid w:val="00A9507A"/>
    <w:rsid w:val="00A9596B"/>
    <w:rsid w:val="00A95EEB"/>
    <w:rsid w:val="00A964AB"/>
    <w:rsid w:val="00A970B9"/>
    <w:rsid w:val="00AA2ED9"/>
    <w:rsid w:val="00AA31EB"/>
    <w:rsid w:val="00AA6273"/>
    <w:rsid w:val="00AB0237"/>
    <w:rsid w:val="00AB0DC3"/>
    <w:rsid w:val="00AB1AAA"/>
    <w:rsid w:val="00AB2997"/>
    <w:rsid w:val="00AB5751"/>
    <w:rsid w:val="00AB579A"/>
    <w:rsid w:val="00AC2C2C"/>
    <w:rsid w:val="00AC3A37"/>
    <w:rsid w:val="00AC466D"/>
    <w:rsid w:val="00AC5904"/>
    <w:rsid w:val="00AC5FAA"/>
    <w:rsid w:val="00AC67FE"/>
    <w:rsid w:val="00AC737D"/>
    <w:rsid w:val="00AC73C1"/>
    <w:rsid w:val="00AC74C1"/>
    <w:rsid w:val="00AC7C37"/>
    <w:rsid w:val="00AD1411"/>
    <w:rsid w:val="00AD2010"/>
    <w:rsid w:val="00AD3444"/>
    <w:rsid w:val="00AD348C"/>
    <w:rsid w:val="00AD433B"/>
    <w:rsid w:val="00AD4526"/>
    <w:rsid w:val="00AD4E0E"/>
    <w:rsid w:val="00AD55E1"/>
    <w:rsid w:val="00AD62C7"/>
    <w:rsid w:val="00AD6B94"/>
    <w:rsid w:val="00AD6E30"/>
    <w:rsid w:val="00AD7091"/>
    <w:rsid w:val="00AD787A"/>
    <w:rsid w:val="00AE0F42"/>
    <w:rsid w:val="00AE1848"/>
    <w:rsid w:val="00AE47BB"/>
    <w:rsid w:val="00AE49A4"/>
    <w:rsid w:val="00AE6065"/>
    <w:rsid w:val="00AE66C8"/>
    <w:rsid w:val="00AE6928"/>
    <w:rsid w:val="00AE6FB2"/>
    <w:rsid w:val="00AF0601"/>
    <w:rsid w:val="00AF188C"/>
    <w:rsid w:val="00AF19A0"/>
    <w:rsid w:val="00AF2046"/>
    <w:rsid w:val="00AF2ADC"/>
    <w:rsid w:val="00AF3299"/>
    <w:rsid w:val="00AF33FE"/>
    <w:rsid w:val="00AF5E79"/>
    <w:rsid w:val="00AF61B2"/>
    <w:rsid w:val="00B00824"/>
    <w:rsid w:val="00B010F9"/>
    <w:rsid w:val="00B011C6"/>
    <w:rsid w:val="00B01D4B"/>
    <w:rsid w:val="00B02341"/>
    <w:rsid w:val="00B0259D"/>
    <w:rsid w:val="00B04B19"/>
    <w:rsid w:val="00B057EA"/>
    <w:rsid w:val="00B06638"/>
    <w:rsid w:val="00B07D3E"/>
    <w:rsid w:val="00B10012"/>
    <w:rsid w:val="00B1093F"/>
    <w:rsid w:val="00B10999"/>
    <w:rsid w:val="00B11240"/>
    <w:rsid w:val="00B11440"/>
    <w:rsid w:val="00B1317B"/>
    <w:rsid w:val="00B13E37"/>
    <w:rsid w:val="00B14323"/>
    <w:rsid w:val="00B168CF"/>
    <w:rsid w:val="00B2002E"/>
    <w:rsid w:val="00B21CE5"/>
    <w:rsid w:val="00B220EF"/>
    <w:rsid w:val="00B2245F"/>
    <w:rsid w:val="00B22CF2"/>
    <w:rsid w:val="00B234FC"/>
    <w:rsid w:val="00B23A3E"/>
    <w:rsid w:val="00B23BCC"/>
    <w:rsid w:val="00B24831"/>
    <w:rsid w:val="00B25AFF"/>
    <w:rsid w:val="00B25B2E"/>
    <w:rsid w:val="00B26894"/>
    <w:rsid w:val="00B31227"/>
    <w:rsid w:val="00B32669"/>
    <w:rsid w:val="00B32A89"/>
    <w:rsid w:val="00B34100"/>
    <w:rsid w:val="00B342F9"/>
    <w:rsid w:val="00B37C1F"/>
    <w:rsid w:val="00B40486"/>
    <w:rsid w:val="00B419EA"/>
    <w:rsid w:val="00B42587"/>
    <w:rsid w:val="00B43C4E"/>
    <w:rsid w:val="00B43D28"/>
    <w:rsid w:val="00B450A1"/>
    <w:rsid w:val="00B45119"/>
    <w:rsid w:val="00B45ADB"/>
    <w:rsid w:val="00B46B20"/>
    <w:rsid w:val="00B47AF6"/>
    <w:rsid w:val="00B50245"/>
    <w:rsid w:val="00B50BF2"/>
    <w:rsid w:val="00B527EB"/>
    <w:rsid w:val="00B53649"/>
    <w:rsid w:val="00B54143"/>
    <w:rsid w:val="00B55E2D"/>
    <w:rsid w:val="00B56A4A"/>
    <w:rsid w:val="00B57285"/>
    <w:rsid w:val="00B632EB"/>
    <w:rsid w:val="00B632F2"/>
    <w:rsid w:val="00B65F8F"/>
    <w:rsid w:val="00B66988"/>
    <w:rsid w:val="00B6797C"/>
    <w:rsid w:val="00B67C76"/>
    <w:rsid w:val="00B709D4"/>
    <w:rsid w:val="00B70ED5"/>
    <w:rsid w:val="00B719CB"/>
    <w:rsid w:val="00B7216D"/>
    <w:rsid w:val="00B72E9F"/>
    <w:rsid w:val="00B73F85"/>
    <w:rsid w:val="00B74987"/>
    <w:rsid w:val="00B74E35"/>
    <w:rsid w:val="00B75D85"/>
    <w:rsid w:val="00B75DDA"/>
    <w:rsid w:val="00B76207"/>
    <w:rsid w:val="00B76B87"/>
    <w:rsid w:val="00B76D94"/>
    <w:rsid w:val="00B76F08"/>
    <w:rsid w:val="00B77895"/>
    <w:rsid w:val="00B77ED9"/>
    <w:rsid w:val="00B82FB1"/>
    <w:rsid w:val="00B86113"/>
    <w:rsid w:val="00B8637B"/>
    <w:rsid w:val="00B87017"/>
    <w:rsid w:val="00B87616"/>
    <w:rsid w:val="00B8795A"/>
    <w:rsid w:val="00B90CCE"/>
    <w:rsid w:val="00B947A6"/>
    <w:rsid w:val="00B94DB2"/>
    <w:rsid w:val="00B94EE4"/>
    <w:rsid w:val="00B96C87"/>
    <w:rsid w:val="00B97B36"/>
    <w:rsid w:val="00B97C04"/>
    <w:rsid w:val="00BA0653"/>
    <w:rsid w:val="00BA12B8"/>
    <w:rsid w:val="00BA2463"/>
    <w:rsid w:val="00BA2C87"/>
    <w:rsid w:val="00BA4615"/>
    <w:rsid w:val="00BA462E"/>
    <w:rsid w:val="00BA4D10"/>
    <w:rsid w:val="00BA74A9"/>
    <w:rsid w:val="00BB049D"/>
    <w:rsid w:val="00BB0872"/>
    <w:rsid w:val="00BB1161"/>
    <w:rsid w:val="00BB1547"/>
    <w:rsid w:val="00BB1825"/>
    <w:rsid w:val="00BB2DE7"/>
    <w:rsid w:val="00BB368D"/>
    <w:rsid w:val="00BB3C8D"/>
    <w:rsid w:val="00BB3E94"/>
    <w:rsid w:val="00BB4B86"/>
    <w:rsid w:val="00BB4E99"/>
    <w:rsid w:val="00BB6EDE"/>
    <w:rsid w:val="00BC0580"/>
    <w:rsid w:val="00BC11D8"/>
    <w:rsid w:val="00BC1CF8"/>
    <w:rsid w:val="00BC214A"/>
    <w:rsid w:val="00BC2FDD"/>
    <w:rsid w:val="00BC5A28"/>
    <w:rsid w:val="00BC6028"/>
    <w:rsid w:val="00BC7A41"/>
    <w:rsid w:val="00BD15A6"/>
    <w:rsid w:val="00BD1CFA"/>
    <w:rsid w:val="00BD40D0"/>
    <w:rsid w:val="00BD4945"/>
    <w:rsid w:val="00BD5559"/>
    <w:rsid w:val="00BD7169"/>
    <w:rsid w:val="00BD7EEE"/>
    <w:rsid w:val="00BE07CA"/>
    <w:rsid w:val="00BE1259"/>
    <w:rsid w:val="00BE25B8"/>
    <w:rsid w:val="00BE3A40"/>
    <w:rsid w:val="00BE510F"/>
    <w:rsid w:val="00BE5A8B"/>
    <w:rsid w:val="00BE5FC1"/>
    <w:rsid w:val="00BE60C6"/>
    <w:rsid w:val="00BE65EA"/>
    <w:rsid w:val="00BF2161"/>
    <w:rsid w:val="00BF2B6F"/>
    <w:rsid w:val="00BF36E3"/>
    <w:rsid w:val="00BF3755"/>
    <w:rsid w:val="00BF3FC2"/>
    <w:rsid w:val="00BF41BD"/>
    <w:rsid w:val="00BF631E"/>
    <w:rsid w:val="00C01429"/>
    <w:rsid w:val="00C02A26"/>
    <w:rsid w:val="00C0535F"/>
    <w:rsid w:val="00C06118"/>
    <w:rsid w:val="00C077AC"/>
    <w:rsid w:val="00C108B2"/>
    <w:rsid w:val="00C10B6D"/>
    <w:rsid w:val="00C110FE"/>
    <w:rsid w:val="00C11327"/>
    <w:rsid w:val="00C14892"/>
    <w:rsid w:val="00C15C13"/>
    <w:rsid w:val="00C1775F"/>
    <w:rsid w:val="00C23274"/>
    <w:rsid w:val="00C23CD2"/>
    <w:rsid w:val="00C23DD1"/>
    <w:rsid w:val="00C23EAF"/>
    <w:rsid w:val="00C251AA"/>
    <w:rsid w:val="00C26917"/>
    <w:rsid w:val="00C26F43"/>
    <w:rsid w:val="00C278C7"/>
    <w:rsid w:val="00C3088D"/>
    <w:rsid w:val="00C309BA"/>
    <w:rsid w:val="00C3225C"/>
    <w:rsid w:val="00C33BCA"/>
    <w:rsid w:val="00C34EDE"/>
    <w:rsid w:val="00C36036"/>
    <w:rsid w:val="00C37B88"/>
    <w:rsid w:val="00C419CE"/>
    <w:rsid w:val="00C42C2F"/>
    <w:rsid w:val="00C42FFC"/>
    <w:rsid w:val="00C43C9A"/>
    <w:rsid w:val="00C44181"/>
    <w:rsid w:val="00C4577F"/>
    <w:rsid w:val="00C5090F"/>
    <w:rsid w:val="00C52880"/>
    <w:rsid w:val="00C52CED"/>
    <w:rsid w:val="00C542FA"/>
    <w:rsid w:val="00C54302"/>
    <w:rsid w:val="00C54899"/>
    <w:rsid w:val="00C54B48"/>
    <w:rsid w:val="00C559A1"/>
    <w:rsid w:val="00C560DB"/>
    <w:rsid w:val="00C563EA"/>
    <w:rsid w:val="00C57DC2"/>
    <w:rsid w:val="00C60C84"/>
    <w:rsid w:val="00C63331"/>
    <w:rsid w:val="00C63408"/>
    <w:rsid w:val="00C639F3"/>
    <w:rsid w:val="00C63A55"/>
    <w:rsid w:val="00C65B3C"/>
    <w:rsid w:val="00C70302"/>
    <w:rsid w:val="00C70921"/>
    <w:rsid w:val="00C7214A"/>
    <w:rsid w:val="00C72636"/>
    <w:rsid w:val="00C7376A"/>
    <w:rsid w:val="00C74104"/>
    <w:rsid w:val="00C7429E"/>
    <w:rsid w:val="00C74507"/>
    <w:rsid w:val="00C74DE1"/>
    <w:rsid w:val="00C773B5"/>
    <w:rsid w:val="00C774A2"/>
    <w:rsid w:val="00C80787"/>
    <w:rsid w:val="00C80FE5"/>
    <w:rsid w:val="00C81047"/>
    <w:rsid w:val="00C84912"/>
    <w:rsid w:val="00C85DE7"/>
    <w:rsid w:val="00C86560"/>
    <w:rsid w:val="00C877C7"/>
    <w:rsid w:val="00C87FEC"/>
    <w:rsid w:val="00C90104"/>
    <w:rsid w:val="00C91FB9"/>
    <w:rsid w:val="00C91FD0"/>
    <w:rsid w:val="00C929DA"/>
    <w:rsid w:val="00C93AF7"/>
    <w:rsid w:val="00C94FBF"/>
    <w:rsid w:val="00C96962"/>
    <w:rsid w:val="00C97CC3"/>
    <w:rsid w:val="00CA7C7F"/>
    <w:rsid w:val="00CB067D"/>
    <w:rsid w:val="00CB0F4A"/>
    <w:rsid w:val="00CB1369"/>
    <w:rsid w:val="00CB22DC"/>
    <w:rsid w:val="00CB27EB"/>
    <w:rsid w:val="00CB3360"/>
    <w:rsid w:val="00CB492B"/>
    <w:rsid w:val="00CB5FAA"/>
    <w:rsid w:val="00CB7C8F"/>
    <w:rsid w:val="00CC27FE"/>
    <w:rsid w:val="00CC29B0"/>
    <w:rsid w:val="00CC364C"/>
    <w:rsid w:val="00CC5EC3"/>
    <w:rsid w:val="00CC6785"/>
    <w:rsid w:val="00CC766A"/>
    <w:rsid w:val="00CD0426"/>
    <w:rsid w:val="00CD0892"/>
    <w:rsid w:val="00CD22D3"/>
    <w:rsid w:val="00CD2401"/>
    <w:rsid w:val="00CD2946"/>
    <w:rsid w:val="00CD2998"/>
    <w:rsid w:val="00CD3383"/>
    <w:rsid w:val="00CD366C"/>
    <w:rsid w:val="00CD37A7"/>
    <w:rsid w:val="00CD3959"/>
    <w:rsid w:val="00CD3D7F"/>
    <w:rsid w:val="00CD4261"/>
    <w:rsid w:val="00CD5D31"/>
    <w:rsid w:val="00CD730F"/>
    <w:rsid w:val="00CE0085"/>
    <w:rsid w:val="00CE0265"/>
    <w:rsid w:val="00CE0853"/>
    <w:rsid w:val="00CE0ECF"/>
    <w:rsid w:val="00CE163A"/>
    <w:rsid w:val="00CE22DC"/>
    <w:rsid w:val="00CE24E1"/>
    <w:rsid w:val="00CE2CD3"/>
    <w:rsid w:val="00CE49DE"/>
    <w:rsid w:val="00CE50CC"/>
    <w:rsid w:val="00CF1A77"/>
    <w:rsid w:val="00CF30E3"/>
    <w:rsid w:val="00CF52DD"/>
    <w:rsid w:val="00CF627B"/>
    <w:rsid w:val="00CF7032"/>
    <w:rsid w:val="00CF7150"/>
    <w:rsid w:val="00CF793D"/>
    <w:rsid w:val="00CF7956"/>
    <w:rsid w:val="00D00B6D"/>
    <w:rsid w:val="00D011AA"/>
    <w:rsid w:val="00D0226D"/>
    <w:rsid w:val="00D05D4B"/>
    <w:rsid w:val="00D0636A"/>
    <w:rsid w:val="00D07676"/>
    <w:rsid w:val="00D07900"/>
    <w:rsid w:val="00D1079A"/>
    <w:rsid w:val="00D11715"/>
    <w:rsid w:val="00D12B71"/>
    <w:rsid w:val="00D156A1"/>
    <w:rsid w:val="00D17470"/>
    <w:rsid w:val="00D2197C"/>
    <w:rsid w:val="00D23DCC"/>
    <w:rsid w:val="00D24555"/>
    <w:rsid w:val="00D24601"/>
    <w:rsid w:val="00D24776"/>
    <w:rsid w:val="00D25818"/>
    <w:rsid w:val="00D2644B"/>
    <w:rsid w:val="00D268CF"/>
    <w:rsid w:val="00D27121"/>
    <w:rsid w:val="00D27E36"/>
    <w:rsid w:val="00D30910"/>
    <w:rsid w:val="00D3091D"/>
    <w:rsid w:val="00D33940"/>
    <w:rsid w:val="00D3404E"/>
    <w:rsid w:val="00D34064"/>
    <w:rsid w:val="00D363F9"/>
    <w:rsid w:val="00D3673F"/>
    <w:rsid w:val="00D376EA"/>
    <w:rsid w:val="00D37762"/>
    <w:rsid w:val="00D43250"/>
    <w:rsid w:val="00D43AE5"/>
    <w:rsid w:val="00D43F42"/>
    <w:rsid w:val="00D45D99"/>
    <w:rsid w:val="00D46F44"/>
    <w:rsid w:val="00D478C1"/>
    <w:rsid w:val="00D47941"/>
    <w:rsid w:val="00D50AF9"/>
    <w:rsid w:val="00D514BD"/>
    <w:rsid w:val="00D5208B"/>
    <w:rsid w:val="00D52CF9"/>
    <w:rsid w:val="00D5307C"/>
    <w:rsid w:val="00D54B61"/>
    <w:rsid w:val="00D579C7"/>
    <w:rsid w:val="00D60089"/>
    <w:rsid w:val="00D60614"/>
    <w:rsid w:val="00D616F6"/>
    <w:rsid w:val="00D61D65"/>
    <w:rsid w:val="00D638F1"/>
    <w:rsid w:val="00D63A32"/>
    <w:rsid w:val="00D659CE"/>
    <w:rsid w:val="00D71466"/>
    <w:rsid w:val="00D71926"/>
    <w:rsid w:val="00D71D9E"/>
    <w:rsid w:val="00D7208E"/>
    <w:rsid w:val="00D76D64"/>
    <w:rsid w:val="00D76F1C"/>
    <w:rsid w:val="00D7769F"/>
    <w:rsid w:val="00D77DB2"/>
    <w:rsid w:val="00D77E8C"/>
    <w:rsid w:val="00D77ECE"/>
    <w:rsid w:val="00D803A8"/>
    <w:rsid w:val="00D804D6"/>
    <w:rsid w:val="00D81241"/>
    <w:rsid w:val="00D842B0"/>
    <w:rsid w:val="00D868D0"/>
    <w:rsid w:val="00D8727B"/>
    <w:rsid w:val="00D9062E"/>
    <w:rsid w:val="00D9100B"/>
    <w:rsid w:val="00D9141F"/>
    <w:rsid w:val="00D9236E"/>
    <w:rsid w:val="00D93BB3"/>
    <w:rsid w:val="00D941FF"/>
    <w:rsid w:val="00D943AF"/>
    <w:rsid w:val="00D9698E"/>
    <w:rsid w:val="00DA16A1"/>
    <w:rsid w:val="00DA1886"/>
    <w:rsid w:val="00DA25C0"/>
    <w:rsid w:val="00DA36D3"/>
    <w:rsid w:val="00DA48ED"/>
    <w:rsid w:val="00DA498A"/>
    <w:rsid w:val="00DA6B12"/>
    <w:rsid w:val="00DB0951"/>
    <w:rsid w:val="00DB0C03"/>
    <w:rsid w:val="00DB192E"/>
    <w:rsid w:val="00DB2C20"/>
    <w:rsid w:val="00DB3BF3"/>
    <w:rsid w:val="00DB3C4B"/>
    <w:rsid w:val="00DB498E"/>
    <w:rsid w:val="00DB5739"/>
    <w:rsid w:val="00DB5D02"/>
    <w:rsid w:val="00DB7AF9"/>
    <w:rsid w:val="00DC0CB7"/>
    <w:rsid w:val="00DC0D2D"/>
    <w:rsid w:val="00DC338C"/>
    <w:rsid w:val="00DC3C04"/>
    <w:rsid w:val="00DC4433"/>
    <w:rsid w:val="00DC5BAC"/>
    <w:rsid w:val="00DC5D67"/>
    <w:rsid w:val="00DC6351"/>
    <w:rsid w:val="00DC6BE1"/>
    <w:rsid w:val="00DC724F"/>
    <w:rsid w:val="00DD2576"/>
    <w:rsid w:val="00DD553C"/>
    <w:rsid w:val="00DD6FAA"/>
    <w:rsid w:val="00DE0197"/>
    <w:rsid w:val="00DE0718"/>
    <w:rsid w:val="00DE07D2"/>
    <w:rsid w:val="00DE3773"/>
    <w:rsid w:val="00DE5D58"/>
    <w:rsid w:val="00DE7F46"/>
    <w:rsid w:val="00DF04C0"/>
    <w:rsid w:val="00DF0BBF"/>
    <w:rsid w:val="00DF2F7C"/>
    <w:rsid w:val="00DF2F85"/>
    <w:rsid w:val="00DF50BA"/>
    <w:rsid w:val="00DF57E9"/>
    <w:rsid w:val="00DF5C89"/>
    <w:rsid w:val="00DF66E9"/>
    <w:rsid w:val="00E000D7"/>
    <w:rsid w:val="00E0115F"/>
    <w:rsid w:val="00E0146E"/>
    <w:rsid w:val="00E02C0A"/>
    <w:rsid w:val="00E04922"/>
    <w:rsid w:val="00E04C50"/>
    <w:rsid w:val="00E058F6"/>
    <w:rsid w:val="00E06E44"/>
    <w:rsid w:val="00E07065"/>
    <w:rsid w:val="00E07C0C"/>
    <w:rsid w:val="00E10EB4"/>
    <w:rsid w:val="00E11427"/>
    <w:rsid w:val="00E12DD3"/>
    <w:rsid w:val="00E13184"/>
    <w:rsid w:val="00E13769"/>
    <w:rsid w:val="00E15247"/>
    <w:rsid w:val="00E15723"/>
    <w:rsid w:val="00E2050C"/>
    <w:rsid w:val="00E21EBB"/>
    <w:rsid w:val="00E22FCF"/>
    <w:rsid w:val="00E254F0"/>
    <w:rsid w:val="00E26748"/>
    <w:rsid w:val="00E26E4D"/>
    <w:rsid w:val="00E272D5"/>
    <w:rsid w:val="00E3001C"/>
    <w:rsid w:val="00E30E1C"/>
    <w:rsid w:val="00E329DD"/>
    <w:rsid w:val="00E32AB5"/>
    <w:rsid w:val="00E32D89"/>
    <w:rsid w:val="00E32F37"/>
    <w:rsid w:val="00E33294"/>
    <w:rsid w:val="00E33DF0"/>
    <w:rsid w:val="00E34693"/>
    <w:rsid w:val="00E346A3"/>
    <w:rsid w:val="00E36268"/>
    <w:rsid w:val="00E366A1"/>
    <w:rsid w:val="00E373B7"/>
    <w:rsid w:val="00E3782C"/>
    <w:rsid w:val="00E415E1"/>
    <w:rsid w:val="00E41DC4"/>
    <w:rsid w:val="00E41E1A"/>
    <w:rsid w:val="00E46A52"/>
    <w:rsid w:val="00E47663"/>
    <w:rsid w:val="00E508C6"/>
    <w:rsid w:val="00E51035"/>
    <w:rsid w:val="00E5126A"/>
    <w:rsid w:val="00E52061"/>
    <w:rsid w:val="00E608BF"/>
    <w:rsid w:val="00E61366"/>
    <w:rsid w:val="00E64B51"/>
    <w:rsid w:val="00E65A03"/>
    <w:rsid w:val="00E66205"/>
    <w:rsid w:val="00E6727C"/>
    <w:rsid w:val="00E714B8"/>
    <w:rsid w:val="00E72030"/>
    <w:rsid w:val="00E73303"/>
    <w:rsid w:val="00E738C8"/>
    <w:rsid w:val="00E739B0"/>
    <w:rsid w:val="00E74598"/>
    <w:rsid w:val="00E7640D"/>
    <w:rsid w:val="00E77190"/>
    <w:rsid w:val="00E77D78"/>
    <w:rsid w:val="00E80114"/>
    <w:rsid w:val="00E809F8"/>
    <w:rsid w:val="00E80B8D"/>
    <w:rsid w:val="00E8167C"/>
    <w:rsid w:val="00E82CBE"/>
    <w:rsid w:val="00E82CC2"/>
    <w:rsid w:val="00E83615"/>
    <w:rsid w:val="00E84667"/>
    <w:rsid w:val="00E84A4C"/>
    <w:rsid w:val="00E84D94"/>
    <w:rsid w:val="00E87BB7"/>
    <w:rsid w:val="00E87BEC"/>
    <w:rsid w:val="00E911CE"/>
    <w:rsid w:val="00E91242"/>
    <w:rsid w:val="00E91CA3"/>
    <w:rsid w:val="00E927F3"/>
    <w:rsid w:val="00E94E5B"/>
    <w:rsid w:val="00E95899"/>
    <w:rsid w:val="00E977EF"/>
    <w:rsid w:val="00E97A24"/>
    <w:rsid w:val="00EA02A9"/>
    <w:rsid w:val="00EA1993"/>
    <w:rsid w:val="00EA2123"/>
    <w:rsid w:val="00EA3E47"/>
    <w:rsid w:val="00EA44AA"/>
    <w:rsid w:val="00EA4EF0"/>
    <w:rsid w:val="00EA5703"/>
    <w:rsid w:val="00EA599C"/>
    <w:rsid w:val="00EA6055"/>
    <w:rsid w:val="00EA6EB9"/>
    <w:rsid w:val="00EA7F62"/>
    <w:rsid w:val="00EB0F6E"/>
    <w:rsid w:val="00EB1C10"/>
    <w:rsid w:val="00EB1E58"/>
    <w:rsid w:val="00EB3292"/>
    <w:rsid w:val="00EB3D17"/>
    <w:rsid w:val="00EB4434"/>
    <w:rsid w:val="00EB4897"/>
    <w:rsid w:val="00EB5C64"/>
    <w:rsid w:val="00EB797B"/>
    <w:rsid w:val="00EB7A2D"/>
    <w:rsid w:val="00EC11A1"/>
    <w:rsid w:val="00EC11BC"/>
    <w:rsid w:val="00EC1291"/>
    <w:rsid w:val="00EC1A28"/>
    <w:rsid w:val="00EC33A5"/>
    <w:rsid w:val="00EC6ADD"/>
    <w:rsid w:val="00ED1456"/>
    <w:rsid w:val="00ED210C"/>
    <w:rsid w:val="00ED3AAC"/>
    <w:rsid w:val="00ED3E43"/>
    <w:rsid w:val="00ED3E9D"/>
    <w:rsid w:val="00ED4498"/>
    <w:rsid w:val="00ED4CDF"/>
    <w:rsid w:val="00ED5FA9"/>
    <w:rsid w:val="00ED7834"/>
    <w:rsid w:val="00EE371F"/>
    <w:rsid w:val="00EE4EA9"/>
    <w:rsid w:val="00EE5937"/>
    <w:rsid w:val="00EE71EB"/>
    <w:rsid w:val="00EF0630"/>
    <w:rsid w:val="00EF0A38"/>
    <w:rsid w:val="00EF31DE"/>
    <w:rsid w:val="00EF5047"/>
    <w:rsid w:val="00EF54AB"/>
    <w:rsid w:val="00EF5BB7"/>
    <w:rsid w:val="00EF66AC"/>
    <w:rsid w:val="00F0072B"/>
    <w:rsid w:val="00F00D38"/>
    <w:rsid w:val="00F026A9"/>
    <w:rsid w:val="00F02FEB"/>
    <w:rsid w:val="00F039AE"/>
    <w:rsid w:val="00F05203"/>
    <w:rsid w:val="00F05942"/>
    <w:rsid w:val="00F05BE4"/>
    <w:rsid w:val="00F111E4"/>
    <w:rsid w:val="00F11735"/>
    <w:rsid w:val="00F131FF"/>
    <w:rsid w:val="00F13493"/>
    <w:rsid w:val="00F14E89"/>
    <w:rsid w:val="00F16DFD"/>
    <w:rsid w:val="00F20BA8"/>
    <w:rsid w:val="00F20E25"/>
    <w:rsid w:val="00F212CD"/>
    <w:rsid w:val="00F22F06"/>
    <w:rsid w:val="00F24BB7"/>
    <w:rsid w:val="00F263DE"/>
    <w:rsid w:val="00F27474"/>
    <w:rsid w:val="00F27DEC"/>
    <w:rsid w:val="00F3002C"/>
    <w:rsid w:val="00F3186A"/>
    <w:rsid w:val="00F31D2D"/>
    <w:rsid w:val="00F31F51"/>
    <w:rsid w:val="00F32131"/>
    <w:rsid w:val="00F3453B"/>
    <w:rsid w:val="00F34C95"/>
    <w:rsid w:val="00F353FA"/>
    <w:rsid w:val="00F35603"/>
    <w:rsid w:val="00F35DE9"/>
    <w:rsid w:val="00F373EB"/>
    <w:rsid w:val="00F40B43"/>
    <w:rsid w:val="00F41FC2"/>
    <w:rsid w:val="00F43BB0"/>
    <w:rsid w:val="00F43C55"/>
    <w:rsid w:val="00F44255"/>
    <w:rsid w:val="00F452E3"/>
    <w:rsid w:val="00F47888"/>
    <w:rsid w:val="00F51823"/>
    <w:rsid w:val="00F51E4F"/>
    <w:rsid w:val="00F51FB8"/>
    <w:rsid w:val="00F52F56"/>
    <w:rsid w:val="00F531FC"/>
    <w:rsid w:val="00F5366E"/>
    <w:rsid w:val="00F53836"/>
    <w:rsid w:val="00F541BE"/>
    <w:rsid w:val="00F54281"/>
    <w:rsid w:val="00F56E39"/>
    <w:rsid w:val="00F57F3D"/>
    <w:rsid w:val="00F602DC"/>
    <w:rsid w:val="00F60B85"/>
    <w:rsid w:val="00F6104D"/>
    <w:rsid w:val="00F61785"/>
    <w:rsid w:val="00F640AA"/>
    <w:rsid w:val="00F65B7A"/>
    <w:rsid w:val="00F66046"/>
    <w:rsid w:val="00F70663"/>
    <w:rsid w:val="00F70B3C"/>
    <w:rsid w:val="00F70BEB"/>
    <w:rsid w:val="00F71E8F"/>
    <w:rsid w:val="00F7384B"/>
    <w:rsid w:val="00F74C4E"/>
    <w:rsid w:val="00F76CFE"/>
    <w:rsid w:val="00F800B0"/>
    <w:rsid w:val="00F80C46"/>
    <w:rsid w:val="00F81C9B"/>
    <w:rsid w:val="00F84CD6"/>
    <w:rsid w:val="00F854CD"/>
    <w:rsid w:val="00F85A3D"/>
    <w:rsid w:val="00F86021"/>
    <w:rsid w:val="00F869AA"/>
    <w:rsid w:val="00F87024"/>
    <w:rsid w:val="00F879DB"/>
    <w:rsid w:val="00F87AC5"/>
    <w:rsid w:val="00F90BE1"/>
    <w:rsid w:val="00F9108D"/>
    <w:rsid w:val="00F924F8"/>
    <w:rsid w:val="00F927C2"/>
    <w:rsid w:val="00F93D67"/>
    <w:rsid w:val="00F941DD"/>
    <w:rsid w:val="00F950F8"/>
    <w:rsid w:val="00F963DA"/>
    <w:rsid w:val="00F96DB7"/>
    <w:rsid w:val="00F9729B"/>
    <w:rsid w:val="00FA1174"/>
    <w:rsid w:val="00FA2750"/>
    <w:rsid w:val="00FA2F09"/>
    <w:rsid w:val="00FA3635"/>
    <w:rsid w:val="00FA4C78"/>
    <w:rsid w:val="00FA5084"/>
    <w:rsid w:val="00FA6E68"/>
    <w:rsid w:val="00FA7FD6"/>
    <w:rsid w:val="00FB10FA"/>
    <w:rsid w:val="00FB22E4"/>
    <w:rsid w:val="00FB415B"/>
    <w:rsid w:val="00FB4339"/>
    <w:rsid w:val="00FB493F"/>
    <w:rsid w:val="00FB5B13"/>
    <w:rsid w:val="00FB5F82"/>
    <w:rsid w:val="00FB6068"/>
    <w:rsid w:val="00FB64F3"/>
    <w:rsid w:val="00FB789A"/>
    <w:rsid w:val="00FB7B16"/>
    <w:rsid w:val="00FB7B95"/>
    <w:rsid w:val="00FC0307"/>
    <w:rsid w:val="00FC0C59"/>
    <w:rsid w:val="00FC215E"/>
    <w:rsid w:val="00FC234E"/>
    <w:rsid w:val="00FC27BB"/>
    <w:rsid w:val="00FC3CB3"/>
    <w:rsid w:val="00FC4E01"/>
    <w:rsid w:val="00FC74BF"/>
    <w:rsid w:val="00FC7E86"/>
    <w:rsid w:val="00FD1DF6"/>
    <w:rsid w:val="00FD252B"/>
    <w:rsid w:val="00FD2938"/>
    <w:rsid w:val="00FD2AEF"/>
    <w:rsid w:val="00FD2D64"/>
    <w:rsid w:val="00FD4952"/>
    <w:rsid w:val="00FD59AD"/>
    <w:rsid w:val="00FD5CA0"/>
    <w:rsid w:val="00FD697A"/>
    <w:rsid w:val="00FD7343"/>
    <w:rsid w:val="00FD741B"/>
    <w:rsid w:val="00FD7B1E"/>
    <w:rsid w:val="00FE1570"/>
    <w:rsid w:val="00FE17AC"/>
    <w:rsid w:val="00FE1B3E"/>
    <w:rsid w:val="00FE33B8"/>
    <w:rsid w:val="00FE39D3"/>
    <w:rsid w:val="00FE4431"/>
    <w:rsid w:val="00FE4A11"/>
    <w:rsid w:val="00FE5568"/>
    <w:rsid w:val="00FF0A67"/>
    <w:rsid w:val="00FF1033"/>
    <w:rsid w:val="00FF2438"/>
    <w:rsid w:val="00FF3CBA"/>
    <w:rsid w:val="00FF46BE"/>
    <w:rsid w:val="00FF50BC"/>
    <w:rsid w:val="08447960"/>
    <w:rsid w:val="08752264"/>
    <w:rsid w:val="0B0758BE"/>
    <w:rsid w:val="0DC13FA6"/>
    <w:rsid w:val="0EC341CA"/>
    <w:rsid w:val="13EF23B9"/>
    <w:rsid w:val="20182DAE"/>
    <w:rsid w:val="2B6667B9"/>
    <w:rsid w:val="34B67403"/>
    <w:rsid w:val="3EF51CD7"/>
    <w:rsid w:val="45FA4ED0"/>
    <w:rsid w:val="491F25C4"/>
    <w:rsid w:val="4A7A0104"/>
    <w:rsid w:val="4B7F7B7B"/>
    <w:rsid w:val="4F3F64E0"/>
    <w:rsid w:val="56106C44"/>
    <w:rsid w:val="61C5221B"/>
    <w:rsid w:val="642854C9"/>
    <w:rsid w:val="6ECF169E"/>
    <w:rsid w:val="738F4B9C"/>
    <w:rsid w:val="9DDF3624"/>
    <w:rsid w:val="F6EFA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4"/>
      <w:szCs w:val="22"/>
      <w:lang w:val="en-US" w:eastAsia="zh-CN" w:bidi="ar-SA"/>
    </w:rPr>
  </w:style>
  <w:style w:type="paragraph" w:styleId="2">
    <w:name w:val="heading 1"/>
    <w:next w:val="1"/>
    <w:link w:val="20"/>
    <w:qFormat/>
    <w:uiPriority w:val="9"/>
    <w:pPr>
      <w:spacing w:before="50" w:beforeLines="50" w:after="100" w:afterLines="100" w:line="500" w:lineRule="exact"/>
      <w:jc w:val="center"/>
      <w:outlineLvl w:val="0"/>
    </w:pPr>
    <w:rPr>
      <w:rFonts w:ascii="黑体" w:hAnsi="黑体" w:eastAsia="黑体" w:cs="Times New Roman"/>
      <w:b/>
      <w:kern w:val="2"/>
      <w:sz w:val="32"/>
      <w:szCs w:val="22"/>
      <w:lang w:val="en-US" w:eastAsia="zh-CN" w:bidi="ar-SA"/>
    </w:rPr>
  </w:style>
  <w:style w:type="paragraph" w:styleId="3">
    <w:name w:val="heading 2"/>
    <w:next w:val="1"/>
    <w:link w:val="21"/>
    <w:qFormat/>
    <w:uiPriority w:val="9"/>
    <w:pPr>
      <w:numPr>
        <w:ilvl w:val="1"/>
        <w:numId w:val="1"/>
      </w:numPr>
      <w:spacing w:before="50" w:beforeLines="50" w:after="50" w:afterLines="50" w:line="500" w:lineRule="exact"/>
      <w:outlineLvl w:val="1"/>
    </w:pPr>
    <w:rPr>
      <w:rFonts w:ascii="黑体" w:hAnsi="黑体" w:eastAsia="黑体" w:cs="Times New Roman"/>
      <w:b/>
      <w:kern w:val="2"/>
      <w:sz w:val="30"/>
      <w:szCs w:val="22"/>
      <w:lang w:val="en-US" w:eastAsia="zh-CN" w:bidi="ar-SA"/>
    </w:rPr>
  </w:style>
  <w:style w:type="paragraph" w:styleId="4">
    <w:name w:val="heading 3"/>
    <w:next w:val="1"/>
    <w:link w:val="22"/>
    <w:qFormat/>
    <w:uiPriority w:val="9"/>
    <w:pPr>
      <w:numPr>
        <w:ilvl w:val="2"/>
        <w:numId w:val="1"/>
      </w:numPr>
      <w:spacing w:before="50" w:beforeLines="50" w:after="50" w:afterLines="50" w:line="360" w:lineRule="auto"/>
      <w:outlineLvl w:val="2"/>
    </w:pPr>
    <w:rPr>
      <w:rFonts w:ascii="宋体" w:hAnsi="宋体" w:eastAsia="黑体" w:cs="Times New Roman"/>
      <w:b/>
      <w:kern w:val="2"/>
      <w:sz w:val="28"/>
      <w:szCs w:val="22"/>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unhideWhenUsed/>
    <w:qFormat/>
    <w:uiPriority w:val="99"/>
    <w:pPr>
      <w:jc w:val="left"/>
    </w:pPr>
  </w:style>
  <w:style w:type="paragraph" w:styleId="6">
    <w:name w:val="toc 3"/>
    <w:basedOn w:val="1"/>
    <w:next w:val="1"/>
    <w:unhideWhenUsed/>
    <w:qFormat/>
    <w:uiPriority w:val="39"/>
    <w:pPr>
      <w:widowControl/>
      <w:spacing w:after="100" w:line="259" w:lineRule="auto"/>
      <w:ind w:left="440"/>
      <w:jc w:val="left"/>
    </w:pPr>
    <w:rPr>
      <w:rFonts w:ascii="等线" w:hAnsi="等线" w:eastAsia="等线"/>
      <w:kern w:val="0"/>
      <w:sz w:val="22"/>
    </w:rPr>
  </w:style>
  <w:style w:type="paragraph" w:styleId="7">
    <w:name w:val="Balloon Text"/>
    <w:basedOn w:val="1"/>
    <w:link w:val="24"/>
    <w:unhideWhenUsed/>
    <w:qFormat/>
    <w:uiPriority w:val="99"/>
    <w:pPr>
      <w:spacing w:line="240" w:lineRule="auto"/>
    </w:pPr>
    <w:rPr>
      <w:sz w:val="18"/>
      <w:szCs w:val="18"/>
    </w:rPr>
  </w:style>
  <w:style w:type="paragraph" w:styleId="8">
    <w:name w:val="footer"/>
    <w:basedOn w:val="1"/>
    <w:link w:val="25"/>
    <w:unhideWhenUsed/>
    <w:qFormat/>
    <w:uiPriority w:val="99"/>
    <w:pPr>
      <w:tabs>
        <w:tab w:val="center" w:pos="4153"/>
        <w:tab w:val="right" w:pos="8306"/>
      </w:tabs>
      <w:snapToGrid w:val="0"/>
      <w:jc w:val="left"/>
    </w:pPr>
    <w:rPr>
      <w:rFonts w:ascii="等线" w:hAnsi="等线" w:eastAsia="等线"/>
      <w:sz w:val="18"/>
      <w:szCs w:val="18"/>
    </w:rPr>
  </w:style>
  <w:style w:type="paragraph" w:styleId="9">
    <w:name w:val="header"/>
    <w:basedOn w:val="1"/>
    <w:link w:val="26"/>
    <w:unhideWhenUsed/>
    <w:qFormat/>
    <w:uiPriority w:val="99"/>
    <w:pPr>
      <w:pBdr>
        <w:bottom w:val="single" w:color="auto" w:sz="6" w:space="1"/>
      </w:pBdr>
      <w:tabs>
        <w:tab w:val="center" w:pos="4153"/>
        <w:tab w:val="right" w:pos="8306"/>
      </w:tabs>
      <w:snapToGrid w:val="0"/>
      <w:jc w:val="center"/>
    </w:pPr>
    <w:rPr>
      <w:rFonts w:ascii="等线" w:hAnsi="等线" w:eastAsia="等线"/>
      <w:sz w:val="18"/>
      <w:szCs w:val="18"/>
    </w:rPr>
  </w:style>
  <w:style w:type="paragraph" w:styleId="10">
    <w:name w:val="toc 1"/>
    <w:basedOn w:val="1"/>
    <w:next w:val="1"/>
    <w:unhideWhenUsed/>
    <w:qFormat/>
    <w:uiPriority w:val="39"/>
    <w:pPr>
      <w:widowControl/>
      <w:spacing w:after="100" w:line="259" w:lineRule="auto"/>
      <w:jc w:val="left"/>
    </w:pPr>
    <w:rPr>
      <w:rFonts w:ascii="等线" w:hAnsi="等线" w:eastAsia="等线"/>
      <w:kern w:val="0"/>
      <w:sz w:val="22"/>
    </w:rPr>
  </w:style>
  <w:style w:type="paragraph" w:styleId="11">
    <w:name w:val="toc 2"/>
    <w:basedOn w:val="1"/>
    <w:next w:val="1"/>
    <w:unhideWhenUsed/>
    <w:qFormat/>
    <w:uiPriority w:val="39"/>
    <w:pPr>
      <w:widowControl/>
      <w:spacing w:after="100" w:line="259" w:lineRule="auto"/>
      <w:ind w:left="220"/>
      <w:jc w:val="left"/>
    </w:pPr>
    <w:rPr>
      <w:rFonts w:ascii="等线" w:hAnsi="等线" w:eastAsia="等线"/>
      <w:kern w:val="0"/>
      <w:sz w:val="22"/>
    </w:rPr>
  </w:style>
  <w:style w:type="paragraph" w:styleId="12">
    <w:name w:val="Normal (Web)"/>
    <w:basedOn w:val="1"/>
    <w:unhideWhenUsed/>
    <w:qFormat/>
    <w:uiPriority w:val="99"/>
    <w:pPr>
      <w:widowControl/>
      <w:spacing w:before="100" w:beforeAutospacing="1" w:after="100" w:afterAutospacing="1" w:line="240" w:lineRule="auto"/>
      <w:jc w:val="left"/>
    </w:pPr>
    <w:rPr>
      <w:rFonts w:ascii="宋体" w:hAnsi="宋体" w:cs="宋体"/>
      <w:kern w:val="0"/>
      <w:szCs w:val="24"/>
    </w:rPr>
  </w:style>
  <w:style w:type="paragraph" w:styleId="13">
    <w:name w:val="annotation subject"/>
    <w:basedOn w:val="5"/>
    <w:next w:val="5"/>
    <w:link w:val="27"/>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customStyle="1" w:styleId="20">
    <w:name w:val="标题 1 字符"/>
    <w:link w:val="2"/>
    <w:qFormat/>
    <w:uiPriority w:val="9"/>
    <w:rPr>
      <w:rFonts w:ascii="黑体" w:hAnsi="黑体" w:eastAsia="黑体"/>
      <w:b/>
      <w:sz w:val="32"/>
    </w:rPr>
  </w:style>
  <w:style w:type="character" w:customStyle="1" w:styleId="21">
    <w:name w:val="标题 2 字符"/>
    <w:link w:val="3"/>
    <w:qFormat/>
    <w:uiPriority w:val="9"/>
    <w:rPr>
      <w:rFonts w:ascii="黑体" w:hAnsi="黑体" w:eastAsia="黑体"/>
      <w:b/>
      <w:sz w:val="30"/>
    </w:rPr>
  </w:style>
  <w:style w:type="character" w:customStyle="1" w:styleId="22">
    <w:name w:val="标题 3 字符"/>
    <w:link w:val="4"/>
    <w:qFormat/>
    <w:uiPriority w:val="9"/>
    <w:rPr>
      <w:rFonts w:ascii="宋体" w:hAnsi="宋体" w:eastAsia="黑体"/>
      <w:b/>
      <w:sz w:val="28"/>
    </w:rPr>
  </w:style>
  <w:style w:type="character" w:customStyle="1" w:styleId="23">
    <w:name w:val="批注文字 字符"/>
    <w:link w:val="5"/>
    <w:qFormat/>
    <w:uiPriority w:val="99"/>
    <w:rPr>
      <w:rFonts w:ascii="Calibri" w:hAnsi="Calibri" w:eastAsia="宋体" w:cs="Times New Roman"/>
      <w:sz w:val="24"/>
    </w:rPr>
  </w:style>
  <w:style w:type="character" w:customStyle="1" w:styleId="24">
    <w:name w:val="批注框文本 字符"/>
    <w:link w:val="7"/>
    <w:semiHidden/>
    <w:qFormat/>
    <w:uiPriority w:val="99"/>
    <w:rPr>
      <w:rFonts w:ascii="Calibri" w:hAnsi="Calibri" w:eastAsia="宋体" w:cs="Times New Roman"/>
      <w:sz w:val="18"/>
      <w:szCs w:val="18"/>
    </w:rPr>
  </w:style>
  <w:style w:type="character" w:customStyle="1" w:styleId="25">
    <w:name w:val="页脚 字符"/>
    <w:link w:val="8"/>
    <w:qFormat/>
    <w:uiPriority w:val="99"/>
    <w:rPr>
      <w:sz w:val="18"/>
      <w:szCs w:val="18"/>
    </w:rPr>
  </w:style>
  <w:style w:type="character" w:customStyle="1" w:styleId="26">
    <w:name w:val="页眉 字符"/>
    <w:link w:val="9"/>
    <w:qFormat/>
    <w:uiPriority w:val="99"/>
    <w:rPr>
      <w:sz w:val="18"/>
      <w:szCs w:val="18"/>
    </w:rPr>
  </w:style>
  <w:style w:type="character" w:customStyle="1" w:styleId="27">
    <w:name w:val="批注主题 字符"/>
    <w:link w:val="13"/>
    <w:semiHidden/>
    <w:qFormat/>
    <w:uiPriority w:val="99"/>
    <w:rPr>
      <w:rFonts w:ascii="Calibri" w:hAnsi="Calibri" w:eastAsia="宋体" w:cs="Times New Roman"/>
      <w:b/>
      <w:bCs/>
      <w:sz w:val="24"/>
    </w:rPr>
  </w:style>
  <w:style w:type="character" w:customStyle="1" w:styleId="28">
    <w:name w:val="bjh-p"/>
    <w:qFormat/>
    <w:uiPriority w:val="0"/>
  </w:style>
  <w:style w:type="character" w:customStyle="1" w:styleId="29">
    <w:name w:val="页眉 字符1"/>
    <w:semiHidden/>
    <w:qFormat/>
    <w:uiPriority w:val="99"/>
    <w:rPr>
      <w:rFonts w:ascii="Calibri" w:hAnsi="Calibri" w:eastAsia="宋体" w:cs="Times New Roman"/>
      <w:sz w:val="18"/>
      <w:szCs w:val="18"/>
    </w:rPr>
  </w:style>
  <w:style w:type="character" w:customStyle="1" w:styleId="30">
    <w:name w:val="页脚 字符1"/>
    <w:semiHidden/>
    <w:qFormat/>
    <w:uiPriority w:val="99"/>
    <w:rPr>
      <w:rFonts w:ascii="Calibri" w:hAnsi="Calibri" w:eastAsia="宋体" w:cs="Times New Roman"/>
      <w:sz w:val="18"/>
      <w:szCs w:val="18"/>
    </w:rPr>
  </w:style>
  <w:style w:type="paragraph" w:styleId="31">
    <w:name w:val="List Paragraph"/>
    <w:basedOn w:val="1"/>
    <w:qFormat/>
    <w:uiPriority w:val="34"/>
    <w:pPr>
      <w:ind w:firstLine="420" w:firstLineChars="200"/>
    </w:pPr>
  </w:style>
  <w:style w:type="table" w:customStyle="1" w:styleId="32">
    <w:name w:val="TableGrid"/>
    <w:qFormat/>
    <w:uiPriority w:val="0"/>
    <w:tblPr>
      <w:tblCellMar>
        <w:top w:w="0" w:type="dxa"/>
        <w:left w:w="0" w:type="dxa"/>
        <w:bottom w:w="0" w:type="dxa"/>
        <w:right w:w="0" w:type="dxa"/>
      </w:tblCellMar>
    </w:tblPr>
  </w:style>
  <w:style w:type="paragraph" w:customStyle="1" w:styleId="33">
    <w:name w:val="TOC 标题1"/>
    <w:basedOn w:val="2"/>
    <w:next w:val="1"/>
    <w:unhideWhenUsed/>
    <w:qFormat/>
    <w:uiPriority w:val="39"/>
    <w:pPr>
      <w:keepNext/>
      <w:keepLines/>
      <w:spacing w:before="240" w:beforeLines="0" w:after="0" w:afterLines="0" w:line="259" w:lineRule="auto"/>
      <w:jc w:val="left"/>
      <w:outlineLvl w:val="9"/>
    </w:pPr>
    <w:rPr>
      <w:rFonts w:ascii="等线 Light" w:hAnsi="等线 Light" w:eastAsia="等线 Light"/>
      <w:b w:val="0"/>
      <w:color w:val="2F5496"/>
      <w:kern w:val="0"/>
      <w:szCs w:val="32"/>
    </w:rPr>
  </w:style>
  <w:style w:type="paragraph" w:customStyle="1" w:styleId="34">
    <w:name w:val="_Style 25"/>
    <w:basedOn w:val="1"/>
    <w:next w:val="1"/>
    <w:unhideWhenUsed/>
    <w:qFormat/>
    <w:uiPriority w:val="39"/>
  </w:style>
  <w:style w:type="table" w:customStyle="1" w:styleId="35">
    <w:name w:val="网格型1"/>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6">
    <w:name w:val="网格型11"/>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7">
    <w:name w:val="修订1"/>
    <w:semiHidden/>
    <w:qFormat/>
    <w:uiPriority w:val="99"/>
    <w:rPr>
      <w:rFonts w:ascii="Calibri" w:hAnsi="Calibri" w:eastAsia="宋体" w:cs="Times New Roman"/>
      <w:kern w:val="2"/>
      <w:sz w:val="24"/>
      <w:szCs w:val="22"/>
      <w:lang w:val="en-US" w:eastAsia="zh-CN" w:bidi="ar-SA"/>
    </w:rPr>
  </w:style>
  <w:style w:type="table" w:customStyle="1" w:styleId="38">
    <w:name w:val="网格型2"/>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
    <w:name w:val="text_rqwoq"/>
    <w:qFormat/>
    <w:uiPriority w:val="0"/>
  </w:style>
  <w:style w:type="character" w:customStyle="1" w:styleId="40">
    <w:name w:val="text_zc8pp"/>
    <w:qFormat/>
    <w:uiPriority w:val="0"/>
  </w:style>
  <w:style w:type="paragraph" w:customStyle="1" w:styleId="41">
    <w:name w:val="contentfont"/>
    <w:basedOn w:val="1"/>
    <w:qFormat/>
    <w:uiPriority w:val="0"/>
    <w:pPr>
      <w:widowControl/>
      <w:spacing w:before="100" w:beforeAutospacing="1" w:after="100" w:afterAutospacing="1" w:line="240" w:lineRule="auto"/>
      <w:jc w:val="left"/>
    </w:pPr>
    <w:rPr>
      <w:rFonts w:ascii="宋体" w:hAnsi="宋体" w:cs="宋体"/>
      <w:kern w:val="0"/>
      <w:szCs w:val="24"/>
    </w:rPr>
  </w:style>
  <w:style w:type="paragraph" w:customStyle="1" w:styleId="4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43">
    <w:name w:val="pf0"/>
    <w:basedOn w:val="1"/>
    <w:qFormat/>
    <w:uiPriority w:val="0"/>
    <w:pPr>
      <w:widowControl/>
      <w:spacing w:before="100" w:beforeAutospacing="1" w:after="100" w:afterAutospacing="1" w:line="240" w:lineRule="auto"/>
      <w:jc w:val="left"/>
    </w:pPr>
    <w:rPr>
      <w:rFonts w:ascii="宋体" w:hAnsi="宋体" w:cs="宋体"/>
      <w:kern w:val="0"/>
      <w:szCs w:val="24"/>
    </w:rPr>
  </w:style>
  <w:style w:type="character" w:customStyle="1" w:styleId="44">
    <w:name w:val="cf01"/>
    <w:qFormat/>
    <w:uiPriority w:val="0"/>
    <w:rPr>
      <w:rFonts w:hint="eastAsia" w:ascii="Microsoft YaHei UI" w:hAnsi="Microsoft YaHei UI" w:eastAsia="Microsoft YaHei UI"/>
      <w:sz w:val="18"/>
      <w:szCs w:val="18"/>
    </w:rPr>
  </w:style>
  <w:style w:type="character" w:customStyle="1" w:styleId="45">
    <w:name w:val="text_b5oqs"/>
    <w:qFormat/>
    <w:uiPriority w:val="0"/>
  </w:style>
  <w:style w:type="paragraph" w:customStyle="1" w:styleId="46">
    <w:name w:val="修订2"/>
    <w:hidden/>
    <w:unhideWhenUsed/>
    <w:qFormat/>
    <w:uiPriority w:val="99"/>
    <w:rPr>
      <w:rFonts w:ascii="Calibri" w:hAnsi="Calibri" w:eastAsia="宋体" w:cs="Times New Roman"/>
      <w:kern w:val="2"/>
      <w:sz w:val="24"/>
      <w:szCs w:val="22"/>
      <w:lang w:val="en-US" w:eastAsia="zh-CN" w:bidi="ar-SA"/>
    </w:rPr>
  </w:style>
  <w:style w:type="character" w:customStyle="1" w:styleId="47">
    <w:name w:val="未处理的提及1"/>
    <w:semiHidden/>
    <w:unhideWhenUsed/>
    <w:qFormat/>
    <w:uiPriority w:val="99"/>
    <w:rPr>
      <w:color w:val="605E5C"/>
      <w:shd w:val="clear" w:color="auto" w:fill="E1DFDD"/>
    </w:rPr>
  </w:style>
  <w:style w:type="paragraph" w:customStyle="1" w:styleId="48">
    <w:name w:val="修订3"/>
    <w:hidden/>
    <w:unhideWhenUsed/>
    <w:qFormat/>
    <w:uiPriority w:val="99"/>
    <w:rPr>
      <w:rFonts w:ascii="Calibri" w:hAnsi="Calibri" w:eastAsia="宋体" w:cs="Times New Roman"/>
      <w:kern w:val="2"/>
      <w:sz w:val="24"/>
      <w:szCs w:val="22"/>
      <w:lang w:val="en-US" w:eastAsia="zh-CN" w:bidi="ar-SA"/>
    </w:rPr>
  </w:style>
  <w:style w:type="paragraph" w:customStyle="1" w:styleId="49">
    <w:name w:val="Revision"/>
    <w:hidden/>
    <w:unhideWhenUsed/>
    <w:uiPriority w:val="99"/>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1057</Words>
  <Characters>6031</Characters>
  <Lines>50</Lines>
  <Paragraphs>14</Paragraphs>
  <TotalTime>3</TotalTime>
  <ScaleCrop>false</ScaleCrop>
  <LinksUpToDate>false</LinksUpToDate>
  <CharactersWithSpaces>7074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2025-02-19T15:35:00Z</dcterms:created>
  <dc:creator>李 越</dc:creator>
  <cp:lastModifiedBy>huawei</cp:lastModifiedBy>
  <dcterms:modified xsi:type="dcterms:W3CDTF">2025-02-19T20:19:11Z</dcterms:modified>
  <dc:title>深圳市关于加快推进功能型无人车商业化运营试点的指导意见（试行）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F50F0FCAE36C45C5BCF50D60AB0C7A65_13</vt:lpwstr>
  </property>
  <property fmtid="{D5CDD505-2E9C-101B-9397-08002B2CF9AE}" pid="4" name="KSOTemplateDocerSaveRecord">
    <vt:lpwstr>eyJoZGlkIjoiMWFjMTFiMDEyODQwYjMyZDc3M2UxYTczM2ZmZWIyMjciLCJ1c2VySWQiOiI0NTk2NDExNzkifQ==</vt:lpwstr>
  </property>
</Properties>
</file>