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0162CA">
      <w:pPr>
        <w:spacing w:before="93" w:line="208" w:lineRule="auto"/>
        <w:jc w:val="center"/>
        <w:outlineLvl w:val="0"/>
        <w:rPr>
          <w:rFonts w:ascii="微软雅黑" w:hAnsi="微软雅黑" w:eastAsia="微软雅黑" w:cs="微软雅黑"/>
          <w:sz w:val="40"/>
          <w:szCs w:val="40"/>
        </w:rPr>
      </w:pPr>
      <w:r>
        <w:rPr>
          <w:rFonts w:ascii="微软雅黑" w:hAnsi="微软雅黑" w:eastAsia="微软雅黑" w:cs="微软雅黑"/>
          <w:spacing w:val="-4"/>
          <w:sz w:val="40"/>
          <w:szCs w:val="40"/>
        </w:rPr>
        <w:t>深圳市</w:t>
      </w:r>
      <w:r>
        <w:rPr>
          <w:rFonts w:hint="eastAsia" w:ascii="微软雅黑" w:hAnsi="微软雅黑" w:eastAsia="微软雅黑" w:cs="微软雅黑"/>
          <w:spacing w:val="-4"/>
          <w:sz w:val="40"/>
          <w:szCs w:val="40"/>
          <w:lang w:val="en-US" w:eastAsia="zh-CN"/>
        </w:rPr>
        <w:t>艺术专业</w:t>
      </w:r>
      <w:r>
        <w:rPr>
          <w:rFonts w:hint="eastAsia" w:ascii="微软雅黑" w:hAnsi="微软雅黑" w:eastAsia="微软雅黑" w:cs="微软雅黑"/>
          <w:spacing w:val="-4"/>
          <w:sz w:val="40"/>
          <w:szCs w:val="40"/>
        </w:rPr>
        <w:t>（</w:t>
      </w:r>
      <w:r>
        <w:rPr>
          <w:rFonts w:hint="eastAsia" w:ascii="微软雅黑" w:hAnsi="微软雅黑" w:eastAsia="微软雅黑" w:cs="微软雅黑"/>
          <w:spacing w:val="-4"/>
          <w:sz w:val="40"/>
          <w:szCs w:val="40"/>
          <w:lang w:val="en-US" w:eastAsia="zh-CN"/>
        </w:rPr>
        <w:t>三级艺术运营</w:t>
      </w:r>
      <w:r>
        <w:rPr>
          <w:rFonts w:hint="eastAsia" w:ascii="微软雅黑" w:hAnsi="微软雅黑" w:eastAsia="微软雅黑" w:cs="微软雅黑"/>
          <w:spacing w:val="-4"/>
          <w:sz w:val="40"/>
          <w:szCs w:val="40"/>
        </w:rPr>
        <w:t>）</w:t>
      </w:r>
      <w:r>
        <w:rPr>
          <w:rFonts w:ascii="微软雅黑" w:hAnsi="微软雅黑" w:eastAsia="微软雅黑" w:cs="微软雅黑"/>
          <w:spacing w:val="-4"/>
          <w:sz w:val="40"/>
          <w:szCs w:val="40"/>
        </w:rPr>
        <w:t>评审——自评符合申报职称资格条件情况审核表</w:t>
      </w:r>
    </w:p>
    <w:p w14:paraId="44E0F6AD">
      <w:pPr>
        <w:spacing w:before="1" w:line="220" w:lineRule="auto"/>
        <w:ind w:left="121"/>
        <w:rPr>
          <w:rFonts w:ascii="宋体" w:hAnsi="宋体" w:eastAsia="宋体" w:cs="宋体"/>
          <w:spacing w:val="1"/>
          <w:sz w:val="22"/>
          <w:szCs w:val="22"/>
          <w14:textOutline w14:w="4013" w14:cap="sq" w14:cmpd="sng">
            <w14:solidFill>
              <w14:srgbClr w14:val="000000"/>
            </w14:solidFill>
            <w14:prstDash w14:val="solid"/>
            <w14:bevel/>
          </w14:textOutline>
        </w:rPr>
      </w:pPr>
    </w:p>
    <w:p w14:paraId="6622340C">
      <w:pPr>
        <w:spacing w:before="1" w:line="220" w:lineRule="auto"/>
        <w:ind w:left="121"/>
        <w:rPr>
          <w:rFonts w:ascii="宋体" w:hAnsi="宋体" w:eastAsia="宋体" w:cs="宋体"/>
          <w:sz w:val="22"/>
          <w:szCs w:val="22"/>
        </w:rPr>
      </w:pPr>
    </w:p>
    <w:p w14:paraId="1D3E7C43">
      <w:pPr>
        <w:spacing w:line="25" w:lineRule="auto"/>
        <w:rPr>
          <w:rFonts w:ascii="Arial"/>
          <w:sz w:val="2"/>
        </w:rPr>
      </w:pPr>
    </w:p>
    <w:tbl>
      <w:tblPr>
        <w:tblStyle w:val="4"/>
        <w:tblW w:w="156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18"/>
      </w:tblGrid>
      <w:tr w14:paraId="417FEC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65579D49">
            <w:pPr>
              <w:pStyle w:val="5"/>
              <w:spacing w:before="125" w:line="221" w:lineRule="auto"/>
              <w:ind w:left="116"/>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姓名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21B5B3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50C1375C">
            <w:pPr>
              <w:pStyle w:val="5"/>
              <w:spacing w:before="111" w:line="222" w:lineRule="auto"/>
              <w:ind w:left="118"/>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单位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332452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9" w:hRule="atLeast"/>
        </w:trPr>
        <w:tc>
          <w:tcPr>
            <w:tcW w:w="15618" w:type="dxa"/>
            <w:vAlign w:val="top"/>
          </w:tcPr>
          <w:p w14:paraId="41332916">
            <w:pPr>
              <w:pStyle w:val="5"/>
              <w:spacing w:before="48" w:line="221" w:lineRule="auto"/>
              <w:ind w:left="152"/>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自评符合申报类型条件情况</w:t>
            </w:r>
          </w:p>
          <w:p w14:paraId="75CCE3E3">
            <w:pPr>
              <w:pStyle w:val="5"/>
              <w:spacing w:before="48" w:line="221" w:lineRule="auto"/>
              <w:ind w:left="144"/>
              <w:rPr>
                <w:rFonts w:hint="eastAsia" w:ascii="宋体" w:hAnsi="宋体" w:eastAsia="宋体" w:cs="宋体"/>
              </w:rPr>
            </w:pPr>
            <w:r>
              <w:rPr>
                <w:rFonts w:hint="eastAsia" w:ascii="宋体" w:hAnsi="宋体" w:eastAsia="宋体" w:cs="宋体"/>
                <w:color w:val="FF0000"/>
                <w:spacing w:val="-6"/>
              </w:rPr>
              <w:t>申报类型（请在以下选项中打“√”)</w:t>
            </w:r>
          </w:p>
          <w:p w14:paraId="3DFCC3BA">
            <w:pPr>
              <w:pStyle w:val="5"/>
              <w:spacing w:before="161" w:line="221" w:lineRule="auto"/>
              <w:ind w:firstLine="412" w:firstLineChars="200"/>
              <w:rPr>
                <w:rFonts w:hint="eastAsia" w:ascii="宋体" w:hAnsi="宋体" w:eastAsia="宋体" w:cs="宋体"/>
              </w:rPr>
            </w:pPr>
            <w:r>
              <w:rPr>
                <w:rFonts w:hint="eastAsia" w:ascii="宋体" w:hAnsi="宋体" w:eastAsia="宋体" w:cs="宋体"/>
                <w:spacing w:val="-7"/>
              </w:rPr>
              <w:sym w:font="Wingdings" w:char="00A8"/>
            </w:r>
            <w:r>
              <w:rPr>
                <w:rFonts w:hint="eastAsia" w:ascii="宋体" w:hAnsi="宋体" w:eastAsia="宋体" w:cs="宋体"/>
                <w:spacing w:val="-14"/>
              </w:rPr>
              <w:t>普通</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转系列</w:t>
            </w:r>
          </w:p>
        </w:tc>
      </w:tr>
      <w:tr w14:paraId="24E28B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5" w:hRule="atLeast"/>
        </w:trPr>
        <w:tc>
          <w:tcPr>
            <w:tcW w:w="15618" w:type="dxa"/>
            <w:vAlign w:val="top"/>
          </w:tcPr>
          <w:p w14:paraId="65270153">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条款号：</w:t>
            </w:r>
          </w:p>
          <w:p w14:paraId="5CD8D1F3">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一、普通申报依据：按《广东省深化艺术专业人员职称制度改革实施方案》（粤人社规〔2022〕3号）执行。</w:t>
            </w:r>
          </w:p>
          <w:p w14:paraId="1744E602">
            <w:pPr>
              <w:keepNext w:val="0"/>
              <w:keepLines w:val="0"/>
              <w:widowControl/>
              <w:suppressLineNumbers w:val="0"/>
              <w:ind w:firstLine="218" w:firstLineChars="100"/>
              <w:jc w:val="left"/>
              <w:rPr>
                <w:rFonts w:hint="eastAsia" w:ascii="宋体" w:hAnsi="宋体" w:eastAsia="宋体" w:cs="宋体"/>
              </w:rPr>
            </w:pPr>
            <w:r>
              <w:rPr>
                <w:rFonts w:hint="eastAsia" w:ascii="宋体" w:hAnsi="宋体" w:eastAsia="宋体" w:cs="宋体"/>
                <w:spacing w:val="-1"/>
                <w:sz w:val="22"/>
                <w:szCs w:val="22"/>
                <w:lang w:val="en-US" w:eastAsia="zh-CN"/>
              </w:rPr>
              <w:t>二、转系列（专业）申报依据：（粤人发【2007】197号）及（粤人社规【2020】33号）有关规定执行。</w:t>
            </w:r>
          </w:p>
        </w:tc>
      </w:tr>
      <w:tr w14:paraId="1AEE06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7" w:hRule="atLeast"/>
        </w:trPr>
        <w:tc>
          <w:tcPr>
            <w:tcW w:w="15618" w:type="dxa"/>
            <w:vAlign w:val="top"/>
          </w:tcPr>
          <w:p w14:paraId="23CF784E">
            <w:pPr>
              <w:keepNext w:val="0"/>
              <w:keepLines w:val="0"/>
              <w:widowControl/>
              <w:suppressLineNumbers w:val="0"/>
              <w:ind w:firstLine="442" w:firstLineChars="200"/>
              <w:jc w:val="left"/>
              <w:rPr>
                <w:rFonts w:hint="eastAsia"/>
                <w:color w:val="FF0000"/>
              </w:rPr>
            </w:pPr>
            <w:r>
              <w:rPr>
                <w:rFonts w:hint="eastAsia" w:ascii="宋体" w:hAnsi="宋体" w:eastAsia="宋体" w:cs="宋体"/>
                <w:b/>
                <w:bCs/>
                <w:snapToGrid w:val="0"/>
                <w:color w:val="000000"/>
                <w:kern w:val="0"/>
                <w:sz w:val="22"/>
                <w:szCs w:val="22"/>
                <w:lang w:val="en-US" w:eastAsia="zh-CN" w:bidi="ar-SA"/>
              </w:rPr>
              <w:t xml:space="preserve">自评符合学历资历条件情况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523F88B5">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rPr>
              <w:t>1.学历证书</w:t>
            </w:r>
          </w:p>
          <w:p w14:paraId="27D051AA">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zh-CN"/>
              </w:rPr>
              <w:t xml:space="preserve">符合下列条件之一： </w:t>
            </w:r>
          </w:p>
          <w:p w14:paraId="361C7FBF">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highlight w:val="none"/>
                <w:lang w:val="en-US" w:eastAsia="en-US"/>
              </w:rPr>
              <w:sym w:font="Wingdings" w:char="00A8"/>
            </w:r>
            <w:r>
              <w:rPr>
                <w:rFonts w:hint="eastAsia"/>
                <w:lang w:val="en-US" w:eastAsia="en-US"/>
              </w:rPr>
              <w:t>具备博士学位。</w:t>
            </w:r>
          </w:p>
          <w:p w14:paraId="7454891E">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highlight w:val="none"/>
                <w:lang w:val="en-US" w:eastAsia="en-US"/>
              </w:rPr>
              <w:sym w:font="Wingdings" w:char="00A8"/>
            </w:r>
            <w:r>
              <w:rPr>
                <w:rFonts w:hint="eastAsia"/>
                <w:lang w:val="en-US" w:eastAsia="en-US"/>
              </w:rPr>
              <w:t>具备硕士学位，取得四级艺术运营职称后，从事艺术运营工作满 2 年。</w:t>
            </w:r>
          </w:p>
          <w:p w14:paraId="30B80265">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eastAsia="宋体"/>
                <w:lang w:val="en-US" w:eastAsia="en-US"/>
              </w:rPr>
            </w:pPr>
            <w:r>
              <w:rPr>
                <w:rFonts w:hint="eastAsia"/>
                <w:highlight w:val="none"/>
                <w:lang w:val="en-US" w:eastAsia="en-US"/>
              </w:rPr>
              <w:sym w:font="Wingdings" w:char="00A8"/>
            </w:r>
            <w:r>
              <w:rPr>
                <w:rFonts w:hint="eastAsia"/>
                <w:lang w:val="en-US" w:eastAsia="en-US"/>
              </w:rPr>
              <w:t>取得四级艺术运营职称后，从事艺术运营工作满 4 年。</w:t>
            </w:r>
          </w:p>
          <w:p w14:paraId="429E3FD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t>2.职称/职业证书</w:t>
            </w:r>
          </w:p>
          <w:p w14:paraId="6141EBE7">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职称证书</w:t>
            </w:r>
          </w:p>
          <w:p w14:paraId="38E17CFB">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职业证书</w:t>
            </w:r>
          </w:p>
          <w:p w14:paraId="59EFB06F">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highlight w:val="none"/>
              </w:rPr>
              <w:sym w:font="Wingdings" w:char="00A8"/>
            </w:r>
            <w:r>
              <w:rPr>
                <w:rFonts w:hint="eastAsia"/>
                <w:highlight w:val="none"/>
              </w:rPr>
              <w:t>3.国内职业资格证书（参照《深圳市职称评审申报指南》的附录202</w:t>
            </w:r>
            <w:r>
              <w:rPr>
                <w:rFonts w:hint="eastAsia"/>
                <w:highlight w:val="none"/>
                <w:lang w:val="en-US" w:eastAsia="zh-CN"/>
              </w:rPr>
              <w:t>4</w:t>
            </w:r>
            <w:r>
              <w:rPr>
                <w:rFonts w:hint="eastAsia"/>
                <w:highlight w:val="none"/>
              </w:rPr>
              <w:t>年度职业资格与职称对应情况表）</w:t>
            </w:r>
          </w:p>
        </w:tc>
      </w:tr>
      <w:tr w14:paraId="61091D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63" w:hRule="atLeast"/>
        </w:trPr>
        <w:tc>
          <w:tcPr>
            <w:tcW w:w="15618" w:type="dxa"/>
            <w:vAlign w:val="top"/>
          </w:tcPr>
          <w:p w14:paraId="0B506A53">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lang w:val="en-US" w:eastAsia="zh-CN"/>
              </w:rPr>
            </w:pPr>
            <w:r>
              <w:rPr>
                <w:rFonts w:hint="eastAsia"/>
                <w:b/>
                <w:bCs/>
              </w:rPr>
              <w:t>自评符合工作能力（经历）条件情况</w:t>
            </w:r>
            <w:r>
              <w:rPr>
                <w:rFonts w:hint="eastAsia"/>
                <w:b/>
                <w:bCs/>
                <w:lang w:val="en-US" w:eastAsia="zh-CN"/>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14:paraId="5113669E">
            <w:pPr>
              <w:pStyle w:val="5"/>
              <w:keepNext w:val="0"/>
              <w:keepLines w:val="0"/>
              <w:pageBreakBefore w:val="0"/>
              <w:widowControl/>
              <w:kinsoku w:val="0"/>
              <w:wordWrap/>
              <w:overflowPunct/>
              <w:topLinePunct w:val="0"/>
              <w:autoSpaceDE w:val="0"/>
              <w:autoSpaceDN w:val="0"/>
              <w:bidi w:val="0"/>
              <w:adjustRightInd w:val="0"/>
              <w:snapToGrid w:val="0"/>
              <w:spacing w:before="0" w:beforeLines="30"/>
              <w:ind w:left="657" w:leftChars="208" w:hanging="220" w:hangingChars="1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1.具有较系统的艺术管理专业理论知识和一定的文化艺术素养，对本专业有一定的理论研究。</w:t>
            </w:r>
          </w:p>
          <w:p w14:paraId="07E9B457">
            <w:pPr>
              <w:pStyle w:val="5"/>
              <w:keepNext w:val="0"/>
              <w:keepLines w:val="0"/>
              <w:pageBreakBefore w:val="0"/>
              <w:widowControl/>
              <w:kinsoku w:val="0"/>
              <w:wordWrap/>
              <w:overflowPunct/>
              <w:topLinePunct w:val="0"/>
              <w:autoSpaceDE w:val="0"/>
              <w:autoSpaceDN w:val="0"/>
              <w:bidi w:val="0"/>
              <w:adjustRightInd w:val="0"/>
              <w:snapToGrid w:val="0"/>
              <w:spacing w:before="0" w:beforeLines="30"/>
              <w:ind w:left="657" w:leftChars="208" w:hanging="220" w:hangingChars="1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2.具备一定的媒体运营、推广策划及实施、对外交流联络等艺术运营实践经验，能够独立开展某一方面的艺术运营专业工作，能基本解决工作中的疑难问题，基本能创造性地开展工作。</w:t>
            </w:r>
          </w:p>
          <w:p w14:paraId="041505F6">
            <w:pPr>
              <w:pStyle w:val="5"/>
              <w:keepNext w:val="0"/>
              <w:keepLines w:val="0"/>
              <w:pageBreakBefore w:val="0"/>
              <w:widowControl/>
              <w:kinsoku w:val="0"/>
              <w:wordWrap/>
              <w:overflowPunct/>
              <w:topLinePunct w:val="0"/>
              <w:autoSpaceDE w:val="0"/>
              <w:autoSpaceDN w:val="0"/>
              <w:bidi w:val="0"/>
              <w:adjustRightInd w:val="0"/>
              <w:snapToGrid w:val="0"/>
              <w:spacing w:before="0" w:beforeLines="30"/>
              <w:ind w:left="655" w:leftChars="312" w:firstLine="0" w:firstLineChars="0"/>
              <w:textAlignment w:val="baseline"/>
              <w:rPr>
                <w:rFonts w:hint="eastAsia"/>
                <w:highlight w:val="none"/>
                <w:lang w:val="en-US" w:eastAsia="en-US"/>
              </w:rPr>
            </w:pPr>
            <w:r>
              <w:rPr>
                <w:rFonts w:hint="eastAsia"/>
                <w:highlight w:val="none"/>
                <w:lang w:val="en-US" w:eastAsia="en-US"/>
              </w:rPr>
              <w:t>3.有较强的运营能力，能够履行本岗位职责，符合下列条件：</w:t>
            </w:r>
          </w:p>
          <w:p w14:paraId="205E8193">
            <w:pPr>
              <w:pStyle w:val="5"/>
              <w:keepNext w:val="0"/>
              <w:keepLines w:val="0"/>
              <w:pageBreakBefore w:val="0"/>
              <w:widowControl/>
              <w:kinsoku w:val="0"/>
              <w:wordWrap/>
              <w:overflowPunct/>
              <w:topLinePunct w:val="0"/>
              <w:autoSpaceDE w:val="0"/>
              <w:autoSpaceDN w:val="0"/>
              <w:bidi w:val="0"/>
              <w:adjustRightInd w:val="0"/>
              <w:snapToGrid w:val="0"/>
              <w:spacing w:before="0" w:beforeLines="30"/>
              <w:ind w:left="657" w:leftChars="208" w:hanging="220" w:hangingChars="1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（1）圆满完成本单位剧（节）目、演出、展览等艺术活动的运营任务。</w:t>
            </w:r>
          </w:p>
          <w:p w14:paraId="37BE9E7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left="657" w:leftChars="208" w:hanging="220" w:hangingChars="100"/>
              <w:textAlignment w:val="baseline"/>
              <w:rPr>
                <w:rFonts w:hint="eastAsia"/>
                <w:lang w:val="en-US" w:eastAsia="zh-CN"/>
              </w:rPr>
            </w:pPr>
            <w:r>
              <w:rPr>
                <w:rFonts w:hint="eastAsia"/>
                <w:highlight w:val="none"/>
                <w:lang w:val="en-US" w:eastAsia="en-US"/>
              </w:rPr>
              <w:sym w:font="Wingdings" w:char="00A8"/>
            </w:r>
            <w:r>
              <w:rPr>
                <w:rFonts w:hint="eastAsia"/>
                <w:highlight w:val="none"/>
                <w:lang w:val="en-US" w:eastAsia="en-US"/>
              </w:rPr>
              <w:t>（2）独立或联合完成 6 个以上剧（节）目或省级以上展览的运营工作。</w:t>
            </w:r>
          </w:p>
        </w:tc>
      </w:tr>
      <w:tr w14:paraId="5F0A35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51" w:hRule="atLeast"/>
        </w:trPr>
        <w:tc>
          <w:tcPr>
            <w:tcW w:w="15618" w:type="dxa"/>
            <w:vAlign w:val="top"/>
          </w:tcPr>
          <w:p w14:paraId="0CA6C93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p>
          <w:p w14:paraId="1018E684">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lang w:val="en-US" w:eastAsia="zh-CN"/>
              </w:rPr>
            </w:pPr>
            <w:r>
              <w:rPr>
                <w:rFonts w:hint="eastAsia"/>
                <w:b/>
                <w:bCs/>
              </w:rPr>
              <w:t>自评符合业绩</w:t>
            </w:r>
            <w:r>
              <w:rPr>
                <w:rFonts w:hint="eastAsia"/>
                <w:b/>
                <w:bCs/>
                <w:lang w:eastAsia="zh-CN"/>
              </w:rPr>
              <w:t>和</w:t>
            </w:r>
            <w:r>
              <w:rPr>
                <w:rFonts w:hint="eastAsia"/>
                <w:b/>
                <w:bCs/>
              </w:rPr>
              <w:t>成果条件情况</w:t>
            </w:r>
            <w:r>
              <w:rPr>
                <w:rFonts w:hint="eastAsia"/>
                <w:b/>
                <w:bCs/>
                <w:lang w:val="en-US" w:eastAsia="zh-CN"/>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14:paraId="0E7E1AB2">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 xml:space="preserve">任现职期间，符合下列条件之一： </w:t>
            </w:r>
          </w:p>
          <w:p w14:paraId="6E5155AE">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1.独立或联合完成的艺术运营项目获省级以上奖项（或被作为优秀宣传案例）1 次，或获市级奖项（或被作为典型案例及宣传代表）2 次。</w:t>
            </w:r>
          </w:p>
          <w:p w14:paraId="3CC78BE9">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2.独立或联合完成剧（节）目、演出、展览等艺术活动的运营推广工作，获省级以上奖项 1 次。</w:t>
            </w:r>
          </w:p>
          <w:p w14:paraId="2FD48B5C">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3.独立或联合完成剧（节）目、演出、展览等艺术活动的运营推广工作，获市级一等奖 1 次或二等奖 2 次。</w:t>
            </w:r>
          </w:p>
          <w:p w14:paraId="2CF90E59">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4.独立或联合运营推广的 3 部剧（节）目、演出、展览等艺术活动，被 2 家市级以上媒体报道，并获得较好的社会影响和经济效益。</w:t>
            </w:r>
          </w:p>
          <w:p w14:paraId="00E211E4">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5.提出 3 项以上艺术运营专业工作的合理化建议，并付诸实施，取得较好的工作成绩，得到同行或观众的肯定及所在单位认可。</w:t>
            </w:r>
          </w:p>
          <w:p w14:paraId="5812EDAD">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eastAsia="宋体"/>
                <w:b w:val="0"/>
                <w:bCs w:val="0"/>
                <w:lang w:val="en-US" w:eastAsia="zh-CN"/>
              </w:rPr>
            </w:pPr>
          </w:p>
        </w:tc>
      </w:tr>
      <w:tr w14:paraId="152809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76" w:hRule="atLeast"/>
        </w:trPr>
        <w:tc>
          <w:tcPr>
            <w:tcW w:w="15618" w:type="dxa"/>
            <w:vAlign w:val="top"/>
          </w:tcPr>
          <w:p w14:paraId="366E9EA8">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color w:val="FF0000"/>
                <w:lang w:val="en-US" w:eastAsia="zh-CN"/>
              </w:rPr>
            </w:pPr>
            <w:r>
              <w:rPr>
                <w:rFonts w:hint="eastAsia"/>
                <w:b/>
                <w:bCs/>
                <w:lang w:val="en-US" w:eastAsia="zh-CN"/>
              </w:rPr>
              <w:t>代表性成果条件情况</w:t>
            </w:r>
            <w:r>
              <w:rPr>
                <w:rFonts w:hint="eastAsia"/>
                <w:highlight w:val="none"/>
                <w:lang w:val="en-US" w:eastAsia="zh-CN"/>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14:paraId="60F1240A">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选取下列条件1 项以上作为任现职期间的代表性成果提交评审：</w:t>
            </w:r>
          </w:p>
          <w:p w14:paraId="3BBFA25F">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ascii="宋体" w:hAnsi="宋体" w:eastAsia="宋体" w:cs="宋体"/>
                <w:snapToGrid w:val="0"/>
                <w:color w:val="000000"/>
                <w:kern w:val="0"/>
                <w:sz w:val="22"/>
                <w:szCs w:val="22"/>
                <w:lang w:val="en-US" w:eastAsia="zh-CN" w:bidi="ar-SA"/>
              </w:rPr>
            </w:pPr>
            <w:r>
              <w:rPr>
                <w:rFonts w:hint="eastAsia"/>
                <w:highlight w:val="none"/>
                <w:lang w:val="en-US" w:eastAsia="en-US"/>
              </w:rPr>
              <w:sym w:font="Wingdings" w:char="00A8"/>
            </w:r>
            <w:r>
              <w:rPr>
                <w:rFonts w:hint="eastAsia" w:ascii="宋体" w:hAnsi="宋体" w:eastAsia="宋体" w:cs="宋体"/>
                <w:snapToGrid w:val="0"/>
                <w:color w:val="000000"/>
                <w:kern w:val="0"/>
                <w:sz w:val="22"/>
                <w:szCs w:val="22"/>
                <w:lang w:val="en-US" w:eastAsia="zh-CN" w:bidi="ar-SA"/>
              </w:rPr>
              <w:t>1.独立撰写并在本专业期刊上公开发表的有一定水平的学术论文 1 篇以上。</w:t>
            </w:r>
          </w:p>
          <w:p w14:paraId="1CFB9868">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ascii="宋体" w:hAnsi="宋体" w:eastAsia="宋体" w:cs="宋体"/>
                <w:snapToGrid w:val="0"/>
                <w:color w:val="000000"/>
                <w:kern w:val="0"/>
                <w:sz w:val="22"/>
                <w:szCs w:val="22"/>
                <w:lang w:val="en-US" w:eastAsia="zh-CN" w:bidi="ar-SA"/>
              </w:rPr>
            </w:pPr>
            <w:r>
              <w:rPr>
                <w:rFonts w:hint="eastAsia"/>
                <w:highlight w:val="none"/>
                <w:lang w:val="en-US" w:eastAsia="en-US"/>
              </w:rPr>
              <w:sym w:font="Wingdings" w:char="00A8"/>
            </w:r>
            <w:r>
              <w:rPr>
                <w:rFonts w:hint="eastAsia" w:ascii="宋体" w:hAnsi="宋体" w:eastAsia="宋体" w:cs="宋体"/>
                <w:snapToGrid w:val="0"/>
                <w:color w:val="000000"/>
                <w:kern w:val="0"/>
                <w:sz w:val="22"/>
                <w:szCs w:val="22"/>
                <w:lang w:val="en-US" w:eastAsia="zh-CN" w:bidi="ar-SA"/>
              </w:rPr>
              <w:t>2.能代表本人专业技术能力水平的运营推广、演出策划等方案，能展示较高的运营推广能力。</w:t>
            </w:r>
          </w:p>
          <w:p w14:paraId="631BDE77">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color w:val="FF0000"/>
                <w:lang w:val="en-US" w:eastAsia="zh-CN"/>
              </w:rPr>
            </w:pPr>
          </w:p>
        </w:tc>
      </w:tr>
      <w:tr w14:paraId="0F9100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9" w:hRule="atLeast"/>
        </w:trPr>
        <w:tc>
          <w:tcPr>
            <w:tcW w:w="15618" w:type="dxa"/>
            <w:vAlign w:val="top"/>
          </w:tcPr>
          <w:p w14:paraId="199958A2">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6BA91CDC">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bookmarkStart w:id="0" w:name="_GoBack"/>
            <w:bookmarkEnd w:id="0"/>
            <w:r>
              <w:rPr>
                <w:rFonts w:hint="eastAsia"/>
                <w:lang w:val="en-US" w:eastAsia="en-US"/>
              </w:rPr>
              <w:t>申报人承诺：本人已充分了解广东省深圳市202</w:t>
            </w:r>
            <w:r>
              <w:rPr>
                <w:rFonts w:hint="eastAsia"/>
                <w:lang w:val="en-US" w:eastAsia="zh-CN"/>
              </w:rPr>
              <w:t>4</w:t>
            </w:r>
            <w:r>
              <w:rPr>
                <w:rFonts w:hint="eastAsia"/>
                <w:lang w:val="en-US" w:eastAsia="en-US"/>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人社部令第40号)及相关法律、法规和政策规定，如有提供虚假材料剽窃他人作品和学术成果或者通过其他不正当手段申报职称的行为，愿意承担相关的行政、经济和法律责任。以上内容，郑重承诺!</w:t>
            </w:r>
          </w:p>
          <w:p w14:paraId="1D383E50">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1B1E00C6">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49761E9E">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r>
              <w:rPr>
                <w:rFonts w:hint="eastAsia"/>
              </w:rPr>
              <w:t>申报人（签名）：</w:t>
            </w:r>
            <w:r>
              <w:rPr>
                <w:rFonts w:hint="eastAsia"/>
                <w:lang w:val="en-US" w:eastAsia="zh-CN"/>
              </w:rPr>
              <w:t xml:space="preserve">                         </w:t>
            </w:r>
            <w:r>
              <w:rPr>
                <w:rFonts w:hint="eastAsia"/>
              </w:rPr>
              <w:t>日期：</w:t>
            </w:r>
          </w:p>
        </w:tc>
      </w:tr>
    </w:tbl>
    <w:p w14:paraId="2E924DB0">
      <w:pPr>
        <w:rPr>
          <w:rFonts w:ascii="Arial"/>
          <w:sz w:val="21"/>
        </w:rPr>
      </w:pPr>
    </w:p>
    <w:sectPr>
      <w:pgSz w:w="16839" w:h="23812"/>
      <w:pgMar w:top="720" w:right="607" w:bottom="0" w:left="60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Wingdings">
    <w:panose1 w:val="05000000000000000000"/>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A1ZmMyMDdhMTc1ZTg2MjY1NzE2MzcyZTJmYWQ3NTgifQ=="/>
  </w:docVars>
  <w:rsids>
    <w:rsidRoot w:val="00000000"/>
    <w:rsid w:val="003F23CE"/>
    <w:rsid w:val="00F907CF"/>
    <w:rsid w:val="01E9759B"/>
    <w:rsid w:val="02930952"/>
    <w:rsid w:val="031E3529"/>
    <w:rsid w:val="05322502"/>
    <w:rsid w:val="057D0FCE"/>
    <w:rsid w:val="05DB784B"/>
    <w:rsid w:val="05FF0516"/>
    <w:rsid w:val="06EC3E82"/>
    <w:rsid w:val="072231E0"/>
    <w:rsid w:val="07F12200"/>
    <w:rsid w:val="08193505"/>
    <w:rsid w:val="08534C69"/>
    <w:rsid w:val="091066B6"/>
    <w:rsid w:val="09774987"/>
    <w:rsid w:val="0A243F23"/>
    <w:rsid w:val="0E1924B1"/>
    <w:rsid w:val="0F2A1B00"/>
    <w:rsid w:val="0F964CB9"/>
    <w:rsid w:val="0FA62554"/>
    <w:rsid w:val="103F613F"/>
    <w:rsid w:val="104424E1"/>
    <w:rsid w:val="11274EE5"/>
    <w:rsid w:val="1196605D"/>
    <w:rsid w:val="133856E3"/>
    <w:rsid w:val="13AA622D"/>
    <w:rsid w:val="13AD711E"/>
    <w:rsid w:val="14DD059E"/>
    <w:rsid w:val="15051099"/>
    <w:rsid w:val="158F4790"/>
    <w:rsid w:val="15A52AEE"/>
    <w:rsid w:val="15AC3C0A"/>
    <w:rsid w:val="15D168FC"/>
    <w:rsid w:val="165A4E99"/>
    <w:rsid w:val="16AB0B68"/>
    <w:rsid w:val="182319BF"/>
    <w:rsid w:val="18627A4A"/>
    <w:rsid w:val="1A451B7F"/>
    <w:rsid w:val="1A7F369B"/>
    <w:rsid w:val="1A893695"/>
    <w:rsid w:val="1ADA70F7"/>
    <w:rsid w:val="1BD27C70"/>
    <w:rsid w:val="1BDF2C69"/>
    <w:rsid w:val="1CB03FE0"/>
    <w:rsid w:val="1D3764AF"/>
    <w:rsid w:val="1D3F5364"/>
    <w:rsid w:val="1D4B6646"/>
    <w:rsid w:val="1D5670A8"/>
    <w:rsid w:val="20941763"/>
    <w:rsid w:val="20B851B1"/>
    <w:rsid w:val="21380A48"/>
    <w:rsid w:val="21E32F84"/>
    <w:rsid w:val="2244593C"/>
    <w:rsid w:val="23867849"/>
    <w:rsid w:val="23BC6638"/>
    <w:rsid w:val="23E629DD"/>
    <w:rsid w:val="24A02B8C"/>
    <w:rsid w:val="26667E05"/>
    <w:rsid w:val="26E72CF4"/>
    <w:rsid w:val="2703598D"/>
    <w:rsid w:val="28117CD7"/>
    <w:rsid w:val="28192A9D"/>
    <w:rsid w:val="29045A7C"/>
    <w:rsid w:val="295D104C"/>
    <w:rsid w:val="296647C1"/>
    <w:rsid w:val="296B4F6F"/>
    <w:rsid w:val="29F215D5"/>
    <w:rsid w:val="2ABC4038"/>
    <w:rsid w:val="2B604288"/>
    <w:rsid w:val="2C4627F2"/>
    <w:rsid w:val="2C520C10"/>
    <w:rsid w:val="2CDD4252"/>
    <w:rsid w:val="2D174F53"/>
    <w:rsid w:val="2D5664DE"/>
    <w:rsid w:val="2D8F19F0"/>
    <w:rsid w:val="2DC21DC5"/>
    <w:rsid w:val="2DDE11CA"/>
    <w:rsid w:val="2E314855"/>
    <w:rsid w:val="2E9633BE"/>
    <w:rsid w:val="2F167032"/>
    <w:rsid w:val="31013F5E"/>
    <w:rsid w:val="314D5E4A"/>
    <w:rsid w:val="31974426"/>
    <w:rsid w:val="31DB3455"/>
    <w:rsid w:val="31E367AE"/>
    <w:rsid w:val="328D2224"/>
    <w:rsid w:val="331C5269"/>
    <w:rsid w:val="336124DA"/>
    <w:rsid w:val="33C10429"/>
    <w:rsid w:val="34565D06"/>
    <w:rsid w:val="34B41D3C"/>
    <w:rsid w:val="351F5D4F"/>
    <w:rsid w:val="35C6368B"/>
    <w:rsid w:val="36AA5455"/>
    <w:rsid w:val="36DB3B2E"/>
    <w:rsid w:val="3748280C"/>
    <w:rsid w:val="38A10829"/>
    <w:rsid w:val="396F087C"/>
    <w:rsid w:val="397D5E61"/>
    <w:rsid w:val="39CA62DC"/>
    <w:rsid w:val="39D23390"/>
    <w:rsid w:val="3A1E4827"/>
    <w:rsid w:val="3BDC4B9F"/>
    <w:rsid w:val="3CBB4F2E"/>
    <w:rsid w:val="3CBB635D"/>
    <w:rsid w:val="3CFB7418"/>
    <w:rsid w:val="3F604F9A"/>
    <w:rsid w:val="40D20119"/>
    <w:rsid w:val="41015486"/>
    <w:rsid w:val="41C81890"/>
    <w:rsid w:val="41DB6F8F"/>
    <w:rsid w:val="41E55C2A"/>
    <w:rsid w:val="41EF266F"/>
    <w:rsid w:val="425D3A13"/>
    <w:rsid w:val="43505326"/>
    <w:rsid w:val="45AA34FD"/>
    <w:rsid w:val="45C05E59"/>
    <w:rsid w:val="45F31CFE"/>
    <w:rsid w:val="46641745"/>
    <w:rsid w:val="466852CA"/>
    <w:rsid w:val="46744233"/>
    <w:rsid w:val="46827EEC"/>
    <w:rsid w:val="46AC31BB"/>
    <w:rsid w:val="471072A6"/>
    <w:rsid w:val="4743767B"/>
    <w:rsid w:val="48027536"/>
    <w:rsid w:val="484E298E"/>
    <w:rsid w:val="48A74502"/>
    <w:rsid w:val="48AC74A2"/>
    <w:rsid w:val="48F05F67"/>
    <w:rsid w:val="49E739C6"/>
    <w:rsid w:val="4C9D1F42"/>
    <w:rsid w:val="4CDA2830"/>
    <w:rsid w:val="4DAE7818"/>
    <w:rsid w:val="4EA85D29"/>
    <w:rsid w:val="4F5440CA"/>
    <w:rsid w:val="4FAB2261"/>
    <w:rsid w:val="50025BF9"/>
    <w:rsid w:val="5012408F"/>
    <w:rsid w:val="50D21A70"/>
    <w:rsid w:val="5179372F"/>
    <w:rsid w:val="52526A30"/>
    <w:rsid w:val="525A3ACB"/>
    <w:rsid w:val="52A44127"/>
    <w:rsid w:val="55EE4705"/>
    <w:rsid w:val="56737851"/>
    <w:rsid w:val="56E12A0D"/>
    <w:rsid w:val="575C16B2"/>
    <w:rsid w:val="587547D2"/>
    <w:rsid w:val="58923791"/>
    <w:rsid w:val="59586EB8"/>
    <w:rsid w:val="5A0525E8"/>
    <w:rsid w:val="5A112329"/>
    <w:rsid w:val="5A8D6765"/>
    <w:rsid w:val="5AC32B55"/>
    <w:rsid w:val="5B3475AF"/>
    <w:rsid w:val="5BB71F8E"/>
    <w:rsid w:val="5DB93D9B"/>
    <w:rsid w:val="5EE65064"/>
    <w:rsid w:val="5FB47230"/>
    <w:rsid w:val="5FE159D6"/>
    <w:rsid w:val="60242381"/>
    <w:rsid w:val="602E26A5"/>
    <w:rsid w:val="617701F5"/>
    <w:rsid w:val="63F7386F"/>
    <w:rsid w:val="64D25170"/>
    <w:rsid w:val="65152E06"/>
    <w:rsid w:val="656B0071"/>
    <w:rsid w:val="65847D82"/>
    <w:rsid w:val="65DD2659"/>
    <w:rsid w:val="66F668B6"/>
    <w:rsid w:val="671146F3"/>
    <w:rsid w:val="679D472E"/>
    <w:rsid w:val="67FC76A6"/>
    <w:rsid w:val="68387AED"/>
    <w:rsid w:val="6858570E"/>
    <w:rsid w:val="69601EB7"/>
    <w:rsid w:val="69763488"/>
    <w:rsid w:val="6AB57FE0"/>
    <w:rsid w:val="6B282560"/>
    <w:rsid w:val="6BC66B9D"/>
    <w:rsid w:val="6BE42896"/>
    <w:rsid w:val="6C270A6A"/>
    <w:rsid w:val="6C4C04D0"/>
    <w:rsid w:val="6CB409FA"/>
    <w:rsid w:val="6CB74C77"/>
    <w:rsid w:val="6CD30260"/>
    <w:rsid w:val="6D68688D"/>
    <w:rsid w:val="6EA75E92"/>
    <w:rsid w:val="6EF8049C"/>
    <w:rsid w:val="6F1658B8"/>
    <w:rsid w:val="711C66C3"/>
    <w:rsid w:val="711F2B3D"/>
    <w:rsid w:val="72111FA0"/>
    <w:rsid w:val="727F33AE"/>
    <w:rsid w:val="72D04FB8"/>
    <w:rsid w:val="72F84F0E"/>
    <w:rsid w:val="73342A8E"/>
    <w:rsid w:val="745B7297"/>
    <w:rsid w:val="74A0634E"/>
    <w:rsid w:val="7544268D"/>
    <w:rsid w:val="763B7B8F"/>
    <w:rsid w:val="76C53359"/>
    <w:rsid w:val="77B84C6C"/>
    <w:rsid w:val="77DA6CAB"/>
    <w:rsid w:val="784A7FBA"/>
    <w:rsid w:val="786F2FE2"/>
    <w:rsid w:val="79416B9B"/>
    <w:rsid w:val="7959412A"/>
    <w:rsid w:val="79825532"/>
    <w:rsid w:val="7B752E6E"/>
    <w:rsid w:val="7CC12507"/>
    <w:rsid w:val="7CD10CAA"/>
    <w:rsid w:val="7E094A54"/>
    <w:rsid w:val="7E19208B"/>
    <w:rsid w:val="7E22059D"/>
    <w:rsid w:val="7F4179AD"/>
    <w:rsid w:val="7FC13710"/>
    <w:rsid w:val="7FE2123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autoRedefine/>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autoRedefine/>
    <w:semiHidden/>
    <w:unhideWhenUsed/>
    <w:qFormat/>
    <w:uiPriority w:val="0"/>
    <w:tblPr>
      <w:tblCellMar>
        <w:top w:w="0" w:type="dxa"/>
        <w:left w:w="0" w:type="dxa"/>
        <w:bottom w:w="0" w:type="dxa"/>
        <w:right w:w="0" w:type="dxa"/>
      </w:tblCellMar>
    </w:tblPr>
  </w:style>
  <w:style w:type="paragraph" w:customStyle="1" w:styleId="5">
    <w:name w:val="Table Text"/>
    <w:basedOn w:val="1"/>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1122</Words>
  <Characters>1165</Characters>
  <TotalTime>1</TotalTime>
  <ScaleCrop>false</ScaleCrop>
  <LinksUpToDate>false</LinksUpToDate>
  <CharactersWithSpaces>1224</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2024-01-03T10:52:00Z</dcterms:created>
  <dc:creator>马妙欣</dc:creator>
  <cp:lastModifiedBy>WPS_1647094474</cp:lastModifiedBy>
  <dcterms:modified xsi:type="dcterms:W3CDTF">2025-02-04T05:41:33Z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2052-12.1.0.19770</vt:lpwstr>
  </property>
  <property fmtid="{D5CDD505-2E9C-101B-9397-08002B2CF9AE}" pid="5" name="ICV">
    <vt:lpwstr>DF746EAEC06C48ECA21A50FD0F9BADA8_13</vt:lpwstr>
  </property>
  <property fmtid="{D5CDD505-2E9C-101B-9397-08002B2CF9AE}" pid="6" name="KSOTemplateDocerSaveRecord">
    <vt:lpwstr>eyJoZGlkIjoiMjhhMzNiZmE1ZDIxMjU3MzIyNmJmN2M1YzRjZDE5ZDYiLCJ1c2VySWQiOiIxMzQzNjM3ODU5In0=</vt:lpwstr>
  </property>
</Properties>
</file>