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bCs/>
          <w:kern w:val="0"/>
          <w:sz w:val="32"/>
          <w:szCs w:val="44"/>
        </w:rPr>
      </w:pPr>
      <w:r>
        <w:rPr>
          <w:rFonts w:hint="eastAsia" w:ascii="黑体" w:hAnsi="黑体" w:eastAsia="黑体" w:cs="Times New Roman"/>
          <w:bCs/>
          <w:kern w:val="0"/>
          <w:sz w:val="32"/>
          <w:szCs w:val="44"/>
        </w:rPr>
        <w:t>附件1</w:t>
      </w:r>
    </w:p>
    <w:p>
      <w:pPr>
        <w:spacing w:line="560" w:lineRule="exact"/>
        <w:rPr>
          <w:rFonts w:hint="eastAsia" w:ascii="黑体" w:hAnsi="黑体" w:eastAsia="黑体" w:cs="Times New Roman"/>
          <w:bCs/>
          <w:kern w:val="0"/>
          <w:sz w:val="32"/>
          <w:szCs w:val="44"/>
        </w:rPr>
      </w:pPr>
    </w:p>
    <w:p>
      <w:pPr>
        <w:spacing w:line="560" w:lineRule="exact"/>
        <w:jc w:val="center"/>
        <w:outlineLvl w:val="0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功能型无人车基本参数要求</w:t>
      </w:r>
    </w:p>
    <w:bookmarkEnd w:id="0"/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一、车身参数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（一）原则上，整车长度应不大于3.5m;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（二）原则上，整车宽度为所有部件及箱体的横向尺寸，应不大于1.5m；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（三）原则上，整车高度为车体顶部最高处至地面的距离，应不大于2.0m。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二</w:t>
      </w:r>
      <w:r>
        <w:rPr>
          <w:rFonts w:ascii="黑体" w:hAnsi="黑体" w:eastAsia="黑体" w:cs="Times New Roman"/>
          <w:sz w:val="30"/>
          <w:szCs w:val="30"/>
        </w:rPr>
        <w:t>、车体要求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车厢</w:t>
      </w:r>
      <w:r>
        <w:rPr>
          <w:rFonts w:ascii="仿宋_GB2312" w:hAnsi="Times New Roman" w:eastAsia="仿宋_GB2312" w:cs="Times New Roman"/>
          <w:sz w:val="32"/>
          <w:szCs w:val="32"/>
        </w:rPr>
        <w:t>密闭，具备防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介入</w:t>
      </w:r>
      <w:r>
        <w:rPr>
          <w:rFonts w:ascii="仿宋_GB2312" w:hAnsi="Times New Roman" w:eastAsia="仿宋_GB2312" w:cs="Times New Roman"/>
          <w:sz w:val="32"/>
          <w:szCs w:val="32"/>
        </w:rPr>
        <w:t>、防</w:t>
      </w:r>
      <w:r>
        <w:rPr>
          <w:rFonts w:hint="eastAsia" w:ascii="仿宋_GB2312" w:hAnsi="Times New Roman" w:eastAsia="仿宋_GB2312" w:cs="Times New Roman"/>
          <w:sz w:val="32"/>
          <w:szCs w:val="32"/>
        </w:rPr>
        <w:t>拆卸</w:t>
      </w:r>
      <w:r>
        <w:rPr>
          <w:rFonts w:ascii="仿宋_GB2312" w:hAnsi="Times New Roman" w:eastAsia="仿宋_GB2312" w:cs="Times New Roman"/>
          <w:sz w:val="32"/>
          <w:szCs w:val="32"/>
        </w:rPr>
        <w:t>等安全措施，配备监控系统，可远程监控车辆周边、车辆位置、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车辆行驶</w:t>
      </w:r>
      <w:r>
        <w:rPr>
          <w:rFonts w:ascii="仿宋_GB2312" w:hAnsi="Times New Roman" w:eastAsia="仿宋_GB2312" w:cs="Times New Roman"/>
          <w:sz w:val="32"/>
          <w:szCs w:val="32"/>
        </w:rPr>
        <w:t>状态及内部有关信息，配备</w:t>
      </w:r>
      <w:r>
        <w:rPr>
          <w:rFonts w:hint="eastAsia" w:ascii="仿宋_GB2312" w:hAnsi="Times New Roman" w:eastAsia="仿宋_GB2312" w:cs="Times New Roman"/>
          <w:sz w:val="32"/>
          <w:szCs w:val="32"/>
        </w:rPr>
        <w:t>自动驾驶</w:t>
      </w:r>
      <w:r>
        <w:rPr>
          <w:rFonts w:ascii="仿宋_GB2312" w:hAnsi="Times New Roman" w:eastAsia="仿宋_GB2312" w:cs="Times New Roman"/>
          <w:sz w:val="32"/>
          <w:szCs w:val="32"/>
        </w:rPr>
        <w:t>数据记录装置可实时记录以上信息。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三、通过性参数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最小转弯半径应不大于4.5m；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最大爬坡能力应不小于20%；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最小离地间隙应不小于110mm，且不大于160mm；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四、动力参数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采用纯电机驱动，且其蓄电池标称电压应不大于72V；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二）功能型无人车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在4</w:t>
      </w:r>
      <w:r>
        <w:rPr>
          <w:rFonts w:ascii="仿宋_GB2312" w:hAnsi="Times New Roman" w:eastAsia="仿宋_GB2312" w:cs="Times New Roman"/>
          <w:sz w:val="32"/>
          <w:szCs w:val="32"/>
        </w:rPr>
        <w:t>s内起步加速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应</w:t>
      </w:r>
      <w:r>
        <w:rPr>
          <w:rFonts w:ascii="仿宋_GB2312" w:hAnsi="Times New Roman" w:eastAsia="仿宋_GB2312" w:cs="Times New Roman"/>
          <w:sz w:val="32"/>
          <w:szCs w:val="32"/>
        </w:rPr>
        <w:t>不大于</w:t>
      </w:r>
      <w:r>
        <w:rPr>
          <w:rFonts w:hint="eastAsia" w:ascii="仿宋_GB2312" w:hAnsi="Times New Roman" w:eastAsia="仿宋_GB2312" w:cs="Times New Roman"/>
          <w:sz w:val="32"/>
          <w:szCs w:val="32"/>
        </w:rPr>
        <w:t>5</w:t>
      </w:r>
      <w:r>
        <w:rPr>
          <w:rFonts w:ascii="仿宋_GB2312" w:hAnsi="Times New Roman" w:eastAsia="仿宋_GB2312" w:cs="Times New Roman"/>
          <w:sz w:val="32"/>
          <w:szCs w:val="32"/>
        </w:rPr>
        <w:t>km/h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五、倾斜稳定性</w:t>
      </w:r>
    </w:p>
    <w:p>
      <w:pPr>
        <w:spacing w:line="550" w:lineRule="exact"/>
        <w:ind w:firstLine="64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满载时，应能停在坡度不小于20</w:t>
      </w:r>
      <w:r>
        <w:rPr>
          <w:rFonts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的坡道上，不得后</w:t>
      </w:r>
    </w:p>
    <w:p>
      <w:pPr>
        <w:spacing w:line="550" w:lineRule="exact"/>
        <w:ind w:firstLine="0" w:firstLineChars="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溜。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二）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满载时，应能在左右倾斜（侧向）坡度不小于20</w:t>
      </w:r>
      <w:r>
        <w:rPr>
          <w:rFonts w:ascii="仿宋_GB2312" w:hAnsi="Times New Roman" w:eastAsia="仿宋_GB2312" w:cs="Times New Roman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sz w:val="32"/>
          <w:szCs w:val="32"/>
        </w:rPr>
        <w:t>的情况下保持稳定。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六、运行环境适应性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（一）工作温度应满足-10</w:t>
      </w:r>
      <w:r>
        <w:rPr>
          <w:rFonts w:hint="eastAsia" w:ascii="仿宋_GB2312" w:hAnsi="宋体" w:eastAsia="仿宋_GB2312" w:cs="宋体"/>
          <w:sz w:val="32"/>
          <w:szCs w:val="32"/>
        </w:rPr>
        <w:t>℃</w:t>
      </w:r>
      <w:r>
        <w:rPr>
          <w:rFonts w:hint="eastAsia" w:ascii="仿宋_GB2312" w:hAnsi="Times New Roman" w:eastAsia="仿宋_GB2312" w:cs="Times New Roman"/>
          <w:sz w:val="32"/>
          <w:szCs w:val="32"/>
        </w:rPr>
        <w:t>-45</w:t>
      </w:r>
      <w:r>
        <w:rPr>
          <w:rFonts w:hint="eastAsia" w:ascii="仿宋_GB2312" w:hAnsi="宋体" w:eastAsia="仿宋_GB2312" w:cs="宋体"/>
          <w:sz w:val="32"/>
          <w:szCs w:val="32"/>
        </w:rPr>
        <w:t>℃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（二）工作湿度应满足5%-95%；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（三）工作时光照条件为全天候（约0.1-100000lux）；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（四）在晴天、阴天、中雨及以下、轻雾、轻霾等环境下均能正常工作，不能丧失其正常行驶功能，各电器部件功能正常，在雨天条件下，箱体内无水迹。</w:t>
      </w:r>
    </w:p>
    <w:p>
      <w:pPr>
        <w:spacing w:line="55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（五）行驶在水深不大于120mm的环境中，应能保证设备绝缘，并应保证正常行驶，灯具、电动机、蓄电池等电器部件功能正常。</w:t>
      </w:r>
    </w:p>
    <w:p>
      <w:pPr>
        <w:spacing w:line="550" w:lineRule="exact"/>
        <w:ind w:firstLine="600" w:firstLineChars="200"/>
        <w:rPr>
          <w:rFonts w:hint="eastAsia"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七、安全性要求</w:t>
      </w:r>
    </w:p>
    <w:p>
      <w:pPr>
        <w:widowControl/>
        <w:spacing w:line="55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</w:t>
      </w:r>
      <w:r>
        <w:rPr>
          <w:rFonts w:ascii="仿宋_GB2312" w:hAnsi="Times New Roman" w:eastAsia="仿宋_GB2312" w:cs="Times New Roman"/>
          <w:sz w:val="32"/>
          <w:szCs w:val="32"/>
        </w:rPr>
        <w:t>一）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凡人体可触及之处，均不</w:t>
      </w:r>
      <w:r>
        <w:rPr>
          <w:rFonts w:ascii="仿宋_GB2312" w:hAnsi="Times New Roman" w:eastAsia="仿宋_GB2312" w:cs="Times New Roman"/>
          <w:sz w:val="32"/>
          <w:szCs w:val="32"/>
        </w:rPr>
        <w:t>应有尖角、毛刺、飞边等外露的锐边，车架、厢体四周以及厢体门等零部件的端部必须加工成圆角或用护套覆盖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；</w:t>
      </w:r>
    </w:p>
    <w:p>
      <w:pPr>
        <w:widowControl/>
        <w:spacing w:line="55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仿宋_GB2312" w:hAnsi="Times New Roman" w:eastAsia="仿宋_GB2312" w:cs="Times New Roman"/>
          <w:sz w:val="32"/>
          <w:szCs w:val="32"/>
        </w:rPr>
        <w:t>（二）功能型无人车传感器的车前和车后最大有效感知距离应不小于50m；</w:t>
      </w:r>
    </w:p>
    <w:p>
      <w:pPr>
        <w:widowControl/>
        <w:spacing w:line="550" w:lineRule="exact"/>
        <w:ind w:firstLine="640" w:firstLineChars="200"/>
        <w:jc w:val="left"/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</w:t>
      </w:r>
      <w:r>
        <w:rPr>
          <w:rFonts w:ascii="仿宋_GB2312" w:hAnsi="Times New Roman" w:eastAsia="仿宋_GB2312" w:cs="Times New Roman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符合</w:t>
      </w:r>
      <w:r>
        <w:rPr>
          <w:rFonts w:ascii="仿宋_GB2312" w:hAnsi="Times New Roman" w:eastAsia="仿宋_GB2312" w:cs="Times New Roman"/>
          <w:sz w:val="32"/>
          <w:szCs w:val="32"/>
        </w:rPr>
        <w:t>信息安全要求，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符合</w:t>
      </w:r>
      <w:r>
        <w:rPr>
          <w:rFonts w:ascii="仿宋_GB2312" w:hAnsi="Times New Roman" w:eastAsia="仿宋_GB2312" w:cs="Times New Roman"/>
          <w:sz w:val="32"/>
          <w:szCs w:val="32"/>
        </w:rPr>
        <w:t>《给予公众电信网的联网汽车信息安全技术要求》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</w:t>
      </w:r>
      <w:r>
        <w:rPr>
          <w:rFonts w:ascii="仿宋_GB2312" w:hAnsi="Times New Roman" w:eastAsia="仿宋_GB2312" w:cs="Times New Roman"/>
          <w:sz w:val="32"/>
          <w:szCs w:val="32"/>
        </w:rPr>
        <w:t>的规定，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运营</w:t>
      </w:r>
      <w:r>
        <w:rPr>
          <w:rFonts w:ascii="仿宋_GB2312" w:hAnsi="Times New Roman" w:eastAsia="仿宋_GB2312" w:cs="Times New Roman"/>
          <w:sz w:val="32"/>
          <w:szCs w:val="32"/>
        </w:rPr>
        <w:t>主体应建立车内通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信和</w:t>
      </w:r>
      <w:r>
        <w:rPr>
          <w:rFonts w:ascii="仿宋_GB2312" w:hAnsi="Times New Roman" w:eastAsia="仿宋_GB2312" w:cs="Times New Roman"/>
          <w:sz w:val="32"/>
          <w:szCs w:val="32"/>
        </w:rPr>
        <w:t>车外通信安全</w:t>
      </w:r>
      <w:r>
        <w:rPr>
          <w:rFonts w:hint="eastAsia" w:ascii="仿宋_GB2312" w:hAnsi="Times New Roman" w:eastAsia="仿宋_GB2312" w:cs="Times New Roman"/>
          <w:sz w:val="32"/>
          <w:szCs w:val="32"/>
        </w:rPr>
        <w:t>防护</w:t>
      </w:r>
      <w:r>
        <w:rPr>
          <w:rFonts w:ascii="仿宋_GB2312" w:hAnsi="Times New Roman" w:eastAsia="仿宋_GB2312" w:cs="Times New Roman"/>
          <w:sz w:val="32"/>
          <w:szCs w:val="32"/>
        </w:rPr>
        <w:t>措施，综合保障车辆运营全生命周期的控制安全、应用安全、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网络</w:t>
      </w:r>
      <w:r>
        <w:rPr>
          <w:rFonts w:ascii="仿宋_GB2312" w:hAnsi="Times New Roman" w:eastAsia="仿宋_GB2312" w:cs="Times New Roman"/>
          <w:sz w:val="32"/>
          <w:szCs w:val="32"/>
        </w:rPr>
        <w:t>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信安全</w:t>
      </w:r>
      <w:r>
        <w:rPr>
          <w:rFonts w:ascii="仿宋_GB2312" w:hAnsi="Times New Roman" w:eastAsia="仿宋_GB2312" w:cs="Times New Roman"/>
          <w:sz w:val="32"/>
          <w:szCs w:val="32"/>
        </w:rPr>
        <w:t>、数据安全和云服务安全。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7AAF8"/>
    <w:rsid w:val="3C97A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2025-01-24T14:26:00Z</dcterms:created>
  <dc:creator>郑晓雅</dc:creator>
  <cp:lastModifiedBy>郑晓雅</cp:lastModifiedBy>
  <dcterms:modified xsi:type="dcterms:W3CDTF">2025-01-24T14:26:40Z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