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color w:val="000000" w:themeColor="text1"/>
          <w:kern w:val="2"/>
          <w:sz w:val="44"/>
          <w:szCs w:val="44"/>
          <w:lang w:val="en-US" w:eastAsia="zh-CN" w:bidi="ar-SA"/>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2"/>
          <w:sz w:val="44"/>
          <w:szCs w:val="44"/>
          <w:lang w:val="en-US" w:eastAsia="zh-CN" w:bidi="ar-SA"/>
          <w14:textFill>
            <w14:solidFill>
              <w14:schemeClr w14:val="tx1"/>
            </w14:solidFill>
          </w14:textFill>
        </w:rPr>
        <w:t>深圳市南山区粤海街道2025年民生微实事资金监管服务招标文件</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themeColor="text1"/>
          <w:kern w:val="2"/>
          <w:sz w:val="44"/>
          <w:szCs w:val="44"/>
          <w:lang w:val="en-US" w:eastAsia="zh-CN" w:bidi="ar-SA"/>
          <w14:textFill>
            <w14:solidFill>
              <w14:schemeClr w14:val="tx1"/>
            </w14:solidFill>
          </w14:textFill>
        </w:rPr>
      </w:pPr>
    </w:p>
    <w:p>
      <w:pPr>
        <w:keepLines w:val="0"/>
        <w:pageBreakBefore w:val="0"/>
        <w:kinsoku/>
        <w:overflowPunct/>
        <w:topLinePunct w:val="0"/>
        <w:autoSpaceDE/>
        <w:autoSpaceDN/>
        <w:bidi w:val="0"/>
        <w:snapToGrid/>
        <w:spacing w:beforeAutospacing="0" w:line="560" w:lineRule="exact"/>
        <w:ind w:firstLine="640" w:firstLineChars="200"/>
        <w:outlineLvl w:val="0"/>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t>一、项目概况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粤海街道2025年民生微实事项目年度预算16个社区共3200万元。根据《中共深圳市委社会工作部中共深圳市委组织部深圳市财政局关于印发&lt;深圳市“民生微实事”实施工作指引&gt;的通知》(深委社〔2024〕16号)等系列文件要求，为确保民生微实事项目的实施制度化、规范化、系统化。促进实施项目的多元化和多样化，持续提升民生质量、有效增进民生福祉，进一步规范民生微实事工作流程，提高南山区“民生微实事”项目的实施成效，聚焦特殊群体，聚焦群众关切，切实为居民群众提供精准化、精细化服务，</w:t>
      </w:r>
      <w:r>
        <w:rPr>
          <w:rFonts w:hint="eastAsia" w:ascii="仿宋_GB2312" w:hAnsi="Times New Roman" w:eastAsia="仿宋_GB2312" w:cs="Times New Roman"/>
          <w:b w:val="0"/>
          <w:bCs w:val="0"/>
          <w:color w:val="000000" w:themeColor="text1"/>
          <w:kern w:val="2"/>
          <w:sz w:val="32"/>
          <w:szCs w:val="32"/>
          <w:lang w:val="en" w:eastAsia="zh-CN" w:bidi="ar-SA"/>
          <w14:textFill>
            <w14:solidFill>
              <w14:schemeClr w14:val="tx1"/>
            </w14:solidFill>
          </w14:textFill>
        </w:rPr>
        <w:t>现开展</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财政资金使用和风险管理，提高资金使用效益</w:t>
      </w:r>
      <w:r>
        <w:rPr>
          <w:rFonts w:hint="eastAsia" w:ascii="仿宋_GB2312" w:hAnsi="Times New Roman" w:eastAsia="仿宋_GB2312" w:cs="Times New Roman"/>
          <w:b w:val="0"/>
          <w:bCs w:val="0"/>
          <w:color w:val="000000" w:themeColor="text1"/>
          <w:kern w:val="2"/>
          <w:sz w:val="32"/>
          <w:szCs w:val="32"/>
          <w:lang w:val="en" w:eastAsia="zh-CN" w:bidi="ar-SA"/>
          <w14:textFill>
            <w14:solidFill>
              <w14:schemeClr w14:val="tx1"/>
            </w14:solidFill>
          </w14:textFill>
        </w:rPr>
        <w:t>服务招标工作</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项目名称：</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2025年民生微实事资金监管服务项目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项目预算：</w:t>
      </w:r>
      <w:r>
        <w:rPr>
          <w:rFonts w:hint="default" w:ascii="仿宋_GB2312" w:hAnsi="Times New Roman" w:eastAsia="仿宋_GB2312" w:cs="Times New Roman"/>
          <w:b w:val="0"/>
          <w:bCs w:val="0"/>
          <w:color w:val="000000" w:themeColor="text1"/>
          <w:kern w:val="2"/>
          <w:sz w:val="32"/>
          <w:szCs w:val="32"/>
          <w:highlight w:val="none"/>
          <w:lang w:val="en" w:eastAsia="zh-CN" w:bidi="ar-SA"/>
          <w14:textFill>
            <w14:solidFill>
              <w14:schemeClr w14:val="tx1"/>
            </w14:solidFill>
          </w14:textFill>
        </w:rPr>
        <w:t>33</w:t>
      </w:r>
      <w:r>
        <w:rPr>
          <w:rFonts w:hint="eastAsia" w:ascii="仿宋_GB2312"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firstLine="800" w:firstLineChars="250"/>
        <w:jc w:val="both"/>
        <w:textAlignment w:val="auto"/>
        <w:outlineLvl w:val="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t>二、服务内容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提供2025年度的“民生微实事”项目监管全年咨询服务。包括：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（一）“民生微实事”项目报账辅助审核咨询服务，针对项目后期项目验收和支出事项进行审核，确保项目验收程序和财务支出流程合理合法合规。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二）根据街道内控制度和“民生微实事”项目财务管理制度对项目资金的预算、决算、支出和审批等财务环境进行监管和审核工作。确保民微项目立项、执行和验收等环节均符合最新的工作要求，若发现问题及时调整和整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（三）项目决算管理工作，对年度预算和决算执行情况和项目支出情况进行统合。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四）年度项目汇报工作，根据当年度项目立项和决算情况，将项目情况进行分类和分析，根据历年项目情况，对年度民微执行情况进行分析，包含项目执行情况分析和绩效分析，并根据年度工作执行情况和街道工作方针，统合年度项目工作情况，存在的问题和整改情况，形成汇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（五）其他街道民微交接的日常工作，包括民微绩效评价数据提交和整理、财政下发的民微审计或审查工作、民微项目决算和审计工作、预算监督检查工作、项目整改和汇报等。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t>三、供应商资格要求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t>（一）具有独立法人资格或具有独立承担民事责任的能力的其它组织且具有相关营业范围（提供营业执照或事业单位法人证等法人证明复印件加盖投标人公章，原件备查,“信用中国”、“中国政府采购网”、“深圳信用网”、“深圳市政府采购监管网”为供应商信用信息的查询渠道，相关信息以开标当日查询结果为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（二）本项目不接受联合体投标，不接受投标人选用进口产品参与投标，不接受转包、分包。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（三）参与本项目投标前三年内，在经营活动中没有重大违法记录。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（四）参与本项目政府采购活动时不存在被有关部门禁止参与政府采购活动且在有效期内的情况。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（五）未被列入失信被执行人、重大税收违法案件当事人名单、政府采购严重违法失信行为记录名单。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（六）不存在《深圳市财政局政府采购供应商信用信息管理办法》（深财规〔2023〕3号）列明的严重违法失信行为。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（七）单位负责人为同一人或者存在直接控股、管理关系的不同供应商，不得参加同一招标项目投标。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t>四、评标定标方法</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本项目采用综合评分法：是指在最大限度满足采购文件实质性要求前提下，按照采购文件规定的各项因素进行量化打分，最终按照评标总得分由高至低排序推荐候选中标人或中标人的评标方法。</w:t>
      </w:r>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35"/>
        <w:gridCol w:w="644"/>
        <w:gridCol w:w="1440"/>
        <w:gridCol w:w="1290"/>
        <w:gridCol w:w="526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54" w:hRule="atLeast"/>
          <w:jc w:val="center"/>
        </w:trPr>
        <w:tc>
          <w:tcPr>
            <w:tcW w:w="435"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序号</w:t>
            </w:r>
          </w:p>
        </w:tc>
        <w:tc>
          <w:tcPr>
            <w:tcW w:w="3374" w:type="dxa"/>
            <w:gridSpan w:val="3"/>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评分项</w:t>
            </w:r>
          </w:p>
        </w:tc>
        <w:tc>
          <w:tcPr>
            <w:tcW w:w="5263"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权重</w:t>
            </w:r>
            <w:r>
              <w:rPr>
                <w:rFonts w:hint="eastAsia" w:asciiTheme="minorEastAsia" w:hAnsiTheme="minorEastAsia"/>
                <w:b/>
                <w:bCs/>
                <w:color w:val="000000" w:themeColor="text1"/>
                <w14:textFill>
                  <w14:solidFill>
                    <w14:schemeClr w14:val="tx1"/>
                  </w14:solidFill>
                </w14:textFill>
              </w:rPr>
              <w:t>（</w:t>
            </w:r>
            <w:r>
              <w:rPr>
                <w:rFonts w:asciiTheme="minorEastAsia" w:hAnsiTheme="minorEastAsia"/>
                <w:b/>
                <w:bCs/>
                <w:color w:val="000000" w:themeColor="text1"/>
                <w14:textFill>
                  <w14:solidFill>
                    <w14:schemeClr w14:val="tx1"/>
                  </w14:solidFill>
                </w14:textFill>
              </w:rPr>
              <w:t>%</w:t>
            </w:r>
            <w:r>
              <w:rPr>
                <w:rFonts w:hint="eastAsia" w:asciiTheme="minorEastAsia" w:hAnsiTheme="minorEastAsia"/>
                <w:b/>
                <w:bCs/>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1</w:t>
            </w:r>
          </w:p>
        </w:tc>
        <w:tc>
          <w:tcPr>
            <w:tcW w:w="3374" w:type="dxa"/>
            <w:gridSpan w:val="3"/>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14:textFill>
                  <w14:solidFill>
                    <w14:schemeClr w14:val="tx1"/>
                  </w14:solidFill>
                </w14:textFill>
              </w:rPr>
              <w:t>价格</w:t>
            </w:r>
          </w:p>
        </w:tc>
        <w:tc>
          <w:tcPr>
            <w:tcW w:w="5263"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hint="default" w:eastAsia="宋体" w:asciiTheme="minorEastAsia" w:hAnsiTheme="minorEastAsia"/>
                <w:b/>
                <w:bCs/>
                <w:color w:val="000000" w:themeColor="text1"/>
                <w:lang w:val="en-US"/>
                <w14:textFill>
                  <w14:solidFill>
                    <w14:schemeClr w14:val="tx1"/>
                  </w14:solidFill>
                </w14:textFill>
              </w:rPr>
            </w:pPr>
            <w:r>
              <w:rPr>
                <w:rFonts w:hint="eastAsia" w:asciiTheme="minorEastAsia" w:hAnsiTheme="minorEastAsia"/>
                <w:b/>
                <w:bCs/>
                <w:color w:val="000000" w:themeColor="text1"/>
                <w:lang w:val="en-US" w:eastAsia="zh-CN"/>
                <w14:textFill>
                  <w14:solidFill>
                    <w14:schemeClr w14:val="tx1"/>
                  </w14:solidFill>
                </w14:textFill>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27" w:hRule="atLeast"/>
          <w:jc w:val="center"/>
        </w:trPr>
        <w:tc>
          <w:tcPr>
            <w:tcW w:w="9072" w:type="dxa"/>
            <w:gridSpan w:val="5"/>
            <w:tcBorders>
              <w:top w:val="single" w:color="000000" w:sz="8" w:space="0"/>
              <w:left w:val="single" w:color="000000" w:sz="8" w:space="0"/>
              <w:bottom w:val="single" w:color="000000" w:sz="8" w:space="0"/>
              <w:right w:val="single" w:color="000000" w:sz="8" w:space="0"/>
            </w:tcBorders>
          </w:tcPr>
          <w:p>
            <w:pPr>
              <w:tabs>
                <w:tab w:val="left" w:pos="1361"/>
              </w:tabs>
              <w:wordWrap w:val="0"/>
              <w:spacing w:line="276" w:lineRule="auto"/>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1.本项目投标报价金额为所有服务内容的全部“单项服务报价（元）”的合计金额；</w:t>
            </w:r>
          </w:p>
          <w:p>
            <w:pPr>
              <w:tabs>
                <w:tab w:val="left" w:pos="1361"/>
              </w:tabs>
              <w:wordWrap w:val="0"/>
              <w:spacing w:line="276" w:lineRule="auto"/>
              <w:jc w:val="left"/>
              <w:rPr>
                <w:rFonts w:hint="default" w:asciiTheme="minorEastAsia" w:hAnsiTheme="minorEastAsia"/>
                <w:color w:val="000000" w:themeColor="text1"/>
                <w:lang w:val="en"/>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2.采用低价优先法计算，即满足招标文件要求且投标价格最低的投标报价为评标基准价，其价格分为</w:t>
            </w:r>
            <w:r>
              <w:rPr>
                <w:rFonts w:hint="eastAsia" w:asciiTheme="minorEastAsia" w:hAnsiTheme="minorEastAsia"/>
                <w:color w:val="000000" w:themeColor="text1"/>
                <w:lang w:val="en-US" w:eastAsia="zh-CN"/>
                <w14:textFill>
                  <w14:solidFill>
                    <w14:schemeClr w14:val="tx1"/>
                  </w14:solidFill>
                </w14:textFill>
              </w:rPr>
              <w:t>2</w:t>
            </w:r>
            <w:r>
              <w:rPr>
                <w:rFonts w:hint="eastAsia" w:asciiTheme="minorEastAsia" w:hAnsiTheme="minorEastAsia"/>
                <w:color w:val="000000" w:themeColor="text1"/>
                <w14:textFill>
                  <w14:solidFill>
                    <w14:schemeClr w14:val="tx1"/>
                  </w14:solidFill>
                </w14:textFill>
              </w:rPr>
              <w:t>0分。其他投标人的价格分统一按照下列公式计算：</w:t>
            </w:r>
          </w:p>
          <w:p>
            <w:pPr>
              <w:tabs>
                <w:tab w:val="left" w:pos="1361"/>
              </w:tabs>
              <w:wordWrap w:val="0"/>
              <w:spacing w:line="276" w:lineRule="auto"/>
              <w:jc w:val="left"/>
              <w:rPr>
                <w:rFonts w:hint="default" w:asciiTheme="minorEastAsia" w:hAnsiTheme="minorEastAsia"/>
                <w:b/>
                <w:bCs/>
                <w:color w:val="000000" w:themeColor="text1"/>
                <w:lang w:val="en-US"/>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投标报价得分=(评标基准价／投标报价)×</w:t>
            </w:r>
            <w:r>
              <w:rPr>
                <w:rFonts w:hint="eastAsia" w:asciiTheme="minorEastAsia" w:hAnsiTheme="minorEastAsia"/>
                <w:color w:val="000000" w:themeColor="text1"/>
                <w:highlight w:val="none"/>
                <w:lang w:val="en-US" w:eastAsia="zh-CN"/>
                <w14:textFill>
                  <w14:solidFill>
                    <w14:schemeClr w14:val="tx1"/>
                  </w14:solidFill>
                </w14:textFill>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restart"/>
            <w:tcBorders>
              <w:top w:val="single" w:color="000000" w:sz="8" w:space="0"/>
              <w:left w:val="single" w:color="000000" w:sz="8" w:space="0"/>
              <w:right w:val="single" w:color="000000" w:sz="8" w:space="0"/>
            </w:tcBorders>
          </w:tcPr>
          <w:p>
            <w:pPr>
              <w:wordWrap w:val="0"/>
              <w:spacing w:line="276" w:lineRule="auto"/>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b/>
                <w:bCs/>
                <w:color w:val="000000" w:themeColor="text1"/>
                <w:lang w:val="en-US" w:eastAsia="zh-CN"/>
                <w14:textFill>
                  <w14:solidFill>
                    <w14:schemeClr w14:val="tx1"/>
                  </w14:solidFill>
                </w14:textFill>
              </w:rPr>
            </w:pPr>
          </w:p>
          <w:p>
            <w:pPr>
              <w:wordWrap w:val="0"/>
              <w:spacing w:line="276" w:lineRule="auto"/>
              <w:jc w:val="both"/>
              <w:rPr>
                <w:rFonts w:hint="eastAsia" w:asciiTheme="minorEastAsia" w:hAnsiTheme="minorEastAsia"/>
                <w:b/>
                <w:bCs/>
                <w:color w:val="000000" w:themeColor="text1"/>
                <w:lang w:val="en-US" w:eastAsia="zh-CN"/>
                <w14:textFill>
                  <w14:solidFill>
                    <w14:schemeClr w14:val="tx1"/>
                  </w14:solidFill>
                </w14:textFill>
              </w:rPr>
            </w:pPr>
          </w:p>
          <w:p>
            <w:pPr>
              <w:wordWrap w:val="0"/>
              <w:spacing w:line="276" w:lineRule="auto"/>
              <w:jc w:val="center"/>
              <w:rPr>
                <w:rFonts w:hint="default" w:asciiTheme="minorEastAsia" w:hAnsiTheme="minorEastAsia"/>
                <w:b/>
                <w:bCs/>
                <w:color w:val="000000" w:themeColor="text1"/>
                <w:lang w:val="en-US" w:eastAsia="zh-CN"/>
                <w14:textFill>
                  <w14:solidFill>
                    <w14:schemeClr w14:val="tx1"/>
                  </w14:solidFill>
                </w14:textFill>
              </w:rPr>
            </w:pPr>
            <w:r>
              <w:rPr>
                <w:rFonts w:hint="eastAsia" w:asciiTheme="minorEastAsia" w:hAnsiTheme="minorEastAsia"/>
                <w:b/>
                <w:bCs/>
                <w:color w:val="000000" w:themeColor="text1"/>
                <w:lang w:val="en-US" w:eastAsia="zh-CN"/>
                <w14:textFill>
                  <w14:solidFill>
                    <w14:schemeClr w14:val="tx1"/>
                  </w14:solidFill>
                </w14:textFill>
              </w:rPr>
              <w:t>2</w:t>
            </w:r>
          </w:p>
        </w:tc>
        <w:tc>
          <w:tcPr>
            <w:tcW w:w="3374" w:type="dxa"/>
            <w:gridSpan w:val="3"/>
            <w:tcBorders>
              <w:top w:val="single" w:color="000000" w:sz="8" w:space="0"/>
              <w:left w:val="single" w:color="000000" w:sz="8" w:space="0"/>
              <w:bottom w:val="single" w:color="000000" w:sz="8" w:space="0"/>
              <w:right w:val="single" w:color="000000" w:sz="8" w:space="0"/>
            </w:tcBorders>
            <w:vAlign w:val="top"/>
          </w:tcPr>
          <w:p>
            <w:pPr>
              <w:wordWrap w:val="0"/>
              <w:spacing w:line="276" w:lineRule="auto"/>
              <w:jc w:val="center"/>
              <w:rPr>
                <w:rFonts w:hint="eastAsia" w:asciiTheme="minorEastAsia" w:hAnsiTheme="minorEastAsia"/>
                <w:b/>
                <w:bCs/>
                <w:color w:val="000000" w:themeColor="text1"/>
                <w:lang w:val="en-US" w:eastAsia="zh-CN"/>
                <w14:textFill>
                  <w14:solidFill>
                    <w14:schemeClr w14:val="tx1"/>
                  </w14:solidFill>
                </w14:textFill>
              </w:rPr>
            </w:pPr>
            <w:r>
              <w:rPr>
                <w:rFonts w:hint="eastAsia" w:asciiTheme="minorEastAsia" w:hAnsiTheme="minorEastAsia"/>
                <w:b/>
                <w:bCs/>
                <w:color w:val="000000" w:themeColor="text1"/>
                <w:lang w:eastAsia="zh-CN"/>
                <w14:textFill>
                  <w14:solidFill>
                    <w14:schemeClr w14:val="tx1"/>
                  </w14:solidFill>
                </w14:textFill>
              </w:rPr>
              <w:t>技术部分</w:t>
            </w:r>
          </w:p>
        </w:tc>
        <w:tc>
          <w:tcPr>
            <w:tcW w:w="5263" w:type="dxa"/>
            <w:tcBorders>
              <w:top w:val="single" w:color="000000" w:sz="8" w:space="0"/>
              <w:left w:val="single" w:color="000000" w:sz="8" w:space="0"/>
              <w:bottom w:val="single" w:color="000000" w:sz="8" w:space="0"/>
              <w:right w:val="single" w:color="000000" w:sz="8" w:space="0"/>
            </w:tcBorders>
            <w:vAlign w:val="top"/>
          </w:tcPr>
          <w:p>
            <w:pPr>
              <w:wordWrap w:val="0"/>
              <w:spacing w:line="276" w:lineRule="auto"/>
              <w:jc w:val="center"/>
              <w:rPr>
                <w:rFonts w:hint="default" w:asciiTheme="minorEastAsia" w:hAnsiTheme="minorEastAsia"/>
                <w:b/>
                <w:bCs/>
                <w:color w:val="000000" w:themeColor="text1"/>
                <w:lang w:val="en-US" w:eastAsia="zh-CN"/>
                <w14:textFill>
                  <w14:solidFill>
                    <w14:schemeClr w14:val="tx1"/>
                  </w14:solidFill>
                </w14:textFill>
              </w:rPr>
            </w:pPr>
            <w:r>
              <w:rPr>
                <w:rFonts w:hint="eastAsia" w:asciiTheme="minorEastAsia" w:hAnsiTheme="minorEastAsia"/>
                <w:b/>
                <w:bCs/>
                <w:color w:val="000000" w:themeColor="text1"/>
                <w:lang w:val="en-US" w:eastAsia="zh-CN"/>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88" w:hRule="atLeast"/>
          <w:jc w:val="center"/>
        </w:trPr>
        <w:tc>
          <w:tcPr>
            <w:tcW w:w="435" w:type="dxa"/>
            <w:vMerge w:val="continue"/>
            <w:tcBorders>
              <w:left w:val="single" w:color="000000" w:sz="8" w:space="0"/>
              <w:right w:val="single" w:color="000000" w:sz="8" w:space="0"/>
            </w:tcBorders>
          </w:tcPr>
          <w:p>
            <w:pPr>
              <w:wordWrap w:val="0"/>
              <w:spacing w:line="276" w:lineRule="auto"/>
              <w:jc w:val="center"/>
              <w:rPr>
                <w:rFonts w:hint="default" w:asciiTheme="minorEastAsia" w:hAnsiTheme="minorEastAsia"/>
                <w:b/>
                <w:bCs/>
                <w:color w:val="000000" w:themeColor="text1"/>
                <w:lang w:val="en-US" w:eastAsia="zh-CN"/>
                <w14:textFill>
                  <w14:solidFill>
                    <w14:schemeClr w14:val="tx1"/>
                  </w14:solidFill>
                </w14:textFill>
              </w:rPr>
            </w:pPr>
          </w:p>
        </w:tc>
        <w:tc>
          <w:tcPr>
            <w:tcW w:w="644"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r>
              <w:rPr>
                <w:rFonts w:asciiTheme="minorEastAsia" w:hAnsiTheme="minorEastAsia"/>
                <w:color w:val="000000" w:themeColor="text1"/>
                <w14:textFill>
                  <w14:solidFill>
                    <w14:schemeClr w14:val="tx1"/>
                  </w14:solidFill>
                </w14:textFill>
              </w:rPr>
              <w:t>序号</w:t>
            </w:r>
          </w:p>
        </w:tc>
        <w:tc>
          <w:tcPr>
            <w:tcW w:w="1440"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r>
              <w:rPr>
                <w:rFonts w:asciiTheme="minorEastAsia" w:hAnsiTheme="minorEastAsia"/>
                <w:color w:val="000000" w:themeColor="text1"/>
                <w14:textFill>
                  <w14:solidFill>
                    <w14:schemeClr w14:val="tx1"/>
                  </w14:solidFill>
                </w14:textFill>
              </w:rPr>
              <w:t>评分因素</w:t>
            </w:r>
          </w:p>
        </w:tc>
        <w:tc>
          <w:tcPr>
            <w:tcW w:w="1290"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r>
              <w:rPr>
                <w:rFonts w:asciiTheme="minorEastAsia" w:hAnsiTheme="minorEastAsia"/>
                <w:color w:val="000000" w:themeColor="text1"/>
                <w14:textFill>
                  <w14:solidFill>
                    <w14:schemeClr w14:val="tx1"/>
                  </w14:solidFill>
                </w14:textFill>
              </w:rPr>
              <w:t>权重</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w:t>
            </w:r>
          </w:p>
        </w:tc>
        <w:tc>
          <w:tcPr>
            <w:tcW w:w="5263" w:type="dxa"/>
            <w:tcBorders>
              <w:top w:val="single" w:color="000000" w:sz="8" w:space="0"/>
              <w:left w:val="single" w:color="000000" w:sz="8" w:space="0"/>
              <w:right w:val="single" w:color="000000" w:sz="8" w:space="0"/>
            </w:tcBorders>
            <w:shd w:val="clear" w:color="auto" w:fill="DBE3F4" w:themeFill="accent1" w:themeFillTint="32"/>
            <w:vAlign w:val="top"/>
          </w:tcPr>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r>
              <w:rPr>
                <w:rFonts w:asciiTheme="minorEastAsia" w:hAnsiTheme="minorEastAsia"/>
                <w:color w:val="000000" w:themeColor="text1"/>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143" w:hRule="atLeast"/>
          <w:jc w:val="center"/>
        </w:trPr>
        <w:tc>
          <w:tcPr>
            <w:tcW w:w="435" w:type="dxa"/>
            <w:vMerge w:val="continue"/>
            <w:tcBorders>
              <w:left w:val="single" w:color="000000" w:sz="8" w:space="0"/>
              <w:right w:val="single" w:color="000000" w:sz="8" w:space="0"/>
            </w:tcBorders>
          </w:tcPr>
          <w:p>
            <w:pPr>
              <w:keepLines w:val="0"/>
              <w:pageBreakBefore w:val="0"/>
              <w:kinsoku/>
              <w:wordWrap w:val="0"/>
              <w:overflowPunct/>
              <w:topLinePunct w:val="0"/>
              <w:autoSpaceDE/>
              <w:autoSpaceDN/>
              <w:bidi w:val="0"/>
              <w:snapToGrid/>
              <w:spacing w:line="560" w:lineRule="exact"/>
              <w:ind w:firstLine="1050" w:firstLineChars="500"/>
              <w:jc w:val="both"/>
              <w:rPr>
                <w:color w:val="000000" w:themeColor="text1"/>
                <w14:textFill>
                  <w14:solidFill>
                    <w14:schemeClr w14:val="tx1"/>
                  </w14:solidFill>
                </w14:textFill>
              </w:rPr>
            </w:pPr>
          </w:p>
        </w:tc>
        <w:tc>
          <w:tcPr>
            <w:tcW w:w="644" w:type="dxa"/>
            <w:tcBorders>
              <w:top w:val="single" w:color="000000" w:sz="8" w:space="0"/>
              <w:left w:val="single" w:color="000000" w:sz="8" w:space="0"/>
              <w:bottom w:val="single" w:color="000000" w:sz="8" w:space="0"/>
              <w:right w:val="single" w:color="000000" w:sz="8" w:space="0"/>
            </w:tcBorders>
            <w:vAlign w:val="top"/>
          </w:tcPr>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both"/>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default"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w:t>
            </w:r>
          </w:p>
        </w:tc>
        <w:tc>
          <w:tcPr>
            <w:tcW w:w="1440" w:type="dxa"/>
            <w:tcBorders>
              <w:top w:val="single" w:color="000000" w:sz="8" w:space="0"/>
              <w:left w:val="single" w:color="000000" w:sz="8" w:space="0"/>
              <w:bottom w:val="single" w:color="000000" w:sz="8" w:space="0"/>
              <w:right w:val="single" w:color="000000" w:sz="8" w:space="0"/>
            </w:tcBorders>
            <w:vAlign w:val="top"/>
          </w:tcPr>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both"/>
              <w:rPr>
                <w:rFonts w:hint="eastAsia" w:asciiTheme="minorEastAsia" w:hAnsiTheme="minorEastAsia"/>
                <w:color w:val="000000" w:themeColor="text1"/>
                <w:lang w:val="en-US" w:eastAsia="zh-CN"/>
                <w14:textFill>
                  <w14:solidFill>
                    <w14:schemeClr w14:val="tx1"/>
                  </w14:solidFill>
                </w14:textFill>
              </w:rPr>
            </w:pPr>
          </w:p>
          <w:p>
            <w:pPr>
              <w:wordWrap w:val="0"/>
              <w:spacing w:line="276" w:lineRule="auto"/>
              <w:jc w:val="center"/>
              <w:rPr>
                <w:rFonts w:hint="eastAsia" w:asciiTheme="minorEastAsia" w:hAnsi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服务方案</w:t>
            </w:r>
          </w:p>
        </w:tc>
        <w:tc>
          <w:tcPr>
            <w:tcW w:w="1290" w:type="dxa"/>
            <w:tcBorders>
              <w:top w:val="single" w:color="000000" w:sz="8" w:space="0"/>
              <w:left w:val="single" w:color="000000" w:sz="8" w:space="0"/>
              <w:bottom w:val="single" w:color="000000" w:sz="8" w:space="0"/>
              <w:right w:val="single" w:color="000000" w:sz="8" w:space="0"/>
            </w:tcBorders>
            <w:vAlign w:val="top"/>
          </w:tcPr>
          <w:p>
            <w:pPr>
              <w:keepLines w:val="0"/>
              <w:pageBreakBefore w:val="0"/>
              <w:kinsoku/>
              <w:wordWrap w:val="0"/>
              <w:overflowPunct/>
              <w:topLinePunct w:val="0"/>
              <w:autoSpaceDE/>
              <w:autoSpaceDN/>
              <w:bidi w:val="0"/>
              <w:snapToGrid/>
              <w:spacing w:line="560" w:lineRule="exact"/>
              <w:jc w:val="center"/>
              <w:rPr>
                <w:rFonts w:hint="eastAsia" w:ascii="宋体" w:hAnsi="宋体" w:cs="宋体"/>
                <w:color w:val="000000" w:themeColor="text1"/>
                <w:szCs w:val="21"/>
                <w:lang w:val="en-US" w:eastAsia="zh-CN"/>
                <w14:textFill>
                  <w14:solidFill>
                    <w14:schemeClr w14:val="tx1"/>
                  </w14:solidFill>
                </w14:textFill>
              </w:rPr>
            </w:pPr>
          </w:p>
          <w:p>
            <w:pPr>
              <w:keepLines w:val="0"/>
              <w:pageBreakBefore w:val="0"/>
              <w:kinsoku/>
              <w:wordWrap w:val="0"/>
              <w:overflowPunct/>
              <w:topLinePunct w:val="0"/>
              <w:autoSpaceDE/>
              <w:autoSpaceDN/>
              <w:bidi w:val="0"/>
              <w:snapToGrid/>
              <w:spacing w:line="560" w:lineRule="exact"/>
              <w:jc w:val="center"/>
              <w:rPr>
                <w:rFonts w:hint="eastAsia" w:ascii="宋体" w:hAnsi="宋体" w:cs="宋体"/>
                <w:color w:val="000000" w:themeColor="text1"/>
                <w:szCs w:val="21"/>
                <w:lang w:val="en-US" w:eastAsia="zh-CN"/>
                <w14:textFill>
                  <w14:solidFill>
                    <w14:schemeClr w14:val="tx1"/>
                  </w14:solidFill>
                </w14:textFill>
              </w:rPr>
            </w:pPr>
          </w:p>
          <w:p>
            <w:pPr>
              <w:keepLines w:val="0"/>
              <w:pageBreakBefore w:val="0"/>
              <w:kinsoku/>
              <w:wordWrap w:val="0"/>
              <w:overflowPunct/>
              <w:topLinePunct w:val="0"/>
              <w:autoSpaceDE/>
              <w:autoSpaceDN/>
              <w:bidi w:val="0"/>
              <w:snapToGrid/>
              <w:spacing w:line="560" w:lineRule="exact"/>
              <w:jc w:val="center"/>
              <w:rPr>
                <w:rFonts w:hint="eastAsia" w:ascii="宋体" w:hAnsi="宋体" w:cs="宋体"/>
                <w:color w:val="000000" w:themeColor="text1"/>
                <w:szCs w:val="21"/>
                <w:lang w:val="en-US" w:eastAsia="zh-CN"/>
                <w14:textFill>
                  <w14:solidFill>
                    <w14:schemeClr w14:val="tx1"/>
                  </w14:solidFill>
                </w14:textFill>
              </w:rPr>
            </w:pPr>
          </w:p>
          <w:p>
            <w:pPr>
              <w:keepLines w:val="0"/>
              <w:pageBreakBefore w:val="0"/>
              <w:kinsoku/>
              <w:wordWrap w:val="0"/>
              <w:overflowPunct/>
              <w:topLinePunct w:val="0"/>
              <w:autoSpaceDE/>
              <w:autoSpaceDN/>
              <w:bidi w:val="0"/>
              <w:snapToGrid/>
              <w:spacing w:line="560" w:lineRule="exact"/>
              <w:jc w:val="center"/>
              <w:rPr>
                <w:rFonts w:hint="eastAsia" w:ascii="宋体" w:hAnsi="宋体" w:cs="宋体"/>
                <w:color w:val="000000" w:themeColor="text1"/>
                <w:szCs w:val="21"/>
                <w:lang w:val="en-US" w:eastAsia="zh-CN"/>
                <w14:textFill>
                  <w14:solidFill>
                    <w14:schemeClr w14:val="tx1"/>
                  </w14:solidFill>
                </w14:textFill>
              </w:rPr>
            </w:pPr>
          </w:p>
          <w:p>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b/>
                <w:bCs/>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40</w:t>
            </w:r>
          </w:p>
        </w:tc>
        <w:tc>
          <w:tcPr>
            <w:tcW w:w="5263" w:type="dxa"/>
            <w:tcBorders>
              <w:left w:val="single" w:color="000000" w:sz="8" w:space="0"/>
              <w:bottom w:val="single" w:color="000000" w:sz="8" w:space="0"/>
              <w:right w:val="single" w:color="000000" w:sz="8" w:space="0"/>
            </w:tcBorders>
            <w:vAlign w:val="top"/>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一、评分内容</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投标人需提供项目服务方案，服务方案包含但不限于：</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1.对</w:t>
            </w:r>
            <w:r>
              <w:rPr>
                <w:rFonts w:hint="eastAsia" w:asciiTheme="minorEastAsia" w:hAnsiTheme="minorEastAsia"/>
                <w:b w:val="0"/>
                <w:bCs w:val="0"/>
                <w:color w:val="000000" w:themeColor="text1"/>
                <w:highlight w:val="none"/>
                <w:lang w:eastAsia="zh-CN"/>
                <w14:textFill>
                  <w14:solidFill>
                    <w14:schemeClr w14:val="tx1"/>
                  </w14:solidFill>
                </w14:textFill>
              </w:rPr>
              <w:t>民生微实事</w:t>
            </w:r>
            <w:r>
              <w:rPr>
                <w:rFonts w:hint="eastAsia" w:asciiTheme="minorEastAsia" w:hAnsiTheme="minorEastAsia"/>
                <w:b w:val="0"/>
                <w:bCs w:val="0"/>
                <w:color w:val="000000" w:themeColor="text1"/>
                <w:highlight w:val="none"/>
                <w14:textFill>
                  <w14:solidFill>
                    <w14:schemeClr w14:val="tx1"/>
                  </w14:solidFill>
                </w14:textFill>
              </w:rPr>
              <w:t>项目的认识和理解；</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2.</w:t>
            </w:r>
            <w:r>
              <w:rPr>
                <w:rFonts w:hint="eastAsia" w:asciiTheme="minorEastAsia" w:hAnsiTheme="minorEastAsia"/>
                <w:b w:val="0"/>
                <w:bCs w:val="0"/>
                <w:color w:val="000000" w:themeColor="text1"/>
                <w:highlight w:val="none"/>
                <w:lang w:eastAsia="zh-CN"/>
                <w14:textFill>
                  <w14:solidFill>
                    <w14:schemeClr w14:val="tx1"/>
                  </w14:solidFill>
                </w14:textFill>
              </w:rPr>
              <w:t>项目资金监管</w:t>
            </w:r>
            <w:r>
              <w:rPr>
                <w:rFonts w:hint="eastAsia" w:asciiTheme="minorEastAsia" w:hAnsiTheme="minorEastAsia"/>
                <w:b w:val="0"/>
                <w:bCs w:val="0"/>
                <w:color w:val="000000" w:themeColor="text1"/>
                <w:highlight w:val="none"/>
                <w14:textFill>
                  <w14:solidFill>
                    <w14:schemeClr w14:val="tx1"/>
                  </w14:solidFill>
                </w14:textFill>
              </w:rPr>
              <w:t>方案的工作方法、工作流程和进度安排；</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3.人员组织管理；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4.服务质量保障措施。</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二、评分依据</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投标人提供的项目服务方案每满足以上1点要求的得5分，最高得20分。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在此基础上，评委会根据响应情况进行打分：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优：方案内容完整、科学合理、清晰准确，得</w:t>
            </w:r>
            <w:r>
              <w:rPr>
                <w:rFonts w:hint="eastAsia" w:asciiTheme="minorEastAsia" w:hAnsiTheme="minorEastAsia"/>
                <w:b w:val="0"/>
                <w:bCs w:val="0"/>
                <w:color w:val="000000" w:themeColor="text1"/>
                <w:highlight w:val="none"/>
                <w:lang w:val="en-US" w:eastAsia="zh-CN"/>
                <w14:textFill>
                  <w14:solidFill>
                    <w14:schemeClr w14:val="tx1"/>
                  </w14:solidFill>
                </w14:textFill>
              </w:rPr>
              <w:t>14-20</w:t>
            </w:r>
            <w:r>
              <w:rPr>
                <w:rFonts w:hint="eastAsia" w:asciiTheme="minorEastAsia" w:hAnsiTheme="minorEastAsia"/>
                <w:b w:val="0"/>
                <w:bCs w:val="0"/>
                <w:color w:val="000000" w:themeColor="text1"/>
                <w:highlight w:val="none"/>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良：方案内容较为完整、较为合理、较为清晰，得</w:t>
            </w:r>
            <w:r>
              <w:rPr>
                <w:rFonts w:hint="eastAsia" w:asciiTheme="minorEastAsia" w:hAnsiTheme="minorEastAsia"/>
                <w:b w:val="0"/>
                <w:bCs w:val="0"/>
                <w:color w:val="000000" w:themeColor="text1"/>
                <w:highlight w:val="none"/>
                <w:lang w:val="en-US" w:eastAsia="zh-CN"/>
                <w14:textFill>
                  <w14:solidFill>
                    <w14:schemeClr w14:val="tx1"/>
                  </w14:solidFill>
                </w14:textFill>
              </w:rPr>
              <w:t>7-13</w:t>
            </w:r>
            <w:r>
              <w:rPr>
                <w:rFonts w:hint="eastAsia" w:asciiTheme="minorEastAsia" w:hAnsiTheme="minorEastAsia"/>
                <w:b w:val="0"/>
                <w:bCs w:val="0"/>
                <w:color w:val="000000" w:themeColor="text1"/>
                <w:highlight w:val="none"/>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中：方案内容有部分缺少、基本合理、基本清晰，得</w:t>
            </w:r>
            <w:r>
              <w:rPr>
                <w:rFonts w:hint="eastAsia" w:asciiTheme="minorEastAsia" w:hAnsiTheme="minorEastAsia"/>
                <w:b w:val="0"/>
                <w:bCs w:val="0"/>
                <w:color w:val="000000" w:themeColor="text1"/>
                <w:highlight w:val="none"/>
                <w:lang w:val="en-US" w:eastAsia="zh-CN"/>
                <w14:textFill>
                  <w14:solidFill>
                    <w14:schemeClr w14:val="tx1"/>
                  </w14:solidFill>
                </w14:textFill>
              </w:rPr>
              <w:t>1-6</w:t>
            </w:r>
            <w:r>
              <w:rPr>
                <w:rFonts w:hint="eastAsia" w:asciiTheme="minorEastAsia" w:hAnsiTheme="minorEastAsia"/>
                <w:b w:val="0"/>
                <w:bCs w:val="0"/>
                <w:color w:val="000000" w:themeColor="text1"/>
                <w:highlight w:val="none"/>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差：方案存在内容严重缺失、不合理、不清晰任一情形的，得0分；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未提供或完全不符合不得分。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bCs/>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以上两点累积相加，满分为</w:t>
            </w:r>
            <w:r>
              <w:rPr>
                <w:rFonts w:hint="eastAsia" w:asciiTheme="minorEastAsia" w:hAnsiTheme="minorEastAsia"/>
                <w:b w:val="0"/>
                <w:bCs w:val="0"/>
                <w:color w:val="000000" w:themeColor="text1"/>
                <w:highlight w:val="none"/>
                <w:lang w:val="en-US" w:eastAsia="zh-CN"/>
                <w14:textFill>
                  <w14:solidFill>
                    <w14:schemeClr w14:val="tx1"/>
                  </w14:solidFill>
                </w14:textFill>
              </w:rPr>
              <w:t>40</w:t>
            </w:r>
            <w:r>
              <w:rPr>
                <w:rFonts w:hint="eastAsia" w:asciiTheme="minorEastAsia" w:hAnsiTheme="minorEastAsia"/>
                <w:b w:val="0"/>
                <w:bCs w:val="0"/>
                <w:color w:val="000000" w:themeColor="text1"/>
                <w:highlight w:val="none"/>
                <w14:textFill>
                  <w14:solidFill>
                    <w14:schemeClr w14:val="tx1"/>
                  </w14:solidFill>
                </w14:textFill>
              </w:rPr>
              <w:t>分，最低为0分。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restart"/>
            <w:tcBorders>
              <w:top w:val="single" w:color="000000" w:sz="8" w:space="0"/>
              <w:left w:val="single" w:color="000000" w:sz="8" w:space="0"/>
              <w:right w:val="single" w:color="000000" w:sz="8" w:space="0"/>
            </w:tcBorders>
          </w:tcPr>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rPr>
                <w:rFonts w:asciiTheme="minorEastAsia" w:hAnsiTheme="minorEastAsia"/>
                <w:b/>
                <w:bCs/>
                <w:color w:val="000000" w:themeColor="text1"/>
                <w14:textFill>
                  <w14:solidFill>
                    <w14:schemeClr w14:val="tx1"/>
                  </w14:solidFill>
                </w14:textFill>
              </w:rPr>
            </w:pPr>
          </w:p>
          <w:p>
            <w:pPr>
              <w:wordWrap w:val="0"/>
              <w:spacing w:line="276" w:lineRule="auto"/>
              <w:jc w:val="center"/>
              <w:rPr>
                <w:rFonts w:hint="eastAsia" w:asciiTheme="minorEastAsia" w:hAnsiTheme="minorEastAsia" w:eastAsiaTheme="minorEastAsia"/>
                <w:b/>
                <w:bCs/>
                <w:color w:val="000000" w:themeColor="text1"/>
                <w:lang w:eastAsia="zh-CN"/>
                <w14:textFill>
                  <w14:solidFill>
                    <w14:schemeClr w14:val="tx1"/>
                  </w14:solidFill>
                </w14:textFill>
              </w:rPr>
            </w:pPr>
            <w:r>
              <w:rPr>
                <w:rFonts w:hint="eastAsia" w:asciiTheme="minorEastAsia" w:hAnsiTheme="minorEastAsia"/>
                <w:b/>
                <w:bCs/>
                <w:color w:val="000000" w:themeColor="text1"/>
                <w:lang w:val="en-US" w:eastAsia="zh-CN"/>
                <w14:textFill>
                  <w14:solidFill>
                    <w14:schemeClr w14:val="tx1"/>
                  </w14:solidFill>
                </w14:textFill>
              </w:rPr>
              <w:t>3</w:t>
            </w:r>
          </w:p>
        </w:tc>
        <w:tc>
          <w:tcPr>
            <w:tcW w:w="3374" w:type="dxa"/>
            <w:gridSpan w:val="3"/>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综合实力</w:t>
            </w:r>
          </w:p>
        </w:tc>
        <w:tc>
          <w:tcPr>
            <w:tcW w:w="5263" w:type="dxa"/>
            <w:tcBorders>
              <w:top w:val="single" w:color="000000" w:sz="8" w:space="0"/>
              <w:left w:val="single" w:color="000000" w:sz="8" w:space="0"/>
              <w:bottom w:val="single" w:color="000000" w:sz="8" w:space="0"/>
              <w:right w:val="single" w:color="000000" w:sz="8" w:space="0"/>
            </w:tcBorders>
          </w:tcPr>
          <w:p>
            <w:pPr>
              <w:wordWrap w:val="0"/>
              <w:spacing w:line="276" w:lineRule="auto"/>
              <w:jc w:val="center"/>
              <w:rPr>
                <w:rFonts w:hint="default" w:asciiTheme="minorEastAsia" w:hAnsiTheme="minorEastAsia"/>
                <w:b/>
                <w:bCs/>
                <w:color w:val="000000" w:themeColor="text1"/>
                <w:lang w:val="en-US"/>
                <w14:textFill>
                  <w14:solidFill>
                    <w14:schemeClr w14:val="tx1"/>
                  </w14:solidFill>
                </w14:textFill>
              </w:rPr>
            </w:pPr>
            <w:r>
              <w:rPr>
                <w:rFonts w:hint="eastAsia" w:asciiTheme="minorEastAsia" w:hAnsiTheme="minorEastAsia"/>
                <w:b/>
                <w:bCs/>
                <w:color w:val="000000" w:themeColor="text1"/>
                <w:lang w:val="en-US" w:eastAsia="zh-CN"/>
                <w14:textFill>
                  <w14:solidFill>
                    <w14:schemeClr w14:val="tx1"/>
                  </w14:solidFill>
                </w14:textFill>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5" w:type="dxa"/>
            <w:vMerge w:val="continue"/>
            <w:tcBorders>
              <w:left w:val="single" w:color="000000" w:sz="8" w:space="0"/>
              <w:right w:val="single" w:color="000000" w:sz="8" w:space="0"/>
            </w:tcBorders>
            <w:shd w:val="clear" w:color="auto" w:fill="E6EFFA"/>
            <w:vAlign w:val="center"/>
          </w:tcPr>
          <w:p>
            <w:pPr>
              <w:wordWrap w:val="0"/>
              <w:spacing w:line="276" w:lineRule="auto"/>
              <w:jc w:val="center"/>
              <w:rPr>
                <w:rFonts w:cs="宋体" w:asciiTheme="minorEastAsia" w:hAnsiTheme="minorEastAsia"/>
                <w:b/>
                <w:bCs/>
                <w:color w:val="000000" w:themeColor="text1"/>
                <w14:textFill>
                  <w14:solidFill>
                    <w14:schemeClr w14:val="tx1"/>
                  </w14:solidFill>
                </w14:textFill>
              </w:rPr>
            </w:pPr>
          </w:p>
        </w:tc>
        <w:tc>
          <w:tcPr>
            <w:tcW w:w="644" w:type="dxa"/>
            <w:tcBorders>
              <w:top w:val="outset" w:color="000000" w:sz="6" w:space="0"/>
              <w:left w:val="outset" w:color="000000" w:sz="6" w:space="0"/>
              <w:bottom w:val="outset" w:color="000000" w:sz="6" w:space="0"/>
              <w:right w:val="outset" w:color="000000" w:sz="6" w:space="0"/>
            </w:tcBorders>
            <w:shd w:val="clear" w:color="auto" w:fill="DBE3F4" w:themeFill="accent1" w:themeFillTint="32"/>
            <w:vAlign w:val="center"/>
          </w:tcPr>
          <w:p>
            <w:pPr>
              <w:wordWrap w:val="0"/>
              <w:spacing w:line="276" w:lineRule="auto"/>
              <w:jc w:val="center"/>
              <w:rPr>
                <w:rFonts w:cs="宋体"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序号</w:t>
            </w:r>
          </w:p>
        </w:tc>
        <w:tc>
          <w:tcPr>
            <w:tcW w:w="1440" w:type="dxa"/>
            <w:tcBorders>
              <w:top w:val="outset" w:color="000000" w:sz="6" w:space="0"/>
              <w:left w:val="outset" w:color="000000" w:sz="6" w:space="0"/>
              <w:bottom w:val="outset" w:color="000000" w:sz="6" w:space="0"/>
              <w:right w:val="outset" w:color="000000" w:sz="6" w:space="0"/>
            </w:tcBorders>
            <w:shd w:val="clear" w:color="auto" w:fill="DBE3F4" w:themeFill="accent1" w:themeFillTint="32"/>
            <w:vAlign w:val="center"/>
          </w:tcPr>
          <w:p>
            <w:pPr>
              <w:wordWrap w:val="0"/>
              <w:spacing w:line="276" w:lineRule="auto"/>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评分因素</w:t>
            </w:r>
          </w:p>
        </w:tc>
        <w:tc>
          <w:tcPr>
            <w:tcW w:w="1290" w:type="dxa"/>
            <w:tcBorders>
              <w:top w:val="outset" w:color="000000" w:sz="6" w:space="0"/>
              <w:left w:val="outset" w:color="000000" w:sz="6" w:space="0"/>
              <w:bottom w:val="outset" w:color="000000" w:sz="6" w:space="0"/>
              <w:right w:val="outset" w:color="000000" w:sz="6" w:space="0"/>
            </w:tcBorders>
            <w:shd w:val="clear" w:color="auto" w:fill="DBE3F4" w:themeFill="accent1" w:themeFillTint="32"/>
            <w:vAlign w:val="center"/>
          </w:tcPr>
          <w:p>
            <w:pPr>
              <w:wordWrap w:val="0"/>
              <w:spacing w:line="276" w:lineRule="auto"/>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权重</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w:t>
            </w:r>
          </w:p>
        </w:tc>
        <w:tc>
          <w:tcPr>
            <w:tcW w:w="5263" w:type="dxa"/>
            <w:tcBorders>
              <w:top w:val="outset" w:color="000000" w:sz="6" w:space="0"/>
              <w:left w:val="outset" w:color="000000" w:sz="6" w:space="0"/>
              <w:bottom w:val="outset" w:color="000000" w:sz="6" w:space="0"/>
              <w:right w:val="outset" w:color="000000" w:sz="6" w:space="0"/>
            </w:tcBorders>
            <w:shd w:val="clear" w:color="auto" w:fill="DBE3F4" w:themeFill="accent1" w:themeFillTint="32"/>
            <w:vAlign w:val="center"/>
          </w:tcPr>
          <w:p>
            <w:pPr>
              <w:wordWrap w:val="0"/>
              <w:spacing w:line="276" w:lineRule="auto"/>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 w:hRule="atLeast"/>
          <w:jc w:val="center"/>
        </w:trPr>
        <w:tc>
          <w:tcPr>
            <w:tcW w:w="435" w:type="dxa"/>
            <w:vMerge w:val="continue"/>
            <w:tcBorders>
              <w:left w:val="single" w:color="000000" w:sz="8" w:space="0"/>
              <w:right w:val="single" w:color="000000" w:sz="8" w:space="0"/>
            </w:tcBorders>
          </w:tcPr>
          <w:p>
            <w:pPr>
              <w:wordWrap w:val="0"/>
              <w:spacing w:line="276" w:lineRule="auto"/>
              <w:rPr>
                <w:rFonts w:cs="宋体" w:asciiTheme="minorEastAsia" w:hAnsiTheme="minorEastAsia"/>
                <w:b/>
                <w:bCs/>
                <w:color w:val="000000" w:themeColor="text1"/>
                <w14:textFill>
                  <w14:solidFill>
                    <w14:schemeClr w14:val="tx1"/>
                  </w14:solidFill>
                </w14:textFill>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同类</w:t>
            </w:r>
            <w:r>
              <w:rPr>
                <w:rFonts w:hint="eastAsia" w:ascii="宋体" w:hAnsi="宋体" w:cs="宋体"/>
                <w:color w:val="000000" w:themeColor="text1"/>
                <w:szCs w:val="21"/>
                <w14:textFill>
                  <w14:solidFill>
                    <w14:schemeClr w14:val="tx1"/>
                  </w14:solidFill>
                </w14:textFill>
              </w:rPr>
              <w:t>项目业绩</w:t>
            </w:r>
            <w:r>
              <w:rPr>
                <w:rFonts w:hint="eastAsia" w:ascii="宋体" w:hAnsi="宋体" w:cs="宋体"/>
                <w:color w:val="000000" w:themeColor="text1"/>
                <w:szCs w:val="21"/>
                <w:lang w:eastAsia="zh-CN"/>
                <w14:textFill>
                  <w14:solidFill>
                    <w14:schemeClr w14:val="tx1"/>
                  </w14:solidFill>
                </w14:textFill>
              </w:rPr>
              <w:t>情况</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30</w:t>
            </w:r>
          </w:p>
        </w:tc>
        <w:tc>
          <w:tcPr>
            <w:tcW w:w="526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（一）评审内容：</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投标人有承接近5年内民生微实事预算审核、结算核准、、审计等相关经验，每提供一项得</w:t>
            </w:r>
            <w:r>
              <w:rPr>
                <w:rFonts w:hint="eastAsia" w:asciiTheme="minorEastAsia" w:hAnsiTheme="minorEastAsia"/>
                <w:b w:val="0"/>
                <w:bCs w:val="0"/>
                <w:color w:val="000000" w:themeColor="text1"/>
                <w:highlight w:val="none"/>
                <w:lang w:val="en-US" w:eastAsia="zh-CN"/>
                <w14:textFill>
                  <w14:solidFill>
                    <w14:schemeClr w14:val="tx1"/>
                  </w14:solidFill>
                </w14:textFill>
              </w:rPr>
              <w:t>10</w:t>
            </w:r>
            <w:r>
              <w:rPr>
                <w:rFonts w:hint="eastAsia" w:asciiTheme="minorEastAsia" w:hAnsiTheme="minorEastAsia"/>
                <w:b w:val="0"/>
                <w:bCs w:val="0"/>
                <w:color w:val="000000" w:themeColor="text1"/>
                <w:highlight w:val="none"/>
                <w:lang w:eastAsia="zh-CN"/>
                <w14:textFill>
                  <w14:solidFill>
                    <w14:schemeClr w14:val="tx1"/>
                  </w14:solidFill>
                </w14:textFill>
              </w:rPr>
              <w:t>分，最高</w:t>
            </w:r>
            <w:r>
              <w:rPr>
                <w:rFonts w:hint="eastAsia" w:asciiTheme="minorEastAsia" w:hAnsiTheme="minorEastAsia"/>
                <w:b w:val="0"/>
                <w:bCs w:val="0"/>
                <w:color w:val="000000" w:themeColor="text1"/>
                <w:highlight w:val="none"/>
                <w:lang w:val="en-US" w:eastAsia="zh-CN"/>
                <w14:textFill>
                  <w14:solidFill>
                    <w14:schemeClr w14:val="tx1"/>
                  </w14:solidFill>
                </w14:textFill>
              </w:rPr>
              <w:t>30</w:t>
            </w:r>
            <w:r>
              <w:rPr>
                <w:rFonts w:hint="eastAsia" w:asciiTheme="minorEastAsia" w:hAnsiTheme="minorEastAsia"/>
                <w:b w:val="0"/>
                <w:bCs w:val="0"/>
                <w:color w:val="000000" w:themeColor="text1"/>
                <w:highlight w:val="none"/>
                <w:lang w:eastAsia="zh-CN"/>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（二）评分依据：</w:t>
            </w:r>
          </w:p>
          <w:p>
            <w:pPr>
              <w:widowControl/>
              <w:jc w:val="left"/>
              <w:rPr>
                <w:rFonts w:hint="eastAsia" w:ascii="新宋体" w:hAnsi="新宋体" w:eastAsia="新宋体" w:cs="新宋体"/>
                <w:color w:val="000000" w:themeColor="text1"/>
                <w:kern w:val="0"/>
                <w:szCs w:val="21"/>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提供项目合同（或协议）关键页（包括但不限于：合同名称页、合同主要内容页、合同签订日期页、合同双方签字盖章页）扫描件，原件备查。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5" w:type="dxa"/>
            <w:vMerge w:val="continue"/>
            <w:tcBorders>
              <w:left w:val="single" w:color="000000" w:sz="8" w:space="0"/>
              <w:right w:val="single" w:color="000000" w:sz="8" w:space="0"/>
            </w:tcBorders>
          </w:tcPr>
          <w:p>
            <w:pPr>
              <w:wordWrap w:val="0"/>
              <w:spacing w:line="276" w:lineRule="auto"/>
              <w:rPr>
                <w:rFonts w:cs="宋体" w:asciiTheme="minorEastAsia" w:hAnsiTheme="minorEastAsia"/>
                <w:b/>
                <w:bCs/>
                <w:color w:val="000000" w:themeColor="text1"/>
                <w14:textFill>
                  <w14:solidFill>
                    <w14:schemeClr w14:val="tx1"/>
                  </w14:solidFill>
                </w14:textFill>
              </w:rPr>
            </w:pPr>
          </w:p>
        </w:tc>
        <w:tc>
          <w:tcPr>
            <w:tcW w:w="644" w:type="dxa"/>
            <w:tcBorders>
              <w:top w:val="single" w:color="000000" w:sz="8" w:space="0"/>
              <w:left w:val="single" w:color="000000" w:sz="8" w:space="0"/>
              <w:bottom w:val="single" w:color="000000" w:sz="8" w:space="0"/>
              <w:right w:val="single" w:color="000000" w:sz="8" w:space="0"/>
            </w:tcBorders>
            <w:vAlign w:val="center"/>
          </w:tcPr>
          <w:p>
            <w:pPr>
              <w:wordWrap w:val="0"/>
              <w:spacing w:line="276" w:lineRule="auto"/>
              <w:jc w:val="center"/>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color w:val="000000" w:themeColor="text1"/>
                <w:sz w:val="24"/>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保密承诺</w:t>
            </w:r>
          </w:p>
        </w:tc>
        <w:tc>
          <w:tcPr>
            <w:tcW w:w="1290"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5263"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（一）评审内容：</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履约完成本项目过程中及过程后，项目服务方要对本项目内容承担保密义务，认同并履行合同保密条款。</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（二）评分依据：</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ascii="宋体" w:hAnsi="宋体" w:cs="宋体"/>
                <w:color w:val="000000" w:themeColor="text1"/>
                <w:szCs w:val="21"/>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提供保密承诺书得10分，不提供则不得分。</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t>五、商务需求</w:t>
      </w:r>
    </w:p>
    <w:p>
      <w:pPr>
        <w:keepLines w:val="0"/>
        <w:pageBreakBefore w:val="0"/>
        <w:kinsoku/>
        <w:overflowPunct/>
        <w:topLinePunct w:val="0"/>
        <w:autoSpaceDE/>
        <w:autoSpaceDN/>
        <w:bidi w:val="0"/>
        <w:snapToGrid/>
        <w:spacing w:beforeAutospacing="0" w:line="560" w:lineRule="exact"/>
        <w:ind w:firstLine="640" w:firstLineChars="20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（一）服务期</w:t>
      </w:r>
    </w:p>
    <w:p>
      <w:pPr>
        <w:keepLines w:val="0"/>
        <w:pageBreakBefore w:val="0"/>
        <w:kinsoku/>
        <w:overflowPunct/>
        <w:topLinePunct w:val="0"/>
        <w:autoSpaceDE/>
        <w:autoSpaceDN/>
        <w:bidi w:val="0"/>
        <w:snapToGrid/>
        <w:spacing w:beforeAutospacing="0" w:line="560" w:lineRule="exact"/>
        <w:ind w:firstLine="640" w:firstLineChars="200"/>
        <w:rPr>
          <w:rFonts w:hint="default"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服务期限为：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2025年2月1日起至2026年1月31日止</w:t>
      </w:r>
    </w:p>
    <w:p>
      <w:pPr>
        <w:keepLines w:val="0"/>
        <w:pageBreakBefore w:val="0"/>
        <w:kinsoku/>
        <w:overflowPunct/>
        <w:topLinePunct w:val="0"/>
        <w:autoSpaceDE/>
        <w:autoSpaceDN/>
        <w:bidi w:val="0"/>
        <w:snapToGrid/>
        <w:spacing w:beforeAutospacing="0" w:line="560" w:lineRule="exact"/>
        <w:ind w:firstLine="640" w:firstLineChars="20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（二）服务地点</w:t>
      </w:r>
    </w:p>
    <w:p>
      <w:pPr>
        <w:keepLines w:val="0"/>
        <w:pageBreakBefore w:val="0"/>
        <w:kinsoku/>
        <w:overflowPunct/>
        <w:topLinePunct w:val="0"/>
        <w:autoSpaceDE/>
        <w:autoSpaceDN/>
        <w:bidi w:val="0"/>
        <w:snapToGrid/>
        <w:spacing w:beforeAutospacing="0" w:line="560" w:lineRule="exact"/>
        <w:ind w:firstLine="640" w:firstLineChars="200"/>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深圳市南山区粤海街道办事处辖区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、民生微实事项目开展地点和其承接单位工作地点</w:t>
      </w:r>
    </w:p>
    <w:p>
      <w:pPr>
        <w:keepLines w:val="0"/>
        <w:pageBreakBefore w:val="0"/>
        <w:kinsoku/>
        <w:overflowPunct/>
        <w:topLinePunct w:val="0"/>
        <w:autoSpaceDE/>
        <w:autoSpaceDN/>
        <w:bidi w:val="0"/>
        <w:snapToGrid/>
        <w:spacing w:beforeAutospacing="0" w:line="560" w:lineRule="exact"/>
        <w:ind w:firstLine="640" w:firstLineChars="20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（三）报价要求</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本项目服务费采用包干制，应包括服务成本、法定税费和利润。由投标供应商根据采购文件所提供的资料自行测算投标报价；一经中标，报价总价作为中标供应商与采购人签定的合同金额，合同期限内不做调整。</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投标供应商的报价不得超过项目预算金额。</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投标供应商的报价，应当是本项目采购范围和采购文件及合同条款上所列的各项内容中所述的全部，不得以任何理由予以重复。</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投标供应商不得期望通过索赔等方式获取补偿，否则，除可能遭到拒绝外，还可能将被作为不良行为记录在案，并可能影响其以后参加政府采购的项目投标。各投标供应商在报价时，应充分考虑报价的风险。</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6.投标人应充分了解项目的位置、情况、道路及任何其它足以影响投标报价的情况，任何因忽视或误解项目情况而导致的索赔或服务期限延长申请将不获批准。</w:t>
      </w:r>
    </w:p>
    <w:p>
      <w:pPr>
        <w:keepLines w:val="0"/>
        <w:pageBreakBefore w:val="0"/>
        <w:kinsoku/>
        <w:overflowPunct/>
        <w:topLinePunct w:val="0"/>
        <w:autoSpaceDE/>
        <w:autoSpaceDN/>
        <w:bidi w:val="0"/>
        <w:snapToGrid/>
        <w:spacing w:beforeAutospacing="0" w:line="560" w:lineRule="exact"/>
        <w:ind w:firstLine="640" w:firstLineChars="200"/>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（四）付款方式</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按照区财政局的支付要求和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粤海街道</w:t>
      </w:r>
      <w:r>
        <w:rPr>
          <w:rFonts w:hint="eastAsia" w:ascii="仿宋_GB2312" w:hAnsi="仿宋_GB2312" w:eastAsia="仿宋_GB2312" w:cs="仿宋_GB2312"/>
          <w:color w:val="000000" w:themeColor="text1"/>
          <w:sz w:val="32"/>
          <w:szCs w:val="32"/>
          <w14:textFill>
            <w14:solidFill>
              <w14:schemeClr w14:val="tx1"/>
            </w14:solidFill>
          </w14:textFill>
        </w:rPr>
        <w:t>内部管理制度进行支付，具体以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协议</w:t>
      </w:r>
      <w:r>
        <w:rPr>
          <w:rFonts w:hint="eastAsia" w:ascii="仿宋_GB2312" w:hAnsi="仿宋_GB2312" w:eastAsia="仿宋_GB2312" w:cs="仿宋_GB2312"/>
          <w:color w:val="000000" w:themeColor="text1"/>
          <w:sz w:val="32"/>
          <w:szCs w:val="32"/>
          <w14:textFill>
            <w14:solidFill>
              <w14:schemeClr w14:val="tx1"/>
            </w14:solidFill>
          </w14:textFill>
        </w:rPr>
        <w:t>签订为准。</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480" w:firstLineChars="150"/>
        <w:textAlignment w:val="auto"/>
        <w:outlineLvl w:val="0"/>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宋体"/>
          <w:b w:val="0"/>
          <w:bCs/>
          <w:color w:val="000000" w:themeColor="text1"/>
          <w:kern w:val="2"/>
          <w:sz w:val="32"/>
          <w:szCs w:val="32"/>
          <w:lang w:val="en-US" w:eastAsia="zh-CN" w:bidi="ar-SA"/>
          <w14:textFill>
            <w14:solidFill>
              <w14:schemeClr w14:val="tx1"/>
            </w14:solidFill>
          </w14:textFill>
        </w:rPr>
        <w:t>六、投标文件编制</w:t>
      </w:r>
    </w:p>
    <w:p>
      <w:pPr>
        <w:spacing w:line="560"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投标文件</w:t>
      </w:r>
      <w:r>
        <w:rPr>
          <w:rFonts w:hint="eastAsia" w:ascii="仿宋_GB2312" w:hAnsi="仿宋_GB2312" w:eastAsia="仿宋_GB2312" w:cs="仿宋_GB2312"/>
          <w:color w:val="000000" w:themeColor="text1"/>
          <w:sz w:val="32"/>
          <w:szCs w:val="32"/>
          <w14:textFill>
            <w14:solidFill>
              <w14:schemeClr w14:val="tx1"/>
            </w14:solidFill>
          </w14:textFill>
        </w:rPr>
        <w:t>一正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副（副本可采用正本盖章复印件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正本与副本须分别装订成册，不得采用活页夹。投标文件须编制目录，并且逐页标注连续页码，否则，采购人对由于投标文件装订松散而造成的丢失或其他后果不承担任何责任。</w:t>
      </w:r>
      <w:r>
        <w:rPr>
          <w:rFonts w:hint="eastAsia" w:ascii="仿宋_GB2312" w:hAnsi="仿宋_GB2312" w:eastAsia="仿宋_GB2312" w:cs="仿宋_GB2312"/>
          <w:color w:val="000000" w:themeColor="text1"/>
          <w:sz w:val="32"/>
          <w:szCs w:val="32"/>
          <w14:textFill>
            <w14:solidFill>
              <w14:schemeClr w14:val="tx1"/>
            </w14:solidFill>
          </w14:textFill>
        </w:rPr>
        <w:t>），要求按以下顺序编制，并密封包装：</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1.投标报名表</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2.报价一览表</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3.投标人资质条件</w:t>
      </w:r>
    </w:p>
    <w:p>
      <w:pPr>
        <w:keepLines w:val="0"/>
        <w:pageBreakBefore w:val="0"/>
        <w:kinsoku/>
        <w:overflowPunct/>
        <w:topLinePunct w:val="0"/>
        <w:autoSpaceDE/>
        <w:autoSpaceDN/>
        <w:bidi w:val="0"/>
        <w:snapToGrid/>
        <w:spacing w:beforeAutospacing="0" w:line="560" w:lineRule="exact"/>
        <w:ind w:firstLine="960" w:firstLineChars="3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3.1营业执照复印件加盖公章</w:t>
      </w:r>
    </w:p>
    <w:p>
      <w:pPr>
        <w:keepLines w:val="0"/>
        <w:pageBreakBefore w:val="0"/>
        <w:kinsoku/>
        <w:overflowPunct/>
        <w:topLinePunct w:val="0"/>
        <w:autoSpaceDE/>
        <w:autoSpaceDN/>
        <w:bidi w:val="0"/>
        <w:snapToGrid/>
        <w:spacing w:beforeAutospacing="0" w:line="560" w:lineRule="exact"/>
        <w:ind w:firstLine="960" w:firstLineChars="3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3.2法人证明及法人身份证复印件或法人授权委托书及被委托人身份证复印件</w:t>
      </w:r>
    </w:p>
    <w:p>
      <w:pPr>
        <w:keepLines w:val="0"/>
        <w:pageBreakBefore w:val="0"/>
        <w:kinsoku/>
        <w:overflowPunct/>
        <w:topLinePunct w:val="0"/>
        <w:autoSpaceDE/>
        <w:autoSpaceDN/>
        <w:bidi w:val="0"/>
        <w:snapToGrid/>
        <w:spacing w:beforeAutospacing="0" w:line="560" w:lineRule="exact"/>
        <w:ind w:firstLine="960" w:firstLineChars="3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3.3经营范围证明</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4.技术部分</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5.综合实力部分</w:t>
      </w:r>
    </w:p>
    <w:p>
      <w:pPr>
        <w:keepLines w:val="0"/>
        <w:pageBreakBefore w:val="0"/>
        <w:kinsoku/>
        <w:overflowPunct/>
        <w:topLinePunct w:val="0"/>
        <w:autoSpaceDE/>
        <w:autoSpaceDN/>
        <w:bidi w:val="0"/>
        <w:snapToGrid/>
        <w:spacing w:beforeAutospacing="0"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6.投标人认为需要补充的资料（由投标人自定）</w:t>
      </w:r>
    </w:p>
    <w:p>
      <w:pPr>
        <w:keepNext w:val="0"/>
        <w:keepLines w:val="0"/>
        <w:pageBreakBefore w:val="0"/>
        <w:widowControl w:val="0"/>
        <w:kinsoku/>
        <w:wordWrap/>
        <w:overflowPunct/>
        <w:topLinePunct w:val="0"/>
        <w:autoSpaceDE/>
        <w:autoSpaceDN/>
        <w:bidi w:val="0"/>
        <w:adjustRightInd/>
        <w:snapToGrid/>
        <w:textAlignment w:val="auto"/>
        <w:rPr>
          <w:color w:val="000000" w:themeColor="text1"/>
          <w:sz w:val="32"/>
          <w:szCs w:val="32"/>
          <w14:textFill>
            <w14:solidFill>
              <w14:schemeClr w14:val="tx1"/>
            </w14:solidFill>
          </w14:textFill>
        </w:rPr>
      </w:pPr>
    </w:p>
    <w:p>
      <w:pPr>
        <w:keepLines w:val="0"/>
        <w:pageBreakBefore w:val="0"/>
        <w:kinsoku/>
        <w:overflowPunct/>
        <w:topLinePunct w:val="0"/>
        <w:autoSpaceDE/>
        <w:autoSpaceDN/>
        <w:bidi w:val="0"/>
        <w:snapToGrid/>
        <w:spacing w:beforeAutospacing="0" w:line="560" w:lineRule="exact"/>
        <w:ind w:firstLine="640"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粤海街道办事处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2025年1月</w:t>
      </w:r>
      <w:r>
        <w:rPr>
          <w:rFonts w:hint="default" w:ascii="仿宋_GB2312" w:hAnsi="仿宋_GB2312" w:eastAsia="仿宋_GB2312" w:cs="仿宋_GB2312"/>
          <w:color w:val="000000" w:themeColor="text1"/>
          <w:sz w:val="32"/>
          <w:szCs w:val="32"/>
          <w:lang w:eastAsia="zh-CN"/>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NGQ4NWQxMzcyY2FmNDQxMDk5YWY2NGMyZTc3ZjIifQ=="/>
  </w:docVars>
  <w:rsids>
    <w:rsidRoot w:val="00000000"/>
    <w:rsid w:val="019978BC"/>
    <w:rsid w:val="062C7DB7"/>
    <w:rsid w:val="096E7EAD"/>
    <w:rsid w:val="09FB4F68"/>
    <w:rsid w:val="0E1A0520"/>
    <w:rsid w:val="0EF437B1"/>
    <w:rsid w:val="0F0250CC"/>
    <w:rsid w:val="100C3C8E"/>
    <w:rsid w:val="13250FB0"/>
    <w:rsid w:val="138323FE"/>
    <w:rsid w:val="13C14520"/>
    <w:rsid w:val="13E02EA4"/>
    <w:rsid w:val="15C40BB9"/>
    <w:rsid w:val="17996052"/>
    <w:rsid w:val="1A301F8A"/>
    <w:rsid w:val="1D0927CD"/>
    <w:rsid w:val="1D0A0FEB"/>
    <w:rsid w:val="1D4209B0"/>
    <w:rsid w:val="1D8C6208"/>
    <w:rsid w:val="1EE80142"/>
    <w:rsid w:val="1F705CA9"/>
    <w:rsid w:val="22C14414"/>
    <w:rsid w:val="22EB7DD7"/>
    <w:rsid w:val="236771E4"/>
    <w:rsid w:val="25F40203"/>
    <w:rsid w:val="2630659C"/>
    <w:rsid w:val="2A544CC7"/>
    <w:rsid w:val="2BAA5F79"/>
    <w:rsid w:val="2E9077CD"/>
    <w:rsid w:val="2FB05EA1"/>
    <w:rsid w:val="2FBE3147"/>
    <w:rsid w:val="2FBFF554"/>
    <w:rsid w:val="30804A5A"/>
    <w:rsid w:val="34F80C80"/>
    <w:rsid w:val="35066A3B"/>
    <w:rsid w:val="36050C13"/>
    <w:rsid w:val="36770D9A"/>
    <w:rsid w:val="3724456F"/>
    <w:rsid w:val="375A018E"/>
    <w:rsid w:val="37B207B5"/>
    <w:rsid w:val="37F5EFEC"/>
    <w:rsid w:val="3A287FFA"/>
    <w:rsid w:val="3AB37253"/>
    <w:rsid w:val="3AD150C0"/>
    <w:rsid w:val="3AEFB627"/>
    <w:rsid w:val="3BB66D7C"/>
    <w:rsid w:val="3BDEE8B7"/>
    <w:rsid w:val="3BE058FC"/>
    <w:rsid w:val="3D674F62"/>
    <w:rsid w:val="3E7FE8ED"/>
    <w:rsid w:val="40991FB8"/>
    <w:rsid w:val="447A7C06"/>
    <w:rsid w:val="45F57C73"/>
    <w:rsid w:val="45FE68A9"/>
    <w:rsid w:val="46535859"/>
    <w:rsid w:val="46742778"/>
    <w:rsid w:val="48C77E38"/>
    <w:rsid w:val="48CB4B7F"/>
    <w:rsid w:val="4ABF6A7A"/>
    <w:rsid w:val="4CAE1658"/>
    <w:rsid w:val="4CB8430F"/>
    <w:rsid w:val="4D373B71"/>
    <w:rsid w:val="4DD037F1"/>
    <w:rsid w:val="4F3D249A"/>
    <w:rsid w:val="4FF51321"/>
    <w:rsid w:val="519D12B8"/>
    <w:rsid w:val="528A2602"/>
    <w:rsid w:val="532F2F36"/>
    <w:rsid w:val="57275A7E"/>
    <w:rsid w:val="5B7F6F55"/>
    <w:rsid w:val="5F5DA325"/>
    <w:rsid w:val="62050225"/>
    <w:rsid w:val="6226E6A0"/>
    <w:rsid w:val="631657EC"/>
    <w:rsid w:val="63DD455F"/>
    <w:rsid w:val="63EF7237"/>
    <w:rsid w:val="657F6D8C"/>
    <w:rsid w:val="681B0B58"/>
    <w:rsid w:val="6826397D"/>
    <w:rsid w:val="68534A1B"/>
    <w:rsid w:val="68A45648"/>
    <w:rsid w:val="6AE23394"/>
    <w:rsid w:val="6BDACAD5"/>
    <w:rsid w:val="6ED626C7"/>
    <w:rsid w:val="6F1475C7"/>
    <w:rsid w:val="6F7F2459"/>
    <w:rsid w:val="6FDF3583"/>
    <w:rsid w:val="703307F8"/>
    <w:rsid w:val="717C0C66"/>
    <w:rsid w:val="737F07B2"/>
    <w:rsid w:val="73BF4EB1"/>
    <w:rsid w:val="743B56C9"/>
    <w:rsid w:val="74DC3A97"/>
    <w:rsid w:val="74E91DFF"/>
    <w:rsid w:val="74FEECEB"/>
    <w:rsid w:val="76DF2E34"/>
    <w:rsid w:val="77DD6DC0"/>
    <w:rsid w:val="7ABDF13B"/>
    <w:rsid w:val="7B1D45C2"/>
    <w:rsid w:val="7B7D40FA"/>
    <w:rsid w:val="7B9D48A5"/>
    <w:rsid w:val="7BFD707F"/>
    <w:rsid w:val="7D6CA8E7"/>
    <w:rsid w:val="7DE6B3E4"/>
    <w:rsid w:val="7DF35B53"/>
    <w:rsid w:val="7DFD4659"/>
    <w:rsid w:val="7DFE8FE3"/>
    <w:rsid w:val="7EF7DE8B"/>
    <w:rsid w:val="7EFF1FC3"/>
    <w:rsid w:val="7EFF7151"/>
    <w:rsid w:val="7F4E1508"/>
    <w:rsid w:val="7F6F8BB6"/>
    <w:rsid w:val="7FC5C7DF"/>
    <w:rsid w:val="7FDF05C2"/>
    <w:rsid w:val="7FE36D8C"/>
    <w:rsid w:val="7FF54966"/>
    <w:rsid w:val="9F9B576C"/>
    <w:rsid w:val="B9FE36B7"/>
    <w:rsid w:val="BD6EDAA2"/>
    <w:rsid w:val="BF5AB73F"/>
    <w:rsid w:val="BFB7B194"/>
    <w:rsid w:val="BFFD4374"/>
    <w:rsid w:val="CEEF9765"/>
    <w:rsid w:val="CEF4FFEF"/>
    <w:rsid w:val="DB396327"/>
    <w:rsid w:val="DD5D8C8F"/>
    <w:rsid w:val="DDA3EC22"/>
    <w:rsid w:val="DEBE9727"/>
    <w:rsid w:val="DFF8B7A3"/>
    <w:rsid w:val="E6FB5A04"/>
    <w:rsid w:val="EBDEC4C3"/>
    <w:rsid w:val="EBEFC5D7"/>
    <w:rsid w:val="ED67CE55"/>
    <w:rsid w:val="EFFF5DEB"/>
    <w:rsid w:val="F2E78A1D"/>
    <w:rsid w:val="F96B3631"/>
    <w:rsid w:val="FB6CAC4A"/>
    <w:rsid w:val="FBBDD056"/>
    <w:rsid w:val="FBF7BD90"/>
    <w:rsid w:val="FBFF18EE"/>
    <w:rsid w:val="FC3D8DF1"/>
    <w:rsid w:val="FEBF8103"/>
    <w:rsid w:val="FEFBA0AC"/>
    <w:rsid w:val="FFAE93B1"/>
    <w:rsid w:val="FFDF5E50"/>
    <w:rsid w:val="FFFAE628"/>
    <w:rsid w:val="FFFEE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Plain Text"/>
    <w:basedOn w:val="1"/>
    <w:qFormat/>
    <w:uiPriority w:val="0"/>
    <w:rPr>
      <w:rFonts w:ascii="宋体"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unhideWhenUsed/>
    <w:qFormat/>
    <w:uiPriority w:val="99"/>
    <w:pPr>
      <w:ind w:firstLine="420" w:firstLineChars="100"/>
    </w:pPr>
  </w:style>
  <w:style w:type="character" w:styleId="9">
    <w:name w:val="Strong"/>
    <w:basedOn w:val="8"/>
    <w:qFormat/>
    <w:uiPriority w:val="0"/>
    <w:rPr>
      <w:b/>
    </w:rPr>
  </w:style>
  <w:style w:type="paragraph" w:customStyle="1" w:styleId="10">
    <w:name w:val="图"/>
    <w:basedOn w:val="1"/>
    <w:qFormat/>
    <w:uiPriority w:val="0"/>
    <w:pPr>
      <w:keepNext/>
      <w:widowControl w:val="0"/>
      <w:adjustRightInd w:val="0"/>
      <w:spacing w:before="60" w:after="60" w:line="300" w:lineRule="auto"/>
      <w:jc w:val="center"/>
      <w:textAlignment w:val="center"/>
    </w:pPr>
    <w:rPr>
      <w:rFonts w:asciiTheme="minorHAnsi" w:hAnsiTheme="minorHAnsi" w:cstheme="minorBidi"/>
      <w:snapToGrid w:val="0"/>
      <w:spacing w:val="20"/>
      <w:szCs w:val="20"/>
    </w:rPr>
  </w:style>
  <w:style w:type="paragraph" w:customStyle="1" w:styleId="11">
    <w:name w:val="_Style 1"/>
    <w:basedOn w:val="1"/>
    <w:next w:val="1"/>
    <w:unhideWhenUsed/>
    <w:qFormat/>
    <w:uiPriority w:val="99"/>
    <w:pPr>
      <w:ind w:firstLine="420" w:firstLineChars="200"/>
    </w:pPr>
    <w:rPr>
      <w:rFonts w:hint="eastAsia"/>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2982</Words>
  <Characters>3060</Characters>
  <Lines>0</Lines>
  <Paragraphs>0</Paragraphs>
  <TotalTime>3</TotalTime>
  <ScaleCrop>false</ScaleCrop>
  <LinksUpToDate>false</LinksUpToDate>
  <CharactersWithSpaces>3067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2024-05-28T02:13:00Z</dcterms:created>
  <dc:creator>admin</dc:creator>
  <cp:lastModifiedBy>lls</cp:lastModifiedBy>
  <cp:lastPrinted>2025-01-18T01:31:00Z</cp:lastPrinted>
  <dcterms:modified xsi:type="dcterms:W3CDTF">2025-01-20T09:24:21Z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534F91C21A7B42FEA57C3F6917E19FE5</vt:lpwstr>
  </property>
  <property fmtid="{D5CDD505-2E9C-101B-9397-08002B2CF9AE}" pid="4" name="KSOTemplateDocerSaveRecord">
    <vt:lpwstr>eyJoZGlkIjoiYTExMzg5NmYwZWU0ODcwYmNlNzJjYzU1NmQyM2QzNTEiLCJ1c2VySWQiOiIzNDc5MDU3OTgifQ==</vt:lpwstr>
  </property>
</Properties>
</file>