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A1B0" w14:textId="77777777" w:rsidR="00DA745A" w:rsidRDefault="00DA745A" w:rsidP="00DA745A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07FCC385" w14:textId="77777777" w:rsidR="00DA745A" w:rsidRDefault="00DA745A" w:rsidP="00DA745A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立体绿化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建设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质量评价标准</w:t>
      </w:r>
    </w:p>
    <w:p w14:paraId="06E56BFC" w14:textId="77777777" w:rsidR="00DA745A" w:rsidRDefault="00DA745A" w:rsidP="00DA745A">
      <w:pPr>
        <w:spacing w:line="360" w:lineRule="auto"/>
        <w:ind w:firstLineChars="2200" w:firstLine="5280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日期：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938"/>
        <w:gridCol w:w="1168"/>
        <w:gridCol w:w="1494"/>
        <w:gridCol w:w="1162"/>
        <w:gridCol w:w="2207"/>
        <w:gridCol w:w="1260"/>
      </w:tblGrid>
      <w:tr w:rsidR="00DA745A" w14:paraId="0D2D2BF1" w14:textId="77777777" w:rsidTr="004F5F8C">
        <w:trPr>
          <w:trHeight w:val="663"/>
          <w:jc w:val="center"/>
        </w:trPr>
        <w:tc>
          <w:tcPr>
            <w:tcW w:w="1509" w:type="dxa"/>
            <w:vAlign w:val="center"/>
          </w:tcPr>
          <w:p w14:paraId="2A6C4B89" w14:textId="77777777" w:rsidR="00DA745A" w:rsidRDefault="00DA745A" w:rsidP="004F5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600" w:type="dxa"/>
            <w:gridSpan w:val="3"/>
          </w:tcPr>
          <w:p w14:paraId="179A87F6" w14:textId="77777777" w:rsidR="00DA745A" w:rsidRDefault="00DA745A" w:rsidP="004F5F8C">
            <w:pPr>
              <w:spacing w:line="48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E5E9CE5" w14:textId="77777777" w:rsidR="00DA745A" w:rsidRDefault="00DA745A" w:rsidP="004F5F8C">
            <w:pPr>
              <w:spacing w:line="480" w:lineRule="exac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3467" w:type="dxa"/>
            <w:gridSpan w:val="2"/>
          </w:tcPr>
          <w:p w14:paraId="2EB5BD55" w14:textId="77777777" w:rsidR="00DA745A" w:rsidRDefault="00DA745A" w:rsidP="004F5F8C">
            <w:pPr>
              <w:spacing w:line="48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A745A" w14:paraId="2FCC84AA" w14:textId="77777777" w:rsidTr="004F5F8C">
        <w:trPr>
          <w:trHeight w:val="721"/>
          <w:jc w:val="center"/>
        </w:trPr>
        <w:tc>
          <w:tcPr>
            <w:tcW w:w="1509" w:type="dxa"/>
            <w:vAlign w:val="center"/>
          </w:tcPr>
          <w:p w14:paraId="18FB69A9" w14:textId="77777777" w:rsidR="00DA745A" w:rsidRDefault="00DA745A" w:rsidP="004F5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立体绿化类型</w:t>
            </w:r>
          </w:p>
        </w:tc>
        <w:tc>
          <w:tcPr>
            <w:tcW w:w="8229" w:type="dxa"/>
            <w:gridSpan w:val="6"/>
          </w:tcPr>
          <w:p w14:paraId="00113936" w14:textId="77777777" w:rsidR="00DA745A" w:rsidRDefault="00DA745A" w:rsidP="004F5F8C">
            <w:pPr>
              <w:spacing w:line="48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A745A" w14:paraId="35A1F12B" w14:textId="77777777" w:rsidTr="004F5F8C">
        <w:trPr>
          <w:jc w:val="center"/>
        </w:trPr>
        <w:tc>
          <w:tcPr>
            <w:tcW w:w="1509" w:type="dxa"/>
            <w:vMerge w:val="restart"/>
            <w:vAlign w:val="center"/>
          </w:tcPr>
          <w:p w14:paraId="540A4281" w14:textId="77777777" w:rsidR="00DA745A" w:rsidRDefault="00DA745A" w:rsidP="004F5F8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建设质量评定1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106" w:type="dxa"/>
            <w:gridSpan w:val="2"/>
            <w:vAlign w:val="center"/>
          </w:tcPr>
          <w:p w14:paraId="28A620B0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评价指标</w:t>
            </w:r>
          </w:p>
        </w:tc>
        <w:tc>
          <w:tcPr>
            <w:tcW w:w="4863" w:type="dxa"/>
            <w:gridSpan w:val="3"/>
            <w:vAlign w:val="center"/>
          </w:tcPr>
          <w:p w14:paraId="0840C0E7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评分标准</w:t>
            </w:r>
          </w:p>
        </w:tc>
        <w:tc>
          <w:tcPr>
            <w:tcW w:w="1260" w:type="dxa"/>
            <w:vAlign w:val="center"/>
          </w:tcPr>
          <w:p w14:paraId="373523E7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专家</w:t>
            </w:r>
          </w:p>
          <w:p w14:paraId="0CAF216C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评分</w:t>
            </w:r>
          </w:p>
        </w:tc>
      </w:tr>
      <w:tr w:rsidR="00DA745A" w14:paraId="25CEA849" w14:textId="77777777" w:rsidTr="004F5F8C">
        <w:trPr>
          <w:jc w:val="center"/>
        </w:trPr>
        <w:tc>
          <w:tcPr>
            <w:tcW w:w="1509" w:type="dxa"/>
            <w:vMerge/>
            <w:vAlign w:val="center"/>
          </w:tcPr>
          <w:p w14:paraId="20ADDCA9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48F6F14C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规划设计30分</w:t>
            </w:r>
          </w:p>
        </w:tc>
        <w:tc>
          <w:tcPr>
            <w:tcW w:w="1168" w:type="dxa"/>
          </w:tcPr>
          <w:p w14:paraId="4493C966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整体效果</w:t>
            </w:r>
          </w:p>
          <w:p w14:paraId="74A23142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4863" w:type="dxa"/>
            <w:gridSpan w:val="3"/>
          </w:tcPr>
          <w:p w14:paraId="0D489DB3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根据载体特点采用合适的立体绿化形式，与周边环境风格协调</w:t>
            </w:r>
            <w:r>
              <w:rPr>
                <w:rFonts w:ascii="宋体" w:hAnsi="宋体" w:hint="eastAsia"/>
                <w:sz w:val="18"/>
                <w:szCs w:val="18"/>
              </w:rPr>
              <w:t>（5）</w:t>
            </w:r>
          </w:p>
          <w:p w14:paraId="35D6A515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设计得当，功能分区合理（5）</w:t>
            </w:r>
            <w:r>
              <w:rPr>
                <w:rFonts w:ascii="宋体" w:hAnsi="宋体" w:hint="eastAsia"/>
                <w:sz w:val="18"/>
                <w:szCs w:val="18"/>
              </w:rPr>
              <w:tab/>
            </w:r>
          </w:p>
          <w:p w14:paraId="0687F44B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构图出彩，视觉效果好（5）</w:t>
            </w:r>
          </w:p>
          <w:p w14:paraId="28B396AC" w14:textId="77777777" w:rsidR="00DA745A" w:rsidRDefault="00DA745A" w:rsidP="004F5F8C">
            <w:r>
              <w:rPr>
                <w:rFonts w:ascii="宋体" w:hAnsi="宋体" w:hint="eastAsia"/>
                <w:sz w:val="18"/>
                <w:szCs w:val="18"/>
              </w:rPr>
              <w:t>植被覆盖率高，生长效果良好，生态效果好（5）</w:t>
            </w:r>
          </w:p>
        </w:tc>
        <w:tc>
          <w:tcPr>
            <w:tcW w:w="1260" w:type="dxa"/>
          </w:tcPr>
          <w:p w14:paraId="0CA80B85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0C85EFE1" w14:textId="77777777" w:rsidTr="004F5F8C">
        <w:trPr>
          <w:trHeight w:val="822"/>
          <w:jc w:val="center"/>
        </w:trPr>
        <w:tc>
          <w:tcPr>
            <w:tcW w:w="1509" w:type="dxa"/>
            <w:vMerge/>
            <w:vAlign w:val="center"/>
          </w:tcPr>
          <w:p w14:paraId="041AD07D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/>
            <w:vAlign w:val="center"/>
          </w:tcPr>
          <w:p w14:paraId="13BD0854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68" w:type="dxa"/>
          </w:tcPr>
          <w:p w14:paraId="55F54BD7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植物应用 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4863" w:type="dxa"/>
            <w:gridSpan w:val="3"/>
          </w:tcPr>
          <w:p w14:paraId="3E6B6254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</w:t>
            </w:r>
            <w:r>
              <w:rPr>
                <w:rFonts w:ascii="宋体" w:hAnsi="宋体"/>
                <w:sz w:val="18"/>
                <w:szCs w:val="18"/>
              </w:rPr>
              <w:t>环境特征</w:t>
            </w:r>
            <w:r>
              <w:rPr>
                <w:rFonts w:ascii="宋体" w:hAnsi="宋体" w:hint="eastAsia"/>
                <w:sz w:val="18"/>
                <w:szCs w:val="18"/>
              </w:rPr>
              <w:t>选用合适的植物种类，</w:t>
            </w:r>
            <w:r>
              <w:rPr>
                <w:rFonts w:ascii="宋体" w:hAnsi="宋体"/>
                <w:sz w:val="18"/>
                <w:szCs w:val="18"/>
              </w:rPr>
              <w:t>优先选用乡土植物</w:t>
            </w:r>
            <w:r>
              <w:rPr>
                <w:rFonts w:ascii="宋体" w:hAnsi="宋体" w:hint="eastAsia"/>
                <w:sz w:val="18"/>
                <w:szCs w:val="18"/>
              </w:rPr>
              <w:t>（4）</w:t>
            </w:r>
          </w:p>
          <w:p w14:paraId="38A80795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植物搭配设计合理，规格大小、高度和</w:t>
            </w:r>
            <w:r>
              <w:rPr>
                <w:rFonts w:ascii="宋体" w:hAnsi="宋体"/>
                <w:sz w:val="18"/>
                <w:szCs w:val="18"/>
              </w:rPr>
              <w:t>栽植密度</w:t>
            </w:r>
            <w:r>
              <w:rPr>
                <w:rFonts w:ascii="宋体" w:hAnsi="宋体" w:hint="eastAsia"/>
                <w:sz w:val="18"/>
                <w:szCs w:val="18"/>
              </w:rPr>
              <w:t>适宜（3）</w:t>
            </w:r>
          </w:p>
          <w:p w14:paraId="2137BB85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苗木健康，冠型优美（3）</w:t>
            </w:r>
          </w:p>
        </w:tc>
        <w:tc>
          <w:tcPr>
            <w:tcW w:w="1260" w:type="dxa"/>
          </w:tcPr>
          <w:p w14:paraId="72218F5E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1F14CE3D" w14:textId="77777777" w:rsidTr="004F5F8C">
        <w:trPr>
          <w:jc w:val="center"/>
        </w:trPr>
        <w:tc>
          <w:tcPr>
            <w:tcW w:w="1509" w:type="dxa"/>
            <w:vMerge/>
            <w:vAlign w:val="center"/>
          </w:tcPr>
          <w:p w14:paraId="09503F6B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669D9395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施工品质50分</w:t>
            </w:r>
          </w:p>
        </w:tc>
        <w:tc>
          <w:tcPr>
            <w:tcW w:w="1168" w:type="dxa"/>
          </w:tcPr>
          <w:p w14:paraId="46339F4F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种植基质（10）</w:t>
            </w:r>
          </w:p>
        </w:tc>
        <w:tc>
          <w:tcPr>
            <w:tcW w:w="4863" w:type="dxa"/>
            <w:gridSpan w:val="3"/>
          </w:tcPr>
          <w:p w14:paraId="45736DEB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基质厚度及理化性状满足规范要求，主要采用轻质种植基质，满足植物生长需要（7）；</w:t>
            </w:r>
          </w:p>
          <w:p w14:paraId="784CB080" w14:textId="77777777" w:rsidR="00DA745A" w:rsidRDefault="00DA745A" w:rsidP="004F5F8C">
            <w:r>
              <w:rPr>
                <w:rFonts w:ascii="宋体" w:hAnsi="宋体" w:hint="eastAsia"/>
                <w:sz w:val="18"/>
                <w:szCs w:val="18"/>
              </w:rPr>
              <w:t>无建筑垃圾、无积水、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板结、无杂草和病虫害（3）</w:t>
            </w:r>
          </w:p>
        </w:tc>
        <w:tc>
          <w:tcPr>
            <w:tcW w:w="1260" w:type="dxa"/>
          </w:tcPr>
          <w:p w14:paraId="311C206D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619CF6C8" w14:textId="77777777" w:rsidTr="004F5F8C">
        <w:trPr>
          <w:trHeight w:val="1223"/>
          <w:jc w:val="center"/>
        </w:trPr>
        <w:tc>
          <w:tcPr>
            <w:tcW w:w="1509" w:type="dxa"/>
            <w:vMerge/>
            <w:vAlign w:val="center"/>
          </w:tcPr>
          <w:p w14:paraId="7C38CF6D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/>
            <w:vAlign w:val="center"/>
          </w:tcPr>
          <w:p w14:paraId="2A7A7D90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68" w:type="dxa"/>
          </w:tcPr>
          <w:p w14:paraId="382FC59E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结构基础</w:t>
            </w:r>
          </w:p>
          <w:p w14:paraId="1BBD231B" w14:textId="77777777" w:rsidR="00DA745A" w:rsidRDefault="00DA745A" w:rsidP="004F5F8C">
            <w:pPr>
              <w:pStyle w:val="af2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（15）</w:t>
            </w:r>
          </w:p>
        </w:tc>
        <w:tc>
          <w:tcPr>
            <w:tcW w:w="4863" w:type="dxa"/>
            <w:gridSpan w:val="3"/>
          </w:tcPr>
          <w:p w14:paraId="41F87B14" w14:textId="77777777" w:rsidR="00DA745A" w:rsidRDefault="00DA745A" w:rsidP="004F5F8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排水设施完善，排水通畅</w:t>
            </w:r>
            <w:r>
              <w:rPr>
                <w:rFonts w:ascii="宋体" w:hAnsi="宋体" w:hint="eastAsia"/>
                <w:sz w:val="18"/>
                <w:szCs w:val="18"/>
              </w:rPr>
              <w:t>（5）</w:t>
            </w:r>
          </w:p>
          <w:p w14:paraId="749697E9" w14:textId="77777777" w:rsidR="00DA745A" w:rsidRDefault="00DA745A" w:rsidP="004F5F8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耐根穿刺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防水层符合设计要求，无渗漏现象（5）</w:t>
            </w:r>
          </w:p>
          <w:p w14:paraId="504ECA31" w14:textId="77777777" w:rsidR="00DA745A" w:rsidRDefault="00DA745A" w:rsidP="004F5F8C">
            <w:pPr>
              <w:pStyle w:val="af2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植物种植区域与女儿墙或建筑墙体之间预留安全缓冲距离（5）</w:t>
            </w:r>
          </w:p>
        </w:tc>
        <w:tc>
          <w:tcPr>
            <w:tcW w:w="1260" w:type="dxa"/>
          </w:tcPr>
          <w:p w14:paraId="79AFA013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2A078C6B" w14:textId="77777777" w:rsidTr="004F5F8C">
        <w:trPr>
          <w:jc w:val="center"/>
        </w:trPr>
        <w:tc>
          <w:tcPr>
            <w:tcW w:w="1509" w:type="dxa"/>
            <w:vMerge/>
          </w:tcPr>
          <w:p w14:paraId="5DB4367D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14:paraId="659B3F76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68" w:type="dxa"/>
          </w:tcPr>
          <w:p w14:paraId="0FDE7AD8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设施设备</w:t>
            </w:r>
          </w:p>
          <w:p w14:paraId="651B764D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（12）</w:t>
            </w:r>
          </w:p>
        </w:tc>
        <w:tc>
          <w:tcPr>
            <w:tcW w:w="4863" w:type="dxa"/>
            <w:gridSpan w:val="3"/>
          </w:tcPr>
          <w:p w14:paraId="69964CE6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规范设置自动灌溉设施（3）</w:t>
            </w:r>
          </w:p>
          <w:p w14:paraId="46110718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棚架、园亭、栏杆等附属设施、防坠落设施安装规范、稳固（3）</w:t>
            </w:r>
          </w:p>
          <w:p w14:paraId="164A0102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小品、休憩、运动、标识</w:t>
            </w:r>
            <w:r>
              <w:rPr>
                <w:rFonts w:ascii="宋体" w:hAnsi="宋体"/>
                <w:sz w:val="18"/>
                <w:szCs w:val="18"/>
              </w:rPr>
              <w:t>等设施</w:t>
            </w:r>
            <w:r>
              <w:rPr>
                <w:rFonts w:ascii="宋体" w:hAnsi="宋体" w:hint="eastAsia"/>
                <w:sz w:val="18"/>
                <w:szCs w:val="18"/>
              </w:rPr>
              <w:t>设备</w:t>
            </w:r>
            <w:r>
              <w:rPr>
                <w:rFonts w:ascii="宋体" w:hAnsi="宋体"/>
                <w:sz w:val="18"/>
                <w:szCs w:val="18"/>
              </w:rPr>
              <w:t>美观耐用</w:t>
            </w:r>
            <w:r>
              <w:rPr>
                <w:rFonts w:ascii="宋体" w:hAnsi="宋体" w:hint="eastAsia"/>
                <w:sz w:val="18"/>
                <w:szCs w:val="18"/>
              </w:rPr>
              <w:t>（3）</w:t>
            </w:r>
          </w:p>
          <w:p w14:paraId="301562AC" w14:textId="77777777" w:rsidR="00DA745A" w:rsidRDefault="00DA745A" w:rsidP="004F5F8C">
            <w:pPr>
              <w:pStyle w:val="af2"/>
              <w:spacing w:after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树木支撑规范（2）</w:t>
            </w:r>
          </w:p>
          <w:p w14:paraId="3F773C1F" w14:textId="77777777" w:rsidR="00DA745A" w:rsidRDefault="00DA745A" w:rsidP="004F5F8C">
            <w:pPr>
              <w:pStyle w:val="af2"/>
              <w:spacing w:after="0"/>
            </w:pPr>
            <w:r>
              <w:rPr>
                <w:rFonts w:ascii="宋体" w:hAnsi="宋体"/>
                <w:sz w:val="18"/>
                <w:szCs w:val="18"/>
              </w:rPr>
              <w:t>合理配置植物名牌</w:t>
            </w:r>
            <w:r>
              <w:rPr>
                <w:rFonts w:ascii="宋体" w:hAnsi="宋体" w:hint="eastAsia"/>
                <w:sz w:val="18"/>
                <w:szCs w:val="18"/>
              </w:rPr>
              <w:t>（1）</w:t>
            </w:r>
          </w:p>
        </w:tc>
        <w:tc>
          <w:tcPr>
            <w:tcW w:w="1260" w:type="dxa"/>
          </w:tcPr>
          <w:p w14:paraId="5C4A50B8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49263BE7" w14:textId="77777777" w:rsidTr="004F5F8C">
        <w:trPr>
          <w:jc w:val="center"/>
        </w:trPr>
        <w:tc>
          <w:tcPr>
            <w:tcW w:w="1509" w:type="dxa"/>
            <w:vMerge/>
          </w:tcPr>
          <w:p w14:paraId="7EA2BC16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14:paraId="44168251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68" w:type="dxa"/>
          </w:tcPr>
          <w:p w14:paraId="2E922DAD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安全管理</w:t>
            </w:r>
          </w:p>
          <w:p w14:paraId="38EF0DEE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（13）</w:t>
            </w:r>
          </w:p>
        </w:tc>
        <w:tc>
          <w:tcPr>
            <w:tcW w:w="4863" w:type="dxa"/>
            <w:gridSpan w:val="3"/>
          </w:tcPr>
          <w:p w14:paraId="45F63342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设计前</w:t>
            </w:r>
            <w:r>
              <w:rPr>
                <w:rFonts w:ascii="宋体" w:hAnsi="宋体" w:hint="eastAsia"/>
                <w:sz w:val="18"/>
                <w:szCs w:val="18"/>
              </w:rPr>
              <w:t>进行</w:t>
            </w:r>
            <w:r>
              <w:rPr>
                <w:rFonts w:ascii="宋体" w:hAnsi="宋体"/>
                <w:sz w:val="18"/>
                <w:szCs w:val="18"/>
              </w:rPr>
              <w:t>建（构）筑物进行荷载、</w:t>
            </w:r>
            <w:r>
              <w:rPr>
                <w:rFonts w:ascii="宋体" w:hAnsi="宋体" w:hint="eastAsia"/>
                <w:sz w:val="18"/>
                <w:szCs w:val="18"/>
              </w:rPr>
              <w:t>支撑</w:t>
            </w:r>
            <w:r>
              <w:rPr>
                <w:rFonts w:ascii="宋体" w:hAnsi="宋体"/>
                <w:sz w:val="18"/>
                <w:szCs w:val="18"/>
              </w:rPr>
              <w:t>能力</w:t>
            </w:r>
            <w:r>
              <w:rPr>
                <w:rFonts w:ascii="宋体" w:hAnsi="宋体" w:hint="eastAsia"/>
                <w:sz w:val="18"/>
                <w:szCs w:val="18"/>
              </w:rPr>
              <w:t>评估，不影响原有建构筑物的安全、功能和耐久性（4）</w:t>
            </w:r>
          </w:p>
          <w:p w14:paraId="111955FA" w14:textId="77777777" w:rsidR="00DA745A" w:rsidRDefault="00DA745A" w:rsidP="004F5F8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立体绿化结构合理、安全牢固（4）</w:t>
            </w:r>
          </w:p>
          <w:p w14:paraId="140419FC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根据荷载情况，对植物生长进行适当控制（2）</w:t>
            </w:r>
          </w:p>
          <w:p w14:paraId="7C659AEE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现场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  <w:r>
              <w:rPr>
                <w:rFonts w:ascii="宋体" w:hAnsi="宋体"/>
                <w:sz w:val="18"/>
                <w:szCs w:val="18"/>
              </w:rPr>
              <w:t>安全隐患</w:t>
            </w:r>
            <w:r>
              <w:rPr>
                <w:rFonts w:ascii="宋体" w:hAnsi="宋体" w:hint="eastAsia"/>
                <w:sz w:val="18"/>
                <w:szCs w:val="18"/>
              </w:rPr>
              <w:t>点（3）</w:t>
            </w:r>
          </w:p>
        </w:tc>
        <w:tc>
          <w:tcPr>
            <w:tcW w:w="1260" w:type="dxa"/>
          </w:tcPr>
          <w:p w14:paraId="60F59A1D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2D564EB9" w14:textId="77777777" w:rsidTr="004F5F8C">
        <w:trPr>
          <w:jc w:val="center"/>
        </w:trPr>
        <w:tc>
          <w:tcPr>
            <w:tcW w:w="1509" w:type="dxa"/>
            <w:vMerge/>
          </w:tcPr>
          <w:p w14:paraId="5AD4DFF0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339FDDEB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可持续性2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168" w:type="dxa"/>
            <w:vAlign w:val="center"/>
          </w:tcPr>
          <w:p w14:paraId="17115126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综合管理</w:t>
            </w:r>
          </w:p>
          <w:p w14:paraId="0E62CAF1" w14:textId="77777777" w:rsidR="00DA745A" w:rsidRDefault="00DA745A" w:rsidP="004F5F8C">
            <w:pPr>
              <w:pStyle w:val="af2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（7）</w:t>
            </w:r>
          </w:p>
        </w:tc>
        <w:tc>
          <w:tcPr>
            <w:tcW w:w="4863" w:type="dxa"/>
            <w:gridSpan w:val="3"/>
          </w:tcPr>
          <w:p w14:paraId="7F103280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管理团队完善，</w:t>
            </w:r>
            <w:r>
              <w:rPr>
                <w:rFonts w:ascii="宋体" w:hAnsi="宋体" w:hint="eastAsia"/>
                <w:sz w:val="18"/>
                <w:szCs w:val="18"/>
              </w:rPr>
              <w:t>制度健全（3）</w:t>
            </w:r>
          </w:p>
          <w:p w14:paraId="2B6E461F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目标分工明确，</w:t>
            </w:r>
            <w:r>
              <w:rPr>
                <w:rFonts w:ascii="宋体" w:hAnsi="宋体"/>
                <w:sz w:val="18"/>
                <w:szCs w:val="18"/>
              </w:rPr>
              <w:t>养护操作专业规范</w:t>
            </w:r>
            <w:r>
              <w:rPr>
                <w:rFonts w:ascii="宋体" w:hAnsi="宋体" w:hint="eastAsia"/>
                <w:sz w:val="18"/>
                <w:szCs w:val="18"/>
              </w:rPr>
              <w:t>（2）</w:t>
            </w:r>
          </w:p>
          <w:p w14:paraId="4084E336" w14:textId="77777777" w:rsidR="00DA745A" w:rsidRDefault="00DA745A" w:rsidP="004F5F8C">
            <w:pPr>
              <w:pStyle w:val="af2"/>
            </w:pPr>
            <w:r>
              <w:rPr>
                <w:rFonts w:ascii="宋体" w:hAnsi="宋体" w:hint="eastAsia"/>
                <w:sz w:val="18"/>
                <w:szCs w:val="18"/>
              </w:rPr>
              <w:t>巡查、维护到位，无安全隐患（2）</w:t>
            </w:r>
          </w:p>
        </w:tc>
        <w:tc>
          <w:tcPr>
            <w:tcW w:w="1260" w:type="dxa"/>
          </w:tcPr>
          <w:p w14:paraId="450D6130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51FEAFA2" w14:textId="77777777" w:rsidTr="004F5F8C">
        <w:trPr>
          <w:jc w:val="center"/>
        </w:trPr>
        <w:tc>
          <w:tcPr>
            <w:tcW w:w="1509" w:type="dxa"/>
            <w:vMerge/>
          </w:tcPr>
          <w:p w14:paraId="6316D257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14:paraId="7D904A37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237C0E6D" w14:textId="77777777" w:rsidR="00DA745A" w:rsidRDefault="00DA745A" w:rsidP="004F5F8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现状效果</w:t>
            </w:r>
          </w:p>
          <w:p w14:paraId="69423B8B" w14:textId="77777777" w:rsidR="00DA745A" w:rsidRDefault="00DA745A" w:rsidP="004F5F8C">
            <w:pPr>
              <w:pStyle w:val="af2"/>
              <w:ind w:firstLineChars="100" w:firstLine="180"/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（13）</w:t>
            </w:r>
          </w:p>
        </w:tc>
        <w:tc>
          <w:tcPr>
            <w:tcW w:w="4863" w:type="dxa"/>
            <w:gridSpan w:val="3"/>
          </w:tcPr>
          <w:p w14:paraId="2CF33C6F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环境干净整洁，景观保持良好，无垃圾、积水等（4）</w:t>
            </w:r>
          </w:p>
          <w:p w14:paraId="0A62283F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植物生长良好、修剪科学，无缺株、倒伏、黄土裸露等现象（3）</w:t>
            </w:r>
          </w:p>
          <w:p w14:paraId="72AEBC05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水肥管理到位（2）</w:t>
            </w:r>
          </w:p>
          <w:p w14:paraId="3470026E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无明显杂草和病虫害（2）</w:t>
            </w:r>
          </w:p>
          <w:p w14:paraId="4819FE1E" w14:textId="77777777" w:rsidR="00DA745A" w:rsidRDefault="00DA745A" w:rsidP="004F5F8C">
            <w:pPr>
              <w:pStyle w:val="af2"/>
            </w:pPr>
            <w:r>
              <w:rPr>
                <w:rFonts w:ascii="宋体" w:hAnsi="宋体" w:hint="eastAsia"/>
                <w:sz w:val="18"/>
                <w:szCs w:val="18"/>
              </w:rPr>
              <w:t>设施维护及时，功能正常（2）</w:t>
            </w:r>
          </w:p>
        </w:tc>
        <w:tc>
          <w:tcPr>
            <w:tcW w:w="1260" w:type="dxa"/>
          </w:tcPr>
          <w:p w14:paraId="28369BAB" w14:textId="77777777" w:rsidR="00DA745A" w:rsidRDefault="00DA745A" w:rsidP="004F5F8C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A745A" w14:paraId="4D2773DF" w14:textId="77777777" w:rsidTr="004F5F8C">
        <w:trPr>
          <w:trHeight w:val="380"/>
          <w:jc w:val="center"/>
        </w:trPr>
        <w:tc>
          <w:tcPr>
            <w:tcW w:w="1509" w:type="dxa"/>
            <w:vAlign w:val="center"/>
          </w:tcPr>
          <w:p w14:paraId="32A4C2C1" w14:textId="77777777" w:rsidR="00DA745A" w:rsidRDefault="00DA745A" w:rsidP="004F5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评分合计</w:t>
            </w:r>
          </w:p>
        </w:tc>
        <w:tc>
          <w:tcPr>
            <w:tcW w:w="8229" w:type="dxa"/>
            <w:gridSpan w:val="6"/>
            <w:vAlign w:val="center"/>
          </w:tcPr>
          <w:p w14:paraId="75D024FA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A745A" w14:paraId="7BF1A7FE" w14:textId="77777777" w:rsidTr="004F5F8C">
        <w:trPr>
          <w:trHeight w:val="794"/>
          <w:jc w:val="center"/>
        </w:trPr>
        <w:tc>
          <w:tcPr>
            <w:tcW w:w="1509" w:type="dxa"/>
            <w:vAlign w:val="center"/>
          </w:tcPr>
          <w:p w14:paraId="7D94FEF6" w14:textId="77777777" w:rsidR="00DA745A" w:rsidRDefault="00DA745A" w:rsidP="004F5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评定等级</w:t>
            </w:r>
          </w:p>
        </w:tc>
        <w:tc>
          <w:tcPr>
            <w:tcW w:w="8229" w:type="dxa"/>
            <w:gridSpan w:val="6"/>
          </w:tcPr>
          <w:p w14:paraId="5806121C" w14:textId="77777777" w:rsidR="00DA745A" w:rsidRDefault="00DA745A" w:rsidP="004F5F8C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bdr w:val="single" w:sz="4" w:space="0" w:color="auto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优秀                </w:t>
            </w:r>
            <w:r>
              <w:rPr>
                <w:rFonts w:ascii="宋体" w:hAnsi="宋体"/>
                <w:sz w:val="20"/>
                <w:szCs w:val="20"/>
                <w:bdr w:val="single" w:sz="4" w:space="0" w:color="auto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合格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/>
                <w:sz w:val="20"/>
                <w:szCs w:val="20"/>
                <w:bdr w:val="single" w:sz="4" w:space="0" w:color="auto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不合格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</w:tr>
      <w:tr w:rsidR="00DA745A" w14:paraId="5F217210" w14:textId="77777777" w:rsidTr="004F5F8C">
        <w:trPr>
          <w:trHeight w:val="717"/>
          <w:jc w:val="center"/>
        </w:trPr>
        <w:tc>
          <w:tcPr>
            <w:tcW w:w="1509" w:type="dxa"/>
            <w:vAlign w:val="center"/>
          </w:tcPr>
          <w:p w14:paraId="00C6A3BA" w14:textId="77777777" w:rsidR="00DA745A" w:rsidRDefault="00DA745A" w:rsidP="004F5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专家签名</w:t>
            </w:r>
          </w:p>
        </w:tc>
        <w:tc>
          <w:tcPr>
            <w:tcW w:w="8229" w:type="dxa"/>
            <w:gridSpan w:val="6"/>
          </w:tcPr>
          <w:p w14:paraId="5F83D223" w14:textId="77777777" w:rsidR="00DA745A" w:rsidRDefault="00DA745A" w:rsidP="004F5F8C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</w:tr>
    </w:tbl>
    <w:p w14:paraId="2121C3F4" w14:textId="77777777" w:rsidR="00DA745A" w:rsidRDefault="00DA745A" w:rsidP="00DA745A">
      <w:pPr>
        <w:spacing w:line="360" w:lineRule="auto"/>
        <w:ind w:firstLineChars="200" w:firstLine="360"/>
        <w:jc w:val="lef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备注：1.满分</w:t>
      </w:r>
      <w:r>
        <w:rPr>
          <w:rFonts w:ascii="宋体" w:hAnsi="宋体"/>
          <w:sz w:val="18"/>
          <w:szCs w:val="18"/>
        </w:rPr>
        <w:t>100分，85分</w:t>
      </w:r>
      <w:r>
        <w:rPr>
          <w:rFonts w:ascii="宋体" w:hAnsi="宋体" w:hint="eastAsia"/>
          <w:sz w:val="18"/>
          <w:szCs w:val="18"/>
        </w:rPr>
        <w:t>及以上评定等级为“</w:t>
      </w:r>
      <w:r>
        <w:rPr>
          <w:rFonts w:ascii="宋体" w:hAnsi="宋体"/>
          <w:sz w:val="18"/>
          <w:szCs w:val="18"/>
        </w:rPr>
        <w:t>优</w:t>
      </w:r>
      <w:r>
        <w:rPr>
          <w:rFonts w:ascii="宋体" w:hAnsi="宋体" w:hint="eastAsia"/>
          <w:sz w:val="18"/>
          <w:szCs w:val="18"/>
        </w:rPr>
        <w:t>秀”</w:t>
      </w:r>
      <w:r>
        <w:rPr>
          <w:rFonts w:ascii="宋体" w:hAnsi="宋体"/>
          <w:sz w:val="18"/>
          <w:szCs w:val="18"/>
        </w:rPr>
        <w:t>，60-84分</w:t>
      </w:r>
      <w:r>
        <w:rPr>
          <w:rFonts w:ascii="宋体" w:hAnsi="宋体" w:hint="eastAsia"/>
          <w:sz w:val="18"/>
          <w:szCs w:val="18"/>
        </w:rPr>
        <w:t>评定等级为“</w:t>
      </w:r>
      <w:r>
        <w:rPr>
          <w:rFonts w:ascii="宋体" w:hAnsi="宋体"/>
          <w:sz w:val="18"/>
          <w:szCs w:val="18"/>
        </w:rPr>
        <w:t>合格</w:t>
      </w:r>
      <w:r>
        <w:rPr>
          <w:rFonts w:ascii="宋体" w:hAnsi="宋体" w:hint="eastAsia"/>
          <w:sz w:val="18"/>
          <w:szCs w:val="18"/>
        </w:rPr>
        <w:t>”，</w:t>
      </w:r>
      <w:r>
        <w:rPr>
          <w:rFonts w:ascii="宋体" w:hAnsi="宋体"/>
          <w:sz w:val="18"/>
          <w:szCs w:val="18"/>
        </w:rPr>
        <w:t>60分以下为“不合格”。</w:t>
      </w:r>
    </w:p>
    <w:p w14:paraId="27672FF3" w14:textId="77777777" w:rsidR="00DA745A" w:rsidRDefault="00DA745A" w:rsidP="00DA745A">
      <w:pPr>
        <w:spacing w:line="360" w:lineRule="auto"/>
        <w:ind w:firstLineChars="200" w:firstLine="360"/>
        <w:jc w:val="left"/>
      </w:pPr>
      <w:r>
        <w:rPr>
          <w:rFonts w:ascii="宋体" w:hAnsi="宋体" w:hint="eastAsia"/>
          <w:sz w:val="18"/>
          <w:szCs w:val="18"/>
        </w:rPr>
        <w:t>2.立体绿化类型包含花园式屋顶绿化、简单式屋顶绿化、架空层绿化、墙(面)体绿化、棚架绿化、桥体绿化、窗阳台绿化、硬质边坡绿化。</w:t>
      </w:r>
    </w:p>
    <w:p w14:paraId="72F493E3" w14:textId="77777777" w:rsidR="00E561C1" w:rsidRPr="00DA745A" w:rsidRDefault="00E561C1"/>
    <w:sectPr w:rsidR="00E561C1" w:rsidRPr="00DA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F763" w14:textId="77777777" w:rsidR="00A15A77" w:rsidRDefault="00A15A77" w:rsidP="00DA745A">
      <w:pPr>
        <w:rPr>
          <w:rFonts w:hint="eastAsia"/>
        </w:rPr>
      </w:pPr>
      <w:r>
        <w:separator/>
      </w:r>
    </w:p>
  </w:endnote>
  <w:endnote w:type="continuationSeparator" w:id="0">
    <w:p w14:paraId="32DCE5D6" w14:textId="77777777" w:rsidR="00A15A77" w:rsidRDefault="00A15A77" w:rsidP="00DA74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4F10" w14:textId="77777777" w:rsidR="00A15A77" w:rsidRDefault="00A15A77" w:rsidP="00DA745A">
      <w:pPr>
        <w:rPr>
          <w:rFonts w:hint="eastAsia"/>
        </w:rPr>
      </w:pPr>
      <w:r>
        <w:separator/>
      </w:r>
    </w:p>
  </w:footnote>
  <w:footnote w:type="continuationSeparator" w:id="0">
    <w:p w14:paraId="1AB1E9C5" w14:textId="77777777" w:rsidR="00A15A77" w:rsidRDefault="00A15A77" w:rsidP="00DA74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C1"/>
    <w:rsid w:val="000F3D93"/>
    <w:rsid w:val="00A15A77"/>
    <w:rsid w:val="00DA745A"/>
    <w:rsid w:val="00E5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B69964-0A8A-43F2-9905-053FF9A0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5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1C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C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C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C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C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C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C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C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C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1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1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1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1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C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6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C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6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C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561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61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1C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745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A74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745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A745A"/>
    <w:rPr>
      <w:sz w:val="18"/>
      <w:szCs w:val="18"/>
    </w:rPr>
  </w:style>
  <w:style w:type="paragraph" w:styleId="af2">
    <w:name w:val="Body Text"/>
    <w:basedOn w:val="a"/>
    <w:next w:val="a3"/>
    <w:link w:val="af3"/>
    <w:qFormat/>
    <w:rsid w:val="00DA745A"/>
    <w:pPr>
      <w:spacing w:after="120"/>
    </w:pPr>
  </w:style>
  <w:style w:type="character" w:customStyle="1" w:styleId="af3">
    <w:name w:val="正文文本 字符"/>
    <w:basedOn w:val="a0"/>
    <w:link w:val="af2"/>
    <w:rsid w:val="00DA745A"/>
    <w:rPr>
      <w:rFonts w:ascii="Calibri" w:eastAsia="宋体" w:hAnsi="Calibri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2024-12-31T11:12:00Z</dcterms:created>
  <dcterms:modified xsi:type="dcterms:W3CDTF">2024-12-31T11:12:00Z</dcterms:modified>
</cp:coreProperties>
</file>