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outlineLvl w:val="1"/>
        <w:rPr>
          <w:rFonts w:ascii="黑体" w:hAnsi="黑体" w:eastAsia="黑体" w:cs="黑体"/>
          <w:bCs/>
          <w:color w:val="auto"/>
          <w:sz w:val="32"/>
          <w:highlight w:val="none"/>
        </w:rPr>
      </w:pPr>
      <mc:AlternateContent>
        <mc:Choice Requires="wpsCustomData">
          <wpsCustomData:docfieldStart id="0" docfieldname="yincang" hidden="false" print="true" readonly="false" index="31"/>
        </mc:Choice>
      </mc:AlternateContent>
      <mc:AlternateContent>
        <mc:Choice Requires="wpsCustomData">
          <wpsCustomData:docfieldEnd id="0"/>
        </mc:Choice>
      </mc:AlternateContent>
      <w:r>
        <w:rPr>
          <w:rFonts w:hint="eastAsia" w:ascii="黑体" w:hAnsi="黑体" w:eastAsia="黑体" w:cs="黑体"/>
          <w:bCs/>
          <w:color w:val="auto"/>
          <w:sz w:val="32"/>
          <w:highlight w:val="none"/>
        </w:rPr>
        <w:t>附件2</w:t>
      </w:r>
    </w:p>
    <w:p>
      <w:pPr>
        <w:adjustRightInd w:val="0"/>
        <w:spacing w:line="560" w:lineRule="exact"/>
        <w:jc w:val="center"/>
        <w:rPr>
          <w:rFonts w:ascii="楷体_GB2312" w:hAnsi="楷体_GB2312" w:eastAsia="楷体_GB2312" w:cs="楷体_GB2312"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highlight w:val="none"/>
        </w:rPr>
        <w:t>水产养殖设施用地正负面管理清单</w:t>
      </w:r>
    </w:p>
    <w:tbl>
      <w:tblPr>
        <w:tblStyle w:val="7"/>
        <w:tblW w:w="13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550"/>
        <w:gridCol w:w="501"/>
        <w:gridCol w:w="2711"/>
        <w:gridCol w:w="4553"/>
        <w:gridCol w:w="4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19" w:type="dxa"/>
            <w:vMerge w:val="restart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bidi="ar"/>
              </w:rPr>
              <w:t>大类</w:t>
            </w:r>
          </w:p>
        </w:tc>
        <w:tc>
          <w:tcPr>
            <w:tcW w:w="550" w:type="dxa"/>
            <w:vMerge w:val="restart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bidi="ar"/>
              </w:rPr>
              <w:t>中类</w:t>
            </w:r>
          </w:p>
        </w:tc>
        <w:tc>
          <w:tcPr>
            <w:tcW w:w="501" w:type="dxa"/>
            <w:vMerge w:val="restart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bidi="ar"/>
              </w:rPr>
              <w:t>小类</w:t>
            </w:r>
          </w:p>
        </w:tc>
        <w:tc>
          <w:tcPr>
            <w:tcW w:w="2711" w:type="dxa"/>
            <w:vMerge w:val="restart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bidi="ar"/>
              </w:rPr>
              <w:t>设施名称</w:t>
            </w:r>
          </w:p>
        </w:tc>
        <w:tc>
          <w:tcPr>
            <w:tcW w:w="9525" w:type="dxa"/>
            <w:gridSpan w:val="2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bidi="ar"/>
              </w:rPr>
              <w:t>管理清单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50" w:type="dxa"/>
            <w:vMerge w:val="continue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01" w:type="dxa"/>
            <w:vMerge w:val="continue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711" w:type="dxa"/>
            <w:vMerge w:val="continue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553" w:type="dxa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bidi="ar"/>
              </w:rPr>
              <w:t>正面管理清单</w:t>
            </w:r>
          </w:p>
        </w:tc>
        <w:tc>
          <w:tcPr>
            <w:tcW w:w="4972" w:type="dxa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lang w:bidi="ar"/>
              </w:rPr>
              <w:t>负面管理清单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  <w:jc w:val="center"/>
        </w:trPr>
        <w:tc>
          <w:tcPr>
            <w:tcW w:w="519" w:type="dxa"/>
            <w:vMerge w:val="restart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养殖业</w:t>
            </w: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40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养殖业</w:t>
            </w: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40"/>
                <w:szCs w:val="40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养殖业</w:t>
            </w: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养殖业</w:t>
            </w: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</w:p>
          <w:p>
            <w:pPr>
              <w:pStyle w:val="2"/>
              <w:rPr>
                <w:rFonts w:hint="default" w:ascii="宋体" w:hAnsi="Calibri" w:eastAsia="宋体" w:cs="Times New Roman"/>
                <w:sz w:val="15"/>
                <w:szCs w:val="15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养殖业</w:t>
            </w: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养殖业</w:t>
            </w: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养殖业</w:t>
            </w: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养殖业</w:t>
            </w: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50" w:type="dxa"/>
            <w:vMerge w:val="restart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pStyle w:val="2"/>
              <w:jc w:val="both"/>
              <w:rPr>
                <w:rFonts w:ascii="宋体" w:hAnsi="Calibri" w:eastAsia="宋体" w:cs="Times New Roman"/>
                <w:kern w:val="2"/>
                <w:sz w:val="13"/>
                <w:szCs w:val="13"/>
                <w:lang w:bidi="ar"/>
              </w:rPr>
            </w:pPr>
          </w:p>
          <w:p>
            <w:pPr>
              <w:pStyle w:val="2"/>
              <w:jc w:val="both"/>
              <w:rPr>
                <w:rFonts w:ascii="宋体" w:hAnsi="Calibri" w:eastAsia="宋体" w:cs="Times New Roman"/>
                <w:kern w:val="2"/>
                <w:sz w:val="13"/>
                <w:szCs w:val="13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水产养殖</w:t>
            </w: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pStyle w:val="2"/>
              <w:rPr>
                <w:sz w:val="22"/>
                <w:szCs w:val="22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水产养殖</w:t>
            </w: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  <w:p>
            <w:pPr>
              <w:pStyle w:val="2"/>
              <w:rPr>
                <w:rFonts w:ascii="宋体" w:hAnsi="Calibri" w:eastAsia="宋体" w:cs="Times New Roman"/>
                <w:kern w:val="2"/>
                <w:sz w:val="18"/>
                <w:szCs w:val="18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水产养殖</w:t>
            </w: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  <w:p>
            <w:pPr>
              <w:pStyle w:val="2"/>
              <w:rPr>
                <w:rFonts w:hint="default" w:ascii="宋体" w:hAnsi="Calibri" w:eastAsia="宋体" w:cs="Times New Roman"/>
                <w:kern w:val="2"/>
                <w:sz w:val="16"/>
                <w:szCs w:val="16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水产养殖</w:t>
            </w: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  <w:p>
            <w:pPr>
              <w:pStyle w:val="2"/>
              <w:rPr>
                <w:rFonts w:hint="default" w:ascii="宋体" w:hAnsi="Calibri" w:eastAsia="宋体" w:cs="Times New Roman"/>
                <w:kern w:val="2"/>
                <w:sz w:val="20"/>
                <w:szCs w:val="20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水产养殖</w:t>
            </w: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pStyle w:val="2"/>
              <w:rPr>
                <w:rFonts w:hint="default" w:ascii="宋体" w:hAnsi="Calibri" w:eastAsia="宋体" w:cs="Times New Roman"/>
                <w:kern w:val="2"/>
                <w:sz w:val="16"/>
                <w:szCs w:val="16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水产养殖</w:t>
            </w: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3"/>
                <w:szCs w:val="13"/>
                <w:highlight w:val="none"/>
                <w:lang w:bidi="ar"/>
              </w:rPr>
            </w:pPr>
          </w:p>
          <w:p>
            <w:pPr>
              <w:pStyle w:val="2"/>
              <w:rPr>
                <w:rFonts w:hint="default" w:ascii="宋体" w:hAnsi="Calibri" w:eastAsia="宋体" w:cs="Times New Roman"/>
                <w:kern w:val="2"/>
                <w:sz w:val="11"/>
                <w:szCs w:val="11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水产养殖</w:t>
            </w: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highlight w:val="none"/>
                <w:lang w:bidi="ar"/>
              </w:rPr>
            </w:pPr>
          </w:p>
          <w:p>
            <w:pPr>
              <w:pStyle w:val="2"/>
              <w:rPr>
                <w:rFonts w:hint="default" w:ascii="宋体" w:hAnsi="Calibri" w:eastAsia="宋体" w:cs="Times New Roman"/>
                <w:kern w:val="2"/>
                <w:sz w:val="15"/>
                <w:szCs w:val="15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水产养殖</w:t>
            </w: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01" w:type="dxa"/>
            <w:vMerge w:val="restart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color w:val="auto"/>
                <w:highlight w:val="none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color w:val="auto"/>
                <w:highlight w:val="none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color w:val="auto"/>
                <w:highlight w:val="none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生产设施用地</w:t>
            </w: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pStyle w:val="3"/>
              <w:spacing w:line="560" w:lineRule="exact"/>
              <w:ind w:firstLine="440"/>
              <w:rPr>
                <w:color w:val="auto"/>
                <w:highlight w:val="none"/>
              </w:rPr>
            </w:pPr>
          </w:p>
          <w:p>
            <w:pPr>
              <w:pStyle w:val="3"/>
              <w:spacing w:line="560" w:lineRule="exact"/>
              <w:ind w:firstLine="440"/>
              <w:rPr>
                <w:color w:val="auto"/>
                <w:highlight w:val="none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Style w:val="10"/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生产设施</w:t>
            </w:r>
            <w:r>
              <w:rPr>
                <w:rStyle w:val="10"/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  <w:t>用地</w:t>
            </w: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Style w:val="10"/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Style w:val="10"/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Style w:val="10"/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Style w:val="10"/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Style w:val="10"/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生产设施</w:t>
            </w:r>
            <w:r>
              <w:rPr>
                <w:rStyle w:val="10"/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  <w:t>用地</w:t>
            </w: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Style w:val="10"/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Style w:val="10"/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Style w:val="10"/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Style w:val="10"/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Style w:val="10"/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生产设施</w:t>
            </w:r>
            <w:r>
              <w:rPr>
                <w:rStyle w:val="10"/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  <w:t>用地</w:t>
            </w: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Style w:val="10"/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Style w:val="10"/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Style w:val="10"/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Style w:val="10"/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生产设施</w:t>
            </w:r>
            <w:r>
              <w:rPr>
                <w:rStyle w:val="10"/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  <w:t>用地</w:t>
            </w: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Style w:val="10"/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Style w:val="10"/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711" w:type="dxa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利用现状坑塘水面建设的养殖池塘（含保温大棚）</w:t>
            </w: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利用现状坑塘水面建设的养殖池塘（含保温大棚）</w:t>
            </w:r>
          </w:p>
        </w:tc>
        <w:tc>
          <w:tcPr>
            <w:tcW w:w="4553" w:type="dxa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池塘护坡材料和塘基加固材料可采用环保薄膜、混凝土预制件、素混凝土等，混凝土护坡厚度一般小于8厘米。</w:t>
            </w:r>
          </w:p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有需要隔离土层时，池底可采用环保薄膜等技术实施隔离。</w:t>
            </w:r>
          </w:p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大棚骨架可采用竹、草、木或轻型钢管。</w:t>
            </w:r>
          </w:p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大棚顶盖可采用塑料薄膜等透光保温覆盖材料。</w:t>
            </w:r>
          </w:p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大棚骨架基础可采用墩形点式基础，置于原状土层或回填土上，其材质为混凝土，长度、宽度和深度均小于50厘米。</w:t>
            </w:r>
          </w:p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尽量利用荒山荒坡、滩涂等未利用地和低效闲置的土地，不占或少占耕地。</w:t>
            </w:r>
          </w:p>
        </w:tc>
        <w:tc>
          <w:tcPr>
            <w:tcW w:w="4972" w:type="dxa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搭建或安装永久性承重地梁。</w:t>
            </w:r>
          </w:p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采用外来废渣等填充土地。</w:t>
            </w:r>
          </w:p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水产养殖禁养区内从事水产养殖业。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占用永久基本农田。</w:t>
            </w:r>
          </w:p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耕作层剥离后未妥善保存、利用。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atLeast"/>
          <w:jc w:val="center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50" w:type="dxa"/>
            <w:vMerge w:val="continue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01" w:type="dxa"/>
            <w:vMerge w:val="continue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711" w:type="dxa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生态沟渠</w:t>
            </w:r>
          </w:p>
        </w:tc>
        <w:tc>
          <w:tcPr>
            <w:tcW w:w="4553" w:type="dxa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尽量利用原有灌排渠沟。</w:t>
            </w:r>
          </w:p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允许对沟内壁、沟顶两侧进行硬底化。</w:t>
            </w:r>
          </w:p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 xml:space="preserve">涉及移离耕地土层的应采用耕作层剥离技术措施。 </w:t>
            </w:r>
          </w:p>
        </w:tc>
        <w:tc>
          <w:tcPr>
            <w:tcW w:w="4972" w:type="dxa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宽度大于或等于1米的沟渠。</w:t>
            </w:r>
          </w:p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占用永久基本农田。</w:t>
            </w:r>
          </w:p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耕作层剥离后未妥善保存、利用。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50" w:type="dxa"/>
            <w:vMerge w:val="continue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01" w:type="dxa"/>
            <w:vMerge w:val="continue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711" w:type="dxa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工厂化等陆基设施养殖场所（含繁育车间、养殖集装箱、设施养殖池、蓄储水池、循环水处理池等）</w:t>
            </w: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工厂化等陆基设施养殖场所（含繁育车间、养殖集装箱、设施养殖池、蓄储水池、循环水处理池等）</w:t>
            </w:r>
          </w:p>
        </w:tc>
        <w:tc>
          <w:tcPr>
            <w:tcW w:w="4553" w:type="dxa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车间可采用轻钢结构、木结构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砖混结构或框架结构。</w:t>
            </w:r>
          </w:p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池塘边可直接设置支架类立体投料设备，高度3.5米以内。</w:t>
            </w:r>
          </w:p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允许车间及设施养殖池采用铺设预制板、水泥抹面等方式设置。</w:t>
            </w:r>
          </w:p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车间顶盖可采用锌瓦、玻璃钢瓦或塑料薄膜等覆盖材料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，也可采用水泥屋面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。</w:t>
            </w:r>
          </w:p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尽量利用荒山荒坡、滩涂等未利用地和低效闲置的土地，不占或少占耕地。</w:t>
            </w:r>
          </w:p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采用尽量减少破坏土地耕作层或容易恢复土地耕作层的方式，涉及移离耕地土层的应采用耕作层剥离技术措施。</w:t>
            </w:r>
          </w:p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建设多层的，须符合建设安全、生物防疫、生态环保等要求，并在用地协议中载明通过建设工程监理等方式落实安全生产责任。</w:t>
            </w:r>
          </w:p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8.可结合实际建设需要，融合智慧、绿色、低碳等建设理念。</w:t>
            </w:r>
          </w:p>
        </w:tc>
        <w:tc>
          <w:tcPr>
            <w:tcW w:w="4972" w:type="dxa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 xml:space="preserve">占用永久基本农田。         </w:t>
            </w:r>
          </w:p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耕作层剥离后未妥善保存、利用。</w:t>
            </w:r>
          </w:p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采用外来废渣等填充土地。</w:t>
            </w:r>
          </w:p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水产养殖禁养区内从事水产养殖业。</w:t>
            </w:r>
          </w:p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用于非农业用途。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50" w:type="dxa"/>
            <w:vMerge w:val="continue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01" w:type="dxa"/>
            <w:vMerge w:val="continue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711" w:type="dxa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农村道路</w:t>
            </w:r>
          </w:p>
        </w:tc>
        <w:tc>
          <w:tcPr>
            <w:tcW w:w="4553" w:type="dxa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尽量利用原有田坎、机耕路、生产道等。</w:t>
            </w:r>
          </w:p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可采取铺设预制板、水泥抹面、沙石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、硬化水泥路面或硬化铺装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等方式设置。</w:t>
            </w:r>
          </w:p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 xml:space="preserve">涉及移离耕地土层的应采用耕作层剥离技术措施。 </w:t>
            </w:r>
          </w:p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道路宽度小于或等于8米。</w:t>
            </w:r>
          </w:p>
        </w:tc>
        <w:tc>
          <w:tcPr>
            <w:tcW w:w="4972" w:type="dxa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 xml:space="preserve">占用永久基本农田。         </w:t>
            </w:r>
          </w:p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耕作层剥离后未妥善保存、利用。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5" w:hRule="atLeast"/>
          <w:jc w:val="center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50" w:type="dxa"/>
            <w:vMerge w:val="continue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01" w:type="dxa"/>
            <w:vMerge w:val="continue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711" w:type="dxa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进排水渠道</w:t>
            </w:r>
          </w:p>
        </w:tc>
        <w:tc>
          <w:tcPr>
            <w:tcW w:w="4553" w:type="dxa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尽量利用原有灌排渠沟。</w:t>
            </w:r>
          </w:p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.结合实际需要，可考虑通过尾水管道收集养殖尾水，在污水处理泵站处理后外排。</w:t>
            </w:r>
          </w:p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鼓励采取环保生态措施，预留生物通道等。</w:t>
            </w:r>
          </w:p>
        </w:tc>
        <w:tc>
          <w:tcPr>
            <w:tcW w:w="4972" w:type="dxa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占用永久基本农田。</w:t>
            </w:r>
          </w:p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耕作层剥离后未妥善保存、利用。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5" w:hRule="atLeast"/>
          <w:jc w:val="center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50" w:type="dxa"/>
            <w:vMerge w:val="continue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01" w:type="dxa"/>
            <w:vMerge w:val="restart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辅助设施用地</w:t>
            </w: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辅助设施用地</w:t>
            </w: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topLinePunct/>
              <w:snapToGrid w:val="0"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辅助设施用地</w:t>
            </w:r>
          </w:p>
        </w:tc>
        <w:tc>
          <w:tcPr>
            <w:tcW w:w="2711" w:type="dxa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生产看护房</w:t>
            </w:r>
          </w:p>
        </w:tc>
        <w:tc>
          <w:tcPr>
            <w:tcW w:w="4553" w:type="dxa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层数应为单层，高度应小于4米。</w:t>
            </w:r>
          </w:p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每处占地面积应不超过15平方米。</w:t>
            </w:r>
          </w:p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建筑形式应为活动板房、集装箱。</w:t>
            </w:r>
          </w:p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采取架空、铺设预制板（木板或混凝土预制件等）环保薄膜等方式设置。</w:t>
            </w:r>
          </w:p>
        </w:tc>
        <w:tc>
          <w:tcPr>
            <w:tcW w:w="4972" w:type="dxa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搭建或安装永久性承重地梁。</w:t>
            </w:r>
          </w:p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建筑形式为砖混或钢筋混凝土结构。</w:t>
            </w:r>
          </w:p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占用永久基本农田。</w:t>
            </w:r>
          </w:p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 xml:space="preserve">耕作层剥离后未妥善保存、利用。         </w:t>
            </w:r>
          </w:p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水产养殖禁养区内从事水产养殖业。</w:t>
            </w:r>
          </w:p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辅助设施用地规模超过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设施农业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项目用地规模15%，或用地面积超过30亩。</w:t>
            </w:r>
          </w:p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用于非农业用途。</w:t>
            </w:r>
          </w:p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0" w:hRule="atLeast"/>
          <w:jc w:val="center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50" w:type="dxa"/>
            <w:vMerge w:val="continue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01" w:type="dxa"/>
            <w:vMerge w:val="continue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711" w:type="dxa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尾水处理设施</w:t>
            </w:r>
          </w:p>
        </w:tc>
        <w:tc>
          <w:tcPr>
            <w:tcW w:w="4553" w:type="dxa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有需要隔离土层时，可采用环保薄膜等技术实施隔离。</w:t>
            </w:r>
          </w:p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允许对过滤坝硬底化。</w:t>
            </w:r>
          </w:p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尽量利用荒山荒坡、滩涂等未利用地和低效闲置的土地，不占或少占耕地。</w:t>
            </w:r>
          </w:p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采用尽量减少破坏土地耕作层或容易恢复土地耕作层的方式，涉及移离耕地土层的应采用耕作层剥离技术措施。</w:t>
            </w:r>
          </w:p>
        </w:tc>
        <w:tc>
          <w:tcPr>
            <w:tcW w:w="4972" w:type="dxa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占用永久基本农田。        </w:t>
            </w:r>
          </w:p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耕作层剥离后未妥善保存、利用。</w:t>
            </w:r>
          </w:p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水产养殖禁养区内从事水产养殖业。</w:t>
            </w:r>
          </w:p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辅助设施用地规模超过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设施农业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项目用地规模15%，或用地面积超过30亩。</w:t>
            </w:r>
          </w:p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用于非农业用途。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50" w:type="dxa"/>
            <w:vMerge w:val="continue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01" w:type="dxa"/>
            <w:vMerge w:val="continue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711" w:type="dxa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田间冷链仓库、设备管理用房（含水泵配电管理用房等）、初级分拣用房、检验检疫监测室、临时存储用房、必要管理用房，动物疫病虫害防控处理等技术设施，设备、原料、农业生产资料和农业机械临时存储和维修车间用地</w:t>
            </w:r>
          </w:p>
        </w:tc>
        <w:tc>
          <w:tcPr>
            <w:tcW w:w="4553" w:type="dxa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尽量利用荒山荒坡、滩涂等未利用地和低效闲置的土地，不占或少占耕地。</w:t>
            </w:r>
          </w:p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采用尽量减少破坏土地耕作层或容易恢复土地耕作层的方式，涉及移离耕地土层的应采用耕作层剥离技术措施。</w:t>
            </w:r>
          </w:p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鼓励按照节约集约用地原则，结合养殖需要，集中建设兼有多种功能的用房。</w:t>
            </w:r>
          </w:p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建设多层的，须符合建设安全、生物防疫、生态环保等要求，并在用地协议中载明通过建设工程监理等方式落实安全生产责任。</w:t>
            </w:r>
          </w:p>
        </w:tc>
        <w:tc>
          <w:tcPr>
            <w:tcW w:w="4972" w:type="dxa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占用永久基本农田。         </w:t>
            </w:r>
          </w:p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耕作层剥离后未妥善保存、利用。</w:t>
            </w:r>
          </w:p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水产养殖禁养区内从事水产养殖业。</w:t>
            </w:r>
          </w:p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辅助设施用地规模超过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设施农业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项目用地规模15%，或用地面积超过30亩。</w:t>
            </w:r>
          </w:p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用于非农业用途。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06" w:type="dxa"/>
            <w:gridSpan w:val="6"/>
            <w:noWrap w:val="0"/>
            <w:vAlign w:val="center"/>
          </w:tcPr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备注：</w:t>
            </w:r>
          </w:p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 xml:space="preserve">1.按照节约集约用地原则，鼓励建设多层现代化水产养殖设施，应满足结构安全的要求； </w:t>
            </w:r>
          </w:p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 xml:space="preserve">2.根据实际生产需要，支持采用先进生产工艺或设备，应满足生态环保的要求； </w:t>
            </w:r>
          </w:p>
          <w:p>
            <w:pPr>
              <w:topLinePunct/>
              <w:snapToGrid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3.倡导在工厂化等陆基设施养殖场所规划建设中，融入绿色低碳、智慧高效的发展理念。</w:t>
            </w:r>
          </w:p>
        </w:tc>
      </w:tr>
    </w:tbl>
    <w:p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588" w:right="2098" w:bottom="1474" w:left="1985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  <w:rPr>
        <w:rFonts w:hint="eastAsia" w:ascii="仿宋_GB2312" w:hAnsi="宋体" w:eastAsia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wordWrap w:val="0"/>
                            <w:jc w:val="right"/>
                          </w:pPr>
                          <w:r>
                            <w:rPr>
                              <w:rFonts w:hint="eastAsia" w:ascii="仿宋_GB2312" w:hAnsi="宋体" w:eastAsia="仿宋_GB2312"/>
                              <w:kern w:val="0"/>
                              <w:sz w:val="28"/>
                              <w:szCs w:val="21"/>
                            </w:rPr>
                            <w:t xml:space="preserve">- </w:t>
                          </w:r>
                          <w:r>
                            <w:rPr>
                              <w:rFonts w:hint="eastAsia" w:ascii="仿宋_GB2312" w:hAnsi="宋体" w:eastAsia="仿宋_GB2312"/>
                              <w:kern w:val="0"/>
                              <w:sz w:val="28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宋体" w:eastAsia="仿宋_GB2312"/>
                              <w:kern w:val="0"/>
                              <w:sz w:val="28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仿宋_GB2312" w:hAnsi="宋体" w:eastAsia="仿宋_GB2312"/>
                              <w:kern w:val="0"/>
                              <w:sz w:val="28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宋体" w:eastAsia="仿宋_GB2312"/>
                              <w:kern w:val="0"/>
                              <w:sz w:val="28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eastAsia" w:ascii="仿宋_GB2312" w:hAnsi="宋体" w:eastAsia="仿宋_GB2312"/>
                              <w:kern w:val="0"/>
                              <w:sz w:val="28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宋体" w:eastAsia="仿宋_GB2312"/>
                              <w:kern w:val="0"/>
                              <w:sz w:val="28"/>
                              <w:szCs w:val="21"/>
                            </w:rPr>
                            <w:t xml:space="preserve"> - 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XQB+S0AQAAVAMAAA4AAABkcnMv&#10;ZTJvRG9jLnhtbK1TS27bMBDdF8gdCO5jyl4EhmA5SBAkCBA0BdIegKZIiwB/GNKWfIHmBl11033P&#10;5XN0SFvOp7sgG3o4M37z3jxqcTlYQ7YSovauodNJRYl0wrfarRv64/vt+ZySmLhrufFONnQnI71c&#10;nn1Z9KGWM99500ogCOJi3YeGdimFmrEoOml5nPggHRaVB8sTXmHNWuA9olvDZlV1wXoPbQAvZIyY&#10;vTkU6bLgKyVFelQqykRMQ5FbKieUc5VPtlzweg08dFocafAPsLBcOxx6grrhiZMN6P+grBbgo1dp&#10;IrxlXiktZNGAaqbVOzVPHQ+yaMHlxHBaU/w8WPF1+w2IbtE7dMpxix7tfz3vf//d//lJMIcL6kOs&#10;se8pYGcarv3Q0AQbOZYi5rP0QYHNvyiKYAtue3fasBwSEZiczmfzeYUlgbXxgiPYy98DxHQnvSU5&#10;aCighWWzfPsQ06F1bMnTnL/VxhQbjXuTQMycYZn+gWOO0rAajppWvt2hpB7db6jD50mJuXe43PxQ&#10;xgDGYDUGmwB63SE1xU3M9nCEv9okJFL45SkH6ONwtK4oPD6z/DZe30vXy8ew/A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xdAH5LQBAABU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wordWrap w:val="0"/>
                      <w:jc w:val="right"/>
                    </w:pPr>
                    <w:r>
                      <w:rPr>
                        <w:rFonts w:hint="eastAsia" w:ascii="仿宋_GB2312" w:hAnsi="宋体" w:eastAsia="仿宋_GB2312"/>
                        <w:kern w:val="0"/>
                        <w:sz w:val="28"/>
                        <w:szCs w:val="21"/>
                      </w:rPr>
                      <w:t xml:space="preserve">- </w:t>
                    </w:r>
                    <w:r>
                      <w:rPr>
                        <w:rFonts w:hint="eastAsia" w:ascii="仿宋_GB2312" w:hAnsi="宋体" w:eastAsia="仿宋_GB2312"/>
                        <w:kern w:val="0"/>
                        <w:sz w:val="28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仿宋_GB2312" w:hAnsi="宋体" w:eastAsia="仿宋_GB2312"/>
                        <w:kern w:val="0"/>
                        <w:sz w:val="28"/>
                        <w:szCs w:val="21"/>
                      </w:rPr>
                      <w:instrText xml:space="preserve"> PAGE </w:instrText>
                    </w:r>
                    <w:r>
                      <w:rPr>
                        <w:rFonts w:hint="eastAsia" w:ascii="仿宋_GB2312" w:hAnsi="宋体" w:eastAsia="仿宋_GB2312"/>
                        <w:kern w:val="0"/>
                        <w:sz w:val="28"/>
                        <w:szCs w:val="21"/>
                      </w:rPr>
                      <w:fldChar w:fldCharType="separate"/>
                    </w:r>
                    <w:r>
                      <w:rPr>
                        <w:rFonts w:ascii="仿宋_GB2312" w:hAnsi="宋体" w:eastAsia="仿宋_GB2312"/>
                        <w:kern w:val="0"/>
                        <w:sz w:val="28"/>
                        <w:szCs w:val="21"/>
                      </w:rPr>
                      <w:t>2</w:t>
                    </w:r>
                    <w:r>
                      <w:rPr>
                        <w:rFonts w:hint="eastAsia" w:ascii="仿宋_GB2312" w:hAnsi="宋体" w:eastAsia="仿宋_GB2312"/>
                        <w:kern w:val="0"/>
                        <w:sz w:val="28"/>
                        <w:szCs w:val="21"/>
                      </w:rPr>
                      <w:fldChar w:fldCharType="end"/>
                    </w:r>
                    <w:r>
                      <w:rPr>
                        <w:rFonts w:hint="eastAsia" w:ascii="仿宋_GB2312" w:hAnsi="宋体" w:eastAsia="仿宋_GB2312"/>
                        <w:kern w:val="0"/>
                        <w:sz w:val="28"/>
                        <w:szCs w:val="21"/>
                      </w:rPr>
                      <w:t xml:space="preserve"> -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GdgaC1AQAAVAMAAA4AAABkcnMv&#10;ZTJvRG9jLnhtbK1TS27bMBDdF8gdCO5jyl6khmA5SBAkCFAkBdIegKZIiwB/GNKWfIHkBl11033P&#10;5XN0SFtO2+yCbKjhzOjNezPDxeVgDdlKiNq7hk4nFSXSCd9qt27o92+353NKYuKu5cY72dCdjPRy&#10;efZp0YdaznznTSuBIIiLdR8a2qUUasai6KTlceKDdBhUHixPeIU1a4H3iG4Nm1XVBes9tAG8kDGi&#10;9+YQpMuCr5QU6VGpKBMxDUVuqZxQzlU+2XLB6zXw0GlxpMHfwcJy7bDoCeqGJ042oN9AWS3AR6/S&#10;RHjLvFJayKIB1Uyr/9Q8dTzIogWbE8OpTfHjYMXD9isQ3eLsPlPiuMUZ7X+87H/+3v96JujDBvUh&#10;1pj3FDAzDdd+aGiCjRxDEf1Z+qDA5i+KIpiC3d6dOiyHRAQ6p/PZfF5hSGBsvGAJ9vp7gJjupLck&#10;Gw0FHGHpLN9+iemQOqbkas7famPKGI37x4GY2cMy/QPHbKVhNRw1rXy7Q0k9Tr+hDteTEnPvsLl5&#10;UUYDRmM1GpsAet0hNcVNzOPhCH+1SUik8MtVDtDH4ji6ovC4Znk3/r6XrNfHsPw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EGdgaC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BDBEA2"/>
    <w:multiLevelType w:val="singleLevel"/>
    <w:tmpl w:val="FEBDBEA2"/>
    <w:lvl w:ilvl="0" w:tentative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NDg2MmUyODcwNjExZjBmNTI0NjdlM2Q1MmIzYmEifQ=="/>
  </w:docVars>
  <w:rsids>
    <w:rsidRoot w:val="00000000"/>
    <w:rsid w:val="034C6DE7"/>
    <w:rsid w:val="04723121"/>
    <w:rsid w:val="26127F89"/>
    <w:rsid w:val="2FFE2246"/>
    <w:rsid w:val="49A17DE0"/>
    <w:rsid w:val="4BCD59E6"/>
    <w:rsid w:val="56A56921"/>
    <w:rsid w:val="6268246C"/>
    <w:rsid w:val="69E25B33"/>
    <w:rsid w:val="7DC662E7"/>
    <w:rsid w:val="7F744718"/>
    <w:rsid w:val="DF2F3EC4"/>
    <w:rsid w:val="F6FFFA9D"/>
    <w:rsid w:val="F76F3DA8"/>
    <w:rsid w:val="FFDB74D2"/>
    <w:rsid w:val="FFDEF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宋体" w:hAnsi="Calibri"/>
      <w:b/>
      <w:bCs/>
      <w:sz w:val="44"/>
    </w:rPr>
  </w:style>
  <w:style w:type="paragraph" w:styleId="3">
    <w:name w:val="Body Text First Indent"/>
    <w:basedOn w:val="2"/>
    <w:qFormat/>
    <w:uiPriority w:val="0"/>
    <w:pPr>
      <w:ind w:firstLine="100" w:firstLineChars="100"/>
    </w:pPr>
    <w:rPr>
      <w:rFonts w:eastAsia="文星简小标宋"/>
      <w:szCs w:val="20"/>
    </w:rPr>
  </w:style>
  <w:style w:type="paragraph" w:styleId="4">
    <w:name w:val="Plain Text"/>
    <w:basedOn w:val="1"/>
    <w:next w:val="5"/>
    <w:unhideWhenUsed/>
    <w:qFormat/>
    <w:uiPriority w:val="0"/>
    <w:rPr>
      <w:rFonts w:hint="eastAsia" w:ascii="宋体" w:hAnsi="Courier New"/>
      <w:szCs w:val="21"/>
    </w:rPr>
  </w:style>
  <w:style w:type="paragraph" w:styleId="5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43</Pages>
  <Words>7569</Words>
  <Characters>7761</Characters>
  <Lines>0</Lines>
  <Paragraphs>0</Paragraphs>
  <TotalTime>18</TotalTime>
  <ScaleCrop>false</ScaleCrop>
  <LinksUpToDate>false</LinksUpToDate>
  <CharactersWithSpaces>7793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2024-10-30T11:23:00Z</dcterms:created>
  <dc:creator>lenovo</dc:creator>
  <cp:lastModifiedBy>lvlian</cp:lastModifiedBy>
  <cp:lastPrinted>2024-11-08T08:27:00Z</cp:lastPrinted>
  <dcterms:modified xsi:type="dcterms:W3CDTF">2024-11-14T16:06:52Z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B108B7A9C46F4B4E89F070F77A23EE29_12</vt:lpwstr>
  </property>
</Properties>
</file>