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72"/>
          <w:szCs w:val="72"/>
          <w:highlight w:val="none"/>
        </w:rPr>
      </w:pPr>
      <w:bookmarkStart w:id="30" w:name="_GoBack"/>
      <w:bookmarkEnd w:id="30"/>
    </w:p>
    <w:p>
      <w:pPr>
        <w:pStyle w:val="3"/>
        <w:rPr>
          <w:rFonts w:hint="eastAsia"/>
          <w:color w:val="auto"/>
          <w:highlight w:val="none"/>
        </w:rPr>
      </w:pPr>
    </w:p>
    <w:p>
      <w:pPr>
        <w:rPr>
          <w:rFonts w:hint="eastAsia"/>
          <w:color w:val="auto"/>
          <w:highlight w:val="none"/>
        </w:rPr>
      </w:pPr>
    </w:p>
    <w:p>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hint="eastAsia" w:ascii="宋体" w:hAnsi="宋体" w:cs="宋体"/>
          <w:color w:val="auto"/>
          <w:highlight w:val="none"/>
        </w:rPr>
      </w:pPr>
    </w:p>
    <w:p>
      <w:pPr>
        <w:rPr>
          <w:rFonts w:hint="eastAsia" w:ascii="宋体" w:hAnsi="宋体" w:cs="宋体"/>
          <w:color w:val="auto"/>
          <w:highlight w:val="none"/>
        </w:rPr>
      </w:pPr>
    </w:p>
    <w:p>
      <w:pPr>
        <w:pStyle w:val="26"/>
        <w:ind w:firstLine="420"/>
        <w:rPr>
          <w:rFonts w:hint="eastAsia" w:ascii="宋体" w:hAnsi="宋体" w:cs="宋体"/>
          <w:color w:val="auto"/>
          <w:highlight w:val="none"/>
        </w:rPr>
      </w:pPr>
    </w:p>
    <w:p>
      <w:pPr>
        <w:pStyle w:val="26"/>
        <w:ind w:firstLine="420"/>
        <w:rPr>
          <w:rFonts w:hint="eastAsia" w:ascii="宋体" w:hAnsi="宋体" w:cs="宋体"/>
          <w:color w:val="auto"/>
          <w:highlight w:val="none"/>
        </w:rPr>
      </w:pPr>
    </w:p>
    <w:p>
      <w:pPr>
        <w:rPr>
          <w:rFonts w:hint="eastAsia" w:ascii="宋体" w:hAnsi="宋体" w:cs="宋体"/>
          <w:b/>
          <w:color w:val="auto"/>
          <w:sz w:val="44"/>
          <w:highlight w:val="none"/>
        </w:rPr>
      </w:pPr>
    </w:p>
    <w:p>
      <w:pPr>
        <w:ind w:left="2326" w:leftChars="247" w:right="-319" w:rightChars="-152" w:hanging="1807" w:hangingChars="50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招标编号：</w:t>
      </w:r>
      <w:r>
        <w:rPr>
          <w:rFonts w:hint="eastAsia" w:ascii="宋体" w:hAnsi="宋体" w:cs="宋体"/>
          <w:b/>
          <w:color w:val="auto"/>
          <w:sz w:val="36"/>
          <w:szCs w:val="36"/>
          <w:highlight w:val="none"/>
          <w:lang w:eastAsia="zh-CN"/>
        </w:rPr>
        <w:t>QH2024100</w:t>
      </w:r>
    </w:p>
    <w:p>
      <w:pPr>
        <w:pStyle w:val="26"/>
        <w:ind w:firstLine="420"/>
        <w:rPr>
          <w:rFonts w:hint="eastAsia" w:ascii="宋体" w:hAnsi="宋体" w:cs="宋体"/>
          <w:color w:val="auto"/>
          <w:highlight w:val="none"/>
        </w:rPr>
      </w:pPr>
    </w:p>
    <w:p>
      <w:pPr>
        <w:pStyle w:val="26"/>
        <w:ind w:firstLine="420"/>
        <w:rPr>
          <w:rFonts w:hint="eastAsia" w:ascii="宋体" w:hAnsi="宋体" w:cs="宋体"/>
          <w:color w:val="auto"/>
          <w:highlight w:val="none"/>
        </w:rPr>
      </w:pPr>
    </w:p>
    <w:p>
      <w:pPr>
        <w:pStyle w:val="26"/>
        <w:ind w:firstLine="420"/>
        <w:rPr>
          <w:rFonts w:hint="eastAsia" w:ascii="宋体" w:hAnsi="宋体" w:cs="宋体"/>
          <w:color w:val="auto"/>
          <w:highlight w:val="none"/>
        </w:rPr>
      </w:pPr>
    </w:p>
    <w:p>
      <w:pPr>
        <w:ind w:left="2326" w:leftChars="247" w:right="-319" w:rightChars="-152" w:hanging="1807" w:hangingChars="500"/>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rPr>
        <w:t>招标项目：</w:t>
      </w:r>
      <w:r>
        <w:rPr>
          <w:rFonts w:hint="eastAsia" w:ascii="宋体" w:hAnsi="宋体" w:cs="宋体"/>
          <w:b/>
          <w:color w:val="auto"/>
          <w:sz w:val="36"/>
          <w:szCs w:val="36"/>
          <w:highlight w:val="none"/>
          <w:lang w:val="en-US" w:eastAsia="zh-CN"/>
        </w:rPr>
        <w:t>《深圳前海湾保税港区管理暂行办法》立法后评估服务项目</w:t>
      </w:r>
    </w:p>
    <w:p>
      <w:pPr>
        <w:ind w:firstLine="3264" w:firstLineChars="739"/>
        <w:rPr>
          <w:rFonts w:hint="eastAsia" w:ascii="宋体" w:hAnsi="宋体" w:cs="宋体"/>
          <w:b/>
          <w:color w:val="auto"/>
          <w:sz w:val="44"/>
          <w:highlight w:val="none"/>
        </w:rPr>
      </w:pPr>
    </w:p>
    <w:p>
      <w:pPr>
        <w:ind w:left="1260" w:leftChars="600" w:firstLine="1855" w:firstLineChars="420"/>
        <w:rPr>
          <w:rFonts w:hint="eastAsia" w:ascii="宋体" w:hAnsi="宋体" w:cs="宋体"/>
          <w:b/>
          <w:color w:val="auto"/>
          <w:sz w:val="44"/>
          <w:highlight w:val="none"/>
        </w:rPr>
      </w:pPr>
    </w:p>
    <w:p>
      <w:pPr>
        <w:rPr>
          <w:rFonts w:hint="eastAsia" w:ascii="宋体" w:hAnsi="宋体" w:cs="宋体"/>
          <w:b/>
          <w:color w:val="auto"/>
          <w:sz w:val="44"/>
          <w:highlight w:val="none"/>
        </w:rPr>
      </w:pPr>
    </w:p>
    <w:p>
      <w:pPr>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202</w:t>
      </w:r>
      <w:r>
        <w:rPr>
          <w:rFonts w:hint="eastAsia" w:ascii="宋体" w:hAnsi="宋体" w:cs="宋体"/>
          <w:b/>
          <w:bCs/>
          <w:color w:val="auto"/>
          <w:sz w:val="36"/>
          <w:szCs w:val="36"/>
          <w:highlight w:val="none"/>
          <w:lang w:val="en-US" w:eastAsia="zh-CN"/>
        </w:rPr>
        <w:t>4</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10</w:t>
      </w:r>
      <w:r>
        <w:rPr>
          <w:rFonts w:hint="eastAsia" w:ascii="宋体" w:hAnsi="宋体" w:cs="宋体"/>
          <w:b/>
          <w:bCs/>
          <w:color w:val="auto"/>
          <w:sz w:val="36"/>
          <w:szCs w:val="36"/>
          <w:highlight w:val="none"/>
        </w:rPr>
        <w:t>月</w:t>
      </w:r>
    </w:p>
    <w:p>
      <w:pPr>
        <w:autoSpaceDE w:val="0"/>
        <w:autoSpaceDN w:val="0"/>
        <w:adjustRightInd w:val="0"/>
        <w:spacing w:line="360" w:lineRule="auto"/>
        <w:jc w:val="center"/>
        <w:rPr>
          <w:rFonts w:hint="eastAsia" w:ascii="宋体" w:hAnsi="宋体" w:cs="宋体"/>
          <w:b/>
          <w:bCs/>
          <w:color w:val="auto"/>
          <w:kern w:val="0"/>
          <w:sz w:val="36"/>
          <w:szCs w:val="36"/>
          <w:highlight w:val="none"/>
        </w:rPr>
      </w:pPr>
      <w:bookmarkStart w:id="0" w:name="_Toc12932"/>
      <w:r>
        <w:rPr>
          <w:rFonts w:ascii="宋体" w:hAnsi="宋体"/>
          <w:b/>
          <w:bCs/>
          <w:color w:val="auto"/>
          <w:sz w:val="32"/>
          <w:szCs w:val="40"/>
          <w:highlight w:val="none"/>
          <w:u w:val="single"/>
        </w:rPr>
        <w:br w:type="page"/>
      </w:r>
      <w:r>
        <w:rPr>
          <w:rFonts w:hint="eastAsia" w:ascii="宋体" w:hAnsi="宋体" w:cs="宋体"/>
          <w:b/>
          <w:bCs/>
          <w:color w:val="auto"/>
          <w:kern w:val="0"/>
          <w:sz w:val="36"/>
          <w:szCs w:val="36"/>
          <w:highlight w:val="none"/>
        </w:rPr>
        <w:t>特别警示条款</w:t>
      </w:r>
    </w:p>
    <w:p>
      <w:pPr>
        <w:pStyle w:val="3"/>
        <w:rPr>
          <w:rFonts w:hint="eastAsia"/>
          <w:color w:val="auto"/>
          <w:highlight w:val="none"/>
        </w:rPr>
      </w:pP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（一）在采购活动中应当回避而未回避的；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（二）未按本条例规定签订、履行采购合同，造成严重后果的；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（三）隐瞒真实情况，提供虚假资料的；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（四）以非法手段排斥其他供应商参与竞争的；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（五）与其他采购参加人串通投标的；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（六）恶意投诉的；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（七）向采购项目相关人行贿或者提供其他不当利益的；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（八）阻碍、抗拒主管部门监督检查的；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（九）其他违反本条例规定的行为。</w:t>
      </w:r>
    </w:p>
    <w:p>
      <w:pPr>
        <w:snapToGrid w:val="0"/>
        <w:spacing w:line="360" w:lineRule="auto"/>
        <w:ind w:firstLine="470" w:firstLineChars="196"/>
        <w:rPr>
          <w:rFonts w:hint="eastAsia" w:ascii="宋体" w:hAnsi="宋体" w:cs="宋体"/>
          <w:color w:val="auto"/>
          <w:sz w:val="24"/>
          <w:highlight w:val="none"/>
        </w:rPr>
      </w:pP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二、《深圳经济特区政府采购条例实施细则》</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jc w:val="center"/>
        <w:outlineLvl w:val="0"/>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bookmarkStart w:id="1" w:name="_Toc20808"/>
      <w:r>
        <w:rPr>
          <w:rFonts w:hint="eastAsia" w:ascii="宋体" w:hAnsi="宋体" w:cs="宋体"/>
          <w:b/>
          <w:bCs/>
          <w:color w:val="auto"/>
          <w:sz w:val="36"/>
          <w:szCs w:val="36"/>
          <w:highlight w:val="none"/>
          <w:lang w:val="zh-CN"/>
        </w:rPr>
        <w:t>目录</w:t>
      </w:r>
      <w:bookmarkEnd w:id="0"/>
      <w:bookmarkEnd w:id="1"/>
    </w:p>
    <w:p>
      <w:pPr>
        <w:pStyle w:val="14"/>
        <w:tabs>
          <w:tab w:val="right" w:leader="dot" w:pos="8306"/>
        </w:tabs>
        <w:spacing w:line="480" w:lineRule="auto"/>
        <w:rPr>
          <w:b/>
          <w:bCs/>
          <w:color w:val="auto"/>
          <w:sz w:val="24"/>
          <w:szCs w:val="32"/>
          <w:highlight w:val="none"/>
        </w:rPr>
      </w:pPr>
    </w:p>
    <w:p>
      <w:pPr>
        <w:pStyle w:val="14"/>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_Toc17273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第一章 招标邀请书（招标公告）</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_Toc17273 \h </w:instrText>
      </w:r>
      <w:r>
        <w:rPr>
          <w:b/>
          <w:bCs/>
          <w:color w:val="auto"/>
          <w:sz w:val="24"/>
          <w:highlight w:val="none"/>
        </w:rPr>
        <w:fldChar w:fldCharType="separate"/>
      </w:r>
      <w:r>
        <w:rPr>
          <w:b/>
          <w:bCs/>
          <w:color w:val="auto"/>
          <w:sz w:val="24"/>
          <w:highlight w:val="none"/>
        </w:rPr>
        <w:t>5</w:t>
      </w:r>
      <w:r>
        <w:rPr>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_Toc10214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第二章 投标须知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_Toc10214 \h </w:instrText>
      </w:r>
      <w:r>
        <w:rPr>
          <w:b/>
          <w:bCs/>
          <w:color w:val="auto"/>
          <w:sz w:val="24"/>
          <w:highlight w:val="none"/>
        </w:rPr>
        <w:fldChar w:fldCharType="separate"/>
      </w:r>
      <w:r>
        <w:rPr>
          <w:b/>
          <w:bCs/>
          <w:color w:val="auto"/>
          <w:sz w:val="24"/>
          <w:highlight w:val="none"/>
        </w:rPr>
        <w:t>8</w:t>
      </w:r>
      <w:r>
        <w:rPr>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_Toc20176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第三章 评标程序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_Toc20176 \h </w:instrText>
      </w:r>
      <w:r>
        <w:rPr>
          <w:b/>
          <w:bCs/>
          <w:color w:val="auto"/>
          <w:sz w:val="24"/>
          <w:highlight w:val="none"/>
        </w:rPr>
        <w:fldChar w:fldCharType="separate"/>
      </w:r>
      <w:r>
        <w:rPr>
          <w:b/>
          <w:bCs/>
          <w:color w:val="auto"/>
          <w:sz w:val="24"/>
          <w:highlight w:val="none"/>
        </w:rPr>
        <w:t>11</w:t>
      </w:r>
      <w:r>
        <w:rPr>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_Toc3567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第四章 合同格式及合同条款</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_Toc3567 \h </w:instrText>
      </w:r>
      <w:r>
        <w:rPr>
          <w:b/>
          <w:bCs/>
          <w:color w:val="auto"/>
          <w:sz w:val="24"/>
          <w:highlight w:val="none"/>
        </w:rPr>
        <w:fldChar w:fldCharType="separate"/>
      </w:r>
      <w:r>
        <w:rPr>
          <w:b/>
          <w:bCs/>
          <w:color w:val="auto"/>
          <w:sz w:val="24"/>
          <w:highlight w:val="none"/>
        </w:rPr>
        <w:t>13</w:t>
      </w:r>
      <w:r>
        <w:rPr>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default" w:eastAsia="宋体"/>
          <w:b/>
          <w:bCs/>
          <w:color w:val="auto"/>
          <w:sz w:val="24"/>
          <w:highlight w:val="none"/>
          <w:lang w:val="en-US" w:eastAsia="zh-CN"/>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_Toc25518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第五章 用户需求书</w:t>
      </w:r>
      <w:r>
        <w:rPr>
          <w:b/>
          <w:bCs/>
          <w:color w:val="auto"/>
          <w:sz w:val="24"/>
          <w:highlight w:val="none"/>
        </w:rPr>
        <w:tab/>
      </w:r>
      <w:r>
        <w:rPr>
          <w:rFonts w:hint="eastAsia" w:ascii="宋体" w:hAnsi="宋体" w:cs="宋体"/>
          <w:b/>
          <w:bCs/>
          <w:color w:val="auto"/>
          <w:sz w:val="24"/>
          <w:highlight w:val="none"/>
        </w:rPr>
        <w:fldChar w:fldCharType="end"/>
      </w:r>
      <w:r>
        <w:rPr>
          <w:rFonts w:hint="eastAsia"/>
          <w:b/>
          <w:bCs/>
          <w:color w:val="auto"/>
          <w:sz w:val="24"/>
          <w:highlight w:val="none"/>
          <w:lang w:val="en-US" w:eastAsia="zh-CN"/>
        </w:rPr>
        <w:t>26</w:t>
      </w:r>
    </w:p>
    <w:p>
      <w:pPr>
        <w:pStyle w:val="14"/>
        <w:tabs>
          <w:tab w:val="right" w:leader="dot" w:pos="8306"/>
        </w:tabs>
        <w:spacing w:line="360" w:lineRule="auto"/>
        <w:rPr>
          <w:rFonts w:hint="default" w:eastAsia="宋体"/>
          <w:b/>
          <w:bCs/>
          <w:color w:val="auto"/>
          <w:sz w:val="24"/>
          <w:highlight w:val="none"/>
          <w:lang w:val="en-US" w:eastAsia="zh-CN"/>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_Toc23822 </w:instrText>
      </w:r>
      <w:r>
        <w:rPr>
          <w:rFonts w:hint="eastAsia" w:ascii="宋体" w:hAnsi="宋体" w:cs="宋体"/>
          <w:b/>
          <w:bCs/>
          <w:color w:val="auto"/>
          <w:sz w:val="24"/>
          <w:highlight w:val="none"/>
        </w:rPr>
        <w:fldChar w:fldCharType="separate"/>
      </w:r>
      <w:r>
        <w:rPr>
          <w:rFonts w:hint="eastAsia" w:ascii="宋体" w:cs="宋体"/>
          <w:b/>
          <w:bCs/>
          <w:color w:val="auto"/>
          <w:sz w:val="24"/>
          <w:highlight w:val="none"/>
        </w:rPr>
        <w:t>第六章 投标文件初审及招标项目评分表</w:t>
      </w:r>
      <w:r>
        <w:rPr>
          <w:b/>
          <w:bCs/>
          <w:color w:val="auto"/>
          <w:sz w:val="24"/>
          <w:highlight w:val="none"/>
        </w:rPr>
        <w:tab/>
      </w:r>
      <w:r>
        <w:rPr>
          <w:rFonts w:hint="eastAsia" w:ascii="宋体" w:hAnsi="宋体" w:cs="宋体"/>
          <w:b/>
          <w:bCs/>
          <w:color w:val="auto"/>
          <w:sz w:val="24"/>
          <w:highlight w:val="none"/>
        </w:rPr>
        <w:fldChar w:fldCharType="end"/>
      </w:r>
      <w:r>
        <w:rPr>
          <w:rFonts w:hint="eastAsia"/>
          <w:b/>
          <w:bCs/>
          <w:color w:val="auto"/>
          <w:sz w:val="24"/>
          <w:highlight w:val="none"/>
          <w:lang w:val="en-US" w:eastAsia="zh-CN"/>
        </w:rPr>
        <w:t>32</w:t>
      </w:r>
    </w:p>
    <w:p>
      <w:pPr>
        <w:pStyle w:val="14"/>
        <w:tabs>
          <w:tab w:val="right" w:leader="dot" w:pos="8306"/>
        </w:tabs>
        <w:spacing w:line="360" w:lineRule="auto"/>
        <w:rPr>
          <w:rFonts w:hint="default" w:eastAsia="宋体"/>
          <w:b/>
          <w:bCs/>
          <w:color w:val="auto"/>
          <w:sz w:val="24"/>
          <w:highlight w:val="none"/>
          <w:lang w:val="en-US" w:eastAsia="zh-CN"/>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_Toc9548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第七章 附件（投标文件格式）</w:t>
      </w:r>
      <w:r>
        <w:rPr>
          <w:b/>
          <w:bCs/>
          <w:color w:val="auto"/>
          <w:sz w:val="24"/>
          <w:highlight w:val="none"/>
        </w:rPr>
        <w:tab/>
      </w:r>
      <w:r>
        <w:rPr>
          <w:rFonts w:hint="eastAsia" w:ascii="宋体" w:hAnsi="宋体" w:cs="宋体"/>
          <w:b/>
          <w:bCs/>
          <w:color w:val="auto"/>
          <w:sz w:val="24"/>
          <w:highlight w:val="none"/>
        </w:rPr>
        <w:fldChar w:fldCharType="end"/>
      </w:r>
      <w:r>
        <w:rPr>
          <w:rFonts w:hint="eastAsia"/>
          <w:b/>
          <w:bCs/>
          <w:color w:val="auto"/>
          <w:sz w:val="24"/>
          <w:highlight w:val="none"/>
          <w:lang w:val="en-US" w:eastAsia="zh-CN"/>
        </w:rPr>
        <w:t>38</w:t>
      </w:r>
    </w:p>
    <w:p>
      <w:pPr>
        <w:pStyle w:val="14"/>
        <w:tabs>
          <w:tab w:val="right" w:leader="dot" w:pos="8306"/>
        </w:tabs>
        <w:spacing w:line="360" w:lineRule="auto"/>
        <w:rPr>
          <w:rFonts w:hint="default" w:eastAsia="宋体"/>
          <w:b/>
          <w:bCs/>
          <w:color w:val="auto"/>
          <w:sz w:val="24"/>
          <w:highlight w:val="none"/>
          <w:lang w:val="en-US" w:eastAsia="zh-CN"/>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_Toc742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附件：相关政策</w:t>
      </w:r>
      <w:r>
        <w:rPr>
          <w:b/>
          <w:bCs/>
          <w:color w:val="auto"/>
          <w:sz w:val="24"/>
          <w:highlight w:val="none"/>
        </w:rPr>
        <w:tab/>
      </w:r>
      <w:r>
        <w:rPr>
          <w:rFonts w:hint="eastAsia" w:ascii="宋体" w:hAnsi="宋体" w:cs="宋体"/>
          <w:b/>
          <w:bCs/>
          <w:color w:val="auto"/>
          <w:sz w:val="24"/>
          <w:highlight w:val="none"/>
        </w:rPr>
        <w:fldChar w:fldCharType="end"/>
      </w:r>
      <w:r>
        <w:rPr>
          <w:rFonts w:hint="eastAsia"/>
          <w:b/>
          <w:bCs/>
          <w:color w:val="auto"/>
          <w:sz w:val="24"/>
          <w:highlight w:val="none"/>
          <w:lang w:val="en-US" w:eastAsia="zh-CN"/>
        </w:rPr>
        <w:t>57</w:t>
      </w:r>
    </w:p>
    <w:p>
      <w:pPr>
        <w:pStyle w:val="14"/>
        <w:tabs>
          <w:tab w:val="right" w:leader="dot" w:pos="8306"/>
        </w:tabs>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fldChar w:fldCharType="end"/>
      </w:r>
    </w:p>
    <w:p>
      <w:pPr>
        <w:spacing w:line="360" w:lineRule="auto"/>
        <w:rPr>
          <w:color w:val="auto"/>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2" w:name="_Toc17273"/>
      <w:r>
        <w:rPr>
          <w:rFonts w:hint="eastAsia" w:ascii="宋体" w:hAnsi="宋体" w:cs="宋体"/>
          <w:b/>
          <w:bCs/>
          <w:color w:val="auto"/>
          <w:sz w:val="24"/>
          <w:highlight w:val="none"/>
        </w:rPr>
        <w:t>招标邀请书（招标公告）</w:t>
      </w:r>
      <w:bookmarkEnd w:id="2"/>
    </w:p>
    <w:p>
      <w:pPr>
        <w:spacing w:line="360" w:lineRule="auto"/>
        <w:ind w:firstLine="480" w:firstLineChars="200"/>
        <w:jc w:val="right"/>
        <w:rPr>
          <w:rFonts w:hint="eastAsia" w:ascii="宋体" w:hAnsi="宋体" w:cs="宋体"/>
          <w:color w:val="auto"/>
          <w:sz w:val="24"/>
          <w:highlight w:val="none"/>
        </w:rPr>
      </w:pPr>
      <w:bookmarkStart w:id="3" w:name="OLE_LINK1"/>
      <w:r>
        <w:rPr>
          <w:rFonts w:hint="eastAsia" w:ascii="宋体" w:hAnsi="宋体" w:cs="宋体"/>
          <w:color w:val="auto"/>
          <w:sz w:val="24"/>
          <w:highlight w:val="none"/>
        </w:rPr>
        <w:t>文件编码:0722-2024FE2</w:t>
      </w:r>
      <w:r>
        <w:rPr>
          <w:rFonts w:hint="eastAsia" w:ascii="宋体" w:hAnsi="宋体" w:cs="宋体"/>
          <w:color w:val="auto"/>
          <w:sz w:val="24"/>
          <w:highlight w:val="none"/>
          <w:lang w:val="en-US" w:eastAsia="zh-CN"/>
        </w:rPr>
        <w:t>229</w:t>
      </w:r>
      <w:r>
        <w:rPr>
          <w:rFonts w:hint="eastAsia" w:ascii="宋体" w:hAnsi="宋体" w:cs="宋体"/>
          <w:color w:val="auto"/>
          <w:sz w:val="24"/>
          <w:highlight w:val="none"/>
        </w:rPr>
        <w:t>SZF-1</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中国远东国际招标有限公司（以下简称采购代理机构）受深圳市前海深港现代服务业合作区管理局委托就“</w:t>
      </w:r>
      <w:r>
        <w:rPr>
          <w:rFonts w:hint="eastAsia" w:ascii="宋体" w:hAnsi="宋体" w:cs="宋体"/>
          <w:color w:val="auto"/>
          <w:sz w:val="24"/>
          <w:highlight w:val="none"/>
          <w:u w:val="single"/>
          <w:lang w:eastAsia="zh-CN"/>
        </w:rPr>
        <w:t>《深圳前海湾保税港区管理暂行办法》立法后评估</w:t>
      </w:r>
      <w:r>
        <w:rPr>
          <w:rFonts w:hint="eastAsia" w:ascii="宋体" w:hAnsi="宋体" w:cs="宋体"/>
          <w:color w:val="auto"/>
          <w:sz w:val="24"/>
          <w:highlight w:val="none"/>
          <w:u w:val="single"/>
          <w:lang w:val="en-US" w:eastAsia="zh-CN"/>
        </w:rPr>
        <w:t>服务</w:t>
      </w:r>
      <w:r>
        <w:rPr>
          <w:rFonts w:hint="eastAsia" w:ascii="宋体" w:hAnsi="宋体" w:cs="宋体"/>
          <w:color w:val="auto"/>
          <w:sz w:val="24"/>
          <w:highlight w:val="none"/>
          <w:u w:val="single"/>
          <w:lang w:eastAsia="zh-CN"/>
        </w:rPr>
        <w:t>项目</w:t>
      </w:r>
      <w:r>
        <w:rPr>
          <w:rFonts w:hint="eastAsia" w:ascii="宋体" w:hAnsi="宋体" w:cs="宋体"/>
          <w:color w:val="auto"/>
          <w:sz w:val="24"/>
          <w:highlight w:val="none"/>
        </w:rPr>
        <w:t>（招标编号：</w:t>
      </w:r>
      <w:r>
        <w:rPr>
          <w:rFonts w:hint="eastAsia" w:ascii="宋体" w:hAnsi="宋体" w:cs="宋体"/>
          <w:color w:val="auto"/>
          <w:sz w:val="24"/>
          <w:highlight w:val="none"/>
          <w:u w:val="single"/>
          <w:lang w:eastAsia="zh-CN"/>
        </w:rPr>
        <w:t>QH2024100</w:t>
      </w:r>
      <w:r>
        <w:rPr>
          <w:rFonts w:hint="eastAsia" w:ascii="宋体" w:hAnsi="宋体" w:cs="宋体"/>
          <w:color w:val="auto"/>
          <w:sz w:val="24"/>
          <w:highlight w:val="none"/>
        </w:rPr>
        <w:t>）”采用简易招标方式采购，欢迎符合投标人资格要求的专业供应商积极参加投标。</w:t>
      </w:r>
    </w:p>
    <w:tbl>
      <w:tblPr>
        <w:tblStyle w:val="18"/>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招标编号</w:t>
            </w:r>
          </w:p>
        </w:tc>
        <w:tc>
          <w:tcPr>
            <w:tcW w:w="7015"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QH2024100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招标项目名称</w:t>
            </w:r>
          </w:p>
        </w:tc>
        <w:tc>
          <w:tcPr>
            <w:tcW w:w="7015"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u w:val="none"/>
                <w:lang w:eastAsia="zh-CN"/>
              </w:rPr>
              <w:t>《深圳前海湾保税港区管理暂行办法》立法后评估</w:t>
            </w:r>
            <w:r>
              <w:rPr>
                <w:rFonts w:hint="eastAsia" w:ascii="宋体" w:hAnsi="宋体" w:cs="宋体"/>
                <w:color w:val="auto"/>
                <w:sz w:val="24"/>
                <w:highlight w:val="none"/>
                <w:u w:val="none"/>
                <w:lang w:val="en-US" w:eastAsia="zh-CN"/>
              </w:rPr>
              <w:t>服务</w:t>
            </w:r>
            <w:r>
              <w:rPr>
                <w:rFonts w:hint="eastAsia" w:ascii="宋体" w:hAnsi="宋体" w:cs="宋体"/>
                <w:color w:val="auto"/>
                <w:sz w:val="24"/>
                <w:highlight w:val="none"/>
                <w:u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标的内容</w:t>
            </w:r>
          </w:p>
        </w:tc>
        <w:tc>
          <w:tcPr>
            <w:tcW w:w="7015" w:type="dxa"/>
            <w:noWrap w:val="0"/>
            <w:vAlign w:val="center"/>
          </w:tcPr>
          <w:p>
            <w:pPr>
              <w:spacing w:line="360" w:lineRule="auto"/>
              <w:ind w:firstLine="480" w:firstLineChars="200"/>
              <w:rPr>
                <w:color w:val="auto"/>
                <w:highlight w:val="none"/>
              </w:rPr>
            </w:pPr>
            <w:r>
              <w:rPr>
                <w:rFonts w:hint="eastAsia" w:ascii="宋体" w:hAnsi="宋体" w:cs="宋体"/>
                <w:color w:val="auto"/>
                <w:sz w:val="24"/>
                <w:highlight w:val="none"/>
              </w:rPr>
              <w:t>根据《深圳市人民政府制定规章和拟定法规草案程序规定》和《深圳市人民政府立法工作规程（试行）》的要求，结合前海综合保税区发展实际，对《暂行办法》进行深入调查研究，形成《暂行办法》立法后评估报告。报告应当根据《暂行办法》的立法宗旨和立法目的，结合前海综合保税区发展的客观要求，对《暂行办法》实施效果、立法内容和立法技术进行评估。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7015" w:type="dxa"/>
            <w:noWrap w:val="0"/>
            <w:vAlign w:val="center"/>
          </w:tcPr>
          <w:p>
            <w:pPr>
              <w:widowControl/>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168</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00.00（人民币</w:t>
            </w:r>
            <w:r>
              <w:rPr>
                <w:rFonts w:hint="eastAsia" w:ascii="宋体" w:hAnsi="宋体" w:eastAsia="宋体" w:cs="宋体"/>
                <w:i w:val="0"/>
                <w:iCs w:val="0"/>
                <w:caps w:val="0"/>
                <w:color w:val="auto"/>
                <w:spacing w:val="0"/>
                <w:kern w:val="2"/>
                <w:sz w:val="24"/>
                <w:szCs w:val="24"/>
                <w:highlight w:val="none"/>
                <w:shd w:val="clear"/>
                <w:lang w:val="en-US" w:eastAsia="zh-CN" w:bidi="ar"/>
              </w:rPr>
              <w:t>壹拾陆万捌仟捌佰元整</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noWrap w:val="0"/>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报名方式</w:t>
            </w:r>
          </w:p>
        </w:tc>
        <w:tc>
          <w:tcPr>
            <w:tcW w:w="7015" w:type="dxa"/>
            <w:noWrap w:val="0"/>
            <w:vAlign w:val="center"/>
          </w:tcPr>
          <w:p>
            <w:pPr>
              <w:adjustRightInd w:val="0"/>
              <w:snapToGrid w:val="0"/>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将投标文件密封并在</w:t>
            </w:r>
            <w:r>
              <w:rPr>
                <w:rFonts w:hint="eastAsia" w:ascii="宋体" w:hAnsi="宋体" w:cs="宋体"/>
                <w:b/>
                <w:bCs/>
                <w:color w:val="auto"/>
                <w:kern w:val="0"/>
                <w:sz w:val="24"/>
                <w:highlight w:val="none"/>
              </w:rPr>
              <w:t>202</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10</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23</w:t>
            </w:r>
            <w:r>
              <w:rPr>
                <w:rFonts w:hint="eastAsia"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上</w:t>
            </w:r>
            <w:r>
              <w:rPr>
                <w:rFonts w:hint="eastAsia" w:ascii="宋体" w:hAnsi="宋体" w:cs="宋体"/>
                <w:b/>
                <w:bCs/>
                <w:color w:val="auto"/>
                <w:kern w:val="0"/>
                <w:sz w:val="24"/>
                <w:highlight w:val="none"/>
              </w:rPr>
              <w:t>午</w:t>
            </w:r>
            <w:r>
              <w:rPr>
                <w:rFonts w:hint="eastAsia" w:ascii="宋体" w:hAnsi="宋体" w:cs="宋体"/>
                <w:b/>
                <w:bCs/>
                <w:color w:val="auto"/>
                <w:kern w:val="0"/>
                <w:sz w:val="24"/>
                <w:highlight w:val="none"/>
                <w:lang w:val="en-US" w:eastAsia="zh-CN"/>
              </w:rPr>
              <w:t>10</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00时</w:t>
            </w:r>
            <w:r>
              <w:rPr>
                <w:rFonts w:hint="eastAsia" w:ascii="宋体" w:hAnsi="宋体" w:cs="宋体"/>
                <w:b/>
                <w:bCs/>
                <w:color w:val="auto"/>
                <w:kern w:val="0"/>
                <w:sz w:val="24"/>
                <w:highlight w:val="none"/>
              </w:rPr>
              <w:t>（北京时间）</w:t>
            </w:r>
            <w:r>
              <w:rPr>
                <w:rFonts w:hint="eastAsia" w:ascii="宋体" w:hAnsi="宋体" w:cs="宋体"/>
                <w:color w:val="auto"/>
                <w:kern w:val="0"/>
                <w:sz w:val="24"/>
                <w:highlight w:val="none"/>
              </w:rPr>
              <w:t>前送达（现场递交或邮寄）</w:t>
            </w:r>
            <w:r>
              <w:rPr>
                <w:rFonts w:hint="eastAsia" w:ascii="宋体" w:hAnsi="宋体" w:cs="宋体"/>
                <w:color w:val="auto"/>
                <w:kern w:val="0"/>
                <w:sz w:val="24"/>
                <w:highlight w:val="none"/>
                <w:u w:val="none"/>
              </w:rPr>
              <w:t>至深圳市南</w:t>
            </w:r>
            <w:r>
              <w:rPr>
                <w:rFonts w:hint="eastAsia" w:ascii="宋体" w:hAnsi="宋体" w:cs="宋体"/>
                <w:color w:val="auto"/>
                <w:kern w:val="0"/>
                <w:sz w:val="24"/>
                <w:highlight w:val="none"/>
              </w:rPr>
              <w:t>山区前海深港合作区桂湾五路123号前海管理局前海大</w:t>
            </w:r>
            <w:r>
              <w:rPr>
                <w:rFonts w:hint="eastAsia" w:ascii="宋体" w:hAnsi="宋体" w:eastAsia="宋体" w:cs="宋体"/>
                <w:color w:val="auto"/>
                <w:kern w:val="0"/>
                <w:sz w:val="24"/>
                <w:highlight w:val="none"/>
              </w:rPr>
              <w:t>厦T1栋</w:t>
            </w:r>
            <w:r>
              <w:rPr>
                <w:rFonts w:hint="eastAsia" w:ascii="宋体" w:hAnsi="宋体" w:eastAsia="宋体" w:cs="宋体"/>
                <w:color w:val="auto"/>
                <w:kern w:val="0"/>
                <w:sz w:val="24"/>
                <w:highlight w:val="none"/>
                <w:lang w:val="en-US" w:eastAsia="zh-CN"/>
              </w:rPr>
              <w:t>2302室</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  系  人：王振豪</w:t>
            </w:r>
          </w:p>
          <w:p>
            <w:pPr>
              <w:adjustRightInd w:val="0"/>
              <w:snapToGrid w:val="0"/>
              <w:spacing w:line="360" w:lineRule="auto"/>
              <w:jc w:val="left"/>
              <w:rPr>
                <w:rFonts w:hint="default" w:ascii="宋体" w:hAnsi="宋体" w:cs="宋体"/>
                <w:color w:val="auto"/>
                <w:kern w:val="0"/>
                <w:sz w:val="24"/>
                <w:highlight w:val="none"/>
                <w:lang w:val="en-US"/>
              </w:rPr>
            </w:pPr>
            <w:r>
              <w:rPr>
                <w:rFonts w:hint="eastAsia" w:ascii="宋体" w:hAnsi="宋体" w:cs="宋体"/>
                <w:color w:val="auto"/>
                <w:kern w:val="0"/>
                <w:sz w:val="24"/>
                <w:highlight w:val="none"/>
              </w:rPr>
              <w:t>电      话：13798275513</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noWrap w:val="0"/>
            <w:vAlign w:val="center"/>
          </w:tcPr>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在中华人民共和国境内注册的具有独立法人资格或具有独立承担民事责任的能力的其</w:t>
            </w:r>
            <w:r>
              <w:rPr>
                <w:rFonts w:hint="eastAsia" w:ascii="宋体" w:hAnsi="宋体" w:cs="宋体"/>
                <w:color w:val="auto"/>
                <w:kern w:val="0"/>
                <w:sz w:val="24"/>
                <w:highlight w:val="none"/>
                <w:lang w:val="en-US" w:eastAsia="zh-CN"/>
              </w:rPr>
              <w:t>他</w:t>
            </w:r>
            <w:r>
              <w:rPr>
                <w:rFonts w:hint="eastAsia" w:ascii="宋体" w:hAnsi="宋体" w:cs="宋体"/>
                <w:color w:val="auto"/>
                <w:kern w:val="0"/>
                <w:sz w:val="24"/>
                <w:highlight w:val="none"/>
              </w:rPr>
              <w:t>组织</w:t>
            </w:r>
            <w:r>
              <w:rPr>
                <w:rFonts w:hint="eastAsia" w:ascii="宋体" w:hAnsi="宋体" w:cs="宋体"/>
                <w:b/>
                <w:bCs/>
                <w:color w:val="auto"/>
                <w:kern w:val="0"/>
                <w:sz w:val="24"/>
                <w:highlight w:val="none"/>
                <w:lang w:val="en-US" w:eastAsia="zh-CN"/>
              </w:rPr>
              <w:t>,投标人须具备司法行政部门颁发的《律师事务所执业许可证》并进行正常年度考核（若投标人存在总所和分所的，只允许总所或其中一家分所参与投标，分所投标须提供《律师事务所分所执业许可证》和总所的《律师事务所执业许可证》,且由总所出具的愿为其参与本项目投标、履约等行为承担民事责任的承诺函，承诺函格式自拟），以上材料须提供扫描件加盖公章，原件备查</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参与政府采购项目投标的供应商近三年内无行贿犯罪记录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本项目</w:t>
            </w:r>
            <w:r>
              <w:rPr>
                <w:rFonts w:ascii="宋体" w:hAnsi="宋体" w:cs="宋体"/>
                <w:color w:val="auto"/>
                <w:kern w:val="0"/>
                <w:sz w:val="24"/>
                <w:highlight w:val="none"/>
              </w:rPr>
              <w:t>不</w:t>
            </w:r>
            <w:r>
              <w:rPr>
                <w:rFonts w:hint="eastAsia" w:ascii="宋体" w:hAnsi="宋体" w:cs="宋体"/>
                <w:color w:val="auto"/>
                <w:kern w:val="0"/>
                <w:sz w:val="24"/>
                <w:highlight w:val="none"/>
              </w:rPr>
              <w:t>接受联合体投标，不允许转包。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noWrap w:val="0"/>
            <w:vAlign w:val="center"/>
          </w:tcPr>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服务费采用包干制，应包括所有服务费用、项目调研费用、工作人员工资、差旅费、通讯、交通费用、分析费用、项目成果文本印刷费用、文件资料发送至采购人的费用、税费等。由报价人根据招标文件所提供的资料自行测算报价；一经中标，正式报价总价作为中标人与采购人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的合同金额，合同期限内不做调整。</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noWrap w:val="0"/>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采购人信息：</w:t>
            </w:r>
          </w:p>
          <w:p>
            <w:pPr>
              <w:spacing w:line="360" w:lineRule="auto"/>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名      称：深圳市前海深港现代服务业合作区管理局</w:t>
            </w:r>
          </w:p>
          <w:p>
            <w:pPr>
              <w:spacing w:line="360" w:lineRule="auto"/>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联  系  人：王振豪</w:t>
            </w:r>
          </w:p>
          <w:p>
            <w:pPr>
              <w:spacing w:line="360" w:lineRule="auto"/>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rPr>
              <w:t>电      话：13798275513</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名      称： 中国远东国际招标有限公司</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 深圳市福田区上步南路1001号锦峰大厦22楼</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  系  人： 凌女士、伍先生</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 0755-82078919、82077364转</w:t>
            </w:r>
            <w:r>
              <w:rPr>
                <w:rFonts w:hint="eastAsia" w:ascii="宋体" w:hAnsi="宋体" w:cs="宋体"/>
                <w:color w:val="auto"/>
                <w:kern w:val="0"/>
                <w:sz w:val="24"/>
                <w:highlight w:val="none"/>
                <w:lang w:val="en-US" w:eastAsia="zh-CN"/>
              </w:rPr>
              <w:t>110</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传      真： 0755-82077519、82078847 </w:t>
            </w:r>
          </w:p>
        </w:tc>
      </w:tr>
    </w:tbl>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中国远东国际招标有限公司</w:t>
      </w:r>
    </w:p>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bookmarkEnd w:id="3"/>
      <w:r>
        <w:rPr>
          <w:rFonts w:hint="eastAsia" w:ascii="宋体" w:hAnsi="宋体" w:cs="宋体"/>
          <w:color w:val="auto"/>
          <w:sz w:val="24"/>
          <w:highlight w:val="none"/>
        </w:rPr>
        <w:t>日</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4" w:name="_Toc10214"/>
      <w:r>
        <w:rPr>
          <w:rFonts w:hint="eastAsia" w:ascii="宋体" w:hAnsi="宋体" w:cs="宋体"/>
          <w:b/>
          <w:bCs/>
          <w:color w:val="auto"/>
          <w:sz w:val="24"/>
          <w:highlight w:val="none"/>
        </w:rPr>
        <w:t>投标须知</w:t>
      </w:r>
      <w:bookmarkEnd w:id="4"/>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none"/>
          <w:lang w:eastAsia="zh-CN"/>
        </w:rPr>
        <w:t>《深圳前海湾保税港区管理暂行办法》立法后评估</w:t>
      </w:r>
      <w:r>
        <w:rPr>
          <w:rFonts w:hint="eastAsia" w:ascii="宋体" w:hAnsi="宋体" w:cs="宋体"/>
          <w:color w:val="auto"/>
          <w:sz w:val="24"/>
          <w:highlight w:val="none"/>
          <w:u w:val="none"/>
          <w:lang w:val="en-US" w:eastAsia="zh-CN"/>
        </w:rPr>
        <w:t>服务</w:t>
      </w:r>
      <w:r>
        <w:rPr>
          <w:rFonts w:hint="eastAsia" w:ascii="宋体" w:hAnsi="宋体" w:cs="宋体"/>
          <w:color w:val="auto"/>
          <w:sz w:val="24"/>
          <w:highlight w:val="none"/>
          <w:u w:val="none"/>
          <w:lang w:eastAsia="zh-CN"/>
        </w:rPr>
        <w:t>项目</w:t>
      </w:r>
      <w:r>
        <w:rPr>
          <w:rFonts w:hint="eastAsia" w:ascii="宋体" w:hAnsi="宋体" w:cs="宋体"/>
          <w:color w:val="auto"/>
          <w:sz w:val="24"/>
          <w:highlight w:val="none"/>
        </w:rPr>
        <w:t>。</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2、本项目不属于《深圳市2023—2024年政府集中采购目录及限额标准》规定应集中采购项目，根据《中华人民共和国政府采购法》、《深圳经济特区</w:t>
      </w:r>
      <w:r>
        <w:rPr>
          <w:rFonts w:hint="eastAsia" w:ascii="宋体" w:hAnsi="宋体" w:cs="宋体"/>
          <w:color w:val="auto"/>
          <w:sz w:val="24"/>
          <w:highlight w:val="none"/>
          <w:lang w:val="en-US" w:eastAsia="zh-CN"/>
        </w:rPr>
        <w:t>政府</w:t>
      </w:r>
      <w:r>
        <w:rPr>
          <w:rFonts w:hint="eastAsia" w:ascii="宋体" w:hAnsi="宋体" w:cs="宋体"/>
          <w:color w:val="auto"/>
          <w:sz w:val="24"/>
          <w:highlight w:val="none"/>
        </w:rPr>
        <w:t>采购条例》的有关规定，中国远东国际招标有限公司受深圳市前海深港现代服务业合作区管理局委托组织采购</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本次采购公开征集供应商，报名且符合招标文件初审的供应商满足3家或3家以上的，采用综合评分法的方式进行。报名且符合招标文件初审的供应商不足3家而致招标失败的，按以下流程执行：</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a.有效投标人为2家的，可在2家有效投标人中取得分最高者为中标供应商；</w:t>
      </w:r>
    </w:p>
    <w:p>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b.如参与投标且符合招标文件要求的供应商仅有1家，评审委员会应与投标供应商进行谈判，原则上成交价应为最初报价的95%。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3、本项目根据项目的实际情况，公开征集符合投标人资格的供应商。请各供应商根据本文件的要求，准备</w:t>
      </w:r>
      <w:r>
        <w:rPr>
          <w:rFonts w:hint="eastAsia" w:ascii="宋体" w:hAnsi="宋体" w:cs="宋体"/>
          <w:b/>
          <w:bCs/>
          <w:color w:val="auto"/>
          <w:sz w:val="24"/>
          <w:highlight w:val="none"/>
        </w:rPr>
        <w:t>5套（1套正本，4套副本，1份电子文档）</w:t>
      </w:r>
      <w:r>
        <w:rPr>
          <w:rFonts w:hint="eastAsia" w:ascii="宋体" w:hAnsi="宋体" w:cs="宋体"/>
          <w:color w:val="auto"/>
          <w:sz w:val="24"/>
          <w:highlight w:val="none"/>
        </w:rPr>
        <w:t>完备的资料进行投标。</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9、本次采购凡涉及知识产权问题，由项目供应商负责。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10、采购人将组成评审委员会，评审工作由评审委员会独立负责。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12、采用综合评分法的情况：评审委员会将分别对供应商递交的投标文件进行评审。</w:t>
      </w:r>
    </w:p>
    <w:p>
      <w:pPr>
        <w:pStyle w:val="26"/>
        <w:snapToGrid w:val="0"/>
        <w:spacing w:line="360" w:lineRule="auto"/>
        <w:ind w:firstLine="48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highlight w:val="none"/>
        </w:rPr>
        <w:t>第一</w:t>
      </w:r>
      <w:r>
        <w:rPr>
          <w:rFonts w:hint="eastAsia" w:ascii="宋体" w:hAnsi="宋体" w:cs="宋体"/>
          <w:color w:val="auto"/>
          <w:kern w:val="2"/>
          <w:sz w:val="24"/>
          <w:szCs w:val="24"/>
          <w:highlight w:val="none"/>
        </w:rPr>
        <w:t>中标候选人。</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（2）如果二个及以上供应商的综合评分相同时，取投标价格低者为第一中标候选人。</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（1）供应商在谈判时由项目负责人与评审委员会进行谈判；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（2）原则上成交价应为最初报价的95%。</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14、所有的评审/谈判内容都必须保密。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15、招标代理服务收费：</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numPr>
          <w:ilvl w:val="0"/>
          <w:numId w:val="5"/>
        </w:numPr>
        <w:adjustRightInd w:val="0"/>
        <w:snapToGrid w:val="0"/>
        <w:spacing w:line="360" w:lineRule="auto"/>
        <w:ind w:right="26"/>
        <w:jc w:val="left"/>
        <w:rPr>
          <w:rFonts w:hint="eastAsia"/>
          <w:color w:val="auto"/>
          <w:highlight w:val="none"/>
        </w:rPr>
      </w:pPr>
      <w:r>
        <w:rPr>
          <w:rFonts w:hint="eastAsia" w:ascii="宋体" w:hAnsi="宋体" w:cs="宋体"/>
          <w:color w:val="auto"/>
          <w:sz w:val="24"/>
          <w:highlight w:val="none"/>
        </w:rPr>
        <w:t>具体计取费率标准如下表所示：</w:t>
      </w:r>
    </w:p>
    <w:tbl>
      <w:tblPr>
        <w:tblStyle w:val="18"/>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0.1%</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招标代理服务费缴纳至：</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开户名称：中国远东国际招标有限公司深圳分公司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银行</w:t>
      </w:r>
      <w:r>
        <w:rPr>
          <w:rFonts w:hint="eastAsia" w:ascii="宋体" w:hAnsi="宋体" w:cs="宋体"/>
          <w:color w:val="auto"/>
          <w:sz w:val="24"/>
          <w:highlight w:val="none"/>
          <w:lang w:val="en-US" w:eastAsia="zh-CN"/>
        </w:rPr>
        <w:t>账号</w:t>
      </w:r>
      <w:r>
        <w:rPr>
          <w:rFonts w:hint="eastAsia" w:ascii="宋体" w:hAnsi="宋体" w:cs="宋体"/>
          <w:color w:val="auto"/>
          <w:sz w:val="24"/>
          <w:highlight w:val="none"/>
        </w:rPr>
        <w:t>：11013651025501</w:t>
      </w:r>
    </w:p>
    <w:p>
      <w:pPr>
        <w:spacing w:line="360" w:lineRule="auto"/>
        <w:rPr>
          <w:rFonts w:hint="eastAsia" w:ascii="宋体" w:hAnsi="宋体" w:cs="宋体"/>
          <w:b/>
          <w:bCs/>
          <w:color w:val="auto"/>
          <w:sz w:val="24"/>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开户银行：平安银行深圳中电支行</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bookmarkStart w:id="5" w:name="_Toc20176"/>
      <w:r>
        <w:rPr>
          <w:rFonts w:hint="eastAsia" w:ascii="宋体" w:hAnsi="宋体" w:cs="宋体"/>
          <w:b/>
          <w:bCs/>
          <w:color w:val="auto"/>
          <w:sz w:val="24"/>
          <w:highlight w:val="none"/>
        </w:rPr>
        <w:t>评标程序</w:t>
      </w:r>
      <w:bookmarkEnd w:id="5"/>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三、会议主持人：中国远东国际招标有限公司工作人员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四、开标时间：202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上</w:t>
      </w:r>
      <w:r>
        <w:rPr>
          <w:rFonts w:hint="eastAsia" w:ascii="宋体" w:hAnsi="宋体" w:cs="宋体"/>
          <w:color w:val="auto"/>
          <w:sz w:val="24"/>
          <w:highlight w:val="none"/>
        </w:rPr>
        <w:t>午1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时（北京时间）。</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五、会议开始：202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上</w:t>
      </w:r>
      <w:r>
        <w:rPr>
          <w:rFonts w:hint="eastAsia" w:ascii="宋体" w:hAnsi="宋体" w:cs="宋体"/>
          <w:color w:val="auto"/>
          <w:sz w:val="24"/>
          <w:highlight w:val="none"/>
        </w:rPr>
        <w:t>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0时（北京时间）由会议主持人宣布定标会议开始。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六、项目负责代表向采购代理机构代表送交投标文件，监督部门代表（如</w:t>
      </w:r>
      <w:r>
        <w:rPr>
          <w:rFonts w:hint="eastAsia" w:ascii="宋体" w:hAnsi="宋体" w:cs="宋体"/>
          <w:color w:val="auto"/>
          <w:sz w:val="24"/>
          <w:highlight w:val="none"/>
          <w:lang w:val="en-US" w:eastAsia="zh-CN"/>
        </w:rPr>
        <w:t>有</w:t>
      </w:r>
      <w:r>
        <w:rPr>
          <w:rFonts w:hint="eastAsia" w:ascii="宋体" w:hAnsi="宋体" w:cs="宋体"/>
          <w:color w:val="auto"/>
          <w:sz w:val="24"/>
          <w:highlight w:val="none"/>
        </w:rPr>
        <w:t>）确认投标文件密封完整，未密封投标文件将作为投标无效处理。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七、由采购代理机构代表现场拆封投标文件，并分发给评审委员会成员。</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采用谈判的情况：参与投标且符合招标文件要求的供应商仅有一家，评审委员会将与投标供应商进行谈判。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5.1 供应商在谈判时由项目负责人与评审委员会进行谈判；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5.2 原则上成交价应为最初报价的95%。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十、根据本次采购的结果，10个工作日内与中标供应商签订合同。</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pStyle w:val="3"/>
        <w:rPr>
          <w:rFonts w:hint="eastAsia" w:ascii="宋体" w:hAnsi="宋体" w:cs="宋体"/>
          <w:color w:val="auto"/>
          <w:highlight w:val="none"/>
        </w:rPr>
      </w:pPr>
      <w:r>
        <w:rPr>
          <w:rFonts w:hint="eastAsia"/>
          <w:color w:val="auto"/>
          <w:highlight w:val="none"/>
        </w:rPr>
        <w:br w:type="page"/>
      </w:r>
    </w:p>
    <w:p>
      <w:pPr>
        <w:numPr>
          <w:ilvl w:val="0"/>
          <w:numId w:val="1"/>
        </w:numPr>
        <w:spacing w:line="360" w:lineRule="auto"/>
        <w:jc w:val="center"/>
        <w:outlineLvl w:val="0"/>
        <w:rPr>
          <w:rFonts w:hint="eastAsia" w:ascii="宋体" w:hAnsi="宋体" w:cs="宋体"/>
          <w:b/>
          <w:bCs/>
          <w:color w:val="auto"/>
          <w:sz w:val="24"/>
          <w:highlight w:val="none"/>
        </w:rPr>
      </w:pPr>
      <w:bookmarkStart w:id="6" w:name="_Toc3567"/>
      <w:r>
        <w:rPr>
          <w:rFonts w:hint="eastAsia" w:ascii="宋体" w:hAnsi="宋体" w:cs="宋体"/>
          <w:b/>
          <w:bCs/>
          <w:color w:val="auto"/>
          <w:sz w:val="24"/>
          <w:highlight w:val="none"/>
        </w:rPr>
        <w:t>合同格式及合同条款</w:t>
      </w:r>
      <w:bookmarkEnd w:id="6"/>
    </w:p>
    <w:p>
      <w:pPr>
        <w:spacing w:line="360" w:lineRule="auto"/>
        <w:ind w:firstLine="470" w:firstLineChars="196"/>
        <w:jc w:val="center"/>
        <w:rPr>
          <w:rFonts w:hint="eastAsia" w:ascii="宋体" w:hAnsi="宋体" w:cs="宋体"/>
          <w:color w:val="auto"/>
          <w:sz w:val="24"/>
          <w:highlight w:val="none"/>
        </w:rPr>
      </w:pPr>
      <w:bookmarkStart w:id="7" w:name="_Toc73521680"/>
      <w:bookmarkStart w:id="8" w:name="_Toc101074886"/>
      <w:bookmarkStart w:id="9" w:name="_Toc73518163"/>
      <w:bookmarkStart w:id="10" w:name="_Toc73517685"/>
      <w:bookmarkStart w:id="11" w:name="_Toc84303603"/>
      <w:bookmarkStart w:id="12" w:name="_Toc100052414"/>
      <w:bookmarkStart w:id="13" w:name="_Toc73521592"/>
    </w:p>
    <w:bookmarkEnd w:id="7"/>
    <w:bookmarkEnd w:id="8"/>
    <w:bookmarkEnd w:id="9"/>
    <w:bookmarkEnd w:id="10"/>
    <w:bookmarkEnd w:id="11"/>
    <w:bookmarkEnd w:id="12"/>
    <w:bookmarkEnd w:id="13"/>
    <w:p>
      <w:pPr>
        <w:pStyle w:val="26"/>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26"/>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26"/>
        <w:spacing w:line="360" w:lineRule="auto"/>
        <w:ind w:left="1470" w:right="1470" w:firstLine="482"/>
        <w:jc w:val="center"/>
        <w:rPr>
          <w:rFonts w:hint="eastAsia" w:ascii="宋体" w:hAnsi="宋体" w:cs="宋体"/>
          <w:b/>
          <w:color w:val="auto"/>
          <w:sz w:val="24"/>
          <w:szCs w:val="24"/>
          <w:highlight w:val="none"/>
        </w:rPr>
      </w:pPr>
    </w:p>
    <w:p>
      <w:pPr>
        <w:pStyle w:val="26"/>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26"/>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《深圳前海湾保税港区管理暂行办法》立法后评估</w:t>
      </w:r>
      <w:r>
        <w:rPr>
          <w:rFonts w:hint="eastAsia" w:ascii="宋体" w:hAnsi="宋体" w:cs="宋体"/>
          <w:b/>
          <w:color w:val="auto"/>
          <w:sz w:val="28"/>
          <w:szCs w:val="28"/>
          <w:highlight w:val="none"/>
          <w:lang w:val="en-US" w:eastAsia="zh-CN"/>
        </w:rPr>
        <w:t>服务</w:t>
      </w:r>
      <w:r>
        <w:rPr>
          <w:rFonts w:hint="eastAsia" w:ascii="宋体" w:hAnsi="宋体" w:cs="宋体"/>
          <w:b/>
          <w:color w:val="auto"/>
          <w:sz w:val="28"/>
          <w:szCs w:val="28"/>
          <w:highlight w:val="none"/>
          <w:lang w:eastAsia="zh-CN"/>
        </w:rPr>
        <w:t>项目</w:t>
      </w: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委托合同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26"/>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6"/>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240" w:firstLineChars="100"/>
        <w:jc w:val="both"/>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《深圳前海湾保税港区管理暂行办法》立法后评估</w:t>
      </w:r>
      <w:r>
        <w:rPr>
          <w:rFonts w:hint="eastAsia" w:ascii="宋体" w:hAnsi="宋体" w:cs="宋体"/>
          <w:color w:val="auto"/>
          <w:sz w:val="24"/>
          <w:highlight w:val="none"/>
          <w:u w:val="single"/>
          <w:lang w:val="en-US" w:eastAsia="zh-CN"/>
        </w:rPr>
        <w:t>服务</w:t>
      </w:r>
      <w:r>
        <w:rPr>
          <w:rFonts w:hint="eastAsia" w:ascii="宋体" w:hAnsi="宋体" w:cs="宋体"/>
          <w:color w:val="auto"/>
          <w:sz w:val="24"/>
          <w:highlight w:val="none"/>
          <w:u w:val="single"/>
          <w:lang w:eastAsia="zh-CN"/>
        </w:rPr>
        <w:t>项目</w:t>
      </w:r>
    </w:p>
    <w:p>
      <w:pPr>
        <w:spacing w:line="360" w:lineRule="auto"/>
        <w:ind w:firstLine="240" w:firstLineChars="100"/>
        <w:rPr>
          <w:rFonts w:hint="eastAsia" w:ascii="宋体" w:hAnsi="宋体" w:cs="宋体"/>
          <w:color w:val="auto"/>
          <w:sz w:val="24"/>
          <w:highlight w:val="none"/>
          <w:u w:val="single"/>
        </w:rPr>
      </w:pPr>
      <w:r>
        <w:rPr>
          <w:rFonts w:hint="eastAsia" w:ascii="宋体" w:hAnsi="宋体" w:cs="宋体"/>
          <w:color w:val="auto"/>
          <w:sz w:val="24"/>
          <w:highlight w:val="none"/>
        </w:rPr>
        <w:t>项目类型：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服务类</w:t>
      </w:r>
      <w:r>
        <w:rPr>
          <w:rFonts w:hint="eastAsia" w:ascii="宋体" w:hAnsi="宋体" w:cs="宋体"/>
          <w:color w:val="auto"/>
          <w:sz w:val="24"/>
          <w:highlight w:val="none"/>
          <w:u w:val="single"/>
        </w:rPr>
        <w:t xml:space="preserve">             </w:t>
      </w:r>
    </w:p>
    <w:p>
      <w:pPr>
        <w:spacing w:line="360" w:lineRule="auto"/>
        <w:ind w:firstLine="240" w:firstLineChars="100"/>
        <w:rPr>
          <w:rFonts w:hint="eastAsia"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240" w:firstLineChars="100"/>
        <w:rPr>
          <w:rFonts w:hint="eastAsia"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hint="eastAsia" w:ascii="宋体" w:hAnsi="宋体" w:cs="宋体"/>
          <w:color w:val="auto"/>
          <w:sz w:val="24"/>
          <w:highlight w:val="none"/>
        </w:rPr>
      </w:pP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二〇二</w:t>
      </w:r>
      <w:r>
        <w:rPr>
          <w:rFonts w:hint="eastAsia" w:ascii="宋体" w:hAnsi="宋体" w:cs="宋体"/>
          <w:color w:val="auto"/>
          <w:sz w:val="24"/>
          <w:highlight w:val="none"/>
          <w:lang w:eastAsia="zh-CN"/>
        </w:rPr>
        <w:t>四</w:t>
      </w:r>
      <w:r>
        <w:rPr>
          <w:rFonts w:hint="eastAsia" w:ascii="宋体" w:hAnsi="宋体" w:cs="宋体"/>
          <w:color w:val="auto"/>
          <w:sz w:val="24"/>
          <w:highlight w:val="none"/>
        </w:rPr>
        <w:t>年  月</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本合同共    页（不含封面）</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地址： </w:t>
      </w:r>
      <w:r>
        <w:rPr>
          <w:rFonts w:hint="eastAsia" w:ascii="宋体" w:hAnsi="宋体" w:cs="宋体"/>
          <w:color w:val="auto"/>
          <w:sz w:val="24"/>
          <w:highlight w:val="none"/>
          <w:u w:val="single"/>
        </w:rPr>
        <w:t>深圳市前海深港合作区</w:t>
      </w:r>
      <w:r>
        <w:rPr>
          <w:rFonts w:ascii="宋体" w:hAnsi="宋体" w:cs="宋体"/>
          <w:color w:val="auto"/>
          <w:sz w:val="24"/>
          <w:highlight w:val="none"/>
          <w:u w:val="single"/>
        </w:rPr>
        <w:t>桂湾五路123号前海大厦T1栋前海管理局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法定代表人</w:t>
      </w:r>
      <w:r>
        <w:rPr>
          <w:rFonts w:hint="eastAsia" w:ascii="宋体" w:hAnsi="宋体" w:cs="宋体"/>
          <w:b/>
          <w:bCs/>
          <w:color w:val="auto"/>
          <w:sz w:val="24"/>
          <w:highlight w:val="none"/>
        </w:rPr>
        <w:t xml:space="preserve">：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eastAsia="zh-CN"/>
        </w:rPr>
        <w:t>法定代表人（负责人）</w:t>
      </w:r>
      <w:r>
        <w:rPr>
          <w:rFonts w:hint="eastAsia" w:ascii="宋体" w:hAnsi="宋体" w:cs="宋体"/>
          <w:b/>
          <w:bCs/>
          <w:color w:val="auto"/>
          <w:sz w:val="24"/>
          <w:highlight w:val="none"/>
        </w:rPr>
        <w:t>：</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w:t>
      </w:r>
      <w:r>
        <w:rPr>
          <w:rFonts w:hint="eastAsia" w:ascii="宋体" w:hAnsi="宋体" w:cs="宋体"/>
          <w:color w:val="auto"/>
          <w:sz w:val="24"/>
          <w:highlight w:val="none"/>
          <w:lang w:val="en-US" w:eastAsia="zh-CN"/>
        </w:rPr>
        <w:t>QH20240XX</w:t>
      </w:r>
      <w:r>
        <w:rPr>
          <w:rFonts w:hint="eastAsia" w:ascii="宋体" w:hAnsi="宋体" w:cs="宋体"/>
          <w:color w:val="auto"/>
          <w:sz w:val="24"/>
          <w:highlight w:val="none"/>
        </w:rPr>
        <w:t>】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auto"/>
          <w:sz w:val="24"/>
          <w:highlight w:val="none"/>
          <w:u w:val="single"/>
        </w:rPr>
        <w:t>乙方</w:t>
      </w:r>
      <w:r>
        <w:rPr>
          <w:rFonts w:hint="eastAsia" w:ascii="宋体" w:hAnsi="宋体" w:cs="宋体"/>
          <w:color w:val="auto"/>
          <w:sz w:val="24"/>
          <w:highlight w:val="none"/>
          <w:lang w:val="en-US" w:eastAsia="zh-CN"/>
        </w:rPr>
        <w:t>的</w:t>
      </w:r>
      <w:r>
        <w:rPr>
          <w:rFonts w:hint="eastAsia" w:ascii="宋体" w:hAnsi="宋体" w:cs="宋体"/>
          <w:b/>
          <w:bCs/>
          <w:color w:val="auto"/>
          <w:kern w:val="0"/>
          <w:sz w:val="24"/>
          <w:highlight w:val="none"/>
          <w:u w:val="single"/>
        </w:rPr>
        <w:t xml:space="preserve"> </w:t>
      </w:r>
      <w:r>
        <w:rPr>
          <w:rFonts w:hint="eastAsia" w:ascii="宋体" w:hAnsi="宋体" w:cs="宋体"/>
          <w:color w:val="auto"/>
          <w:sz w:val="24"/>
          <w:highlight w:val="none"/>
          <w:u w:val="single"/>
          <w:lang w:eastAsia="zh-CN"/>
        </w:rPr>
        <w:t>《深圳前海湾保税港区管理暂行办法》立法后评估</w:t>
      </w:r>
      <w:r>
        <w:rPr>
          <w:rFonts w:hint="eastAsia" w:ascii="宋体" w:hAnsi="宋体" w:cs="宋体"/>
          <w:color w:val="auto"/>
          <w:sz w:val="24"/>
          <w:highlight w:val="none"/>
          <w:u w:val="single"/>
          <w:lang w:val="en-US" w:eastAsia="zh-CN"/>
        </w:rPr>
        <w:t>服务</w:t>
      </w:r>
      <w:r>
        <w:rPr>
          <w:rFonts w:hint="eastAsia" w:ascii="宋体" w:hAnsi="宋体" w:cs="宋体"/>
          <w:color w:val="auto"/>
          <w:sz w:val="24"/>
          <w:highlight w:val="none"/>
          <w:u w:val="single"/>
          <w:lang w:eastAsia="zh-CN"/>
        </w:rPr>
        <w:t>项目</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shd w:val="clear" w:color="auto" w:fill="auto"/>
        </w:rPr>
        <w:t>第一条 项目内容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深圳市人民政府制定规章和拟定法规草案程序规定》和《深圳市人民政府立法工作规程（试行）》的要求，结合前海综合保税区发展实际，对《暂行办法》进行深入调查研究，形成《暂行办法》立法后评估报告。报告应当根据《暂行办法》的立法宗旨和立法目的，结合前海综合保税区发展的客观要求，对《暂行办法》实施效果、立法内容和立法技术进行评估。</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立法后评估基本内容包括但不限于：评估工作以合法性、合理性、协调性、可操作性、规范性、实效性为标准，评估内容有以下几个方面：</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立法质量。包括《暂行办法》内容是否与现行法律、法规相抵触，是否与其他规章相衔接，是否符合前海实际情况；各项制度设计和程序规定是否有针对性和可操作性；是否存在制度设计方面的空白，是否需要做相应的补充规定；相关概念的界定是否准确，条文表述及逻辑结构是否严密、合理，立法用语是否准确、规范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实施效果。包括《暂行办法》实施的基本情况（如机构履职、运行情况）、重要制度执行情况（如管理、开发、建设、经营等方面）、实施过程遭遇的实际难点、问题及其原因分析；实施的社会效益和经济效益分析；规定的运作机制、授权范围、公共服务、口岸监管、开发运营等是否适应本市经济社会发展和需求的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评估建议。包括《暂行办法》内容是否需要进一步修改完善或废止，同时总结规章制定和实施经验，提出进一步改进立法工作、总结评估工作、提高立法质量的建议和指引。</w:t>
      </w:r>
    </w:p>
    <w:p>
      <w:pPr>
        <w:pageBreakBefore w:val="0"/>
        <w:kinsoku/>
        <w:overflowPunct/>
        <w:topLinePunct w:val="0"/>
        <w:bidi w:val="0"/>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第二条  服务期限</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进度要求及后续服务要求</w:t>
      </w:r>
    </w:p>
    <w:p>
      <w:pPr>
        <w:pageBreakBefore w:val="0"/>
        <w:kinsoku/>
        <w:overflowPunct/>
        <w:topLinePunct w:val="0"/>
        <w:bidi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1.服务期限</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自合同签订之日起2个月</w:t>
      </w:r>
      <w:r>
        <w:rPr>
          <w:rFonts w:hint="eastAsia" w:ascii="宋体" w:hAnsi="宋体" w:eastAsia="宋体" w:cs="宋体"/>
          <w:color w:val="auto"/>
          <w:sz w:val="24"/>
          <w:highlight w:val="none"/>
          <w:lang w:val="en-US" w:eastAsia="zh-CN"/>
        </w:rPr>
        <w:t>。</w:t>
      </w:r>
    </w:p>
    <w:p>
      <w:pPr>
        <w:pageBreakBefore w:val="0"/>
        <w:kinsoku/>
        <w:overflowPunct/>
        <w:topLinePunct w:val="0"/>
        <w:bidi w:val="0"/>
        <w:spacing w:line="360" w:lineRule="auto"/>
        <w:ind w:firstLine="480" w:firstLineChars="200"/>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eastAsia="宋体" w:cs="宋体"/>
          <w:color w:val="auto"/>
          <w:kern w:val="2"/>
          <w:sz w:val="24"/>
          <w:szCs w:val="24"/>
          <w:highlight w:val="none"/>
          <w:lang w:val="en-US" w:eastAsia="zh-CN" w:bidi="ar-SA"/>
        </w:rPr>
        <w:t>进度要求</w:t>
      </w:r>
    </w:p>
    <w:p>
      <w:pPr>
        <w:pageBreakBefore w:val="0"/>
        <w:kinsoku/>
        <w:overflowPunct/>
        <w:topLinePunct w:val="0"/>
        <w:bidi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本项目合同服务期限为自合同签定之日起2个月内完成。</w:t>
      </w:r>
    </w:p>
    <w:p>
      <w:pPr>
        <w:pageBreakBefore w:val="0"/>
        <w:kinsoku/>
        <w:overflowPunct/>
        <w:topLinePunct w:val="0"/>
        <w:bidi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（1）乙方应在签署合同后1个月内向甲方进行初步成果汇报，乙方须根据初步成果审查意见认真总结、修改、补充、完善初步成果。</w:t>
      </w:r>
    </w:p>
    <w:p>
      <w:pPr>
        <w:pageBreakBefore w:val="0"/>
        <w:kinsoku/>
        <w:overflowPunct/>
        <w:topLinePunct w:val="0"/>
        <w:bidi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（2）乙方应在签署合同后的2个月内按合同要求提交最终成果并经由甲方审核通过。</w:t>
      </w:r>
    </w:p>
    <w:p>
      <w:pPr>
        <w:pageBreakBefore w:val="0"/>
        <w:kinsoku/>
        <w:overflowPunct/>
        <w:topLinePunct w:val="0"/>
        <w:bidi w:val="0"/>
        <w:spacing w:line="360" w:lineRule="auto"/>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3.后续服务要求</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u w:val="none"/>
          <w:lang w:val="en-US" w:eastAsia="zh-CN"/>
        </w:rPr>
        <w:t>1.售后服务内容</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在售后服务期限内，参与项目相关的汇报讨论工作，为推动建设前海现代服务综合保税区提供咨询服务。</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u w:val="none"/>
          <w:lang w:val="en-US" w:eastAsia="zh-CN"/>
        </w:rPr>
        <w:t>2.售后服务要求</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（1）</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在投标文件中应提供详细的售后服务承诺书；</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（2）</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安排专人负责售后技术支持，并提供其联系手机、电话、微信、Email；如人员需要调整应及时通知采购人；</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（3）按</w:t>
      </w:r>
      <w:r>
        <w:rPr>
          <w:rFonts w:hint="eastAsia" w:ascii="宋体" w:hAnsi="宋体" w:cs="宋体"/>
          <w:color w:val="auto"/>
          <w:sz w:val="24"/>
          <w:highlight w:val="none"/>
          <w:u w:val="none"/>
          <w:lang w:val="en-US" w:eastAsia="zh-CN"/>
        </w:rPr>
        <w:t>甲方</w:t>
      </w:r>
      <w:r>
        <w:rPr>
          <w:rFonts w:hint="eastAsia" w:ascii="宋体" w:hAnsi="宋体" w:eastAsia="宋体" w:cs="宋体"/>
          <w:color w:val="auto"/>
          <w:sz w:val="24"/>
          <w:highlight w:val="none"/>
          <w:u w:val="none"/>
          <w:lang w:val="en-US" w:eastAsia="zh-CN"/>
        </w:rPr>
        <w:t>要求完成售后服务。</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u w:val="none"/>
          <w:lang w:val="en-US" w:eastAsia="zh-CN"/>
        </w:rPr>
        <w:t>3.售后服务期限</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本项目最后成果提交</w:t>
      </w:r>
      <w:r>
        <w:rPr>
          <w:rFonts w:hint="eastAsia" w:ascii="宋体" w:hAnsi="宋体" w:cs="宋体"/>
          <w:color w:val="auto"/>
          <w:sz w:val="24"/>
          <w:highlight w:val="none"/>
          <w:u w:val="none"/>
          <w:lang w:val="en-US" w:eastAsia="zh-CN"/>
        </w:rPr>
        <w:t>甲方</w:t>
      </w:r>
      <w:r>
        <w:rPr>
          <w:rFonts w:hint="eastAsia" w:ascii="宋体" w:hAnsi="宋体" w:eastAsia="宋体" w:cs="宋体"/>
          <w:color w:val="auto"/>
          <w:sz w:val="24"/>
          <w:highlight w:val="none"/>
          <w:u w:val="none"/>
          <w:lang w:val="en-US" w:eastAsia="zh-CN"/>
        </w:rPr>
        <w:t>后即进入售后服务期，要求由</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提供1年的技术支持。</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第三条  项目资料归属</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所有提交给甲方的项目文件及相关资料的</w:t>
      </w:r>
      <w:r>
        <w:rPr>
          <w:rFonts w:ascii="宋体" w:hAnsi="宋体" w:cs="宋体"/>
          <w:color w:val="auto"/>
          <w:sz w:val="24"/>
          <w:highlight w:val="none"/>
        </w:rPr>
        <w:t>阶段性成果及</w:t>
      </w:r>
      <w:r>
        <w:rPr>
          <w:rFonts w:hint="eastAsia" w:ascii="宋体" w:hAnsi="宋体" w:cs="宋体"/>
          <w:color w:val="auto"/>
          <w:sz w:val="24"/>
          <w:highlight w:val="none"/>
        </w:rPr>
        <w:t>最后文本，包括为履行服务范围所编制的计划和证明资料等，都属于甲方</w:t>
      </w:r>
      <w:r>
        <w:rPr>
          <w:rFonts w:ascii="宋体" w:hAnsi="宋体" w:cs="宋体"/>
          <w:color w:val="auto"/>
          <w:sz w:val="24"/>
          <w:highlight w:val="none"/>
        </w:rPr>
        <w:t>所有</w:t>
      </w:r>
      <w:r>
        <w:rPr>
          <w:rFonts w:hint="eastAsia" w:ascii="宋体" w:hAnsi="宋体" w:cs="宋体"/>
          <w:color w:val="auto"/>
          <w:sz w:val="24"/>
          <w:highlight w:val="none"/>
        </w:rPr>
        <w:t>，乙方在提交给甲方之前应将上述资料进行整理归类和编制索引。</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乙方未经甲方的书面同意，不得将上述资料用于与本项目之外的任何项目，也不得将其泄露或授权给第三方使用。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甲方的义务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负责与本项目有关的第三方的协调，提供开展项目服务工作的外部条件。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向乙方提供与本项目服务工作有关的资料。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负责组织有关专家对项目成果的评审。</w:t>
      </w:r>
    </w:p>
    <w:p>
      <w:pPr>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根据合同的条款按时支付合同价款。</w:t>
      </w:r>
    </w:p>
    <w:p>
      <w:pPr>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 xml:space="preserve">甲方指定项目联系人：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乙方的义务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】号招标文件、乙方投标文件以及本合同的要求按期完成本项目服务工作。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在履行合同期间或合同规定期限内，不得泄露与本合同规定业务活动有关的保密资料。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应按国家、省及深圳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对甲方提出的合理的额外服务，不应予以拒绝。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应接受甲方对工作进展的询问、监督和指导，严格按本合同约定的内容、标准和期限完成项目研究工作，并向甲方提交项目研究成果。项目工作完成后，乙方应按照甲方要求将完成本项目的工作总结和相关台帐资料交给甲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如乙方提供的研究意见等成果文件不符合本合同要求，必须在甲方提出要求后3天内无条件修改，其费用由乙方自行承担。修改期间，甲方付款时间相应顺延。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乙方应独立完成本项目。未经甲方书面在先同意，乙方不得向任何第三方全部或部分转让本项目。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本合同期满或提前解除、终止后，乙方应将甲方的档案资料、信息数据等交还甲方，并应销毁或删除所有备份。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乙方指定项目联系人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 </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甲方的权利</w:t>
      </w:r>
    </w:p>
    <w:p>
      <w:pPr>
        <w:pStyle w:val="1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甲方对研究过程的决策、控制、实施等环节实行全面管理，协调和监督研究工作开展，控制研究工作过程，进行研究成果验收。</w:t>
      </w:r>
    </w:p>
    <w:p>
      <w:pPr>
        <w:pStyle w:val="1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检查乙方研究人员到位情况，如因人力、能力不足致使研究工作不能按计划完成时，有权要求乙方增加或替换相应的技术人员，直至甲方认可，乙方不得拒绝。</w:t>
      </w:r>
    </w:p>
    <w:p>
      <w:pPr>
        <w:pStyle w:val="1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甲方有权向乙方询问项目工作进展及相关情况，并要求乙方在指定时间内做出答复。</w:t>
      </w:r>
    </w:p>
    <w:p>
      <w:pPr>
        <w:pStyle w:val="1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甲方有权对乙方提交的阶段性成果、最终成果送审稿等相关工作文件进行审核并提出修改意见</w:t>
      </w:r>
      <w:r>
        <w:rPr>
          <w:rFonts w:hint="eastAsia" w:hAnsi="宋体" w:cs="宋体"/>
          <w:color w:val="auto"/>
          <w:sz w:val="24"/>
          <w:szCs w:val="24"/>
          <w:highlight w:val="none"/>
          <w:lang w:eastAsia="zh-CN"/>
        </w:rPr>
        <w:t>，</w:t>
      </w:r>
      <w:r>
        <w:rPr>
          <w:rFonts w:hint="eastAsia" w:ascii="宋体" w:hAnsi="宋体" w:cs="宋体"/>
          <w:color w:val="auto"/>
          <w:kern w:val="2"/>
          <w:sz w:val="24"/>
          <w:szCs w:val="24"/>
          <w:highlight w:val="none"/>
          <w:lang w:val="en-US" w:eastAsia="zh-CN" w:bidi="ar-SA"/>
        </w:rPr>
        <w:t>对</w:t>
      </w:r>
      <w:r>
        <w:rPr>
          <w:rFonts w:hint="eastAsia" w:hAnsi="宋体" w:cs="宋体"/>
          <w:color w:val="auto"/>
          <w:kern w:val="2"/>
          <w:sz w:val="24"/>
          <w:szCs w:val="24"/>
          <w:highlight w:val="none"/>
          <w:lang w:val="en-US" w:eastAsia="zh-CN" w:bidi="ar-SA"/>
        </w:rPr>
        <w:t>研究</w:t>
      </w:r>
      <w:r>
        <w:rPr>
          <w:rFonts w:hint="eastAsia" w:ascii="宋体" w:hAnsi="宋体" w:cs="宋体"/>
          <w:color w:val="auto"/>
          <w:kern w:val="2"/>
          <w:sz w:val="24"/>
          <w:szCs w:val="24"/>
          <w:highlight w:val="none"/>
          <w:lang w:val="en-US" w:eastAsia="zh-CN" w:bidi="ar-SA"/>
        </w:rPr>
        <w:t>成果进行综合优化、调整和修改</w:t>
      </w:r>
      <w:r>
        <w:rPr>
          <w:rFonts w:hint="eastAsia" w:ascii="宋体" w:hAnsi="宋体" w:eastAsia="宋体" w:cs="宋体"/>
          <w:color w:val="auto"/>
          <w:sz w:val="24"/>
          <w:szCs w:val="24"/>
          <w:highlight w:val="none"/>
        </w:rPr>
        <w:t>。</w:t>
      </w:r>
    </w:p>
    <w:p>
      <w:pPr>
        <w:pStyle w:val="1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pStyle w:val="1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甲方对乙方在委托权限范围内完成委托事项有指导、监督权利。</w:t>
      </w:r>
    </w:p>
    <w:p>
      <w:pPr>
        <w:pStyle w:val="1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甲方有权要求乙方全面履行合同。甲方不接受部分履行，如本合同项下部分成果文件未能按时交付则视为整体延误。</w:t>
      </w:r>
    </w:p>
    <w:p>
      <w:pPr>
        <w:pStyle w:val="1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乙方的权利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乙方在本项目服务过程中，如甲方提供的资料不明确时可向甲方提出书面报告。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乙方在本项目服务过程中，有权对第三方提出与本咨询服务业务有关的问题进行核对或查问。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乙方在本项目服务过程中，有到现场勘察并要求甲方协调的权利。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根据合同约定收取相应的合同价款。</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乙方就本协议项下全部义务无条件对甲方承担责任。</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条  人员要求</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以下为本项目核心领导团队。</w:t>
      </w:r>
    </w:p>
    <w:tbl>
      <w:tblPr>
        <w:tblStyle w:val="18"/>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6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392"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职称、职务</w:t>
            </w:r>
          </w:p>
        </w:tc>
        <w:tc>
          <w:tcPr>
            <w:tcW w:w="290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拟任</w:t>
            </w:r>
            <w:r>
              <w:rPr>
                <w:rFonts w:ascii="宋体" w:hAnsi="宋体" w:cs="宋体"/>
                <w:color w:val="auto"/>
                <w:sz w:val="24"/>
                <w:highlight w:val="none"/>
              </w:rPr>
              <w:t>团队</w:t>
            </w:r>
            <w:r>
              <w:rPr>
                <w:rFonts w:hint="eastAsia" w:ascii="宋体" w:hAnsi="宋体" w:cs="宋体"/>
                <w:color w:val="auto"/>
                <w:sz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6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cs="宋体"/>
                <w:color w:val="auto"/>
                <w:sz w:val="24"/>
                <w:highlight w:val="none"/>
              </w:rPr>
            </w:pPr>
          </w:p>
        </w:tc>
      </w:tr>
    </w:tbl>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参加本项目编制的人员必须具有国家和有关部门规定的相应资质。</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参加本项目编制的人员配置必须与合同中的项目成员组成一致，若需调整需经甲方</w:t>
      </w:r>
      <w:r>
        <w:rPr>
          <w:rFonts w:ascii="宋体" w:hAnsi="宋体" w:cs="宋体"/>
          <w:color w:val="auto"/>
          <w:sz w:val="24"/>
          <w:highlight w:val="none"/>
        </w:rPr>
        <w:t>书面</w:t>
      </w:r>
      <w:r>
        <w:rPr>
          <w:rFonts w:hint="eastAsia" w:ascii="宋体" w:hAnsi="宋体" w:cs="宋体"/>
          <w:color w:val="auto"/>
          <w:sz w:val="24"/>
          <w:highlight w:val="none"/>
        </w:rPr>
        <w:t>同意后，方可变更。</w:t>
      </w:r>
    </w:p>
    <w:p>
      <w:pPr>
        <w:pageBreakBefore w:val="0"/>
        <w:kinsoku/>
        <w:overflowPunct/>
        <w:topLinePunct w:val="0"/>
        <w:bidi w:val="0"/>
        <w:spacing w:line="360" w:lineRule="auto"/>
        <w:ind w:firstLine="480" w:firstLineChars="200"/>
        <w:rPr>
          <w:rFonts w:hint="default" w:ascii="宋体" w:hAnsi="宋体" w:eastAsia="宋体" w:cs="宋体"/>
          <w:b/>
          <w:bCs/>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必须以乙方直属人员</w:t>
      </w:r>
      <w:r>
        <w:rPr>
          <w:rFonts w:ascii="宋体" w:hAnsi="宋体" w:cs="宋体"/>
          <w:color w:val="auto"/>
          <w:sz w:val="24"/>
          <w:highlight w:val="none"/>
        </w:rPr>
        <w:t>（直属人员指</w:t>
      </w:r>
      <w:r>
        <w:rPr>
          <w:rFonts w:hint="eastAsia" w:ascii="宋体" w:hAnsi="宋体" w:cs="宋体"/>
          <w:color w:val="auto"/>
          <w:sz w:val="24"/>
          <w:highlight w:val="none"/>
        </w:rPr>
        <w:t>劳动合同、社会保险等劳动关系</w:t>
      </w:r>
      <w:r>
        <w:rPr>
          <w:rFonts w:ascii="宋体" w:hAnsi="宋体" w:cs="宋体"/>
          <w:color w:val="auto"/>
          <w:sz w:val="24"/>
          <w:highlight w:val="none"/>
        </w:rPr>
        <w:t>在乙方的人员）</w:t>
      </w:r>
      <w:r>
        <w:rPr>
          <w:rFonts w:hint="eastAsia" w:ascii="宋体" w:hAnsi="宋体" w:cs="宋体"/>
          <w:color w:val="auto"/>
          <w:sz w:val="24"/>
          <w:highlight w:val="none"/>
        </w:rPr>
        <w:t>参与本项目服务，不得使用挂靠队伍。</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条 成果权属与知识产权</w:t>
      </w:r>
    </w:p>
    <w:p>
      <w:pPr>
        <w:pageBreakBefore w:val="0"/>
        <w:widowControl/>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pageBreakBefore w:val="0"/>
        <w:widowControl/>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pageBreakBefore w:val="0"/>
        <w:widowControl/>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pageBreakBefore w:val="0"/>
        <w:widowControl/>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ageBreakBefore w:val="0"/>
        <w:widowControl/>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5.乙方完成本合同项目的研究开发人员享有在有关技术成果文件上写明技术成果完成者的权利和与甲方共同获得有关荣誉证书、奖励的权利。</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条  保密条款</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4.乙方实施项目的程序应符合国家安全、保密的有关规定和标准。</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5.上述保密义务不适用以下情况：</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（1）获取的信息已被合法公开；</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（3）国家法律、法规规定的情形。</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8.无论本合同或本合同其他条款是否有效，本保密条款始终约束双方。国家秘密的保密期限由国家有关部门确定，工作秘密的保密期限由甲方确定。</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十一</w:t>
      </w:r>
      <w:r>
        <w:rPr>
          <w:rFonts w:hint="eastAsia" w:ascii="宋体" w:hAnsi="宋体" w:cs="宋体"/>
          <w:b/>
          <w:bCs/>
          <w:color w:val="auto"/>
          <w:sz w:val="24"/>
          <w:highlight w:val="none"/>
        </w:rPr>
        <w:t xml:space="preserve">条  项目成果验收要求     </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成果需满足国家颁布的有关法律、法规及政策要求，符合相关的技术规范和标准，具体要求如下：本项目最终成果为《&lt;深圳前海湾保税港区管理暂行办法&gt;立法后评估报告》，以书面形式(按</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要求份数印制)和电子文件形式提交。</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最终成果验收合格的标志为</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审查通过。</w:t>
      </w:r>
    </w:p>
    <w:p>
      <w:pPr>
        <w:pageBreakBefore w:val="0"/>
        <w:numPr>
          <w:ilvl w:val="0"/>
          <w:numId w:val="0"/>
        </w:numPr>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十二</w:t>
      </w:r>
      <w:r>
        <w:rPr>
          <w:rFonts w:hint="eastAsia" w:ascii="宋体" w:hAnsi="宋体" w:cs="宋体"/>
          <w:b/>
          <w:bCs/>
          <w:color w:val="auto"/>
          <w:sz w:val="24"/>
          <w:highlight w:val="none"/>
        </w:rPr>
        <w:t>条  项目服务费用及付款方式</w:t>
      </w:r>
    </w:p>
    <w:p>
      <w:pPr>
        <w:pageBreakBefore w:val="0"/>
        <w:numPr>
          <w:ilvl w:val="0"/>
          <w:numId w:val="0"/>
        </w:numPr>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合同价款：合同总价为 </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（含税）。本项目服务费采用包干制，应包括所有服务费用、项目调研费用、工作人员工资、差旅费、通讯、交通费用、分析费用、项目成果文本印刷费用、文件资料发送至</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的费用、税费等</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合同价款由甲方分</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期支付至乙方指定银行账户：</w:t>
      </w:r>
    </w:p>
    <w:p>
      <w:pPr>
        <w:pStyle w:val="3"/>
        <w:pageBreakBefore w:val="0"/>
        <w:kinsoku/>
        <w:overflowPunct/>
        <w:topLinePunct w:val="0"/>
        <w:bidi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首期：双方签订合同后15个工作日内，根据</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提出的付款申请，</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支付</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合同总价款的50%作为预付款</w:t>
      </w:r>
      <w:r>
        <w:rPr>
          <w:rFonts w:hint="eastAsia" w:ascii="宋体" w:hAnsi="宋体" w:cs="宋体"/>
          <w:color w:val="auto"/>
          <w:sz w:val="24"/>
          <w:highlight w:val="none"/>
          <w:lang w:eastAsia="zh-CN"/>
        </w:rPr>
        <w:t>；</w:t>
      </w:r>
      <w:r>
        <w:rPr>
          <w:rFonts w:ascii="宋体" w:hAnsi="宋体" w:cs="宋体"/>
          <w:color w:val="auto"/>
          <w:sz w:val="24"/>
          <w:highlight w:val="none"/>
        </w:rPr>
        <w:t>即人民币</w:t>
      </w:r>
      <w:r>
        <w:rPr>
          <w:rFonts w:ascii="宋体" w:hAnsi="宋体" w:cs="宋体"/>
          <w:color w:val="auto"/>
          <w:sz w:val="24"/>
          <w:highlight w:val="none"/>
          <w:u w:val="single"/>
        </w:rPr>
        <w:t xml:space="preserve">  </w:t>
      </w:r>
      <w:r>
        <w:rPr>
          <w:rFonts w:ascii="宋体" w:hAnsi="宋体" w:cs="宋体"/>
          <w:color w:val="auto"/>
          <w:sz w:val="24"/>
          <w:highlight w:val="none"/>
        </w:rPr>
        <w:t>整（</w:t>
      </w:r>
      <w:r>
        <w:rPr>
          <w:rFonts w:hint="eastAsia" w:ascii="宋体" w:hAnsi="宋体" w:cs="宋体"/>
          <w:color w:val="auto"/>
          <w:sz w:val="24"/>
          <w:highlight w:val="none"/>
        </w:rPr>
        <w:t>¥  元</w:t>
      </w:r>
      <w:r>
        <w:rPr>
          <w:rFonts w:ascii="宋体" w:hAnsi="宋体" w:cs="宋体"/>
          <w:color w:val="auto"/>
          <w:sz w:val="24"/>
          <w:highlight w:val="none"/>
        </w:rPr>
        <w:t>）</w:t>
      </w:r>
    </w:p>
    <w:p>
      <w:pPr>
        <w:pStyle w:val="3"/>
        <w:pageBreakBefore w:val="0"/>
        <w:kinsoku/>
        <w:overflowPunct/>
        <w:topLinePunct w:val="0"/>
        <w:bidi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第 2 期：</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提交工作成果，并通过</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验收后，根据</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提出的付款申请，</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支付</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合同总价款的50%</w:t>
      </w:r>
      <w:r>
        <w:rPr>
          <w:rFonts w:hint="eastAsia" w:ascii="宋体" w:hAnsi="宋体" w:cs="宋体"/>
          <w:color w:val="auto"/>
          <w:sz w:val="24"/>
          <w:highlight w:val="none"/>
          <w:lang w:eastAsia="zh-CN"/>
        </w:rPr>
        <w:t>。</w:t>
      </w:r>
      <w:r>
        <w:rPr>
          <w:rFonts w:ascii="宋体" w:hAnsi="宋体" w:cs="宋体"/>
          <w:color w:val="auto"/>
          <w:sz w:val="24"/>
          <w:highlight w:val="none"/>
        </w:rPr>
        <w:t>即人民币</w:t>
      </w:r>
      <w:r>
        <w:rPr>
          <w:rFonts w:ascii="宋体" w:hAnsi="宋体" w:cs="宋体"/>
          <w:color w:val="auto"/>
          <w:sz w:val="24"/>
          <w:highlight w:val="none"/>
          <w:u w:val="single"/>
        </w:rPr>
        <w:t xml:space="preserve">  </w:t>
      </w:r>
      <w:r>
        <w:rPr>
          <w:rFonts w:ascii="宋体" w:hAnsi="宋体" w:cs="宋体"/>
          <w:color w:val="auto"/>
          <w:sz w:val="24"/>
          <w:highlight w:val="none"/>
        </w:rPr>
        <w:t>整（</w:t>
      </w:r>
      <w:r>
        <w:rPr>
          <w:rFonts w:hint="eastAsia" w:ascii="宋体" w:hAnsi="宋体" w:cs="宋体"/>
          <w:color w:val="auto"/>
          <w:sz w:val="24"/>
          <w:highlight w:val="none"/>
        </w:rPr>
        <w:t>¥  元</w:t>
      </w:r>
      <w:r>
        <w:rPr>
          <w:rFonts w:ascii="宋体" w:hAnsi="宋体" w:cs="宋体"/>
          <w:color w:val="auto"/>
          <w:sz w:val="24"/>
          <w:highlight w:val="none"/>
        </w:rPr>
        <w:t>）</w:t>
      </w:r>
    </w:p>
    <w:p>
      <w:pPr>
        <w:pStyle w:val="3"/>
        <w:pageBreakBefore w:val="0"/>
        <w:kinsoku/>
        <w:overflowPunct/>
        <w:topLinePunct w:val="0"/>
        <w:bidi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pStyle w:val="3"/>
        <w:pageBreakBefore w:val="0"/>
        <w:kinsoku/>
        <w:overflowPunct/>
        <w:topLinePunct w:val="0"/>
        <w:bidi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乙方银行账户信息：</w:t>
      </w:r>
    </w:p>
    <w:p>
      <w:pPr>
        <w:pStyle w:val="3"/>
        <w:pageBreakBefore w:val="0"/>
        <w:kinsoku/>
        <w:overflowPunct/>
        <w:topLinePunct w:val="0"/>
        <w:bidi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p>
      <w:pPr>
        <w:pStyle w:val="3"/>
        <w:pageBreakBefore w:val="0"/>
        <w:kinsoku/>
        <w:overflowPunct/>
        <w:topLinePunct w:val="0"/>
        <w:bidi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户名：</w:t>
      </w:r>
    </w:p>
    <w:p>
      <w:pPr>
        <w:pStyle w:val="3"/>
        <w:pageBreakBefore w:val="0"/>
        <w:kinsoku/>
        <w:overflowPunct/>
        <w:topLinePunct w:val="0"/>
        <w:bidi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账号：</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十三</w:t>
      </w:r>
      <w:r>
        <w:rPr>
          <w:rFonts w:hint="eastAsia" w:ascii="宋体" w:hAnsi="宋体" w:cs="宋体"/>
          <w:b/>
          <w:bCs/>
          <w:color w:val="auto"/>
          <w:sz w:val="24"/>
          <w:highlight w:val="none"/>
        </w:rPr>
        <w:t>条 合同提前终止</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双方协商同意提前终止本合同的，按双方协商约定的方式进行清算执行。</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有下列情形之一的，本合同自甲方向乙方发出书面通知之日起终止：</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甲方的职能发生转变，不再具有委托职能。</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本合同签订时适用的法律法规或政策发生变化，且对本合同的继续履行造成重大影响。</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发生以上情形，甲方已向乙方支付的款项不退还，尚未支付的款项不再支付，同时乙方应向甲方提交在合同终止日前完成的所有项目文件和相关资料。</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如发生不可抗力或其他超出合同双方控制的事件，致使一方无法履行合同，本合同解除。</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发生不可抗力，甲乙双方承担各自的损失。由于其中一方迟延履行合同义务后发生不可抗力的，其违约责任不能免除。</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条  争议解决办法</w:t>
      </w:r>
    </w:p>
    <w:p>
      <w:pPr>
        <w:pageBreakBefore w:val="0"/>
        <w:kinsoku/>
        <w:overflowPunct/>
        <w:topLinePunct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因本合同的履行发生的或与本合同有关的争议或纠纷，由甲乙双方协商解决。协商不成的，</w:t>
      </w:r>
      <w:r>
        <w:rPr>
          <w:rFonts w:hint="eastAsia" w:ascii="宋体" w:hAnsi="宋体" w:cs="宋体"/>
          <w:color w:val="auto"/>
          <w:sz w:val="24"/>
          <w:highlight w:val="none"/>
          <w:lang w:eastAsia="zh-CN"/>
        </w:rPr>
        <w:t>双方同意将争议提交</w:t>
      </w:r>
      <w:r>
        <w:rPr>
          <w:rFonts w:hint="eastAsia" w:ascii="宋体" w:hAnsi="宋体" w:cs="宋体"/>
          <w:color w:val="auto"/>
          <w:sz w:val="24"/>
          <w:highlight w:val="none"/>
        </w:rPr>
        <w:t>深圳前海合作区人民法院</w:t>
      </w:r>
      <w:r>
        <w:rPr>
          <w:rFonts w:hint="eastAsia" w:ascii="宋体" w:hAnsi="宋体" w:cs="宋体"/>
          <w:color w:val="auto"/>
          <w:sz w:val="24"/>
          <w:highlight w:val="none"/>
          <w:lang w:eastAsia="zh-CN"/>
        </w:rPr>
        <w:t>通过</w:t>
      </w:r>
      <w:r>
        <w:rPr>
          <w:rFonts w:hint="eastAsia" w:ascii="宋体" w:hAnsi="宋体" w:cs="宋体"/>
          <w:color w:val="auto"/>
          <w:sz w:val="24"/>
          <w:highlight w:val="none"/>
        </w:rPr>
        <w:t>诉讼</w:t>
      </w:r>
      <w:r>
        <w:rPr>
          <w:rFonts w:hint="eastAsia" w:ascii="宋体" w:hAnsi="宋体" w:cs="宋体"/>
          <w:color w:val="auto"/>
          <w:sz w:val="24"/>
          <w:highlight w:val="none"/>
          <w:lang w:eastAsia="zh-CN"/>
        </w:rPr>
        <w:t>解决</w:t>
      </w:r>
      <w:r>
        <w:rPr>
          <w:rFonts w:hint="eastAsia" w:ascii="宋体" w:hAnsi="宋体" w:cs="宋体"/>
          <w:color w:val="auto"/>
          <w:sz w:val="24"/>
          <w:highlight w:val="none"/>
        </w:rPr>
        <w:t>。</w:t>
      </w:r>
    </w:p>
    <w:p>
      <w:pPr>
        <w:pageBreakBefore w:val="0"/>
        <w:numPr>
          <w:ilvl w:val="0"/>
          <w:numId w:val="0"/>
        </w:numPr>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条</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项目变更</w:t>
      </w:r>
    </w:p>
    <w:p>
      <w:pPr>
        <w:pageBreakBefore w:val="0"/>
        <w:kinsoku/>
        <w:overflowPunct/>
        <w:topLinePunct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本合同履行过程中的需求变更和进度调整，以甲乙双方达成一致的书面文件为准。</w:t>
      </w:r>
    </w:p>
    <w:p>
      <w:pPr>
        <w:pageBreakBefore w:val="0"/>
        <w:kinsoku/>
        <w:overflowPunct/>
        <w:topLinePunct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乙方遇到不能按时交货或按期完工的情况，应及时以书面形式将不能按时完工的理由、延误时间通知甲方。甲方在收到乙方通知后，根据情况决定是否延长完成时间。如同意延长，则乙方责任期也相应延长。</w:t>
      </w:r>
    </w:p>
    <w:p>
      <w:pPr>
        <w:pageBreakBefore w:val="0"/>
        <w:kinsoku/>
        <w:overflowPunct/>
        <w:topLinePunct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因非乙方责任造成项目进度推迟或延误，无法按照合同约定的日期完成相应的项目，双方经过协商可以进一步约定完成的日期，乙方的责任期也随之顺延。</w:t>
      </w:r>
    </w:p>
    <w:p>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在合同所约定的工作范畴内的服务，本合同价格不予变更</w:t>
      </w:r>
      <w:r>
        <w:rPr>
          <w:rFonts w:hint="eastAsia" w:ascii="宋体" w:hAnsi="宋体" w:cs="宋体"/>
          <w:color w:val="auto"/>
          <w:sz w:val="24"/>
          <w:highlight w:val="none"/>
          <w:lang w:eastAsia="zh-CN"/>
        </w:rPr>
        <w:t>。</w:t>
      </w:r>
    </w:p>
    <w:p>
      <w:pPr>
        <w:pageBreakBefore w:val="0"/>
        <w:numPr>
          <w:ilvl w:val="0"/>
          <w:numId w:val="0"/>
        </w:numPr>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条</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风险责任</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乙方应完全地按照【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】号招标文件的要求和乙方投标文件的承诺完成本项目，出于自身财务、技术、人力等原因导致项目失败的，应承担全部责任。</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条  违约责任</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乙方未按照本合同约定的时间完成本项目各阶段工作，每延迟一日，甲方有权自尚未支付的合同款项中扣除本合同服务费总金额的1‰的逾期违约金。</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本项目项下的工作内容不可分割，任一文件的迟延交付均视为整个项目的迟延交付。</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本合同履行期间，发生下述情形时，甲方有权解除本合同，乙方除应退还甲方已支付的全部款项外, 还应在合同解除通知发出之日起10日内向甲方支付合同总价款20%的违约金。乙方应同时将已完成的项目成果移交给甲方，并将全部有关资料退还甲方：</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（1）乙方未能按合同约定的日期(含协商延缓的日期)提交各阶段成果或最终成果，延误时间超过15个工作日；</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（2）因乙方工作的错误或遗漏造成成果质量损失，工作成果质量低劣，不能满足甲方工作需要和要求；</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（3）乙方虽如期提交最终成果，但连续二次未能通过甲方验收的；</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（4）未经甲方书面在先同意，乙方擅自将本合同项目与任何第三方合作，或将本合同标的全部或部分擅自转包或分包给任何第三方，且未按甲方的要求终止与第三方的合同的；</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（5）项目负责人未承担本合同项目实质性工作，或未经甲方书面在先同意，乙方擅自更换项目负责人的；</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（6）发现乙方或乙方工作人员出现全部或部分丧失履行委托服务能力的情况，甲方有权通知乙方限期整改或更换工作人员，期限届满乙方并未进行改善的；</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（7）乙方明确表示或者以自己的行为表明不履行本合同的。</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.若因甲方付款审批影响支付进度，不视为违约，请乙方予以谅解，并不得就此向甲方索赔。</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上述违约责任各自独立且可累加。本合同所约定的违约金如低于因违约行为所造成的损失，违约方应补偿上述不足部分的损失，包括但不限于上述索赔或责任所产生的诉讼费用、合理的律师费用、鉴定评估费用、调查费用、和解金额或生效法律文书中规定的赔偿金额。</w:t>
      </w:r>
    </w:p>
    <w:p>
      <w:pPr>
        <w:pageBreakBefore w:val="0"/>
        <w:kinsoku/>
        <w:overflowPunct/>
        <w:topLinePunct w:val="0"/>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条  其他</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（1）合同书及补充协议；</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（2）中标通知书；</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）及其澄清、补正公告；</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（4）投标书。</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本合同附件（如有）为合同不可分割的组成部分，与本合同一并加盖骑缝章后具有同等法律效力。若附件与合同正文有任何冲突，以合同正文为准。</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本合同各条标题仅为提示之用，应以条文内容确定各方的权利义务。</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本合同未尽事宜，由双方协商签订补充协议进行约定。补充协议应以书面形式作成，经双方法定代表人或其授权代表签字、盖章后与本合同具有同等法律效力。</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本合同约定的权利和义务不因合同双方发生收购、兼并、重组、分立而发生变化。如果发生上述情形，则本合同约定的权利和义务随之转移至收购、兼并、重组或分立后成立的单位。</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本合同在国家法律、法规和规章规定的范围内执行。当国家法律、法规和规章发生变化导致本合同有关条款与之抵触时，双方协商变更或废止该条款，在此情况下，双方互不承担责任。</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如果本合同的任何条款在任何时候变成不合法、无效或不可强制执行而不从根本上影响本合同的效力时，本合同的其他条款不受影响。</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任何一方未经另一方同意不得向任何第三方透露本合同的签订及其内容。甲方向其关联公司透露前述内容的，不受此限。</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pStyle w:val="26"/>
        <w:pageBreakBefore w:val="0"/>
        <w:kinsoku/>
        <w:overflowPunct/>
        <w:topLinePunct w:val="0"/>
        <w:bidi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.本合同自双方盖章之日起生效，有效期至后续服务期满之日止</w:t>
      </w:r>
      <w:r>
        <w:rPr>
          <w:rFonts w:hint="eastAsia" w:ascii="宋体" w:hAnsi="宋体" w:cs="宋体"/>
          <w:color w:val="auto"/>
          <w:sz w:val="24"/>
          <w:szCs w:val="24"/>
          <w:highlight w:val="none"/>
        </w:rPr>
        <w:t>。</w:t>
      </w:r>
    </w:p>
    <w:p>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本合同一式六份，甲、乙方各执三份，均具有同等法律效力。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（以下无正文，为签章栏）</w:t>
      </w:r>
    </w:p>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（本页为签章页）</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ind w:firstLine="200"/>
        <w:rPr>
          <w:rFonts w:hint="eastAsia" w:ascii="宋体" w:hAnsi="宋体" w:cs="宋体"/>
          <w:color w:val="auto"/>
          <w:sz w:val="24"/>
          <w:highlight w:val="none"/>
        </w:rPr>
      </w:pPr>
    </w:p>
    <w:p>
      <w:pPr>
        <w:adjustRightInd w:val="0"/>
        <w:snapToGrid w:val="0"/>
        <w:spacing w:line="360" w:lineRule="auto"/>
        <w:ind w:left="8312" w:hanging="8312" w:hangingChars="3450"/>
        <w:rPr>
          <w:rFonts w:hint="eastAsia" w:ascii="宋体" w:hAnsi="宋体" w:cs="宋体"/>
          <w:b/>
          <w:color w:val="auto"/>
          <w:sz w:val="24"/>
          <w:highlight w:val="none"/>
        </w:rPr>
      </w:pPr>
      <w:r>
        <w:rPr>
          <w:rFonts w:hint="eastAsia" w:ascii="宋体" w:hAnsi="宋体" w:cs="宋体"/>
          <w:b/>
          <w:color w:val="auto"/>
          <w:sz w:val="24"/>
          <w:highlight w:val="none"/>
        </w:rPr>
        <w:t>甲方名称：                                 乙方名称：</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深圳市前海深港现代服务业合作区管理局</w:t>
      </w:r>
      <w:r>
        <w:rPr>
          <w:rFonts w:hint="eastAsia" w:ascii="宋体" w:hAnsi="宋体" w:cs="宋体"/>
          <w:color w:val="auto"/>
          <w:sz w:val="24"/>
          <w:highlight w:val="none"/>
        </w:rPr>
        <w:tab/>
      </w:r>
      <w:r>
        <w:rPr>
          <w:rFonts w:hint="eastAsia" w:ascii="宋体" w:hAnsi="宋体" w:cs="宋体"/>
          <w:color w:val="auto"/>
          <w:sz w:val="24"/>
          <w:highlight w:val="none"/>
        </w:rPr>
        <w:t xml:space="preserve">     </w:t>
      </w:r>
    </w:p>
    <w:p>
      <w:pPr>
        <w:adjustRightInd w:val="0"/>
        <w:snapToGrid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（盖章）</w:t>
      </w:r>
    </w:p>
    <w:p>
      <w:pPr>
        <w:adjustRightInd w:val="0"/>
        <w:snapToGrid w:val="0"/>
        <w:spacing w:line="360" w:lineRule="auto"/>
        <w:ind w:firstLine="200"/>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法定代表人或授权代表：（签字）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或授权代表：（签字）</w:t>
      </w:r>
    </w:p>
    <w:p>
      <w:pPr>
        <w:widowControl/>
        <w:adjustRightInd w:val="0"/>
        <w:snapToGrid w:val="0"/>
        <w:spacing w:line="360" w:lineRule="auto"/>
        <w:ind w:firstLine="200"/>
        <w:jc w:val="left"/>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日期：</w:t>
      </w:r>
    </w:p>
    <w:p>
      <w:pPr>
        <w:adjustRightInd w:val="0"/>
        <w:snapToGrid w:val="0"/>
        <w:spacing w:line="360" w:lineRule="auto"/>
        <w:ind w:firstLine="720" w:firstLineChars="300"/>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注：本合同样本仅供参考，非实质性条款内容可由采购人和中标人协商确定。</w:t>
      </w:r>
    </w:p>
    <w:p>
      <w:pPr>
        <w:snapToGrid w:val="0"/>
        <w:spacing w:line="360" w:lineRule="auto"/>
        <w:rPr>
          <w:rFonts w:hint="eastAsia" w:ascii="宋体" w:hAnsi="宋体" w:cs="宋体"/>
          <w:color w:val="auto"/>
          <w:sz w:val="24"/>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14" w:name="_Toc25518"/>
      <w:r>
        <w:rPr>
          <w:rFonts w:hint="eastAsia" w:ascii="宋体" w:hAnsi="宋体" w:cs="宋体"/>
          <w:b/>
          <w:bCs/>
          <w:color w:val="auto"/>
          <w:sz w:val="24"/>
          <w:highlight w:val="none"/>
        </w:rPr>
        <w:t>用户需求书</w:t>
      </w:r>
      <w:bookmarkEnd w:id="14"/>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auto"/>
          <w:kern w:val="2"/>
          <w:sz w:val="24"/>
          <w:szCs w:val="24"/>
          <w:highlight w:val="none"/>
          <w:lang w:val="en-US" w:eastAsia="zh-CN" w:bidi="ar-SA"/>
        </w:rPr>
      </w:pPr>
      <w:bookmarkStart w:id="15" w:name="_Toc11045"/>
      <w:bookmarkStart w:id="16" w:name="_Toc23726"/>
      <w:r>
        <w:rPr>
          <w:rFonts w:hint="eastAsia" w:ascii="宋体" w:hAnsi="宋体" w:eastAsia="宋体" w:cs="宋体"/>
          <w:b/>
          <w:bCs/>
          <w:color w:val="auto"/>
          <w:kern w:val="2"/>
          <w:sz w:val="24"/>
          <w:szCs w:val="24"/>
          <w:highlight w:val="none"/>
          <w:lang w:val="en-US" w:eastAsia="zh-CN" w:bidi="ar-SA"/>
        </w:rPr>
        <w:t>一、</w:t>
      </w:r>
      <w:bookmarkEnd w:id="15"/>
      <w:bookmarkEnd w:id="16"/>
      <w:bookmarkStart w:id="17" w:name="_Toc51746099"/>
      <w:r>
        <w:rPr>
          <w:rFonts w:hint="eastAsia" w:ascii="宋体" w:hAnsi="宋体" w:eastAsia="宋体" w:cs="宋体"/>
          <w:b/>
          <w:bCs/>
          <w:color w:val="auto"/>
          <w:kern w:val="2"/>
          <w:sz w:val="24"/>
          <w:szCs w:val="24"/>
          <w:highlight w:val="none"/>
          <w:lang w:val="zh-CN" w:eastAsia="zh-CN" w:bidi="ar-SA"/>
        </w:rPr>
        <w:t>项目概况</w:t>
      </w:r>
    </w:p>
    <w:bookmarkEnd w:id="17"/>
    <w:p>
      <w:pPr>
        <w:pStyle w:val="3"/>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深圳前海湾保税港区管理暂行办法》自2011年10月8日实施以来，对加快推进物流产业发展，推动深港两地产业合作，实现区域经济的可持续发展，具有十分重要的战略意义并发挥了重要作用。2019年1月12日，国务院印发《关于促进综合保税区高水平开放高质量发展的若干意见》，提出赋予综合保税区改革开放新使命，打造具有国际竞争力和创新力的海关特殊监管区域，推动符合条件的各类型海关特殊监管区域优化为综合保税区。2020年8月，深圳前海湾保税港区成功整合优化为深圳前海综合保税区，因名称、区域面积、定位以及海关监管要求等发生变化，因此有必要对《暂行办法》运行情况进行立法后评估，论证《暂行办法》实施效果、面临问题及修订的必要性，提出问题解决思路、评估是否启动规章修订的建议，以适应前海综合保税区新的发展需要。</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、服务内容</w:t>
      </w:r>
    </w:p>
    <w:p>
      <w:pPr>
        <w:keepNext w:val="0"/>
        <w:keepLines w:val="0"/>
        <w:pageBreakBefore w:val="0"/>
        <w:kinsoku/>
        <w:wordWrap/>
        <w:overflowPunct/>
        <w:topLinePunct w:val="0"/>
        <w:autoSpaceDE/>
        <w:autoSpaceDN/>
        <w:bidi w:val="0"/>
        <w:adjustRightInd w:val="0"/>
        <w:snapToGrid w:val="0"/>
        <w:spacing w:line="560" w:lineRule="exact"/>
        <w:ind w:right="-105" w:rightChars="-5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深圳市人民政府制定规章和拟定法规草案程序规定》和《深圳市人民政府立法工作规程（试行）》的要求，结合前海综合保税区发展实际，对《暂行办法》进行深入调查研究，形成《暂行办法》立法后评估报告。报告应当根据《暂行办法》的立法宗旨和立法目的，结合前海综合保税区发展的客观要求，对《暂行办法》实施效果、立法内容和立法技术进行评估。</w:t>
      </w:r>
    </w:p>
    <w:p>
      <w:pPr>
        <w:keepNext w:val="0"/>
        <w:keepLines w:val="0"/>
        <w:pageBreakBefore w:val="0"/>
        <w:kinsoku/>
        <w:wordWrap/>
        <w:overflowPunct/>
        <w:topLinePunct w:val="0"/>
        <w:autoSpaceDE/>
        <w:autoSpaceDN/>
        <w:bidi w:val="0"/>
        <w:adjustRightInd w:val="0"/>
        <w:snapToGrid w:val="0"/>
        <w:spacing w:line="560" w:lineRule="exact"/>
        <w:ind w:right="-105" w:rightChars="-5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立法后评估基本内容包括但不限于：评估工作以合法性、合理性、协调性、可操作性、规范性、实效性为标准，评估内容有以下几个方面：</w:t>
      </w:r>
    </w:p>
    <w:p>
      <w:pPr>
        <w:keepNext w:val="0"/>
        <w:keepLines w:val="0"/>
        <w:pageBreakBefore w:val="0"/>
        <w:kinsoku/>
        <w:wordWrap/>
        <w:overflowPunct/>
        <w:topLinePunct w:val="0"/>
        <w:autoSpaceDE/>
        <w:autoSpaceDN/>
        <w:bidi w:val="0"/>
        <w:adjustRightInd w:val="0"/>
        <w:snapToGrid w:val="0"/>
        <w:spacing w:line="560" w:lineRule="exact"/>
        <w:ind w:right="-105" w:rightChars="-5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立法质量。包括《暂行办法》内容是否与现行法律、法规相抵触，是否与其他规章相衔接，是否符合前海实际情况；各项制度设计和程序规定是否有针对性和可操作性；是否存在制度设计方面的空白，是否需要做相应的补充规定；相关概念的界定是否准确，条文表述及逻辑结构是否严密、合理，立法用语是否准确、规范等。</w:t>
      </w:r>
    </w:p>
    <w:p>
      <w:pPr>
        <w:keepNext w:val="0"/>
        <w:keepLines w:val="0"/>
        <w:pageBreakBefore w:val="0"/>
        <w:kinsoku/>
        <w:wordWrap/>
        <w:overflowPunct/>
        <w:topLinePunct w:val="0"/>
        <w:autoSpaceDE/>
        <w:autoSpaceDN/>
        <w:bidi w:val="0"/>
        <w:adjustRightInd w:val="0"/>
        <w:snapToGrid w:val="0"/>
        <w:spacing w:line="560" w:lineRule="exact"/>
        <w:ind w:right="-105" w:rightChars="-5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实施效果。包括《暂行办法》实施的基本情况（如机构履职、运行情况）、重要制度执行情况（如管理、开发、建设、经营等方面）、实施过程遭遇的实际难点、问题及其原因分析；实施的社会效益和经济效益分析；规定的运作机制、授权范围、公共服务、口岸监管、开发运营等是否适应本市经济社会发展和需求的情况。</w:t>
      </w:r>
    </w:p>
    <w:p>
      <w:pPr>
        <w:keepNext w:val="0"/>
        <w:keepLines w:val="0"/>
        <w:pageBreakBefore w:val="0"/>
        <w:kinsoku/>
        <w:wordWrap/>
        <w:overflowPunct/>
        <w:topLinePunct w:val="0"/>
        <w:autoSpaceDE/>
        <w:autoSpaceDN/>
        <w:bidi w:val="0"/>
        <w:adjustRightInd w:val="0"/>
        <w:snapToGrid w:val="0"/>
        <w:spacing w:line="560" w:lineRule="exact"/>
        <w:ind w:right="-105" w:rightChars="-5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评估建议。包括《暂行办法》内容是否需要进一步修改完善或废止，同时总结规章制定和实施经验，提出进一步改进立法工作、总结评估工作、提高立法质量的建议和指引。</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、项目管理及进度要求</w:t>
      </w:r>
    </w:p>
    <w:p>
      <w:pPr>
        <w:pStyle w:val="27"/>
        <w:keepNext w:val="0"/>
        <w:keepLines w:val="0"/>
        <w:pageBreakBefore w:val="0"/>
        <w:widowControl w:val="0"/>
        <w:tabs>
          <w:tab w:val="left" w:pos="720"/>
        </w:tabs>
        <w:kinsoku/>
        <w:wordWrap/>
        <w:overflowPunct/>
        <w:topLinePunct w:val="0"/>
        <w:autoSpaceDE w:val="0"/>
        <w:autoSpaceDN w:val="0"/>
        <w:bidi w:val="0"/>
        <w:adjustRightInd w:val="0"/>
        <w:snapToGrid w:val="0"/>
        <w:spacing w:line="560" w:lineRule="exact"/>
        <w:ind w:right="0" w:firstLine="482"/>
        <w:jc w:val="left"/>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（一）组织实施要求</w:t>
      </w:r>
    </w:p>
    <w:p>
      <w:pPr>
        <w:pStyle w:val="27"/>
        <w:keepNext w:val="0"/>
        <w:keepLines w:val="0"/>
        <w:pageBreakBefore w:val="0"/>
        <w:widowControl w:val="0"/>
        <w:tabs>
          <w:tab w:val="left" w:pos="720"/>
        </w:tabs>
        <w:kinsoku/>
        <w:wordWrap/>
        <w:overflowPunct/>
        <w:topLinePunct w:val="0"/>
        <w:autoSpaceDE w:val="0"/>
        <w:autoSpaceDN w:val="0"/>
        <w:bidi w:val="0"/>
        <w:adjustRightInd w:val="0"/>
        <w:snapToGrid w:val="0"/>
        <w:spacing w:line="560" w:lineRule="exact"/>
        <w:ind w:right="0" w:firstLine="482"/>
        <w:jc w:val="left"/>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为确保本次项目投标工作管理规范、实施有力，投标人应成立项目组，按采购人要求完成研究成果。</w:t>
      </w:r>
    </w:p>
    <w:p>
      <w:pPr>
        <w:pStyle w:val="27"/>
        <w:keepNext w:val="0"/>
        <w:keepLines w:val="0"/>
        <w:pageBreakBefore w:val="0"/>
        <w:widowControl w:val="0"/>
        <w:tabs>
          <w:tab w:val="left" w:pos="720"/>
        </w:tabs>
        <w:kinsoku/>
        <w:wordWrap/>
        <w:overflowPunct/>
        <w:topLinePunct w:val="0"/>
        <w:autoSpaceDE w:val="0"/>
        <w:autoSpaceDN w:val="0"/>
        <w:bidi w:val="0"/>
        <w:adjustRightInd w:val="0"/>
        <w:snapToGrid w:val="0"/>
        <w:spacing w:line="560" w:lineRule="exact"/>
        <w:ind w:right="0" w:firstLine="482"/>
        <w:jc w:val="left"/>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）进度要求</w:t>
      </w:r>
    </w:p>
    <w:p>
      <w:pPr>
        <w:pStyle w:val="27"/>
        <w:keepNext w:val="0"/>
        <w:keepLines w:val="0"/>
        <w:pageBreakBefore w:val="0"/>
        <w:widowControl w:val="0"/>
        <w:tabs>
          <w:tab w:val="left" w:pos="720"/>
        </w:tabs>
        <w:kinsoku/>
        <w:wordWrap/>
        <w:overflowPunct/>
        <w:topLinePunct w:val="0"/>
        <w:autoSpaceDE w:val="0"/>
        <w:autoSpaceDN w:val="0"/>
        <w:bidi w:val="0"/>
        <w:adjustRightInd w:val="0"/>
        <w:snapToGrid w:val="0"/>
        <w:spacing w:line="560" w:lineRule="exact"/>
        <w:ind w:right="0" w:firstLine="482"/>
        <w:jc w:val="left"/>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本项目合同服务期限为自合同签定之日</w:t>
      </w:r>
      <w:r>
        <w:rPr>
          <w:rFonts w:hint="eastAsia" w:ascii="宋体" w:hAnsi="宋体" w:cs="宋体"/>
          <w:color w:val="auto"/>
          <w:kern w:val="2"/>
          <w:sz w:val="24"/>
          <w:szCs w:val="24"/>
          <w:highlight w:val="none"/>
          <w:lang w:val="en-US" w:eastAsia="zh-CN" w:bidi="ar-SA"/>
        </w:rPr>
        <w:t>起2</w:t>
      </w:r>
      <w:r>
        <w:rPr>
          <w:rFonts w:hint="eastAsia" w:ascii="宋体" w:hAnsi="宋体" w:eastAsia="宋体" w:cs="宋体"/>
          <w:color w:val="auto"/>
          <w:kern w:val="2"/>
          <w:sz w:val="24"/>
          <w:szCs w:val="24"/>
          <w:highlight w:val="none"/>
          <w:lang w:val="en-US" w:eastAsia="zh-CN" w:bidi="ar-SA"/>
        </w:rPr>
        <w:t>个月内完成。</w:t>
      </w:r>
    </w:p>
    <w:p>
      <w:pPr>
        <w:pStyle w:val="27"/>
        <w:keepNext w:val="0"/>
        <w:keepLines w:val="0"/>
        <w:pageBreakBefore w:val="0"/>
        <w:widowControl w:val="0"/>
        <w:tabs>
          <w:tab w:val="left" w:pos="720"/>
        </w:tabs>
        <w:kinsoku/>
        <w:wordWrap/>
        <w:overflowPunct/>
        <w:topLinePunct w:val="0"/>
        <w:autoSpaceDE w:val="0"/>
        <w:autoSpaceDN w:val="0"/>
        <w:bidi w:val="0"/>
        <w:adjustRightInd w:val="0"/>
        <w:snapToGrid w:val="0"/>
        <w:spacing w:line="560" w:lineRule="exact"/>
        <w:ind w:right="0" w:firstLine="482"/>
        <w:jc w:val="left"/>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（1）中标人应在签署合同后</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个月内向采购人进行初步成果汇报，中标人须根据初步成果审查意见认真总结、修改、补充、完善初步成果。</w:t>
      </w:r>
    </w:p>
    <w:p>
      <w:pPr>
        <w:pStyle w:val="27"/>
        <w:keepNext w:val="0"/>
        <w:keepLines w:val="0"/>
        <w:pageBreakBefore w:val="0"/>
        <w:widowControl w:val="0"/>
        <w:tabs>
          <w:tab w:val="left" w:pos="720"/>
        </w:tabs>
        <w:kinsoku/>
        <w:wordWrap/>
        <w:overflowPunct/>
        <w:topLinePunct w:val="0"/>
        <w:autoSpaceDE w:val="0"/>
        <w:autoSpaceDN w:val="0"/>
        <w:bidi w:val="0"/>
        <w:adjustRightInd w:val="0"/>
        <w:snapToGrid w:val="0"/>
        <w:spacing w:line="560" w:lineRule="exact"/>
        <w:ind w:right="0" w:firstLine="482"/>
        <w:jc w:val="left"/>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）中标人应在签署合同后的</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个月内按合同要求提交最终成果并经由采购人审核通过。</w:t>
      </w:r>
    </w:p>
    <w:p>
      <w:pPr>
        <w:pStyle w:val="27"/>
        <w:tabs>
          <w:tab w:val="left" w:pos="720"/>
        </w:tabs>
        <w:autoSpaceDE w:val="0"/>
        <w:autoSpaceDN w:val="0"/>
        <w:adjustRightInd w:val="0"/>
        <w:spacing w:line="360" w:lineRule="auto"/>
        <w:ind w:right="17" w:firstLine="482"/>
        <w:jc w:val="left"/>
        <w:outlineLvl w:val="1"/>
        <w:rPr>
          <w:rFonts w:hint="default"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四、</w:t>
      </w:r>
      <w:r>
        <w:rPr>
          <w:rFonts w:hint="eastAsia" w:ascii="宋体" w:hAnsi="宋体"/>
          <w:b/>
          <w:color w:val="auto"/>
          <w:sz w:val="24"/>
          <w:highlight w:val="none"/>
        </w:rPr>
        <w:t>项目成果验收要求</w:t>
      </w:r>
    </w:p>
    <w:p>
      <w:pPr>
        <w:pStyle w:val="27"/>
        <w:keepNext w:val="0"/>
        <w:keepLines w:val="0"/>
        <w:pageBreakBefore w:val="0"/>
        <w:widowControl w:val="0"/>
        <w:tabs>
          <w:tab w:val="left" w:pos="720"/>
        </w:tabs>
        <w:kinsoku/>
        <w:wordWrap/>
        <w:overflowPunct/>
        <w:topLinePunct w:val="0"/>
        <w:autoSpaceDE w:val="0"/>
        <w:autoSpaceDN w:val="0"/>
        <w:bidi w:val="0"/>
        <w:adjustRightInd w:val="0"/>
        <w:snapToGrid w:val="0"/>
        <w:spacing w:line="560" w:lineRule="exact"/>
        <w:ind w:right="0" w:firstLine="482"/>
        <w:jc w:val="left"/>
        <w:textAlignment w:val="auto"/>
        <w:outlineLvl w:val="1"/>
        <w:rPr>
          <w:rFonts w:hint="eastAsia" w:ascii="宋体" w:hAnsi="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成果需满足国家颁布的有关法律、法规及政策要求，符合相关的技术规范和标准，具体要求如下：本项目最终成果为《&lt;深圳前海湾保税港区管理暂行办法&gt;立法后评估报告》，以书面形式(按</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要求份数印制)和电子文件形式提交。最终成果验收合格的标志为</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审查通过</w:t>
      </w:r>
      <w:r>
        <w:rPr>
          <w:rFonts w:hint="eastAsia" w:ascii="宋体" w:hAnsi="宋体" w:cs="宋体"/>
          <w:color w:val="auto"/>
          <w:kern w:val="2"/>
          <w:sz w:val="24"/>
          <w:szCs w:val="24"/>
          <w:highlight w:val="none"/>
          <w:lang w:val="en-US" w:eastAsia="zh-CN" w:bidi="ar-SA"/>
        </w:rPr>
        <w:t>。</w:t>
      </w:r>
    </w:p>
    <w:p>
      <w:pPr>
        <w:pStyle w:val="27"/>
        <w:tabs>
          <w:tab w:val="left" w:pos="720"/>
        </w:tabs>
        <w:autoSpaceDE w:val="0"/>
        <w:autoSpaceDN w:val="0"/>
        <w:adjustRightInd w:val="0"/>
        <w:spacing w:line="360" w:lineRule="auto"/>
        <w:ind w:right="17" w:firstLine="482"/>
        <w:jc w:val="left"/>
        <w:outlineLvl w:val="1"/>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五、项目其他要求</w:t>
      </w:r>
    </w:p>
    <w:p>
      <w:pPr>
        <w:pStyle w:val="27"/>
        <w:tabs>
          <w:tab w:val="left" w:pos="720"/>
        </w:tabs>
        <w:autoSpaceDE w:val="0"/>
        <w:autoSpaceDN w:val="0"/>
        <w:adjustRightInd w:val="0"/>
        <w:spacing w:line="360" w:lineRule="auto"/>
        <w:ind w:right="17" w:firstLine="482"/>
        <w:jc w:val="left"/>
        <w:outlineLvl w:val="1"/>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cs="宋体"/>
          <w:color w:val="auto"/>
          <w:kern w:val="2"/>
          <w:sz w:val="24"/>
          <w:szCs w:val="24"/>
          <w:highlight w:val="none"/>
          <w:lang w:val="en-US" w:eastAsia="zh-CN" w:bidi="ar-SA"/>
        </w:rPr>
        <w:t>投标人应确保投标文件中的人员信息真实、有效。</w:t>
      </w:r>
    </w:p>
    <w:p>
      <w:pPr>
        <w:pStyle w:val="27"/>
        <w:tabs>
          <w:tab w:val="left" w:pos="720"/>
        </w:tabs>
        <w:autoSpaceDE w:val="0"/>
        <w:autoSpaceDN w:val="0"/>
        <w:adjustRightInd w:val="0"/>
        <w:spacing w:line="360" w:lineRule="auto"/>
        <w:ind w:right="17" w:firstLine="482"/>
        <w:jc w:val="left"/>
        <w:outlineLvl w:val="1"/>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采购人有权根据实际需要对研究成果进行综合优化、调整和修改。</w:t>
      </w:r>
    </w:p>
    <w:p>
      <w:pPr>
        <w:pStyle w:val="27"/>
        <w:tabs>
          <w:tab w:val="left" w:pos="720"/>
        </w:tabs>
        <w:autoSpaceDE w:val="0"/>
        <w:autoSpaceDN w:val="0"/>
        <w:adjustRightInd w:val="0"/>
        <w:spacing w:line="360" w:lineRule="auto"/>
        <w:ind w:right="17" w:firstLine="482"/>
        <w:jc w:val="left"/>
        <w:outlineLvl w:val="1"/>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中标人不得以任何名义分包本项目工作中的主体工作内容。</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商务要求</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（一）服务期限</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自合同签订之日起2个月</w:t>
      </w:r>
      <w:r>
        <w:rPr>
          <w:rFonts w:hint="eastAsia" w:ascii="宋体" w:hAnsi="宋体" w:eastAsia="宋体" w:cs="宋体"/>
          <w:color w:val="auto"/>
          <w:kern w:val="2"/>
          <w:sz w:val="24"/>
          <w:szCs w:val="24"/>
          <w:highlight w:val="none"/>
          <w:lang w:val="en-US" w:eastAsia="zh-CN" w:bidi="ar-SA"/>
        </w:rPr>
        <w:t>。</w:t>
      </w:r>
    </w:p>
    <w:p>
      <w:pPr>
        <w:pStyle w:val="27"/>
        <w:tabs>
          <w:tab w:val="left" w:pos="720"/>
        </w:tabs>
        <w:autoSpaceDE w:val="0"/>
        <w:autoSpaceDN w:val="0"/>
        <w:adjustRightInd w:val="0"/>
        <w:spacing w:line="360" w:lineRule="auto"/>
        <w:ind w:right="17" w:firstLine="482"/>
        <w:jc w:val="left"/>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（二）后续服务要求</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1.售后服务内容</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在售后服务期限内，参与项目相关的汇报讨论工作，为推动建设前海现代服务综合保税区提供咨询服务。</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2.售后服务要求</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（1）投标人在投标文件中应提供详细的售后服务承诺书；</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（2）投标人安排专人负责售后技术支持，并提供其联系手机、电话、微信、Email；如人员需要调整应及时通知采购人；</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（3）按采购人要求完成售后服务。</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3.售后服务期限</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本项目最后成果提交采购人后即进入售后服务期，要求由中标人提供1年的技术支持。</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（三）报价要求</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服务费采用包干制，应包括所有服务费用、项目调研费用、工作人员工资、差旅费、通讯、交通费用、分析费用、项目成果文本印刷费用、文件资料发送至采购人的费用、税费等。由报价人根据招标文件所提供的资料自行测算报价；一经中标，正式报价总价作为中标人与采购人签定的合同金额，合同期限内不做调整。</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3.投标人的投标报价，应是本项目招标范围和招标文件及合同条款上所列的各项内容中所述的全部，不得以任何理由予以重复，并以投标人在投标文件中提出的综合单价或总价为依据。</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4.投标人应充分了解项目的位置、情况、道路及任何其他足以影响投标报价的情况，任何因忽视或误解项目情况而导致的索赔或服务期限延长申请将不获批准。</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（四）付款方式</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1.项目资金分2期支付至中标人指定银行账户：</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首期：双方签订合同后15个工作日内，根据中标人提出的付款申请，</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支付中标人合同总价款的50%作为预付款。</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第 2 期：中标人提交工作成果，并通过</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验收后，根据中标人提出的付款申请，</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支付中标人合同总价款的50%。</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（五）成果权属与知识产权</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本项目全部阶段性成果和最终成果（包括为后续服务范围所编制的文件）的知识产权以及与之相关的所有权利归采购人所有；本合同签署前双方已经拥有的知识产权权利，仍归各自所有。</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双方确定，采购人有权利用中标人按照本合同约定提供的研究开发成果，进行后续改进。由此产生的具有实质性或创造性技术进步特征的新的技术成果及其权利归属，全部由采购人享有。具体相关利益的分配办法如下：采购人100%。</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人所提交的全部中间成果和最终成果文件及任何数据、资料、软件等不得侵犯任何第三方的知识产权或其他权利，由于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5.中标人完成本合同项目的研究开发人员享有在有关技术成果文件上写明技术成果完成者的权利和与采购人共同获得有关荣誉证书、奖励的权利。</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（六）保密条款</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双方应保守的秘密是指不为公众所知悉、能为权利人带来经济利益、具有实用性并经权利人采取保密措施的技术信息和经营信息，或由甲乙双方在履行本合同过程中明确指明为秘密的、法律所认可的任何信息，以及中标人在履行本合同过程中所获得或接触到的任何采购人内部数据资料。</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4.中标人实施项目的程序应符合国家安全、保密的有关规定和标准。</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5.上述保密义务不适用以下情况：</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（1）获取的信息已被合法公开；</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（2）获得信息拥有方书面许可并在该许可范围内披露；</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（3）国家法律、法规规定的情形。</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上述索赔或责任所产生的诉讼费用、合理的律师费用、鉴定评估费用、调查费用、和解金额或生效法律文书中规定的赔偿金额。</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8.无论本合同或本合同其他条款是否有效，本保密条款始终约束双方。国家秘密的保密期限由国家有关部门确定，工作秘密的保密期限由采购人确定。</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（七）违约责任</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1.中标人未按照本合同约定的时间完成本项目各阶段工作，每延迟一日，采购人有权自尚未支付的合同款项中扣除本合同服务费总金额的1‰的逾期违约金。</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2.本项目项下的工作内容不可分割，任一文件的迟延交付均视为整个项目的迟延交付。</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3.本合同履行期间，发生下述情形时，采购人有权解除本合同，中标人除应退还采购人已支付的全部款项外, 还应在合同解除通知发出之日起10日内向采购人支付合同总价款20%的违约金。中标人应同时将已完成的项目成果移交给采购人，并将全部有关资料退还采购人：</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（1）中标人未能按合同约定的日期(含协商延缓的日期)提交各阶段成果或最终成果，延误时间超过15个工作日；</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（2）因中标人工作的错误或遗漏造成成果质量损失，工作成果质量低劣，不能满足采购人工作需要和要求；</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（3）中标人虽如期提交最终成果，但连续二次未能通过采购人验收的；</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（4）未经采购人书面在先同意，中标人擅自将本合同项目与任何第三方合作，或将本合同标的全部或部分擅自转包或分包给任何第三方，且未按采购人的要求终止与第三方的合同的；</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（5）项目负责人未承担本合同项目实质性工作，或未经采购人书面在先同意，中标人擅自更换项目负责人的；</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（6）发现中标人或中标人工作人员出现全部或部分丧失履行委托服务能力的情况，采购人有权通知中标人限期整改或更换工作人员，期限届满中标人并未进行改善的；</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（7）中标人明确表示或者以自己的行为表明不履行本合同的。</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sz w:val="24"/>
          <w:highlight w:val="none"/>
          <w:lang w:val="en-US" w:eastAsia="zh-CN"/>
        </w:rPr>
        <w:t>若因甲方付款审批影响支付进度，不视为违约，请乙方予以谅解，并不得就此向甲方索赔。</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上述违约责任各自独立且可累加。本合同所约定的违约金如低于因违约行为所造成的损失，违约方应补偿上述不足部分的损失，包括但不限于上述索赔或责任所产生的诉讼费用、合理的律师费用、鉴定评估费用、调查费用、和解金额或生效法律文书中规定的赔偿金额。</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（八）争议解决方式</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因合同的履行发生的或与合同有关的争议或纠纷，由双方协商解决，协商不成的，任意一方有权向深圳前海合作区人民法院提起诉讼。</w:t>
      </w:r>
    </w:p>
    <w:p>
      <w:pPr>
        <w:widowControl/>
        <w:spacing w:line="360" w:lineRule="auto"/>
        <w:ind w:firstLine="480" w:firstLineChars="200"/>
        <w:jc w:val="center"/>
        <w:outlineLvl w:val="0"/>
        <w:rPr>
          <w:rFonts w:hint="eastAsia" w:ascii="宋体" w:cs="宋体"/>
          <w:b/>
          <w:bCs/>
          <w:color w:val="auto"/>
          <w:sz w:val="24"/>
          <w:highlight w:val="none"/>
        </w:rPr>
      </w:pPr>
      <w:r>
        <w:rPr>
          <w:rFonts w:hint="eastAsia" w:ascii="宋体" w:hAnsi="宋体" w:cs="宋体"/>
          <w:color w:val="auto"/>
          <w:sz w:val="24"/>
          <w:highlight w:val="none"/>
        </w:rPr>
        <w:br w:type="page"/>
      </w:r>
      <w:bookmarkStart w:id="18" w:name="_Toc23822"/>
      <w:r>
        <w:rPr>
          <w:rFonts w:hint="eastAsia" w:ascii="宋体" w:cs="宋体"/>
          <w:b/>
          <w:bCs/>
          <w:color w:val="auto"/>
          <w:sz w:val="24"/>
          <w:highlight w:val="none"/>
        </w:rPr>
        <w:t>第六章 投标文件初审及招标项目评分表</w:t>
      </w:r>
      <w:bookmarkEnd w:id="18"/>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投标文件初审表（不可偏离条款）</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7108"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投标人不具备招标文件所列的资格要求，或未提交相应的资格证明资料（详见招标公告 投标人资格要求）</w:t>
            </w:r>
            <w:r>
              <w:rPr>
                <w:rFonts w:hint="eastAsia" w:ascii="宋体" w:hAnsi="宋体" w:cs="宋体"/>
                <w:color w:val="auto"/>
                <w:sz w:val="24"/>
                <w:highlight w:val="none"/>
                <w:lang w:val="en-US"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将一个包中的内容拆开投标</w:t>
            </w:r>
            <w:r>
              <w:rPr>
                <w:rFonts w:hint="eastAsia" w:ascii="宋体" w:hAnsi="宋体" w:cs="宋体"/>
                <w:color w:val="auto"/>
                <w:sz w:val="24"/>
                <w:highlight w:val="none"/>
                <w:lang w:val="en-US"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投标文件未按规定密封、签字、盖章</w:t>
            </w:r>
            <w:r>
              <w:rPr>
                <w:rFonts w:hint="eastAsia" w:ascii="宋体" w:hAnsi="宋体" w:cs="宋体"/>
                <w:color w:val="auto"/>
                <w:sz w:val="24"/>
                <w:highlight w:val="none"/>
                <w:lang w:val="en-US"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招标文件未规定允许有替代方案时，对同一项目投标时，同时提供两套或两套以上的投标方案</w:t>
            </w:r>
            <w:r>
              <w:rPr>
                <w:rFonts w:hint="eastAsia" w:ascii="宋体" w:hAnsi="宋体" w:cs="宋体"/>
                <w:color w:val="auto"/>
                <w:sz w:val="24"/>
                <w:highlight w:val="none"/>
                <w:lang w:val="en-US"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分项报价或投标总价高于预算金额（最高投标限价）或投标报价有严重缺漏项</w:t>
            </w:r>
            <w:r>
              <w:rPr>
                <w:rFonts w:hint="eastAsia" w:ascii="宋体" w:hAnsi="宋体" w:cs="宋体"/>
                <w:color w:val="auto"/>
                <w:sz w:val="24"/>
                <w:highlight w:val="none"/>
                <w:lang w:val="en-US"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同一项目出现两个及以上报价，按规定又无法确定哪个是有效报价</w:t>
            </w:r>
            <w:r>
              <w:rPr>
                <w:rFonts w:hint="eastAsia" w:ascii="宋体" w:hAnsi="宋体" w:cs="宋体"/>
                <w:color w:val="auto"/>
                <w:sz w:val="24"/>
                <w:highlight w:val="none"/>
                <w:lang w:val="en-US"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投标文件载明的招标项目完成或服务期限不满足招标文件规定的</w:t>
            </w:r>
            <w:r>
              <w:rPr>
                <w:rFonts w:hint="eastAsia" w:ascii="宋体" w:hAnsi="宋体" w:cs="宋体"/>
                <w:color w:val="auto"/>
                <w:sz w:val="24"/>
                <w:highlight w:val="none"/>
                <w:lang w:val="en-US"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7108" w:type="dxa"/>
            <w:noWrap w:val="0"/>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所投货物或工程或服务在质量、技术、方案等方面没有实质性满足招标文件要求</w:t>
            </w:r>
            <w:r>
              <w:rPr>
                <w:rFonts w:hint="eastAsia" w:ascii="宋体" w:hAnsi="宋体" w:cs="宋体"/>
                <w:color w:val="auto"/>
                <w:sz w:val="24"/>
                <w:highlight w:val="none"/>
                <w:lang w:val="en-US" w:eastAsia="zh-CN"/>
              </w:rPr>
              <w:t>”的情形</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《用户需求响应表》未按要求填写，经评审委员会认定存在不明或不实的</w:t>
            </w:r>
            <w:r>
              <w:rPr>
                <w:rFonts w:hint="eastAsia" w:ascii="宋体" w:hAnsi="宋体" w:cs="宋体"/>
                <w:color w:val="auto"/>
                <w:sz w:val="24"/>
                <w:highlight w:val="none"/>
                <w:lang w:val="en-US" w:eastAsia="zh-CN"/>
              </w:rPr>
              <w:t>”的情形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未出现</w:t>
            </w:r>
            <w:r>
              <w:rPr>
                <w:rFonts w:hint="eastAsia" w:ascii="宋体" w:hAnsi="宋体" w:cs="宋体"/>
                <w:color w:val="auto"/>
                <w:sz w:val="24"/>
                <w:highlight w:val="none"/>
              </w:rPr>
              <w:t>法律、法规规定的其他情形</w:t>
            </w:r>
          </w:p>
        </w:tc>
      </w:tr>
    </w:tbl>
    <w:p>
      <w:pPr>
        <w:spacing w:line="360" w:lineRule="auto"/>
        <w:jc w:val="center"/>
        <w:rPr>
          <w:rFonts w:hint="eastAsia"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招标项目评分表</w:t>
      </w:r>
    </w:p>
    <w:tbl>
      <w:tblPr>
        <w:tblStyle w:val="18"/>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一、价格部分（</w:t>
            </w: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kern w:val="2"/>
                <w:sz w:val="24"/>
                <w:szCs w:val="24"/>
                <w:highlight w:val="none"/>
                <w:lang w:val="en-US" w:eastAsia="zh-CN" w:bidi="ar-SA"/>
              </w:rPr>
              <w:t>0</w:t>
            </w:r>
            <w:r>
              <w:rPr>
                <w:rFonts w:hint="eastAsia" w:ascii="宋体" w:hAnsi="宋体" w:eastAsia="宋体" w:cs="宋体"/>
                <w:b/>
                <w:bCs/>
                <w:color w:val="auto"/>
                <w:kern w:val="2"/>
                <w:sz w:val="24"/>
                <w:szCs w:val="24"/>
                <w:highlight w:val="none"/>
                <w:lang w:val="zh-CN" w:eastAsia="zh-CN" w:bidi="ar-SA"/>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序号</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内容</w:t>
            </w:r>
          </w:p>
        </w:tc>
        <w:tc>
          <w:tcPr>
            <w:tcW w:w="5907"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评分规则</w:t>
            </w:r>
          </w:p>
        </w:tc>
        <w:tc>
          <w:tcPr>
            <w:tcW w:w="901"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权重</w:t>
            </w:r>
          </w:p>
        </w:tc>
        <w:tc>
          <w:tcPr>
            <w:tcW w:w="1079"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投标报价</w:t>
            </w:r>
          </w:p>
        </w:tc>
        <w:tc>
          <w:tcPr>
            <w:tcW w:w="5907" w:type="dxa"/>
            <w:noWrap w:val="0"/>
            <w:vAlign w:val="center"/>
          </w:tcPr>
          <w:p>
            <w:pPr>
              <w:autoSpaceDE w:val="0"/>
              <w:autoSpaceDN w:val="0"/>
              <w:adjustRightIn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采用低价优先法计算，即满足招标文件要求且投标价格最低的投标报价为评标基准价，其价格分为满分。其他投标人的价格分统一按照下列公式计算：</w:t>
            </w:r>
          </w:p>
          <w:p>
            <w:pPr>
              <w:autoSpaceDE w:val="0"/>
              <w:autoSpaceDN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投标报价得分=(评标基准价／投标报价)×</w:t>
            </w:r>
            <w:r>
              <w:rPr>
                <w:rFonts w:hint="eastAsia" w:ascii="宋体" w:hAnsi="宋体" w:cs="宋体"/>
                <w:color w:val="auto"/>
                <w:kern w:val="2"/>
                <w:sz w:val="24"/>
                <w:szCs w:val="24"/>
                <w:highlight w:val="none"/>
                <w:lang w:val="en-US" w:eastAsia="zh-CN" w:bidi="ar-SA"/>
              </w:rPr>
              <w:t>10</w:t>
            </w:r>
          </w:p>
          <w:p>
            <w:pPr>
              <w:autoSpaceDE w:val="0"/>
              <w:autoSpaceDN w:val="0"/>
              <w:adjustRightIn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价格评分仅限于有效投标人，当价格分&lt;0时，取0。</w:t>
            </w:r>
          </w:p>
          <w:p>
            <w:pPr>
              <w:autoSpaceDE w:val="0"/>
              <w:autoSpaceDN w:val="0"/>
              <w:adjustRightIn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r>
              <w:rPr>
                <w:rFonts w:hint="eastAsia" w:ascii="宋体" w:hAnsi="宋体" w:cs="宋体"/>
                <w:color w:val="auto"/>
                <w:sz w:val="24"/>
                <w:highlight w:val="none"/>
              </w:rPr>
              <w:t>。</w:t>
            </w:r>
          </w:p>
          <w:p>
            <w:pPr>
              <w:autoSpaceDE w:val="0"/>
              <w:autoSpaceDN w:val="0"/>
              <w:adjustRightIn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监狱企业应当提供由省级以上监狱管理局、戒毒管理局（含新疆生产建设兵团）出具的属于监狱企业的证明文件，中小企业提供中小企业声明函，残疾人福利性企业提供残疾人福利性企业声明函。</w:t>
            </w:r>
          </w:p>
          <w:p>
            <w:pPr>
              <w:autoSpaceDE w:val="0"/>
              <w:autoSpaceDN w:val="0"/>
              <w:adjustRightInd w:val="0"/>
              <w:spacing w:line="360" w:lineRule="auto"/>
              <w:rPr>
                <w:rFonts w:hint="eastAsia" w:eastAsia="宋体"/>
                <w:color w:val="auto"/>
                <w:highlight w:val="none"/>
                <w:lang w:val="en-US" w:eastAsia="zh-CN"/>
              </w:rPr>
            </w:pPr>
            <w:r>
              <w:rPr>
                <w:rFonts w:hint="eastAsia" w:ascii="宋体" w:hAnsi="宋体" w:cs="宋体"/>
                <w:color w:val="auto"/>
                <w:kern w:val="2"/>
                <w:sz w:val="24"/>
                <w:szCs w:val="24"/>
                <w:highlight w:val="none"/>
                <w:lang w:val="en-US" w:eastAsia="zh-CN" w:bidi="ar-SA"/>
              </w:rPr>
              <w:t>3.本项目所属行业：</w:t>
            </w:r>
            <w:r>
              <w:rPr>
                <w:rFonts w:hint="eastAsia" w:ascii="宋体" w:hAnsi="宋体" w:cs="宋体"/>
                <w:color w:val="auto"/>
                <w:sz w:val="24"/>
                <w:highlight w:val="none"/>
                <w:u w:val="single"/>
              </w:rPr>
              <w:t>其他未列明行业</w:t>
            </w:r>
            <w:r>
              <w:rPr>
                <w:rFonts w:hint="eastAsia" w:ascii="宋体" w:hAnsi="宋体" w:cs="宋体"/>
                <w:color w:val="auto"/>
                <w:sz w:val="24"/>
                <w:highlight w:val="none"/>
                <w:lang w:eastAsia="zh-CN"/>
              </w:rPr>
              <w:t>。</w:t>
            </w:r>
          </w:p>
        </w:tc>
        <w:tc>
          <w:tcPr>
            <w:tcW w:w="901"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p>
        </w:tc>
        <w:tc>
          <w:tcPr>
            <w:tcW w:w="1079"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二、商务部分（</w:t>
            </w:r>
            <w:r>
              <w:rPr>
                <w:rFonts w:hint="eastAsia" w:ascii="宋体" w:hAnsi="宋体" w:cs="宋体"/>
                <w:b/>
                <w:color w:val="auto"/>
                <w:sz w:val="24"/>
                <w:highlight w:val="none"/>
                <w:lang w:val="en-US" w:eastAsia="zh-CN"/>
              </w:rPr>
              <w:t>60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901"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1079"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22" w:type="dxa"/>
            <w:noWrap w:val="0"/>
            <w:vAlign w:val="center"/>
          </w:tcPr>
          <w:p>
            <w:pPr>
              <w:spacing w:line="360" w:lineRule="auto"/>
              <w:ind w:firstLine="240" w:firstLineChars="1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1168" w:type="dxa"/>
            <w:noWrap w:val="0"/>
            <w:vAlign w:val="center"/>
          </w:tcPr>
          <w:p>
            <w:pPr>
              <w:autoSpaceDE w:val="0"/>
              <w:autoSpaceDN w:val="0"/>
              <w:adjustRightInd w:val="0"/>
              <w:spacing w:line="400" w:lineRule="exact"/>
              <w:jc w:val="center"/>
              <w:rPr>
                <w:rFonts w:hint="default" w:ascii="宋体" w:hAnsi="宋体" w:eastAsia="宋体" w:cs="宋体"/>
                <w:color w:val="auto"/>
                <w:sz w:val="24"/>
                <w:highlight w:val="none"/>
                <w:lang w:val="en-US"/>
              </w:rPr>
            </w:pPr>
            <w:r>
              <w:rPr>
                <w:rFonts w:hint="eastAsia" w:ascii="宋体" w:hAnsi="宋体" w:cs="宋体"/>
                <w:color w:val="auto"/>
                <w:sz w:val="24"/>
                <w:highlight w:val="none"/>
              </w:rPr>
              <w:t>项目负责人（仅限一人）</w:t>
            </w:r>
          </w:p>
        </w:tc>
        <w:tc>
          <w:tcPr>
            <w:tcW w:w="5907" w:type="dxa"/>
            <w:shd w:val="clear" w:color="auto" w:fill="auto"/>
            <w:noWrap w:val="0"/>
            <w:vAlign w:val="top"/>
          </w:tcPr>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（一）</w:t>
            </w:r>
            <w:r>
              <w:rPr>
                <w:rFonts w:hint="eastAsia" w:ascii="宋体" w:hAnsi="宋体" w:eastAsia="宋体" w:cs="宋体"/>
                <w:color w:val="auto"/>
                <w:kern w:val="2"/>
                <w:sz w:val="24"/>
                <w:highlight w:val="none"/>
                <w:lang w:val="en-US" w:eastAsia="zh-CN"/>
              </w:rPr>
              <w:t>评审内容</w:t>
            </w:r>
            <w:r>
              <w:rPr>
                <w:rFonts w:hint="eastAsia" w:ascii="宋体" w:hAnsi="宋体" w:eastAsia="宋体" w:cs="宋体"/>
                <w:color w:val="auto"/>
                <w:kern w:val="2"/>
                <w:sz w:val="24"/>
                <w:highlight w:val="none"/>
                <w:lang w:val="zh-CN"/>
              </w:rPr>
              <w:t>：</w:t>
            </w:r>
          </w:p>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1.拟安排本项目的项目负责人(仅一人)具有10年及以上律师执业经验，得</w:t>
            </w:r>
            <w:r>
              <w:rPr>
                <w:rFonts w:hint="eastAsia" w:ascii="宋体" w:hAnsi="宋体" w:eastAsia="宋体" w:cs="宋体"/>
                <w:color w:val="auto"/>
                <w:kern w:val="2"/>
                <w:sz w:val="24"/>
                <w:highlight w:val="none"/>
                <w:lang w:val="en-US" w:eastAsia="zh-CN"/>
              </w:rPr>
              <w:t>5</w:t>
            </w:r>
            <w:r>
              <w:rPr>
                <w:rFonts w:hint="eastAsia" w:ascii="宋体" w:hAnsi="宋体" w:eastAsia="宋体" w:cs="宋体"/>
                <w:color w:val="auto"/>
                <w:kern w:val="2"/>
                <w:sz w:val="24"/>
                <w:highlight w:val="none"/>
                <w:lang w:val="zh-CN"/>
              </w:rPr>
              <w:t>分；具有7年及以上不满10年的律师执业经验得3分；本项最高得</w:t>
            </w:r>
            <w:r>
              <w:rPr>
                <w:rFonts w:hint="eastAsia" w:ascii="宋体" w:hAnsi="宋体" w:eastAsia="宋体" w:cs="宋体"/>
                <w:color w:val="auto"/>
                <w:kern w:val="2"/>
                <w:sz w:val="24"/>
                <w:highlight w:val="none"/>
                <w:lang w:val="en-US" w:eastAsia="zh-CN"/>
              </w:rPr>
              <w:t>5</w:t>
            </w:r>
            <w:r>
              <w:rPr>
                <w:rFonts w:hint="eastAsia" w:ascii="宋体" w:hAnsi="宋体" w:eastAsia="宋体" w:cs="宋体"/>
                <w:color w:val="auto"/>
                <w:kern w:val="2"/>
                <w:sz w:val="24"/>
                <w:highlight w:val="none"/>
                <w:lang w:val="zh-CN"/>
              </w:rPr>
              <w:t>分。</w:t>
            </w:r>
          </w:p>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2.</w:t>
            </w:r>
            <w:r>
              <w:rPr>
                <w:rFonts w:hint="eastAsia" w:ascii="宋体" w:hAnsi="宋体" w:eastAsia="宋体" w:cs="宋体"/>
                <w:color w:val="auto"/>
                <w:kern w:val="2"/>
                <w:sz w:val="24"/>
                <w:highlight w:val="none"/>
                <w:lang w:val="en-US" w:eastAsia="zh-CN"/>
              </w:rPr>
              <w:t>项目负责人具有立法工作经验，</w:t>
            </w:r>
            <w:r>
              <w:rPr>
                <w:rFonts w:hint="eastAsia" w:ascii="宋体" w:hAnsi="宋体" w:eastAsia="宋体" w:cs="宋体"/>
                <w:color w:val="auto"/>
                <w:kern w:val="2"/>
                <w:sz w:val="24"/>
                <w:highlight w:val="none"/>
                <w:lang w:val="zh-CN"/>
              </w:rPr>
              <w:t>自202</w:t>
            </w:r>
            <w:r>
              <w:rPr>
                <w:rFonts w:hint="eastAsia" w:ascii="宋体" w:hAnsi="宋体" w:cs="宋体"/>
                <w:color w:val="auto"/>
                <w:kern w:val="2"/>
                <w:sz w:val="24"/>
                <w:highlight w:val="none"/>
                <w:lang w:val="en-US" w:eastAsia="zh-CN"/>
              </w:rPr>
              <w:t>1</w:t>
            </w:r>
            <w:r>
              <w:rPr>
                <w:rFonts w:hint="eastAsia" w:ascii="宋体" w:hAnsi="宋体" w:eastAsia="宋体" w:cs="宋体"/>
                <w:color w:val="auto"/>
                <w:kern w:val="2"/>
                <w:sz w:val="24"/>
                <w:highlight w:val="none"/>
                <w:lang w:val="zh-CN"/>
              </w:rPr>
              <w:t>年1月1日至投标截止之日，</w:t>
            </w:r>
            <w:r>
              <w:rPr>
                <w:rFonts w:hint="eastAsia" w:ascii="宋体" w:hAnsi="宋体" w:cs="宋体"/>
                <w:color w:val="auto"/>
                <w:kern w:val="2"/>
                <w:sz w:val="24"/>
                <w:highlight w:val="none"/>
              </w:rPr>
              <w:t>以合同签订时间为准，</w:t>
            </w:r>
            <w:r>
              <w:rPr>
                <w:rFonts w:hint="eastAsia" w:ascii="宋体" w:hAnsi="宋体" w:eastAsia="宋体" w:cs="宋体"/>
                <w:color w:val="auto"/>
                <w:kern w:val="2"/>
                <w:sz w:val="24"/>
                <w:highlight w:val="none"/>
                <w:lang w:val="zh-CN"/>
              </w:rPr>
              <w:t>参与</w:t>
            </w:r>
            <w:r>
              <w:rPr>
                <w:rFonts w:hint="eastAsia" w:ascii="宋体" w:hAnsi="宋体" w:cs="宋体"/>
                <w:color w:val="auto"/>
                <w:kern w:val="2"/>
                <w:sz w:val="24"/>
                <w:highlight w:val="none"/>
                <w:lang w:val="en-US" w:eastAsia="zh-CN"/>
              </w:rPr>
              <w:t>过</w:t>
            </w:r>
            <w:r>
              <w:rPr>
                <w:rFonts w:hint="eastAsia" w:ascii="宋体" w:hAnsi="宋体" w:eastAsia="宋体" w:cs="宋体"/>
                <w:color w:val="auto"/>
                <w:kern w:val="2"/>
                <w:sz w:val="24"/>
                <w:highlight w:val="none"/>
                <w:lang w:val="zh-CN"/>
              </w:rPr>
              <w:t>法规起草或修订的，得5分；自202</w:t>
            </w:r>
            <w:r>
              <w:rPr>
                <w:rFonts w:hint="eastAsia" w:ascii="宋体" w:hAnsi="宋体" w:cs="宋体"/>
                <w:color w:val="auto"/>
                <w:kern w:val="2"/>
                <w:sz w:val="24"/>
                <w:highlight w:val="none"/>
                <w:lang w:val="en-US" w:eastAsia="zh-CN"/>
              </w:rPr>
              <w:t>1</w:t>
            </w:r>
            <w:r>
              <w:rPr>
                <w:rFonts w:hint="eastAsia" w:ascii="宋体" w:hAnsi="宋体" w:eastAsia="宋体" w:cs="宋体"/>
                <w:color w:val="auto"/>
                <w:kern w:val="2"/>
                <w:sz w:val="24"/>
                <w:highlight w:val="none"/>
                <w:lang w:val="zh-CN"/>
              </w:rPr>
              <w:t>年</w:t>
            </w:r>
            <w:r>
              <w:rPr>
                <w:rFonts w:hint="eastAsia" w:ascii="宋体" w:hAnsi="宋体" w:cs="宋体"/>
                <w:color w:val="auto"/>
                <w:kern w:val="2"/>
                <w:sz w:val="24"/>
                <w:highlight w:val="none"/>
                <w:lang w:val="en-US" w:eastAsia="zh-CN"/>
              </w:rPr>
              <w:t>1</w:t>
            </w:r>
            <w:r>
              <w:rPr>
                <w:rFonts w:hint="eastAsia" w:ascii="宋体" w:hAnsi="宋体" w:eastAsia="宋体" w:cs="宋体"/>
                <w:color w:val="auto"/>
                <w:kern w:val="2"/>
                <w:sz w:val="24"/>
                <w:highlight w:val="none"/>
                <w:lang w:val="zh-CN"/>
              </w:rPr>
              <w:t>月1日至投标截止之日，作为项目负责人参与政府规章起草或修订的，得3分；本项累计最高得8分。</w:t>
            </w:r>
          </w:p>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3.曾担任律师行业协会的立法专业委员会或其他依法成立的立法研究机构担任成员的，得5分。</w:t>
            </w:r>
          </w:p>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（二）</w:t>
            </w:r>
            <w:r>
              <w:rPr>
                <w:rFonts w:hint="eastAsia" w:ascii="宋体" w:hAnsi="宋体" w:eastAsia="宋体" w:cs="宋体"/>
                <w:color w:val="auto"/>
                <w:kern w:val="2"/>
                <w:sz w:val="24"/>
                <w:highlight w:val="none"/>
                <w:lang w:val="en-US" w:eastAsia="zh-CN"/>
              </w:rPr>
              <w:t>评分依据</w:t>
            </w:r>
            <w:r>
              <w:rPr>
                <w:rFonts w:hint="eastAsia" w:ascii="宋体" w:hAnsi="宋体" w:eastAsia="宋体" w:cs="宋体"/>
                <w:color w:val="auto"/>
                <w:kern w:val="2"/>
                <w:sz w:val="24"/>
                <w:highlight w:val="none"/>
                <w:lang w:val="zh-CN"/>
              </w:rPr>
              <w:t>：</w:t>
            </w:r>
          </w:p>
          <w:p>
            <w:pPr>
              <w:widowControl/>
              <w:tabs>
                <w:tab w:val="left" w:pos="426"/>
              </w:tabs>
              <w:spacing w:line="400" w:lineRule="exact"/>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1.律师执业经验：提供全国律师执业诚信信息公示平台 (credit.acla.org.cn)查询截图，执业年限以首次批准执业日期为准</w:t>
            </w:r>
            <w:r>
              <w:rPr>
                <w:rFonts w:hint="eastAsia" w:ascii="宋体" w:hAnsi="宋体" w:eastAsia="宋体" w:cs="宋体"/>
                <w:color w:val="auto"/>
                <w:sz w:val="24"/>
                <w:highlight w:val="none"/>
                <w:lang w:val="en-US" w:eastAsia="zh-CN"/>
              </w:rPr>
              <w:t>起算</w:t>
            </w:r>
            <w:r>
              <w:rPr>
                <w:rFonts w:hint="eastAsia" w:ascii="宋体" w:hAnsi="宋体" w:eastAsia="宋体" w:cs="宋体"/>
                <w:color w:val="auto"/>
                <w:sz w:val="24"/>
                <w:highlight w:val="none"/>
              </w:rPr>
              <w:t>。</w:t>
            </w:r>
          </w:p>
          <w:p>
            <w:pPr>
              <w:widowControl/>
              <w:tabs>
                <w:tab w:val="left" w:pos="426"/>
              </w:tabs>
              <w:spacing w:line="400" w:lineRule="exact"/>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.立法工作经验：提供相关合同关键页（包含签订日期页、主要内容页、盖章页，可以体现人员名称），</w:t>
            </w:r>
            <w:r>
              <w:rPr>
                <w:rFonts w:hint="eastAsia" w:ascii="宋体" w:hAnsi="宋体" w:eastAsia="宋体" w:cs="宋体"/>
                <w:color w:val="auto"/>
                <w:kern w:val="2"/>
                <w:sz w:val="24"/>
                <w:highlight w:val="none"/>
                <w:lang w:val="en-US" w:eastAsia="zh-CN"/>
              </w:rPr>
              <w:t>通过合同关键信息无法判断是否得分的，还须同时提供合同甲方出具的证明文件。</w:t>
            </w:r>
          </w:p>
          <w:p>
            <w:pPr>
              <w:widowControl/>
              <w:tabs>
                <w:tab w:val="left" w:pos="426"/>
              </w:tabs>
              <w:spacing w:line="400" w:lineRule="exact"/>
              <w:ind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立法研究机构成员证明：提供聘用证书等相关证明。由协会颁发的，需提供该协会“中国社会组织政务服务平台（https://chinanpo.mca.gov.cn/）”的已合法登记且状态正常截图，否则不予认可，视为无效证书，以杜绝“离岸社团”“山寨社团”</w:t>
            </w:r>
            <w:r>
              <w:rPr>
                <w:rFonts w:hint="eastAsia" w:ascii="宋体" w:hAnsi="宋体" w:cs="宋体"/>
                <w:color w:val="auto"/>
                <w:sz w:val="24"/>
                <w:highlight w:val="none"/>
                <w:lang w:val="en-US" w:eastAsia="zh-CN"/>
              </w:rPr>
              <w:t>。</w:t>
            </w:r>
          </w:p>
          <w:p>
            <w:pPr>
              <w:widowControl/>
              <w:tabs>
                <w:tab w:val="left" w:pos="426"/>
              </w:tabs>
              <w:spacing w:line="400" w:lineRule="exact"/>
              <w:ind w:firstLine="0" w:firstLineChars="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eastAsia="zh-CN"/>
              </w:rPr>
              <w:t>.要求提供项目负责人投标日期前</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个月</w:t>
            </w:r>
            <w:r>
              <w:rPr>
                <w:rFonts w:hint="eastAsia" w:ascii="宋体" w:hAnsi="宋体" w:eastAsia="宋体" w:cs="宋体"/>
                <w:color w:val="auto"/>
                <w:sz w:val="24"/>
                <w:highlight w:val="none"/>
                <w:lang w:val="en-US" w:eastAsia="zh-CN"/>
              </w:rPr>
              <w:t>内任1个月</w:t>
            </w:r>
            <w:r>
              <w:rPr>
                <w:rFonts w:hint="eastAsia" w:ascii="宋体" w:hAnsi="宋体" w:eastAsia="宋体" w:cs="宋体"/>
                <w:color w:val="auto"/>
                <w:sz w:val="24"/>
                <w:highlight w:val="none"/>
                <w:lang w:val="zh-CN" w:eastAsia="zh-CN"/>
              </w:rPr>
              <w:t>在同一投标单位缴纳社保证明（网页或窗口打印资料均可，社保证明资料应当至少包含养老保险，未完整提供资料的人员不予计分）。如供应商为新成立企业且成立时间不足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个月可提供加盖公章的情况说明或者证明材料亦视为符合。拟派项目负责人为退休返聘人员,则须提供相关聘用合同和退休证明,无需再提供社保证明。</w:t>
            </w:r>
          </w:p>
          <w:p>
            <w:pPr>
              <w:widowControl/>
              <w:tabs>
                <w:tab w:val="left" w:pos="426"/>
              </w:tabs>
              <w:spacing w:line="400" w:lineRule="exact"/>
              <w:ind w:firstLine="0" w:firstLineChars="0"/>
              <w:rPr>
                <w:rFonts w:hint="default"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zh-CN" w:eastAsia="zh-CN"/>
              </w:rPr>
              <w:t>5.以上资料均要求提供扫描件（或官方网站截图），原件备查。评分中出现无证明资料或专家无法凭所提供资料判断是否得分的情况，一律作不得分处理。</w:t>
            </w:r>
          </w:p>
        </w:tc>
        <w:tc>
          <w:tcPr>
            <w:tcW w:w="901" w:type="dxa"/>
            <w:noWrap w:val="0"/>
            <w:vAlign w:val="center"/>
          </w:tcPr>
          <w:p>
            <w:pPr>
              <w:autoSpaceDE w:val="0"/>
              <w:autoSpaceDN w:val="0"/>
              <w:adjustRightIn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1079" w:type="dxa"/>
            <w:noWrap w:val="0"/>
            <w:vAlign w:val="center"/>
          </w:tcPr>
          <w:p>
            <w:pPr>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1168" w:type="dxa"/>
            <w:noWrap w:val="0"/>
            <w:vAlign w:val="center"/>
          </w:tcPr>
          <w:p>
            <w:pPr>
              <w:autoSpaceDE w:val="0"/>
              <w:autoSpaceDN w:val="0"/>
              <w:adjustRightInd w:val="0"/>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rPr>
              <w:t>服务团队成员（不含项目负责人）</w:t>
            </w:r>
          </w:p>
        </w:tc>
        <w:tc>
          <w:tcPr>
            <w:tcW w:w="5907" w:type="dxa"/>
            <w:shd w:val="clear" w:color="auto" w:fill="auto"/>
            <w:noWrap w:val="0"/>
            <w:vAlign w:val="top"/>
          </w:tcPr>
          <w:p>
            <w:pPr>
              <w:spacing w:line="400" w:lineRule="exact"/>
              <w:jc w:val="left"/>
              <w:rPr>
                <w:rFonts w:hint="eastAsia" w:ascii="宋体" w:hAnsi="宋体" w:cs="宋体"/>
                <w:color w:val="auto"/>
                <w:kern w:val="2"/>
                <w:sz w:val="24"/>
                <w:highlight w:val="none"/>
                <w:lang w:val="zh-CN"/>
              </w:rPr>
            </w:pPr>
            <w:r>
              <w:rPr>
                <w:rFonts w:hint="eastAsia" w:ascii="宋体" w:hAnsi="宋体" w:cs="宋体"/>
                <w:color w:val="auto"/>
                <w:kern w:val="2"/>
                <w:sz w:val="24"/>
                <w:highlight w:val="none"/>
                <w:lang w:val="zh-CN"/>
              </w:rPr>
              <w:t>（一）评审</w:t>
            </w:r>
            <w:r>
              <w:rPr>
                <w:rFonts w:hint="eastAsia" w:ascii="宋体" w:hAnsi="宋体" w:cs="宋体"/>
                <w:color w:val="auto"/>
                <w:kern w:val="2"/>
                <w:sz w:val="24"/>
                <w:highlight w:val="none"/>
                <w:lang w:val="en-US" w:eastAsia="zh-CN"/>
              </w:rPr>
              <w:t>内容</w:t>
            </w:r>
            <w:r>
              <w:rPr>
                <w:rFonts w:hint="eastAsia" w:ascii="宋体" w:hAnsi="宋体" w:cs="宋体"/>
                <w:color w:val="auto"/>
                <w:kern w:val="2"/>
                <w:sz w:val="24"/>
                <w:highlight w:val="none"/>
                <w:lang w:val="zh-CN"/>
              </w:rPr>
              <w:t>：</w:t>
            </w:r>
          </w:p>
          <w:p>
            <w:pPr>
              <w:spacing w:line="400" w:lineRule="exact"/>
              <w:jc w:val="left"/>
              <w:rPr>
                <w:rFonts w:hint="eastAsia" w:ascii="宋体" w:hAnsi="宋体" w:eastAsia="宋体" w:cs="宋体"/>
                <w:color w:val="auto"/>
                <w:kern w:val="2"/>
                <w:sz w:val="24"/>
                <w:highlight w:val="none"/>
                <w:lang w:val="en-US" w:eastAsia="zh-CN"/>
              </w:rPr>
            </w:pPr>
            <w:r>
              <w:rPr>
                <w:rFonts w:hint="eastAsia" w:ascii="宋体" w:hAnsi="宋体" w:cs="宋体"/>
                <w:color w:val="auto"/>
                <w:kern w:val="2"/>
                <w:sz w:val="24"/>
                <w:highlight w:val="none"/>
              </w:rPr>
              <w:t>1.</w:t>
            </w:r>
            <w:r>
              <w:rPr>
                <w:rFonts w:hint="eastAsia" w:ascii="宋体" w:hAnsi="宋体" w:cs="宋体"/>
                <w:color w:val="auto"/>
                <w:kern w:val="2"/>
                <w:sz w:val="24"/>
                <w:highlight w:val="none"/>
                <w:lang w:val="en-US" w:eastAsia="zh-CN"/>
              </w:rPr>
              <w:t>团队成员每有一人为硕士研究生及以上学历且</w:t>
            </w:r>
            <w:r>
              <w:rPr>
                <w:rFonts w:hint="eastAsia" w:ascii="宋体" w:hAnsi="宋体" w:eastAsia="宋体" w:cs="宋体"/>
                <w:color w:val="auto"/>
                <w:kern w:val="2"/>
                <w:sz w:val="24"/>
                <w:highlight w:val="none"/>
                <w:lang w:val="zh-CN"/>
              </w:rPr>
              <w:t>具有</w:t>
            </w:r>
            <w:r>
              <w:rPr>
                <w:rFonts w:hint="eastAsia" w:ascii="宋体" w:hAnsi="宋体" w:cs="宋体"/>
                <w:color w:val="auto"/>
                <w:kern w:val="2"/>
                <w:sz w:val="24"/>
                <w:highlight w:val="none"/>
                <w:lang w:val="en-US" w:eastAsia="zh-CN"/>
              </w:rPr>
              <w:t>3</w:t>
            </w:r>
            <w:r>
              <w:rPr>
                <w:rFonts w:hint="eastAsia" w:ascii="宋体" w:hAnsi="宋体" w:eastAsia="宋体" w:cs="宋体"/>
                <w:color w:val="auto"/>
                <w:kern w:val="2"/>
                <w:sz w:val="24"/>
                <w:highlight w:val="none"/>
                <w:lang w:val="zh-CN"/>
              </w:rPr>
              <w:t>年及以上律师执业经验</w:t>
            </w:r>
            <w:r>
              <w:rPr>
                <w:rFonts w:hint="eastAsia" w:ascii="宋体" w:hAnsi="宋体" w:cs="宋体"/>
                <w:color w:val="auto"/>
                <w:kern w:val="2"/>
                <w:sz w:val="24"/>
                <w:highlight w:val="none"/>
                <w:lang w:val="en-US" w:eastAsia="zh-CN"/>
              </w:rPr>
              <w:t>的，得2分；</w:t>
            </w:r>
            <w:r>
              <w:rPr>
                <w:rFonts w:hint="eastAsia" w:ascii="宋体" w:hAnsi="宋体" w:cs="宋体"/>
                <w:color w:val="auto"/>
                <w:kern w:val="2"/>
                <w:sz w:val="24"/>
                <w:highlight w:val="none"/>
              </w:rPr>
              <w:t>本项最高得</w:t>
            </w:r>
            <w:r>
              <w:rPr>
                <w:rFonts w:hint="eastAsia" w:ascii="宋体" w:hAnsi="宋体" w:cs="宋体"/>
                <w:color w:val="auto"/>
                <w:kern w:val="2"/>
                <w:sz w:val="24"/>
                <w:highlight w:val="none"/>
                <w:lang w:val="en-US" w:eastAsia="zh-CN"/>
              </w:rPr>
              <w:t>6</w:t>
            </w:r>
            <w:r>
              <w:rPr>
                <w:rFonts w:hint="eastAsia" w:ascii="宋体" w:hAnsi="宋体" w:cs="宋体"/>
                <w:color w:val="auto"/>
                <w:kern w:val="2"/>
                <w:sz w:val="24"/>
                <w:highlight w:val="none"/>
              </w:rPr>
              <w:t>分；</w:t>
            </w:r>
          </w:p>
          <w:p>
            <w:pPr>
              <w:spacing w:line="400" w:lineRule="exact"/>
              <w:jc w:val="left"/>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val="en-US" w:eastAsia="zh-CN"/>
              </w:rPr>
              <w:t>2.</w:t>
            </w:r>
            <w:r>
              <w:rPr>
                <w:rFonts w:hint="eastAsia" w:ascii="宋体" w:hAnsi="宋体" w:cs="宋体"/>
                <w:color w:val="auto"/>
                <w:kern w:val="2"/>
                <w:sz w:val="24"/>
                <w:highlight w:val="none"/>
              </w:rPr>
              <w:t>自202</w:t>
            </w:r>
            <w:r>
              <w:rPr>
                <w:rFonts w:hint="eastAsia" w:ascii="宋体" w:hAnsi="宋体" w:cs="宋体"/>
                <w:color w:val="auto"/>
                <w:kern w:val="2"/>
                <w:sz w:val="24"/>
                <w:highlight w:val="none"/>
                <w:lang w:val="en-US" w:eastAsia="zh-CN"/>
              </w:rPr>
              <w:t>1</w:t>
            </w:r>
            <w:r>
              <w:rPr>
                <w:rFonts w:hint="eastAsia" w:ascii="宋体" w:hAnsi="宋体" w:cs="宋体"/>
                <w:color w:val="auto"/>
                <w:kern w:val="2"/>
                <w:sz w:val="24"/>
                <w:highlight w:val="none"/>
              </w:rPr>
              <w:t>年1月1日至投标截止之日，以合同签订时间为准，拟安排本项目的团队成员中每有</w:t>
            </w:r>
            <w:r>
              <w:rPr>
                <w:rFonts w:hint="eastAsia" w:ascii="宋体" w:hAnsi="宋体" w:cs="宋体"/>
                <w:color w:val="auto"/>
                <w:kern w:val="2"/>
                <w:sz w:val="24"/>
                <w:highlight w:val="none"/>
                <w:lang w:val="en-US" w:eastAsia="zh-CN"/>
              </w:rPr>
              <w:t>一</w:t>
            </w:r>
            <w:r>
              <w:rPr>
                <w:rFonts w:hint="eastAsia" w:ascii="宋体" w:hAnsi="宋体" w:cs="宋体"/>
                <w:color w:val="auto"/>
                <w:kern w:val="2"/>
                <w:sz w:val="24"/>
                <w:highlight w:val="none"/>
              </w:rPr>
              <w:t>人</w:t>
            </w:r>
            <w:r>
              <w:rPr>
                <w:rFonts w:hint="eastAsia" w:ascii="宋体" w:hAnsi="宋体" w:cs="宋体"/>
                <w:color w:val="auto"/>
                <w:kern w:val="2"/>
                <w:sz w:val="24"/>
                <w:highlight w:val="none"/>
                <w:lang w:val="en-US" w:eastAsia="zh-CN"/>
              </w:rPr>
              <w:t>具有</w:t>
            </w:r>
            <w:r>
              <w:rPr>
                <w:rFonts w:hint="eastAsia" w:ascii="宋体" w:hAnsi="宋体" w:eastAsia="宋体" w:cs="宋体"/>
                <w:color w:val="auto"/>
                <w:sz w:val="24"/>
                <w:highlight w:val="none"/>
                <w:lang w:val="en-US" w:eastAsia="zh-CN"/>
              </w:rPr>
              <w:t>立法工作经验</w:t>
            </w:r>
            <w:r>
              <w:rPr>
                <w:rFonts w:hint="eastAsia" w:ascii="宋体" w:hAnsi="宋体" w:cs="宋体"/>
                <w:color w:val="auto"/>
                <w:kern w:val="2"/>
                <w:sz w:val="24"/>
                <w:highlight w:val="none"/>
              </w:rPr>
              <w:t>的，得</w:t>
            </w:r>
            <w:r>
              <w:rPr>
                <w:rFonts w:hint="eastAsia" w:ascii="宋体" w:hAnsi="宋体" w:cs="宋体"/>
                <w:color w:val="auto"/>
                <w:kern w:val="2"/>
                <w:sz w:val="24"/>
                <w:highlight w:val="none"/>
                <w:lang w:val="en-US" w:eastAsia="zh-CN"/>
              </w:rPr>
              <w:t>3</w:t>
            </w:r>
            <w:r>
              <w:rPr>
                <w:rFonts w:hint="eastAsia" w:ascii="宋体" w:hAnsi="宋体" w:cs="宋体"/>
                <w:color w:val="auto"/>
                <w:kern w:val="2"/>
                <w:sz w:val="24"/>
                <w:highlight w:val="none"/>
              </w:rPr>
              <w:t>分；本项最高得</w:t>
            </w:r>
            <w:r>
              <w:rPr>
                <w:rFonts w:hint="eastAsia" w:ascii="宋体" w:hAnsi="宋体" w:cs="宋体"/>
                <w:color w:val="auto"/>
                <w:kern w:val="2"/>
                <w:sz w:val="24"/>
                <w:highlight w:val="none"/>
                <w:lang w:val="en-US" w:eastAsia="zh-CN"/>
              </w:rPr>
              <w:t>6</w:t>
            </w:r>
            <w:r>
              <w:rPr>
                <w:rFonts w:hint="eastAsia" w:ascii="宋体" w:hAnsi="宋体" w:cs="宋体"/>
                <w:color w:val="auto"/>
                <w:kern w:val="2"/>
                <w:sz w:val="24"/>
                <w:highlight w:val="none"/>
              </w:rPr>
              <w:t>分；</w:t>
            </w:r>
            <w:r>
              <w:rPr>
                <w:rFonts w:hint="eastAsia" w:ascii="宋体" w:hAnsi="宋体" w:cs="宋体"/>
                <w:color w:val="auto"/>
                <w:kern w:val="2"/>
                <w:sz w:val="24"/>
                <w:highlight w:val="none"/>
                <w:lang w:eastAsia="zh-CN"/>
              </w:rPr>
              <w:t>同一项目多人参与均可计分。</w:t>
            </w:r>
          </w:p>
          <w:p>
            <w:pPr>
              <w:spacing w:line="40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2"/>
                <w:sz w:val="24"/>
                <w:highlight w:val="none"/>
                <w:lang w:val="en-US" w:eastAsia="zh-CN"/>
              </w:rPr>
              <w:t>3</w:t>
            </w:r>
            <w:r>
              <w:rPr>
                <w:rFonts w:hint="eastAsia" w:ascii="宋体" w:hAnsi="宋体" w:eastAsia="宋体" w:cs="宋体"/>
                <w:color w:val="auto"/>
                <w:kern w:val="2"/>
                <w:sz w:val="24"/>
                <w:highlight w:val="none"/>
              </w:rPr>
              <w:t>.拟安排本项目的团队成员中每有1人具有担任律师行业协会的立法专业委员会或其他依法成立的立法研究机构担任成员的，得3分；本项最高得</w:t>
            </w: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kern w:val="2"/>
                <w:sz w:val="24"/>
                <w:highlight w:val="none"/>
              </w:rPr>
              <w:t>分。</w:t>
            </w:r>
            <w:r>
              <w:rPr>
                <w:rFonts w:hint="eastAsia" w:ascii="宋体" w:hAnsi="宋体" w:cs="宋体"/>
                <w:color w:val="auto"/>
                <w:sz w:val="24"/>
                <w:highlight w:val="none"/>
                <w:lang w:eastAsia="zh-CN"/>
              </w:rPr>
              <w:t>同一人同时满足上述多项要求只能得</w:t>
            </w:r>
            <w:r>
              <w:rPr>
                <w:rFonts w:hint="eastAsia" w:ascii="宋体" w:hAnsi="宋体" w:cs="宋体"/>
                <w:color w:val="auto"/>
                <w:sz w:val="24"/>
                <w:highlight w:val="none"/>
                <w:lang w:val="en-US" w:eastAsia="zh-CN"/>
              </w:rPr>
              <w:t>3分。</w:t>
            </w:r>
          </w:p>
          <w:p>
            <w:pPr>
              <w:spacing w:line="400" w:lineRule="exact"/>
              <w:jc w:val="left"/>
              <w:rPr>
                <w:rFonts w:hint="eastAsia" w:ascii="宋体" w:hAnsi="宋体" w:cs="宋体"/>
                <w:color w:val="auto"/>
                <w:kern w:val="2"/>
                <w:sz w:val="24"/>
                <w:highlight w:val="none"/>
                <w:lang w:val="zh-CN"/>
              </w:rPr>
            </w:pPr>
            <w:r>
              <w:rPr>
                <w:rFonts w:hint="eastAsia" w:ascii="宋体" w:hAnsi="宋体" w:cs="宋体"/>
                <w:color w:val="auto"/>
                <w:kern w:val="2"/>
                <w:sz w:val="24"/>
                <w:highlight w:val="none"/>
                <w:lang w:val="zh-CN"/>
              </w:rPr>
              <w:t>（二）</w:t>
            </w:r>
            <w:r>
              <w:rPr>
                <w:rFonts w:hint="eastAsia" w:ascii="宋体" w:hAnsi="宋体" w:cs="宋体"/>
                <w:color w:val="auto"/>
                <w:kern w:val="2"/>
                <w:sz w:val="24"/>
                <w:highlight w:val="none"/>
                <w:lang w:val="en-US" w:eastAsia="zh-CN"/>
              </w:rPr>
              <w:t>评分依据</w:t>
            </w:r>
            <w:r>
              <w:rPr>
                <w:rFonts w:hint="eastAsia" w:ascii="宋体" w:hAnsi="宋体" w:cs="宋体"/>
                <w:color w:val="auto"/>
                <w:kern w:val="2"/>
                <w:sz w:val="24"/>
                <w:highlight w:val="none"/>
                <w:lang w:val="zh-CN"/>
              </w:rPr>
              <w:t>：</w:t>
            </w:r>
          </w:p>
          <w:p>
            <w:pPr>
              <w:spacing w:line="360" w:lineRule="auto"/>
              <w:rPr>
                <w:rFonts w:hint="eastAsia" w:ascii="宋体" w:hAnsi="宋体" w:eastAsia="宋体" w:cs="宋体"/>
                <w:color w:val="auto"/>
                <w:kern w:val="2"/>
                <w:sz w:val="24"/>
                <w:highlight w:val="none"/>
                <w:lang w:val="zh-CN" w:eastAsia="zh-CN"/>
              </w:rPr>
            </w:pPr>
            <w:r>
              <w:rPr>
                <w:rFonts w:hint="eastAsia" w:ascii="宋体" w:hAnsi="宋体" w:eastAsia="宋体" w:cs="宋体"/>
                <w:color w:val="auto"/>
                <w:kern w:val="2"/>
                <w:sz w:val="24"/>
                <w:highlight w:val="none"/>
                <w:lang w:val="zh-CN"/>
              </w:rPr>
              <w:t>1.提供团队成员清单及</w:t>
            </w:r>
            <w:r>
              <w:rPr>
                <w:rFonts w:hint="eastAsia" w:ascii="宋体" w:hAnsi="宋体" w:cs="宋体"/>
                <w:color w:val="auto"/>
                <w:kern w:val="2"/>
                <w:sz w:val="24"/>
                <w:highlight w:val="none"/>
                <w:lang w:val="en-US" w:eastAsia="zh-CN"/>
              </w:rPr>
              <w:t>学历证</w:t>
            </w:r>
            <w:r>
              <w:rPr>
                <w:rFonts w:hint="eastAsia" w:ascii="宋体" w:hAnsi="宋体" w:cs="宋体"/>
                <w:color w:val="auto"/>
                <w:kern w:val="2"/>
                <w:sz w:val="24"/>
                <w:highlight w:val="none"/>
                <w:lang w:val="zh-CN" w:eastAsia="zh-CN"/>
              </w:rPr>
              <w:t>明；</w:t>
            </w:r>
            <w:r>
              <w:rPr>
                <w:rFonts w:hint="eastAsia" w:ascii="宋体" w:hAnsi="宋体" w:eastAsia="宋体" w:cs="宋体"/>
                <w:color w:val="auto"/>
                <w:sz w:val="24"/>
                <w:szCs w:val="24"/>
                <w:highlight w:val="none"/>
                <w:lang w:val="zh-CN" w:eastAsia="zh-CN"/>
              </w:rPr>
              <w:t>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r>
              <w:rPr>
                <w:rFonts w:hint="eastAsia" w:ascii="宋体" w:hAnsi="宋体" w:cs="宋体"/>
                <w:color w:val="auto"/>
                <w:kern w:val="2"/>
                <w:sz w:val="24"/>
                <w:highlight w:val="none"/>
                <w:lang w:val="zh-CN" w:eastAsia="zh-CN"/>
              </w:rPr>
              <w:t>。</w:t>
            </w:r>
          </w:p>
          <w:p>
            <w:pPr>
              <w:widowControl/>
              <w:tabs>
                <w:tab w:val="left" w:pos="426"/>
              </w:tabs>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律师执业经验：提供全国律师执业诚信信息公示平台 (credit.acla.org.cn)查询截图，执业年限以首次批准执业日期为准</w:t>
            </w:r>
            <w:r>
              <w:rPr>
                <w:rFonts w:hint="eastAsia" w:ascii="宋体" w:hAnsi="宋体" w:eastAsia="宋体" w:cs="宋体"/>
                <w:color w:val="auto"/>
                <w:sz w:val="24"/>
                <w:highlight w:val="none"/>
                <w:lang w:val="en-US" w:eastAsia="zh-CN"/>
              </w:rPr>
              <w:t>起算</w:t>
            </w:r>
            <w:r>
              <w:rPr>
                <w:rFonts w:hint="eastAsia" w:ascii="宋体" w:hAnsi="宋体" w:cs="宋体"/>
                <w:color w:val="auto"/>
                <w:sz w:val="24"/>
                <w:highlight w:val="none"/>
                <w:lang w:val="en-US" w:eastAsia="zh-CN"/>
              </w:rPr>
              <w:t>。</w:t>
            </w:r>
          </w:p>
          <w:p>
            <w:pPr>
              <w:widowControl/>
              <w:tabs>
                <w:tab w:val="left" w:pos="426"/>
              </w:tabs>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立法工作经验：提供相关合同关键页（包含签订日期页、主要内容页、盖章页，可以体现人员名称），</w:t>
            </w:r>
            <w:r>
              <w:rPr>
                <w:rFonts w:hint="eastAsia" w:ascii="宋体" w:hAnsi="宋体" w:eastAsia="宋体" w:cs="宋体"/>
                <w:color w:val="auto"/>
                <w:kern w:val="2"/>
                <w:sz w:val="24"/>
                <w:highlight w:val="none"/>
                <w:lang w:val="en-US" w:eastAsia="zh-CN"/>
              </w:rPr>
              <w:t>通过合同关键信息无法判断是否得分的，还须同时提供合同甲方出具的证明文件。</w:t>
            </w:r>
          </w:p>
          <w:p>
            <w:pPr>
              <w:spacing w:line="360" w:lineRule="auto"/>
              <w:rPr>
                <w:rFonts w:hint="eastAsia" w:ascii="宋体" w:hAnsi="宋体" w:eastAsia="宋体" w:cs="宋体"/>
                <w:color w:val="auto"/>
                <w:kern w:val="2"/>
                <w:sz w:val="24"/>
                <w:highlight w:val="none"/>
                <w:lang w:val="zh-CN"/>
              </w:rPr>
            </w:pPr>
            <w:r>
              <w:rPr>
                <w:rFonts w:hint="eastAsia" w:ascii="宋体" w:hAnsi="宋体" w:cs="宋体"/>
                <w:color w:val="auto"/>
                <w:kern w:val="2"/>
                <w:sz w:val="24"/>
                <w:highlight w:val="none"/>
                <w:lang w:val="en-US" w:eastAsia="zh-CN"/>
              </w:rPr>
              <w:t>4</w:t>
            </w:r>
            <w:r>
              <w:rPr>
                <w:rFonts w:hint="eastAsia" w:ascii="宋体" w:hAnsi="宋体" w:eastAsia="宋体" w:cs="宋体"/>
                <w:color w:val="auto"/>
                <w:kern w:val="2"/>
                <w:sz w:val="24"/>
                <w:highlight w:val="none"/>
                <w:lang w:val="zh-CN"/>
              </w:rPr>
              <w:t>.立法机构成员证明：提供聘用证书等相关证明。</w:t>
            </w:r>
            <w:r>
              <w:rPr>
                <w:rFonts w:hint="eastAsia" w:ascii="宋体" w:hAnsi="宋体" w:eastAsia="宋体" w:cs="宋体"/>
                <w:color w:val="auto"/>
                <w:sz w:val="24"/>
                <w:highlight w:val="none"/>
                <w:lang w:val="en-US" w:eastAsia="zh-CN"/>
              </w:rPr>
              <w:t>由协会颁发的，需提供该协会“中国社会组织政务服务平台（https://chinanpo.mca.gov.cn/）”的已合法登记且状态正常截图，否则不予认可，视为无效证书，以杜绝“离岸社团”“山寨社团”</w:t>
            </w:r>
            <w:r>
              <w:rPr>
                <w:rFonts w:hint="eastAsia" w:ascii="宋体" w:hAnsi="宋体" w:cs="宋体"/>
                <w:color w:val="auto"/>
                <w:sz w:val="24"/>
                <w:highlight w:val="none"/>
                <w:lang w:val="en-US" w:eastAsia="zh-CN"/>
              </w:rPr>
              <w:t>。</w:t>
            </w:r>
          </w:p>
          <w:p>
            <w:pPr>
              <w:spacing w:line="360" w:lineRule="auto"/>
              <w:rPr>
                <w:rFonts w:hint="eastAsia" w:ascii="宋体" w:hAnsi="宋体" w:eastAsia="宋体" w:cs="宋体"/>
                <w:color w:val="auto"/>
                <w:kern w:val="2"/>
                <w:sz w:val="24"/>
                <w:highlight w:val="none"/>
                <w:lang w:val="zh-CN"/>
              </w:rPr>
            </w:pPr>
            <w:r>
              <w:rPr>
                <w:rFonts w:hint="eastAsia" w:ascii="宋体" w:hAnsi="宋体" w:cs="宋体"/>
                <w:color w:val="auto"/>
                <w:kern w:val="2"/>
                <w:sz w:val="24"/>
                <w:highlight w:val="none"/>
                <w:lang w:val="en-US" w:eastAsia="zh-CN"/>
              </w:rPr>
              <w:t>5</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kern w:val="2"/>
                <w:sz w:val="24"/>
                <w:highlight w:val="none"/>
                <w:lang w:val="zh-CN"/>
              </w:rPr>
              <w:t>要求提供</w:t>
            </w:r>
            <w:r>
              <w:rPr>
                <w:rFonts w:hint="eastAsia" w:ascii="宋体" w:hAnsi="宋体" w:eastAsia="宋体" w:cs="宋体"/>
                <w:color w:val="auto"/>
                <w:kern w:val="2"/>
                <w:sz w:val="24"/>
                <w:highlight w:val="none"/>
                <w:lang w:val="en-US" w:eastAsia="zh-CN"/>
              </w:rPr>
              <w:t>服务团队成员</w:t>
            </w:r>
            <w:r>
              <w:rPr>
                <w:rFonts w:hint="eastAsia" w:ascii="宋体" w:hAnsi="宋体" w:eastAsia="宋体" w:cs="宋体"/>
                <w:color w:val="auto"/>
                <w:kern w:val="2"/>
                <w:sz w:val="24"/>
                <w:highlight w:val="none"/>
                <w:lang w:val="zh-CN"/>
              </w:rPr>
              <w:t>投标日期前</w:t>
            </w:r>
            <w:r>
              <w:rPr>
                <w:rFonts w:hint="eastAsia" w:ascii="宋体" w:hAnsi="宋体" w:cs="宋体"/>
                <w:color w:val="auto"/>
                <w:kern w:val="2"/>
                <w:sz w:val="24"/>
                <w:highlight w:val="none"/>
                <w:lang w:val="en-US" w:eastAsia="zh-CN"/>
              </w:rPr>
              <w:t>3</w:t>
            </w:r>
            <w:r>
              <w:rPr>
                <w:rFonts w:hint="eastAsia" w:ascii="宋体" w:hAnsi="宋体" w:eastAsia="宋体" w:cs="宋体"/>
                <w:color w:val="auto"/>
                <w:kern w:val="2"/>
                <w:sz w:val="24"/>
                <w:highlight w:val="none"/>
                <w:lang w:val="zh-CN"/>
              </w:rPr>
              <w:t>个月</w:t>
            </w:r>
            <w:r>
              <w:rPr>
                <w:rFonts w:hint="eastAsia" w:ascii="宋体" w:hAnsi="宋体" w:eastAsia="宋体" w:cs="宋体"/>
                <w:color w:val="auto"/>
                <w:kern w:val="2"/>
                <w:sz w:val="24"/>
                <w:highlight w:val="none"/>
              </w:rPr>
              <w:t>内</w:t>
            </w:r>
            <w:r>
              <w:rPr>
                <w:rFonts w:hint="eastAsia" w:ascii="宋体" w:hAnsi="宋体" w:eastAsia="宋体" w:cs="宋体"/>
                <w:color w:val="auto"/>
                <w:sz w:val="24"/>
                <w:highlight w:val="none"/>
              </w:rPr>
              <w:t>任1个月</w:t>
            </w:r>
            <w:r>
              <w:rPr>
                <w:rFonts w:hint="eastAsia" w:ascii="宋体" w:hAnsi="宋体" w:eastAsia="宋体" w:cs="宋体"/>
                <w:color w:val="auto"/>
                <w:kern w:val="2"/>
                <w:sz w:val="24"/>
                <w:highlight w:val="none"/>
                <w:lang w:val="zh-CN"/>
              </w:rPr>
              <w:t>在同一投标单位缴纳社保证明（网页或窗口打印资料均可，社保证明资料应当至少包含养老保险，未完整提供资料的人员不予计分）。如供应商为新成立企业且成立时间不足</w:t>
            </w:r>
            <w:r>
              <w:rPr>
                <w:rFonts w:hint="eastAsia" w:ascii="宋体" w:hAnsi="宋体" w:eastAsia="宋体" w:cs="宋体"/>
                <w:color w:val="auto"/>
                <w:kern w:val="2"/>
                <w:sz w:val="24"/>
                <w:highlight w:val="none"/>
                <w:lang w:val="en-US" w:eastAsia="zh-CN"/>
              </w:rPr>
              <w:t>1</w:t>
            </w:r>
            <w:r>
              <w:rPr>
                <w:rFonts w:hint="eastAsia" w:ascii="宋体" w:hAnsi="宋体" w:eastAsia="宋体" w:cs="宋体"/>
                <w:color w:val="auto"/>
                <w:kern w:val="2"/>
                <w:sz w:val="24"/>
                <w:highlight w:val="none"/>
                <w:lang w:val="zh-CN"/>
              </w:rPr>
              <w:t>个月可提供加盖公章的情况说明或者证明材料亦视为符合。拟派项目</w:t>
            </w:r>
            <w:r>
              <w:rPr>
                <w:rFonts w:hint="eastAsia" w:ascii="宋体" w:hAnsi="宋体" w:cs="宋体"/>
                <w:color w:val="auto"/>
                <w:kern w:val="2"/>
                <w:sz w:val="24"/>
                <w:highlight w:val="none"/>
                <w:lang w:val="en-US" w:eastAsia="zh-CN"/>
              </w:rPr>
              <w:t>团队成员</w:t>
            </w:r>
            <w:r>
              <w:rPr>
                <w:rFonts w:hint="eastAsia" w:ascii="宋体" w:hAnsi="宋体" w:eastAsia="宋体" w:cs="宋体"/>
                <w:color w:val="auto"/>
                <w:kern w:val="2"/>
                <w:sz w:val="24"/>
                <w:highlight w:val="none"/>
                <w:lang w:val="zh-CN"/>
              </w:rPr>
              <w:t>为退休返聘人员,则须提供相关聘用合同和退休证明,无需再提供社保证明。</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highlight w:val="none"/>
                <w:lang w:val="en-US" w:eastAsia="zh-CN"/>
              </w:rPr>
              <w:t>6</w:t>
            </w:r>
            <w:r>
              <w:rPr>
                <w:rFonts w:hint="eastAsia" w:ascii="宋体" w:hAnsi="宋体" w:eastAsia="宋体" w:cs="宋体"/>
                <w:color w:val="auto"/>
                <w:kern w:val="2"/>
                <w:sz w:val="24"/>
                <w:highlight w:val="none"/>
                <w:lang w:val="zh-CN"/>
              </w:rPr>
              <w:t>.以上资料均要求提供扫描件</w:t>
            </w:r>
            <w:r>
              <w:rPr>
                <w:rFonts w:hint="eastAsia" w:ascii="宋体" w:hAnsi="宋体" w:eastAsia="宋体" w:cs="宋体"/>
                <w:color w:val="auto"/>
                <w:kern w:val="2"/>
                <w:sz w:val="24"/>
                <w:highlight w:val="none"/>
                <w:lang w:val="en-US" w:eastAsia="zh-CN"/>
              </w:rPr>
              <w:t>加盖公章</w:t>
            </w:r>
            <w:r>
              <w:rPr>
                <w:rFonts w:hint="eastAsia" w:ascii="宋体" w:hAnsi="宋体" w:eastAsia="宋体" w:cs="宋体"/>
                <w:color w:val="auto"/>
                <w:kern w:val="2"/>
                <w:sz w:val="24"/>
                <w:highlight w:val="none"/>
                <w:lang w:val="zh-CN"/>
              </w:rPr>
              <w:t>（或官方网站截图），原件备查。评分中出现无证明资料或专家无法凭所提供资料判断是否得分的情况，一律作不得分处理。</w:t>
            </w:r>
          </w:p>
        </w:tc>
        <w:tc>
          <w:tcPr>
            <w:tcW w:w="901" w:type="dxa"/>
            <w:noWrap w:val="0"/>
            <w:vAlign w:val="center"/>
          </w:tcPr>
          <w:p>
            <w:pPr>
              <w:autoSpaceDE w:val="0"/>
              <w:autoSpaceDN w:val="0"/>
              <w:adjustRightIn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1079"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168" w:type="dxa"/>
            <w:noWrap w:val="0"/>
            <w:vAlign w:val="center"/>
          </w:tcPr>
          <w:p>
            <w:pPr>
              <w:autoSpaceDE w:val="0"/>
              <w:autoSpaceDN w:val="0"/>
              <w:adjustRightInd w:val="0"/>
              <w:spacing w:line="400" w:lineRule="exact"/>
              <w:jc w:val="center"/>
              <w:rPr>
                <w:rFonts w:hint="eastAsia" w:ascii="宋体" w:hAnsi="宋体" w:eastAsia="宋体" w:cs="宋体"/>
                <w:color w:val="auto"/>
                <w:sz w:val="24"/>
                <w:szCs w:val="24"/>
                <w:highlight w:val="none"/>
              </w:rPr>
            </w:pPr>
            <w:r>
              <w:rPr>
                <w:rFonts w:hint="eastAsia" w:ascii="宋体" w:hAnsi="宋体" w:cs="宋体"/>
                <w:color w:val="auto"/>
                <w:sz w:val="24"/>
                <w:highlight w:val="none"/>
              </w:rPr>
              <w:t>同类项目业绩</w:t>
            </w:r>
          </w:p>
        </w:tc>
        <w:tc>
          <w:tcPr>
            <w:tcW w:w="5907" w:type="dxa"/>
            <w:shd w:val="clear" w:color="auto" w:fill="auto"/>
            <w:noWrap w:val="0"/>
            <w:vAlign w:val="top"/>
          </w:tcPr>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评审</w:t>
            </w:r>
            <w:r>
              <w:rPr>
                <w:rFonts w:hint="eastAsia" w:ascii="宋体" w:hAnsi="宋体" w:eastAsia="宋体" w:cs="宋体"/>
                <w:color w:val="auto"/>
                <w:kern w:val="2"/>
                <w:sz w:val="24"/>
                <w:highlight w:val="none"/>
                <w:lang w:val="en-US" w:eastAsia="zh-CN"/>
              </w:rPr>
              <w:t>内容</w:t>
            </w:r>
            <w:r>
              <w:rPr>
                <w:rFonts w:hint="eastAsia" w:ascii="宋体" w:hAnsi="宋体" w:eastAsia="宋体" w:cs="宋体"/>
                <w:color w:val="auto"/>
                <w:kern w:val="2"/>
                <w:sz w:val="24"/>
                <w:highlight w:val="none"/>
                <w:lang w:val="zh-CN"/>
              </w:rPr>
              <w:t>：</w:t>
            </w:r>
          </w:p>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en-US" w:eastAsia="zh-CN"/>
              </w:rPr>
              <w:t>投标人自</w:t>
            </w:r>
            <w:r>
              <w:rPr>
                <w:rFonts w:hint="eastAsia" w:ascii="宋体" w:hAnsi="宋体" w:eastAsia="宋体" w:cs="宋体"/>
                <w:color w:val="auto"/>
                <w:kern w:val="2"/>
                <w:sz w:val="24"/>
                <w:highlight w:val="none"/>
                <w:lang w:val="zh-CN"/>
              </w:rPr>
              <w:t>202</w:t>
            </w:r>
            <w:r>
              <w:rPr>
                <w:rFonts w:hint="eastAsia" w:ascii="宋体" w:hAnsi="宋体" w:eastAsia="宋体" w:cs="宋体"/>
                <w:color w:val="auto"/>
                <w:kern w:val="2"/>
                <w:sz w:val="24"/>
                <w:highlight w:val="none"/>
                <w:lang w:val="en-US" w:eastAsia="zh-CN"/>
              </w:rPr>
              <w:t>1</w:t>
            </w:r>
            <w:r>
              <w:rPr>
                <w:rFonts w:hint="eastAsia" w:ascii="宋体" w:hAnsi="宋体" w:eastAsia="宋体" w:cs="宋体"/>
                <w:color w:val="auto"/>
                <w:kern w:val="2"/>
                <w:sz w:val="24"/>
                <w:highlight w:val="none"/>
                <w:lang w:val="zh-CN"/>
              </w:rPr>
              <w:t>年1月1日至投标截止之日，以合同签订时间为准，</w:t>
            </w:r>
            <w:r>
              <w:rPr>
                <w:rFonts w:hint="eastAsia" w:ascii="宋体" w:hAnsi="宋体" w:eastAsia="宋体" w:cs="宋体"/>
                <w:color w:val="auto"/>
                <w:kern w:val="2"/>
                <w:sz w:val="24"/>
                <w:highlight w:val="none"/>
                <w:lang w:val="en-US" w:eastAsia="zh-CN"/>
              </w:rPr>
              <w:t>每提供一项</w:t>
            </w:r>
            <w:r>
              <w:rPr>
                <w:rFonts w:hint="eastAsia" w:ascii="宋体" w:hAnsi="宋体" w:eastAsia="宋体" w:cs="宋体"/>
                <w:color w:val="auto"/>
                <w:kern w:val="2"/>
                <w:sz w:val="24"/>
                <w:highlight w:val="none"/>
                <w:lang w:val="zh-CN"/>
              </w:rPr>
              <w:t>法规起草及修订、政府规章起草及修订等同类业绩，得</w:t>
            </w:r>
            <w:r>
              <w:rPr>
                <w:rFonts w:hint="eastAsia" w:ascii="宋体" w:hAnsi="宋体" w:eastAsia="宋体" w:cs="宋体"/>
                <w:color w:val="auto"/>
                <w:kern w:val="2"/>
                <w:sz w:val="24"/>
                <w:highlight w:val="none"/>
                <w:lang w:val="en-US" w:eastAsia="zh-CN"/>
              </w:rPr>
              <w:t>5</w:t>
            </w:r>
            <w:r>
              <w:rPr>
                <w:rFonts w:hint="eastAsia" w:ascii="宋体" w:hAnsi="宋体" w:eastAsia="宋体" w:cs="宋体"/>
                <w:color w:val="auto"/>
                <w:kern w:val="2"/>
                <w:sz w:val="24"/>
                <w:highlight w:val="none"/>
                <w:lang w:val="zh-CN"/>
              </w:rPr>
              <w:t>分；本项最高得</w:t>
            </w:r>
            <w:r>
              <w:rPr>
                <w:rFonts w:hint="eastAsia" w:ascii="宋体" w:hAnsi="宋体" w:eastAsia="宋体" w:cs="宋体"/>
                <w:color w:val="auto"/>
                <w:kern w:val="2"/>
                <w:sz w:val="24"/>
                <w:highlight w:val="none"/>
                <w:lang w:val="en-US" w:eastAsia="zh-CN"/>
              </w:rPr>
              <w:t>20</w:t>
            </w:r>
            <w:r>
              <w:rPr>
                <w:rFonts w:hint="eastAsia" w:ascii="宋体" w:hAnsi="宋体" w:eastAsia="宋体" w:cs="宋体"/>
                <w:color w:val="auto"/>
                <w:kern w:val="2"/>
                <w:sz w:val="24"/>
                <w:highlight w:val="none"/>
                <w:lang w:val="zh-CN"/>
              </w:rPr>
              <w:t>分。</w:t>
            </w:r>
          </w:p>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（二）</w:t>
            </w:r>
            <w:r>
              <w:rPr>
                <w:rFonts w:hint="eastAsia" w:ascii="宋体" w:hAnsi="宋体" w:eastAsia="宋体" w:cs="宋体"/>
                <w:color w:val="auto"/>
                <w:kern w:val="2"/>
                <w:sz w:val="24"/>
                <w:highlight w:val="none"/>
                <w:lang w:val="en-US" w:eastAsia="zh-CN"/>
              </w:rPr>
              <w:t>评分依据</w:t>
            </w:r>
            <w:r>
              <w:rPr>
                <w:rFonts w:hint="eastAsia" w:ascii="宋体" w:hAnsi="宋体" w:eastAsia="宋体" w:cs="宋体"/>
                <w:color w:val="auto"/>
                <w:kern w:val="2"/>
                <w:sz w:val="24"/>
                <w:highlight w:val="none"/>
                <w:lang w:val="zh-CN"/>
              </w:rPr>
              <w:t>：</w:t>
            </w:r>
          </w:p>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1.提供相关合同关键页（包含签订日期页、主要内容页、盖章页）。</w:t>
            </w:r>
          </w:p>
          <w:p>
            <w:pPr>
              <w:spacing w:line="400" w:lineRule="exact"/>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2.通过合同关键信息无法判断是否得分的，还须同时提供能证明得分的其它证明资料，如项目报告或合同甲方出具的证明文件等。</w:t>
            </w:r>
          </w:p>
          <w:p>
            <w:pPr>
              <w:spacing w:line="400" w:lineRule="exact"/>
              <w:rPr>
                <w:rFonts w:hint="eastAsia" w:ascii="宋体" w:hAnsi="宋体" w:cs="宋体"/>
                <w:color w:val="auto"/>
                <w:kern w:val="0"/>
                <w:sz w:val="24"/>
                <w:highlight w:val="none"/>
              </w:rPr>
            </w:pPr>
            <w:r>
              <w:rPr>
                <w:rFonts w:hint="eastAsia" w:ascii="宋体" w:hAnsi="宋体" w:eastAsia="宋体" w:cs="宋体"/>
                <w:color w:val="auto"/>
                <w:kern w:val="2"/>
                <w:sz w:val="24"/>
                <w:highlight w:val="none"/>
                <w:lang w:val="zh-CN"/>
              </w:rPr>
              <w:t>3.以上资料均要求提供扫描件</w:t>
            </w:r>
            <w:r>
              <w:rPr>
                <w:rFonts w:hint="eastAsia" w:ascii="宋体" w:hAnsi="宋体" w:eastAsia="宋体" w:cs="宋体"/>
                <w:color w:val="auto"/>
                <w:kern w:val="2"/>
                <w:sz w:val="24"/>
                <w:highlight w:val="none"/>
                <w:lang w:val="en-US" w:eastAsia="zh-CN"/>
              </w:rPr>
              <w:t>加盖公章</w:t>
            </w:r>
            <w:r>
              <w:rPr>
                <w:rFonts w:hint="eastAsia" w:ascii="宋体" w:hAnsi="宋体" w:eastAsia="宋体" w:cs="宋体"/>
                <w:color w:val="auto"/>
                <w:kern w:val="2"/>
                <w:sz w:val="24"/>
                <w:highlight w:val="none"/>
                <w:lang w:val="zh-CN"/>
              </w:rPr>
              <w:t>，原件备查。评分中出现无证明资料或专家无法凭所提供资料判断是否得分的情况，一律作不得分处理。</w:t>
            </w:r>
          </w:p>
        </w:tc>
        <w:tc>
          <w:tcPr>
            <w:tcW w:w="901" w:type="dxa"/>
            <w:noWrap w:val="0"/>
            <w:vAlign w:val="center"/>
          </w:tcPr>
          <w:p>
            <w:pPr>
              <w:autoSpaceDE w:val="0"/>
              <w:autoSpaceDN w:val="0"/>
              <w:adjustRightInd w:val="0"/>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val="en-US" w:eastAsia="zh-CN"/>
              </w:rPr>
              <w:t>20</w:t>
            </w:r>
          </w:p>
        </w:tc>
        <w:tc>
          <w:tcPr>
            <w:tcW w:w="1079"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spacing w:line="360" w:lineRule="auto"/>
              <w:jc w:val="center"/>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4</w:t>
            </w:r>
          </w:p>
        </w:tc>
        <w:tc>
          <w:tcPr>
            <w:tcW w:w="1168" w:type="dxa"/>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诚信声明与承诺</w:t>
            </w:r>
          </w:p>
        </w:tc>
        <w:tc>
          <w:tcPr>
            <w:tcW w:w="5907" w:type="dxa"/>
            <w:noWrap w:val="0"/>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（一）评分内容：</w:t>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（二）评分依据:</w:t>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1、投标人提供诚信声明与承诺加盖公章；</w:t>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采购代理机构通过信用信息查询渠道，包括“信用中国”（www.creditchina.gov.cn）、“中国政府采购网”（www.ccgp.gov.cn）、“深圳市政府采购监管网”（http://zfcg.sz.gov.cn）以及市、区财政部门认定的其他渠道查询供应商信用信息。</w:t>
            </w:r>
          </w:p>
        </w:tc>
        <w:tc>
          <w:tcPr>
            <w:tcW w:w="901" w:type="dxa"/>
            <w:noWrap w:val="0"/>
            <w:vAlign w:val="center"/>
          </w:tcPr>
          <w:p>
            <w:pPr>
              <w:spacing w:line="360" w:lineRule="auto"/>
              <w:ind w:firstLine="240" w:firstLineChars="1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4</w:t>
            </w:r>
          </w:p>
        </w:tc>
        <w:tc>
          <w:tcPr>
            <w:tcW w:w="1079" w:type="dxa"/>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b/>
                <w:color w:val="auto"/>
                <w:sz w:val="24"/>
                <w:highlight w:val="none"/>
                <w:lang w:val="zh-CN"/>
              </w:rPr>
              <w:t>三、技术部分（</w:t>
            </w: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907"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评分规则</w:t>
            </w:r>
          </w:p>
        </w:tc>
        <w:tc>
          <w:tcPr>
            <w:tcW w:w="901"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1079"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1</w:t>
            </w:r>
          </w:p>
        </w:tc>
        <w:tc>
          <w:tcPr>
            <w:tcW w:w="1168" w:type="dxa"/>
            <w:noWrap w:val="0"/>
            <w:vAlign w:val="center"/>
          </w:tcPr>
          <w:p>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对项目需求的理解和响应</w:t>
            </w:r>
          </w:p>
        </w:tc>
        <w:tc>
          <w:tcPr>
            <w:tcW w:w="5907" w:type="dxa"/>
            <w:noWrap w:val="0"/>
            <w:vAlign w:val="center"/>
          </w:tcPr>
          <w:p>
            <w:pPr>
              <w:widowControl/>
              <w:spacing w:line="360" w:lineRule="auto"/>
              <w:ind w:firstLine="0" w:firstLineChars="0"/>
              <w:jc w:val="left"/>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lang w:val="zh-CN"/>
              </w:rPr>
              <w:t>（一）评审内容：</w:t>
            </w:r>
          </w:p>
          <w:p>
            <w:pPr>
              <w:widowControl/>
              <w:spacing w:line="360" w:lineRule="auto"/>
              <w:ind w:firstLine="0" w:firstLineChars="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根据投标文件里</w:t>
            </w:r>
            <w:r>
              <w:rPr>
                <w:rFonts w:hint="eastAsia" w:ascii="宋体" w:hAnsi="宋体" w:eastAsia="宋体" w:cs="宋体"/>
                <w:color w:val="auto"/>
                <w:sz w:val="24"/>
                <w:highlight w:val="none"/>
              </w:rPr>
              <w:t>分析</w:t>
            </w:r>
            <w:r>
              <w:rPr>
                <w:rFonts w:hint="eastAsia" w:ascii="宋体" w:hAnsi="宋体" w:eastAsia="宋体" w:cs="宋体"/>
                <w:color w:val="auto"/>
                <w:sz w:val="24"/>
                <w:highlight w:val="none"/>
                <w:lang w:val="zh-CN"/>
              </w:rPr>
              <w:t>方案的判断情况比较得分：</w:t>
            </w:r>
          </w:p>
          <w:p>
            <w:pPr>
              <w:widowControl/>
              <w:spacing w:line="360" w:lineRule="auto"/>
              <w:ind w:firstLine="0" w:firstLineChars="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1.本项目服务工作内容的理解；</w:t>
            </w:r>
          </w:p>
          <w:p>
            <w:pPr>
              <w:widowControl/>
              <w:spacing w:line="360" w:lineRule="auto"/>
              <w:ind w:firstLine="0" w:firstLineChars="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2.工作思路；</w:t>
            </w:r>
          </w:p>
          <w:p>
            <w:pPr>
              <w:widowControl/>
              <w:spacing w:line="360" w:lineRule="auto"/>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3.相关配套措施</w:t>
            </w:r>
            <w:r>
              <w:rPr>
                <w:rFonts w:hint="eastAsia" w:ascii="宋体" w:hAnsi="宋体" w:eastAsia="宋体" w:cs="宋体"/>
                <w:color w:val="auto"/>
                <w:sz w:val="24"/>
                <w:highlight w:val="none"/>
              </w:rPr>
              <w:t>。</w:t>
            </w:r>
          </w:p>
          <w:p>
            <w:pPr>
              <w:widowControl/>
              <w:spacing w:line="360" w:lineRule="auto"/>
              <w:ind w:firstLine="0" w:firstLineChars="0"/>
              <w:jc w:val="left"/>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lang w:val="zh-CN"/>
              </w:rPr>
              <w:t>（二）</w:t>
            </w:r>
            <w:r>
              <w:rPr>
                <w:rFonts w:hint="eastAsia" w:ascii="宋体" w:hAnsi="宋体" w:eastAsia="宋体" w:cs="宋体"/>
                <w:b w:val="0"/>
                <w:bCs w:val="0"/>
                <w:color w:val="auto"/>
                <w:kern w:val="2"/>
                <w:sz w:val="24"/>
                <w:szCs w:val="24"/>
                <w:highlight w:val="none"/>
                <w:lang w:val="zh-CN" w:eastAsia="zh-CN" w:bidi="ar-SA"/>
              </w:rPr>
              <w:t>评分标准</w:t>
            </w:r>
            <w:r>
              <w:rPr>
                <w:rFonts w:hint="eastAsia" w:ascii="宋体" w:hAnsi="宋体" w:eastAsia="宋体" w:cs="宋体"/>
                <w:b w:val="0"/>
                <w:bCs w:val="0"/>
                <w:color w:val="auto"/>
                <w:sz w:val="24"/>
                <w:highlight w:val="none"/>
                <w:lang w:val="zh-CN"/>
              </w:rPr>
              <w:t>：</w:t>
            </w:r>
          </w:p>
          <w:p>
            <w:pPr>
              <w:widowControl/>
              <w:spacing w:line="360" w:lineRule="auto"/>
              <w:ind w:firstLine="0" w:firstLineChars="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满足</w:t>
            </w: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val="zh-CN"/>
              </w:rPr>
              <w:t>点得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CN"/>
              </w:rPr>
              <w:t>分，满足任意一点得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zh-CN"/>
              </w:rPr>
              <w:t>分，</w:t>
            </w:r>
            <w:r>
              <w:rPr>
                <w:rFonts w:hint="eastAsia" w:ascii="宋体" w:hAnsi="宋体" w:eastAsia="宋体" w:cs="宋体"/>
                <w:color w:val="auto"/>
                <w:sz w:val="24"/>
                <w:highlight w:val="none"/>
              </w:rPr>
              <w:t>均</w:t>
            </w:r>
            <w:r>
              <w:rPr>
                <w:rFonts w:hint="eastAsia" w:ascii="宋体" w:hAnsi="宋体" w:eastAsia="宋体" w:cs="宋体"/>
                <w:color w:val="auto"/>
                <w:sz w:val="24"/>
                <w:highlight w:val="none"/>
                <w:lang w:val="zh-CN"/>
              </w:rPr>
              <w:t>未满足不得分。</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在此基础上，专家根据各供应商的具体响应内容按照方案的完整性、规范性及内容的合理性进一步评审：</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①投标文件响应内容全面；</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②投标文件响应内容具体；</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③投标文件响应内容针对性强；</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④投标文件响应内容科学合理；</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⑤投标文件响应内容可操作性强。</w:t>
            </w:r>
          </w:p>
          <w:p>
            <w:pPr>
              <w:widowControl/>
              <w:spacing w:line="360" w:lineRule="auto"/>
              <w:ind w:firstLine="0" w:firstLineChars="0"/>
              <w:jc w:val="left"/>
              <w:rPr>
                <w:rFonts w:hint="default" w:ascii="宋体" w:hAnsi="宋体" w:cs="宋体"/>
                <w:color w:val="auto"/>
                <w:sz w:val="24"/>
                <w:highlight w:val="none"/>
                <w:lang w:val="en-US"/>
              </w:rPr>
            </w:pPr>
            <w:r>
              <w:rPr>
                <w:rFonts w:hint="eastAsia" w:ascii="宋体" w:hAnsi="宋体" w:eastAsia="宋体" w:cs="宋体"/>
                <w:color w:val="auto"/>
                <w:sz w:val="24"/>
                <w:highlight w:val="none"/>
              </w:rPr>
              <w:t>满足以上5项的评价为优加</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分；满足以上4项的评价为良加</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分；满足以上3项的评价为中加1分；其他情况评价为差不加分。</w:t>
            </w:r>
          </w:p>
        </w:tc>
        <w:tc>
          <w:tcPr>
            <w:tcW w:w="901" w:type="dxa"/>
            <w:noWrap w:val="0"/>
            <w:vAlign w:val="center"/>
          </w:tcPr>
          <w:p>
            <w:pPr>
              <w:autoSpaceDE w:val="0"/>
              <w:autoSpaceDN w:val="0"/>
              <w:adjustRightIn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079"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2</w:t>
            </w:r>
          </w:p>
        </w:tc>
        <w:tc>
          <w:tcPr>
            <w:tcW w:w="1168" w:type="dxa"/>
            <w:noWrap w:val="0"/>
            <w:vAlign w:val="center"/>
          </w:tcPr>
          <w:p>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工作安排科学性</w:t>
            </w:r>
          </w:p>
        </w:tc>
        <w:tc>
          <w:tcPr>
            <w:tcW w:w="5907" w:type="dxa"/>
            <w:noWrap w:val="0"/>
            <w:vAlign w:val="center"/>
          </w:tcPr>
          <w:p>
            <w:pPr>
              <w:spacing w:line="360" w:lineRule="auto"/>
              <w:ind w:right="0" w:rightChars="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（一）评分内容：</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考察投标人针对本项目的实施方案，需包括但不仅限于以下内容：</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1、项目管理方案(包括人员安排)；</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2、工作实施计划；</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3、保障措施。</w:t>
            </w:r>
          </w:p>
          <w:p>
            <w:pPr>
              <w:spacing w:line="360" w:lineRule="auto"/>
              <w:ind w:right="0" w:rightChars="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（二）</w:t>
            </w:r>
            <w:r>
              <w:rPr>
                <w:rFonts w:hint="eastAsia" w:ascii="宋体" w:hAnsi="宋体" w:eastAsia="宋体" w:cs="宋体"/>
                <w:b w:val="0"/>
                <w:bCs w:val="0"/>
                <w:color w:val="auto"/>
                <w:kern w:val="2"/>
                <w:sz w:val="24"/>
                <w:szCs w:val="24"/>
                <w:highlight w:val="none"/>
                <w:lang w:val="zh-CN" w:eastAsia="zh-CN" w:bidi="ar-SA"/>
              </w:rPr>
              <w:t>评分标准</w:t>
            </w:r>
            <w:r>
              <w:rPr>
                <w:rFonts w:hint="eastAsia" w:ascii="宋体" w:hAnsi="宋体" w:cs="宋体"/>
                <w:b w:val="0"/>
                <w:bCs w:val="0"/>
                <w:color w:val="auto"/>
                <w:sz w:val="24"/>
                <w:highlight w:val="none"/>
              </w:rPr>
              <w:t>：</w:t>
            </w:r>
          </w:p>
          <w:p>
            <w:pPr>
              <w:spacing w:line="360" w:lineRule="auto"/>
              <w:ind w:right="0" w:rightChars="0"/>
              <w:jc w:val="left"/>
              <w:rPr>
                <w:color w:val="auto"/>
                <w:highlight w:val="none"/>
              </w:rPr>
            </w:pPr>
            <w:r>
              <w:rPr>
                <w:rFonts w:hint="eastAsia" w:ascii="宋体" w:hAnsi="宋体" w:eastAsia="宋体" w:cs="宋体"/>
                <w:color w:val="auto"/>
                <w:sz w:val="24"/>
                <w:highlight w:val="none"/>
                <w:lang w:val="zh-CN"/>
              </w:rPr>
              <w:t>满足</w:t>
            </w: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val="zh-CN"/>
              </w:rPr>
              <w:t>点得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CN"/>
              </w:rPr>
              <w:t>分，满足任意一点得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zh-CN"/>
              </w:rPr>
              <w:t>分，</w:t>
            </w:r>
            <w:r>
              <w:rPr>
                <w:rFonts w:hint="eastAsia" w:ascii="宋体" w:hAnsi="宋体" w:eastAsia="宋体" w:cs="宋体"/>
                <w:color w:val="auto"/>
                <w:sz w:val="24"/>
                <w:highlight w:val="none"/>
              </w:rPr>
              <w:t>均</w:t>
            </w:r>
            <w:r>
              <w:rPr>
                <w:rFonts w:hint="eastAsia" w:ascii="宋体" w:hAnsi="宋体" w:eastAsia="宋体" w:cs="宋体"/>
                <w:color w:val="auto"/>
                <w:sz w:val="24"/>
                <w:highlight w:val="none"/>
                <w:lang w:val="zh-CN"/>
              </w:rPr>
              <w:t>未满足不得分。</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在此基础上，根据各供应商的具体响应内容按照方案的完整性、规范性及内容的合理性进一步评审：</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①投标文件响应内容全面；</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②投标文件响应内容具体；</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③投标文件响应内容针对性强；</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④投标文件响应内容科学合理；</w:t>
            </w:r>
          </w:p>
          <w:p>
            <w:pPr>
              <w:spacing w:line="360" w:lineRule="auto"/>
              <w:ind w:right="0" w:rightChars="0"/>
              <w:jc w:val="left"/>
              <w:rPr>
                <w:rFonts w:hint="eastAsia" w:ascii="宋体" w:hAnsi="宋体" w:cs="宋体"/>
                <w:color w:val="auto"/>
                <w:sz w:val="24"/>
                <w:highlight w:val="none"/>
              </w:rPr>
            </w:pPr>
            <w:r>
              <w:rPr>
                <w:rFonts w:hint="eastAsia" w:ascii="宋体" w:hAnsi="宋体" w:cs="宋体"/>
                <w:color w:val="auto"/>
                <w:sz w:val="24"/>
                <w:highlight w:val="none"/>
              </w:rPr>
              <w:t>⑤投标文件响应内容可操作性强。</w:t>
            </w:r>
          </w:p>
          <w:p>
            <w:pPr>
              <w:widowControl/>
              <w:spacing w:line="360" w:lineRule="auto"/>
              <w:ind w:firstLine="0" w:firstLineChars="0"/>
              <w:jc w:val="left"/>
              <w:rPr>
                <w:rFonts w:hint="eastAsia" w:ascii="宋体" w:hAnsi="宋体" w:cs="宋体"/>
                <w:color w:val="auto"/>
                <w:sz w:val="24"/>
                <w:highlight w:val="none"/>
              </w:rPr>
            </w:pPr>
            <w:r>
              <w:rPr>
                <w:rFonts w:hint="eastAsia" w:ascii="宋体" w:hAnsi="宋体" w:eastAsia="宋体" w:cs="宋体"/>
                <w:color w:val="auto"/>
                <w:sz w:val="24"/>
                <w:highlight w:val="none"/>
              </w:rPr>
              <w:t>满足以上5项的评价为优加</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分；满足以上4项的评价为良加</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分；满足以上3项的评价为中加1分；其他情况评价为差不加分。</w:t>
            </w:r>
          </w:p>
        </w:tc>
        <w:tc>
          <w:tcPr>
            <w:tcW w:w="901"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10</w:t>
            </w:r>
          </w:p>
        </w:tc>
        <w:tc>
          <w:tcPr>
            <w:tcW w:w="1079"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3</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合理化建议</w:t>
            </w:r>
          </w:p>
        </w:tc>
        <w:tc>
          <w:tcPr>
            <w:tcW w:w="5907" w:type="dxa"/>
            <w:noWrap w:val="0"/>
            <w:vAlign w:val="center"/>
          </w:tcPr>
          <w:p>
            <w:pPr>
              <w:widowControl/>
              <w:spacing w:line="360" w:lineRule="auto"/>
              <w:ind w:firstLine="0" w:firstLineChars="0"/>
              <w:jc w:val="left"/>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（一）评审内容：</w:t>
            </w:r>
          </w:p>
          <w:p>
            <w:pPr>
              <w:widowControl/>
              <w:spacing w:line="360" w:lineRule="auto"/>
              <w:ind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根据招标文件的需求和投标文件响应情况，编制项目重点难点分析、应对措施及相关的合理化建议。包含但不限于以下内容：</w:t>
            </w:r>
          </w:p>
          <w:p>
            <w:pPr>
              <w:widowControl/>
              <w:spacing w:line="360" w:lineRule="auto"/>
              <w:ind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1、对重点难点问题的把握与分析</w:t>
            </w:r>
            <w:r>
              <w:rPr>
                <w:rFonts w:hint="eastAsia" w:ascii="宋体" w:hAnsi="宋体" w:eastAsia="宋体" w:cs="宋体"/>
                <w:color w:val="auto"/>
                <w:kern w:val="2"/>
                <w:sz w:val="24"/>
                <w:szCs w:val="24"/>
                <w:highlight w:val="none"/>
                <w:lang w:val="zh-CN" w:eastAsia="zh-CN" w:bidi="ar-SA"/>
              </w:rPr>
              <w:t>；</w:t>
            </w:r>
          </w:p>
          <w:p>
            <w:pPr>
              <w:widowControl/>
              <w:spacing w:line="360" w:lineRule="auto"/>
              <w:ind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2、对重点难点问题的应对措施和合理化建议</w:t>
            </w:r>
            <w:r>
              <w:rPr>
                <w:rFonts w:hint="eastAsia" w:ascii="宋体" w:hAnsi="宋体" w:eastAsia="宋体" w:cs="宋体"/>
                <w:color w:val="auto"/>
                <w:kern w:val="2"/>
                <w:sz w:val="24"/>
                <w:szCs w:val="24"/>
                <w:highlight w:val="none"/>
                <w:lang w:val="zh-CN" w:eastAsia="zh-CN" w:bidi="ar-SA"/>
              </w:rPr>
              <w:t>。</w:t>
            </w:r>
          </w:p>
          <w:p>
            <w:pPr>
              <w:widowControl/>
              <w:spacing w:line="360" w:lineRule="auto"/>
              <w:ind w:firstLine="0" w:firstLineChars="0"/>
              <w:jc w:val="left"/>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 xml:space="preserve">（二）评分标准： </w:t>
            </w:r>
          </w:p>
          <w:p>
            <w:pPr>
              <w:widowControl/>
              <w:spacing w:line="360" w:lineRule="auto"/>
              <w:ind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满足</w:t>
            </w:r>
            <w:r>
              <w:rPr>
                <w:rFonts w:hint="eastAsia" w:ascii="宋体" w:hAnsi="宋体" w:eastAsia="宋体" w:cs="宋体"/>
                <w:color w:val="auto"/>
                <w:kern w:val="2"/>
                <w:sz w:val="24"/>
                <w:szCs w:val="24"/>
                <w:highlight w:val="none"/>
                <w:lang w:val="en-US" w:eastAsia="zh-CN" w:bidi="ar-SA"/>
              </w:rPr>
              <w:t>两</w:t>
            </w:r>
            <w:r>
              <w:rPr>
                <w:rFonts w:hint="eastAsia" w:ascii="宋体" w:hAnsi="宋体" w:eastAsia="宋体" w:cs="宋体"/>
                <w:color w:val="auto"/>
                <w:kern w:val="2"/>
                <w:sz w:val="24"/>
                <w:szCs w:val="24"/>
                <w:highlight w:val="none"/>
                <w:lang w:val="zh-CN" w:eastAsia="zh-CN" w:bidi="ar-SA"/>
              </w:rPr>
              <w:t>点得</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分，满足任意一点得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分，</w:t>
            </w:r>
            <w:r>
              <w:rPr>
                <w:rFonts w:hint="eastAsia" w:ascii="宋体" w:hAnsi="宋体" w:eastAsia="宋体" w:cs="宋体"/>
                <w:color w:val="auto"/>
                <w:kern w:val="2"/>
                <w:sz w:val="24"/>
                <w:szCs w:val="24"/>
                <w:highlight w:val="none"/>
                <w:lang w:val="en-US" w:eastAsia="zh-CN" w:bidi="ar-SA"/>
              </w:rPr>
              <w:t>均</w:t>
            </w:r>
            <w:r>
              <w:rPr>
                <w:rFonts w:hint="eastAsia" w:ascii="宋体" w:hAnsi="宋体" w:eastAsia="宋体" w:cs="宋体"/>
                <w:color w:val="auto"/>
                <w:kern w:val="2"/>
                <w:sz w:val="24"/>
                <w:szCs w:val="24"/>
                <w:highlight w:val="none"/>
                <w:lang w:val="zh-CN" w:eastAsia="zh-CN" w:bidi="ar-SA"/>
              </w:rPr>
              <w:t xml:space="preserve">未满足不得分。 </w:t>
            </w:r>
          </w:p>
          <w:p>
            <w:pPr>
              <w:widowControl/>
              <w:spacing w:line="360" w:lineRule="auto"/>
              <w:ind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在此基础上，专家根据各供应商的具体响应内容进一步评审： </w:t>
            </w:r>
          </w:p>
          <w:p>
            <w:pP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（1）找出</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个及以上项目重点难点，并提出针对性强的解决方案，评价为优加</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分；（2）找出</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个项目重点难点，分析基本清楚、解决方案针对性较好的，评价为良加</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分；（3）对项目重点难点分析仅做概括性描述的，评价为中加1分；（4）对项目重点难点分析不全面、解决方案缺乏针对性的为差不加分。</w:t>
            </w:r>
          </w:p>
        </w:tc>
        <w:tc>
          <w:tcPr>
            <w:tcW w:w="901" w:type="dxa"/>
            <w:noWrap w:val="0"/>
            <w:vAlign w:val="center"/>
          </w:tcPr>
          <w:p>
            <w:pPr>
              <w:autoSpaceDE w:val="0"/>
              <w:autoSpaceDN w:val="0"/>
              <w:adjustRightIn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079"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bl>
    <w:p>
      <w:pPr>
        <w:tabs>
          <w:tab w:val="left" w:pos="640"/>
          <w:tab w:val="left" w:pos="1260"/>
          <w:tab w:val="left" w:pos="1418"/>
        </w:tabs>
        <w:spacing w:line="360" w:lineRule="auto"/>
        <w:ind w:right="-420" w:rightChars="-200"/>
        <w:rPr>
          <w:rFonts w:hint="eastAsia" w:ascii="宋体" w:hAnsi="宋体" w:cs="宋体"/>
          <w:color w:val="auto"/>
          <w:sz w:val="24"/>
          <w:highlight w:val="none"/>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highlight w:val="none"/>
        </w:rPr>
      </w:pPr>
      <w:bookmarkStart w:id="19" w:name="_Toc9548"/>
      <w:bookmarkStart w:id="20" w:name="_Hlk28269117"/>
      <w:r>
        <w:rPr>
          <w:rFonts w:hint="eastAsia" w:ascii="宋体" w:hAnsi="宋体" w:cs="宋体"/>
          <w:b/>
          <w:bCs/>
          <w:color w:val="auto"/>
          <w:sz w:val="24"/>
          <w:highlight w:val="none"/>
        </w:rPr>
        <w:t>第七章 附件（投标文件格式）</w:t>
      </w:r>
      <w:bookmarkEnd w:id="19"/>
    </w:p>
    <w:p>
      <w:pPr>
        <w:keepNext/>
        <w:keepLines/>
        <w:spacing w:before="260" w:after="260" w:line="440" w:lineRule="exact"/>
        <w:jc w:val="center"/>
        <w:outlineLvl w:val="1"/>
        <w:rPr>
          <w:rFonts w:hint="eastAsia" w:ascii="宋体" w:hAnsi="宋体" w:cs="宋体"/>
          <w:b/>
          <w:bCs/>
          <w:color w:val="auto"/>
          <w:sz w:val="24"/>
          <w:highlight w:val="none"/>
        </w:rPr>
      </w:pPr>
      <w:bookmarkStart w:id="21" w:name="_Toc31827"/>
      <w:bookmarkStart w:id="22" w:name="_Toc19494"/>
      <w:bookmarkStart w:id="23" w:name="_Toc6548"/>
      <w:bookmarkStart w:id="24" w:name="_Toc5116"/>
      <w:r>
        <w:rPr>
          <w:rFonts w:hint="eastAsia" w:ascii="宋体" w:hAnsi="宋体" w:cs="宋体"/>
          <w:b/>
          <w:bCs/>
          <w:color w:val="auto"/>
          <w:sz w:val="24"/>
          <w:highlight w:val="none"/>
        </w:rPr>
        <w:t>1、投标文件密封袋/封面参考</w:t>
      </w:r>
      <w:bookmarkEnd w:id="21"/>
      <w:bookmarkEnd w:id="22"/>
      <w:bookmarkEnd w:id="23"/>
      <w:bookmarkEnd w:id="24"/>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3"/>
              <w:tabs>
                <w:tab w:val="left" w:pos="562"/>
                <w:tab w:val="left" w:pos="3372"/>
                <w:tab w:val="left" w:pos="3653"/>
              </w:tabs>
              <w:spacing w:line="360" w:lineRule="auto"/>
              <w:rPr>
                <w:rFonts w:hint="eastAsia" w:ascii="仿宋_GB2312" w:eastAsia="仿宋_GB2312"/>
                <w:b/>
                <w:color w:val="auto"/>
                <w:sz w:val="32"/>
                <w:highlight w:val="none"/>
                <w:lang w:val="en-US" w:eastAsia="zh-CN"/>
              </w:rPr>
            </w:pPr>
          </w:p>
          <w:p>
            <w:pPr>
              <w:pStyle w:val="3"/>
              <w:tabs>
                <w:tab w:val="left" w:pos="562"/>
                <w:tab w:val="left" w:pos="3372"/>
                <w:tab w:val="left" w:pos="3653"/>
              </w:tabs>
              <w:spacing w:line="360" w:lineRule="auto"/>
              <w:jc w:val="center"/>
              <w:rPr>
                <w:rFonts w:hint="eastAsia" w:ascii="黑体" w:eastAsia="黑体"/>
                <w:b/>
                <w:color w:val="auto"/>
                <w:sz w:val="72"/>
                <w:szCs w:val="72"/>
                <w:highlight w:val="none"/>
                <w:lang w:val="en-US" w:eastAsia="zh-CN"/>
              </w:rPr>
            </w:pPr>
          </w:p>
          <w:p>
            <w:pPr>
              <w:pStyle w:val="3"/>
              <w:tabs>
                <w:tab w:val="left" w:pos="562"/>
                <w:tab w:val="left" w:pos="3372"/>
                <w:tab w:val="left" w:pos="3653"/>
              </w:tabs>
              <w:spacing w:line="360" w:lineRule="auto"/>
              <w:jc w:val="center"/>
              <w:rPr>
                <w:rFonts w:hint="eastAsia" w:ascii="黑体" w:eastAsia="黑体"/>
                <w:b/>
                <w:color w:val="auto"/>
                <w:sz w:val="72"/>
                <w:szCs w:val="72"/>
                <w:highlight w:val="none"/>
                <w:lang w:val="en-US" w:eastAsia="zh-CN"/>
              </w:rPr>
            </w:pPr>
            <w:r>
              <w:rPr>
                <w:rFonts w:hint="eastAsia" w:ascii="黑体" w:eastAsia="黑体"/>
                <w:b/>
                <w:color w:val="auto"/>
                <w:sz w:val="72"/>
                <w:szCs w:val="72"/>
                <w:highlight w:val="none"/>
                <w:lang w:val="en-US" w:eastAsia="zh-CN"/>
              </w:rPr>
              <w:t>投 标 文 件</w:t>
            </w:r>
          </w:p>
          <w:p>
            <w:pPr>
              <w:pStyle w:val="3"/>
              <w:tabs>
                <w:tab w:val="left" w:pos="562"/>
                <w:tab w:val="left" w:pos="3372"/>
                <w:tab w:val="left" w:pos="3653"/>
              </w:tabs>
              <w:spacing w:line="360" w:lineRule="auto"/>
              <w:jc w:val="center"/>
              <w:rPr>
                <w:rFonts w:hint="eastAsia" w:ascii="黑体" w:eastAsia="黑体"/>
                <w:b/>
                <w:strike/>
                <w:color w:val="auto"/>
                <w:sz w:val="32"/>
                <w:highlight w:val="none"/>
                <w:lang w:val="en-US" w:eastAsia="zh-CN"/>
              </w:rPr>
            </w:pP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3"/>
              <w:tabs>
                <w:tab w:val="left" w:pos="562"/>
                <w:tab w:val="left" w:pos="3372"/>
                <w:tab w:val="left" w:pos="3653"/>
              </w:tabs>
              <w:spacing w:line="360" w:lineRule="auto"/>
              <w:rPr>
                <w:rFonts w:hint="eastAsia" w:ascii="仿宋_GB2312" w:eastAsia="仿宋_GB2312"/>
                <w:b/>
                <w:color w:val="auto"/>
                <w:sz w:val="32"/>
                <w:highlight w:val="none"/>
                <w:lang w:val="en-US" w:eastAsia="zh-CN"/>
              </w:rPr>
            </w:pPr>
          </w:p>
          <w:p>
            <w:pPr>
              <w:rPr>
                <w:rFonts w:hint="eastAsia"/>
                <w:color w:val="auto"/>
                <w:highlight w:val="none"/>
              </w:rPr>
            </w:pPr>
          </w:p>
          <w:p>
            <w:pPr>
              <w:pStyle w:val="3"/>
              <w:tabs>
                <w:tab w:val="left" w:pos="562"/>
                <w:tab w:val="left" w:pos="3372"/>
                <w:tab w:val="left" w:pos="3653"/>
              </w:tabs>
              <w:spacing w:line="400" w:lineRule="exact"/>
              <w:ind w:firstLine="900" w:firstLineChars="320"/>
              <w:rPr>
                <w:rFonts w:hint="eastAsia" w:ascii="仿宋_GB2312" w:eastAsia="仿宋_GB2312"/>
                <w:b/>
                <w:color w:val="auto"/>
                <w:sz w:val="28"/>
                <w:szCs w:val="28"/>
                <w:highlight w:val="none"/>
                <w:lang w:val="en-US" w:eastAsia="zh-CN"/>
              </w:rPr>
            </w:pPr>
          </w:p>
          <w:p>
            <w:pPr>
              <w:pStyle w:val="3"/>
              <w:tabs>
                <w:tab w:val="left" w:pos="562"/>
                <w:tab w:val="left" w:pos="3372"/>
                <w:tab w:val="left" w:pos="3653"/>
              </w:tabs>
              <w:spacing w:line="400" w:lineRule="exact"/>
              <w:ind w:firstLine="900" w:firstLineChars="320"/>
              <w:rPr>
                <w:rFonts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项目编号：</w:t>
            </w:r>
            <w:r>
              <w:rPr>
                <w:rFonts w:hint="eastAsia" w:ascii="宋体" w:hAnsi="宋体" w:cs="Arial"/>
                <w:b/>
                <w:bCs/>
                <w:color w:val="auto"/>
                <w:sz w:val="28"/>
                <w:szCs w:val="28"/>
                <w:highlight w:val="none"/>
                <w:u w:val="single"/>
                <w:lang w:val="en-US" w:eastAsia="zh-CN"/>
              </w:rPr>
              <w:t xml:space="preserve">                                   </w:t>
            </w:r>
          </w:p>
          <w:p>
            <w:pPr>
              <w:pStyle w:val="3"/>
              <w:tabs>
                <w:tab w:val="left" w:pos="562"/>
                <w:tab w:val="left" w:pos="3372"/>
                <w:tab w:val="left" w:pos="3653"/>
              </w:tabs>
              <w:spacing w:line="400" w:lineRule="exact"/>
              <w:ind w:firstLine="900" w:firstLineChars="320"/>
              <w:rPr>
                <w:rFonts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项目名称：</w:t>
            </w:r>
            <w:r>
              <w:rPr>
                <w:rFonts w:hint="eastAsia" w:ascii="宋体" w:hAnsi="宋体" w:cs="Arial"/>
                <w:b/>
                <w:bCs/>
                <w:color w:val="auto"/>
                <w:sz w:val="28"/>
                <w:szCs w:val="28"/>
                <w:highlight w:val="none"/>
                <w:u w:val="single"/>
                <w:lang w:val="en-US" w:eastAsia="zh-CN"/>
              </w:rPr>
              <w:t xml:space="preserve">                                   </w:t>
            </w:r>
          </w:p>
          <w:p>
            <w:pPr>
              <w:pStyle w:val="3"/>
              <w:tabs>
                <w:tab w:val="left" w:pos="562"/>
                <w:tab w:val="left" w:pos="3372"/>
                <w:tab w:val="left" w:pos="3653"/>
              </w:tabs>
              <w:spacing w:line="400" w:lineRule="exact"/>
              <w:ind w:firstLine="900" w:firstLineChars="320"/>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投标人名称：</w:t>
            </w:r>
            <w:r>
              <w:rPr>
                <w:rFonts w:hint="eastAsia" w:ascii="宋体" w:hAnsi="宋体" w:cs="Arial"/>
                <w:b/>
                <w:bCs/>
                <w:color w:val="auto"/>
                <w:sz w:val="28"/>
                <w:szCs w:val="28"/>
                <w:highlight w:val="none"/>
                <w:u w:val="single"/>
                <w:lang w:val="en-US" w:eastAsia="zh-CN"/>
              </w:rPr>
              <w:t xml:space="preserve">                     （加盖公章）</w:t>
            </w:r>
          </w:p>
          <w:p>
            <w:pPr>
              <w:pStyle w:val="3"/>
              <w:tabs>
                <w:tab w:val="left" w:pos="562"/>
                <w:tab w:val="left" w:pos="3372"/>
                <w:tab w:val="left" w:pos="3653"/>
              </w:tabs>
              <w:spacing w:line="400" w:lineRule="exact"/>
              <w:ind w:firstLine="900" w:firstLineChars="320"/>
              <w:rPr>
                <w:rFonts w:hint="eastAsia" w:ascii="宋体" w:hAnsi="宋体" w:cs="Arial"/>
                <w:b/>
                <w:bCs/>
                <w:color w:val="auto"/>
                <w:sz w:val="28"/>
                <w:szCs w:val="28"/>
                <w:highlight w:val="none"/>
                <w:u w:val="single"/>
                <w:lang w:val="en-US" w:eastAsia="zh-CN"/>
              </w:rPr>
            </w:pPr>
            <w:r>
              <w:rPr>
                <w:rFonts w:hint="eastAsia" w:ascii="宋体" w:hAnsi="宋体" w:cs="宋体"/>
                <w:b/>
                <w:color w:val="auto"/>
                <w:sz w:val="28"/>
                <w:szCs w:val="28"/>
                <w:highlight w:val="none"/>
                <w:lang w:val="en-US" w:eastAsia="zh-CN"/>
              </w:rPr>
              <w:t>投标人地址：</w:t>
            </w:r>
            <w:r>
              <w:rPr>
                <w:rFonts w:hint="eastAsia" w:ascii="宋体" w:hAnsi="宋体" w:cs="Arial"/>
                <w:b/>
                <w:bCs/>
                <w:color w:val="auto"/>
                <w:sz w:val="28"/>
                <w:szCs w:val="28"/>
                <w:highlight w:val="none"/>
                <w:u w:val="single"/>
                <w:lang w:val="en-US" w:eastAsia="zh-CN"/>
              </w:rPr>
              <w:t xml:space="preserve">                                 </w:t>
            </w:r>
          </w:p>
          <w:p>
            <w:pPr>
              <w:pStyle w:val="3"/>
              <w:tabs>
                <w:tab w:val="left" w:pos="562"/>
                <w:tab w:val="left" w:pos="3372"/>
                <w:tab w:val="left" w:pos="3653"/>
              </w:tabs>
              <w:spacing w:line="400" w:lineRule="exact"/>
              <w:ind w:firstLine="900" w:firstLineChars="320"/>
              <w:rPr>
                <w:rFonts w:ascii="宋体" w:hAnsi="宋体" w:cs="Arial"/>
                <w:b/>
                <w:bCs/>
                <w:color w:val="auto"/>
                <w:sz w:val="28"/>
                <w:szCs w:val="28"/>
                <w:highlight w:val="none"/>
                <w:u w:val="single"/>
                <w:lang w:val="en-US" w:eastAsia="zh-CN"/>
              </w:rPr>
            </w:pPr>
            <w:r>
              <w:rPr>
                <w:rFonts w:hint="eastAsia" w:ascii="宋体" w:hAnsi="宋体" w:cs="Arial"/>
                <w:b/>
                <w:bCs/>
                <w:color w:val="auto"/>
                <w:sz w:val="28"/>
                <w:szCs w:val="28"/>
                <w:highlight w:val="none"/>
                <w:lang w:val="en-US" w:eastAsia="zh-CN"/>
              </w:rPr>
              <w:t>法定代表人（负责人）/被授权人：</w:t>
            </w:r>
            <w:r>
              <w:rPr>
                <w:rFonts w:hint="eastAsia" w:ascii="宋体" w:hAnsi="宋体" w:cs="Arial"/>
                <w:b/>
                <w:bCs/>
                <w:color w:val="auto"/>
                <w:sz w:val="28"/>
                <w:szCs w:val="28"/>
                <w:highlight w:val="none"/>
                <w:u w:val="single"/>
                <w:lang w:val="en-US" w:eastAsia="zh-CN"/>
              </w:rPr>
              <w:t xml:space="preserve">              </w:t>
            </w:r>
          </w:p>
          <w:p>
            <w:pPr>
              <w:pStyle w:val="3"/>
              <w:tabs>
                <w:tab w:val="left" w:pos="562"/>
                <w:tab w:val="left" w:pos="3372"/>
                <w:tab w:val="left" w:pos="3653"/>
              </w:tabs>
              <w:spacing w:line="400" w:lineRule="exact"/>
              <w:ind w:firstLine="900" w:firstLineChars="320"/>
              <w:rPr>
                <w:rFonts w:hint="eastAsia" w:ascii="宋体" w:hAnsi="宋体" w:cs="宋体"/>
                <w:b/>
                <w:color w:val="auto"/>
                <w:sz w:val="28"/>
                <w:szCs w:val="28"/>
                <w:highlight w:val="none"/>
                <w:lang w:val="en-US" w:eastAsia="zh-CN"/>
              </w:rPr>
            </w:pPr>
            <w:r>
              <w:rPr>
                <w:rFonts w:hint="eastAsia" w:ascii="宋体" w:hAnsi="宋体" w:cs="Arial"/>
                <w:b/>
                <w:bCs/>
                <w:color w:val="auto"/>
                <w:sz w:val="28"/>
                <w:szCs w:val="28"/>
                <w:highlight w:val="none"/>
                <w:lang w:val="en-US" w:eastAsia="zh-CN"/>
              </w:rPr>
              <w:t>联系电话：</w:t>
            </w:r>
            <w:r>
              <w:rPr>
                <w:rFonts w:hint="eastAsia" w:ascii="宋体" w:hAnsi="宋体" w:cs="Arial"/>
                <w:b/>
                <w:bCs/>
                <w:color w:val="auto"/>
                <w:sz w:val="28"/>
                <w:szCs w:val="28"/>
                <w:highlight w:val="none"/>
                <w:u w:val="single"/>
                <w:lang w:val="en-US" w:eastAsia="zh-CN"/>
              </w:rPr>
              <w:t xml:space="preserve">                                   </w:t>
            </w:r>
          </w:p>
          <w:p>
            <w:pPr>
              <w:spacing w:line="360" w:lineRule="auto"/>
              <w:jc w:val="center"/>
              <w:rPr>
                <w:rFonts w:hint="eastAsia" w:ascii="宋体" w:hAnsi="宋体" w:cs="Arial"/>
                <w:b/>
                <w:bCs/>
                <w:color w:val="auto"/>
                <w:sz w:val="28"/>
                <w:szCs w:val="28"/>
                <w:highlight w:val="none"/>
              </w:rPr>
            </w:pPr>
          </w:p>
          <w:p>
            <w:pPr>
              <w:spacing w:line="360" w:lineRule="auto"/>
              <w:jc w:val="center"/>
              <w:rPr>
                <w:rFonts w:hint="eastAsia" w:ascii="宋体" w:hAnsi="宋体" w:cs="Arial"/>
                <w:b/>
                <w:bCs/>
                <w:color w:val="auto"/>
                <w:sz w:val="28"/>
                <w:szCs w:val="28"/>
                <w:highlight w:val="none"/>
              </w:rPr>
            </w:pPr>
          </w:p>
          <w:p>
            <w:pPr>
              <w:spacing w:line="360" w:lineRule="auto"/>
              <w:jc w:val="center"/>
              <w:rPr>
                <w:rFonts w:hint="eastAsia" w:ascii="仿宋_GB2312" w:eastAsia="仿宋_GB2312"/>
                <w:b/>
                <w:color w:val="auto"/>
                <w:sz w:val="32"/>
                <w:highlight w:val="none"/>
              </w:rPr>
            </w:pPr>
            <w:r>
              <w:rPr>
                <w:rFonts w:hint="eastAsia" w:ascii="宋体" w:hAnsi="宋体" w:cs="Arial"/>
                <w:b/>
                <w:bCs/>
                <w:color w:val="auto"/>
                <w:sz w:val="28"/>
                <w:szCs w:val="28"/>
                <w:highlight w:val="none"/>
              </w:rPr>
              <w:t>【年月日时分之前不得启封。】</w:t>
            </w:r>
          </w:p>
        </w:tc>
      </w:tr>
    </w:tbl>
    <w:p>
      <w:pPr>
        <w:spacing w:line="360" w:lineRule="auto"/>
        <w:jc w:val="center"/>
        <w:rPr>
          <w:rFonts w:hint="eastAsia" w:ascii="宋体" w:hAnsi="宋体" w:cs="宋体"/>
          <w:b/>
          <w:bCs/>
          <w:color w:val="auto"/>
          <w:sz w:val="24"/>
          <w:highlight w:val="none"/>
        </w:rPr>
      </w:pPr>
    </w:p>
    <w:p>
      <w:pPr>
        <w:spacing w:before="100" w:beforeAutospacing="1" w:after="100" w:afterAutospacing="1"/>
        <w:jc w:val="center"/>
        <w:outlineLvl w:val="1"/>
        <w:rPr>
          <w:rFonts w:hint="eastAsia" w:ascii="宋体" w:hAnsi="宋体" w:cs="宋体"/>
          <w:b/>
          <w:color w:val="auto"/>
          <w:sz w:val="24"/>
          <w:highlight w:val="none"/>
        </w:rPr>
      </w:pPr>
      <w:bookmarkStart w:id="25" w:name="_Toc16724"/>
      <w:r>
        <w:rPr>
          <w:rFonts w:hint="eastAsia" w:ascii="宋体" w:hAnsi="宋体" w:cs="宋体"/>
          <w:b/>
          <w:color w:val="auto"/>
          <w:sz w:val="24"/>
          <w:highlight w:val="none"/>
        </w:rPr>
        <w:t>2、投标文件—目录</w:t>
      </w:r>
      <w:bookmarkEnd w:id="25"/>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6"/>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numPr>
          <w:ilvl w:val="0"/>
          <w:numId w:val="6"/>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分类报价明细表；</w:t>
      </w:r>
    </w:p>
    <w:p>
      <w:pPr>
        <w:spacing w:line="360" w:lineRule="auto"/>
        <w:rPr>
          <w:rFonts w:hint="eastAsia" w:ascii="宋体" w:hAnsi="宋体" w:cs="宋体"/>
          <w:b/>
          <w:bCs/>
          <w:color w:val="auto"/>
          <w:sz w:val="24"/>
          <w:highlight w:val="none"/>
          <w:u w:val="wave"/>
        </w:rPr>
      </w:pPr>
      <w:r>
        <w:rPr>
          <w:rFonts w:hint="eastAsia" w:ascii="宋体" w:hAnsi="宋体" w:cs="宋体"/>
          <w:b/>
          <w:bCs/>
          <w:color w:val="auto"/>
          <w:sz w:val="24"/>
          <w:highlight w:val="none"/>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司法行政部门颁发的《律师事务所执业许可证》并进行正常年度考核（若投标人存在总所和分所的，只允许总所或其中一家分所参与投标，分所投标须提供《律师事务所分所执业许可证》和总所的《律师事务所执业许可证》,且由总所出具的愿为其参与本项目投标、履约等行为承担民事责任的承诺函，承诺函格式自拟），以上材料须提供扫描件加盖公章，原件备查；</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法人代表证明书（负责人）及身份证明；</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法定代表人（负责人）授权书及身份证明；</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投标人简介；</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项目负责人（仅限一人）；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服务团队成员（不含项目负责人）；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同类项目业绩；</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对项目需求的理解和响应；</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工作安排科学性；</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合理化建议；</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投标人认为有必要提供的其他材料。</w:t>
      </w:r>
    </w:p>
    <w:p>
      <w:pPr>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9"/>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spacing w:line="360" w:lineRule="auto"/>
        <w:rPr>
          <w:rFonts w:hint="eastAsia" w:ascii="宋体" w:hAnsi="宋体" w:cs="宋体"/>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投标一览表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5" w:hRule="atLeast"/>
        </w:trPr>
        <w:tc>
          <w:tcPr>
            <w:tcW w:w="3484" w:type="dxa"/>
            <w:noWrap w:val="0"/>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896" w:type="dxa"/>
            <w:noWrap w:val="0"/>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投标价</w:t>
            </w:r>
          </w:p>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（人民币）</w:t>
            </w:r>
          </w:p>
        </w:tc>
        <w:tc>
          <w:tcPr>
            <w:tcW w:w="1318" w:type="dxa"/>
            <w:noWrap w:val="0"/>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hint="eastAsia" w:ascii="宋体" w:hAnsi="宋体" w:cs="宋体"/>
                <w:color w:val="auto"/>
                <w:sz w:val="24"/>
                <w:highlight w:val="none"/>
                <w:u w:val="single"/>
              </w:rPr>
            </w:pPr>
          </w:p>
        </w:tc>
        <w:tc>
          <w:tcPr>
            <w:tcW w:w="2896" w:type="dxa"/>
            <w:noWrap w:val="0"/>
            <w:vAlign w:val="center"/>
          </w:tcPr>
          <w:p>
            <w:pPr>
              <w:spacing w:line="360" w:lineRule="auto"/>
              <w:jc w:val="center"/>
              <w:rPr>
                <w:rFonts w:hint="eastAsia" w:ascii="宋体" w:hAnsi="宋体" w:cs="宋体"/>
                <w:color w:val="auto"/>
                <w:sz w:val="24"/>
                <w:highlight w:val="none"/>
                <w:u w:val="single"/>
              </w:rPr>
            </w:pPr>
          </w:p>
        </w:tc>
        <w:tc>
          <w:tcPr>
            <w:tcW w:w="1318" w:type="dxa"/>
            <w:noWrap w:val="0"/>
            <w:vAlign w:val="center"/>
          </w:tcPr>
          <w:p>
            <w:pPr>
              <w:spacing w:line="360" w:lineRule="auto"/>
              <w:jc w:val="center"/>
              <w:rPr>
                <w:rFonts w:hint="eastAsia" w:ascii="宋体" w:hAnsi="宋体" w:cs="宋体"/>
                <w:color w:val="auto"/>
                <w:sz w:val="24"/>
                <w:highlight w:val="none"/>
                <w:u w:val="single"/>
              </w:rPr>
            </w:pPr>
          </w:p>
        </w:tc>
      </w:tr>
    </w:tbl>
    <w:p>
      <w:pPr>
        <w:spacing w:line="360" w:lineRule="auto"/>
        <w:rPr>
          <w:rFonts w:hint="eastAsia"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3"/>
        <w:rPr>
          <w:rFonts w:hint="eastAsia"/>
          <w:color w:val="auto"/>
          <w:highlight w:val="none"/>
        </w:rPr>
      </w:pPr>
    </w:p>
    <w:p>
      <w:pPr>
        <w:numPr>
          <w:ilvl w:val="0"/>
          <w:numId w:val="9"/>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分项报价清单；</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分项报价清单</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序号</w:t>
            </w:r>
          </w:p>
        </w:tc>
        <w:tc>
          <w:tcPr>
            <w:tcW w:w="2212" w:type="dxa"/>
            <w:noWrap w:val="0"/>
            <w:vAlign w:val="center"/>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项目名称、内容</w:t>
            </w: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单位</w:t>
            </w: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数量（工作量）</w:t>
            </w: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单价</w:t>
            </w: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1</w:t>
            </w:r>
          </w:p>
        </w:tc>
        <w:tc>
          <w:tcPr>
            <w:tcW w:w="2212" w:type="dxa"/>
            <w:noWrap w:val="0"/>
            <w:vAlign w:val="center"/>
          </w:tcPr>
          <w:p>
            <w:pPr>
              <w:pStyle w:val="10"/>
              <w:spacing w:line="360" w:lineRule="auto"/>
              <w:jc w:val="center"/>
              <w:rPr>
                <w:rFonts w:hint="eastAsia" w:hAnsi="宋体" w:cs="宋体"/>
                <w:color w:val="auto"/>
                <w:sz w:val="24"/>
                <w:highlight w:val="none"/>
                <w:lang w:val="en-US" w:eastAsia="zh-CN"/>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w:t>
            </w:r>
          </w:p>
        </w:tc>
        <w:tc>
          <w:tcPr>
            <w:tcW w:w="2212" w:type="dxa"/>
            <w:noWrap w:val="0"/>
            <w:vAlign w:val="center"/>
          </w:tcPr>
          <w:p>
            <w:pPr>
              <w:pStyle w:val="10"/>
              <w:spacing w:line="360" w:lineRule="auto"/>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w:t>
            </w:r>
          </w:p>
        </w:tc>
        <w:tc>
          <w:tcPr>
            <w:tcW w:w="7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80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c>
          <w:tcPr>
            <w:tcW w:w="1620" w:type="dxa"/>
            <w:noWrap w:val="0"/>
            <w:vAlign w:val="center"/>
          </w:tcPr>
          <w:p>
            <w:pPr>
              <w:pStyle w:val="10"/>
              <w:spacing w:line="360" w:lineRule="auto"/>
              <w:jc w:val="center"/>
              <w:rPr>
                <w:rFonts w:hint="eastAsia"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10"/>
              <w:spacing w:line="360" w:lineRule="auto"/>
              <w:rPr>
                <w:rFonts w:hint="eastAsia" w:hAnsi="宋体" w:cs="宋体"/>
                <w:color w:val="auto"/>
                <w:sz w:val="24"/>
                <w:highlight w:val="none"/>
                <w:lang w:val="en-US" w:eastAsia="zh-CN"/>
              </w:rPr>
            </w:pPr>
            <w:r>
              <w:rPr>
                <w:rFonts w:hint="eastAsia" w:hAnsi="宋体" w:cs="宋体"/>
                <w:color w:val="auto"/>
                <w:sz w:val="24"/>
                <w:highlight w:val="none"/>
                <w:lang w:val="en-US" w:eastAsia="zh-CN"/>
              </w:rPr>
              <w:t>报价合计</w:t>
            </w: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outlineLvl w:val="2"/>
        <w:rPr>
          <w:rFonts w:hint="eastAsia" w:ascii="宋体" w:hAnsi="宋体" w:cs="宋体"/>
          <w:b/>
          <w:bCs/>
          <w:color w:val="auto"/>
          <w:sz w:val="24"/>
          <w:highlight w:val="none"/>
          <w:u w:val="wav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投标响应书；</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投标响应书</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         ），签字代表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一份正本四份副本以及1份电子文档的</w:t>
      </w:r>
      <w:r>
        <w:rPr>
          <w:rFonts w:hint="eastAsia" w:ascii="宋体" w:hAnsi="宋体" w:cs="宋体"/>
          <w:color w:val="auto"/>
          <w:sz w:val="24"/>
          <w:highlight w:val="none"/>
        </w:rPr>
        <w:t>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邮箱：</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3"/>
        <w:rPr>
          <w:rFonts w:hint="eastAsia"/>
          <w:color w:val="auto"/>
          <w:highlight w:val="none"/>
        </w:rPr>
      </w:pP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司法行政部门颁发的《律师事务所执业许可证》并进行正常年度考核（若投标人存在总所和分所的，只允许总所或其中一家分所参与投标，分所投标须提供《律师事务所分所执业许可证》和总所的《律师事务所执业许可证》,且由总所出具的愿为其参与本项目投标、履约等行为承担民事责任的承诺函，承诺函格式自拟），以上材料须提供扫描件加盖公章，原件备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政府采购投标及履约承诺函；</w:t>
      </w:r>
    </w:p>
    <w:p>
      <w:pPr>
        <w:spacing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政府采购投标及履约承诺函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w:t>
      </w:r>
      <w:r>
        <w:rPr>
          <w:rFonts w:hint="eastAsia" w:ascii="宋体" w:hAnsi="宋体" w:cs="宋体"/>
          <w:color w:val="auto"/>
          <w:kern w:val="0"/>
          <w:sz w:val="24"/>
          <w:highlight w:val="none"/>
          <w:lang w:eastAsia="zh-CN"/>
        </w:rPr>
        <w:t>法定代表人（负责人）</w:t>
      </w:r>
      <w:r>
        <w:rPr>
          <w:rFonts w:hint="eastAsia" w:ascii="宋体" w:hAnsi="宋体" w:cs="宋体"/>
          <w:color w:val="auto"/>
          <w:kern w:val="0"/>
          <w:sz w:val="24"/>
          <w:highlight w:val="none"/>
        </w:rPr>
        <w:t>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w:t>
      </w:r>
      <w:r>
        <w:rPr>
          <w:rFonts w:hint="eastAsia" w:ascii="宋体" w:hAnsi="宋体" w:cs="宋体"/>
          <w:color w:val="auto"/>
          <w:kern w:val="0"/>
          <w:sz w:val="24"/>
          <w:highlight w:val="none"/>
          <w:lang w:eastAsia="zh-CN"/>
        </w:rPr>
        <w:t>法定代表人（负责人）</w:t>
      </w:r>
      <w:r>
        <w:rPr>
          <w:rFonts w:hint="eastAsia" w:ascii="宋体" w:hAnsi="宋体" w:cs="宋体"/>
          <w:color w:val="auto"/>
          <w:kern w:val="0"/>
          <w:sz w:val="24"/>
          <w:highlight w:val="none"/>
        </w:rPr>
        <w:t>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bidi="ar"/>
        </w:rPr>
        <w:t>符合财政部和深圳市财政局关于诚信管理的要求，</w:t>
      </w:r>
      <w:r>
        <w:rPr>
          <w:rFonts w:hint="eastAsia" w:ascii="宋体" w:hAnsi="宋体" w:cs="宋体"/>
          <w:color w:val="auto"/>
          <w:kern w:val="0"/>
          <w:sz w:val="24"/>
          <w:highlight w:val="none"/>
        </w:rPr>
        <w:t>至投标截止时间，我单位未有在“信用中国”网（www.creditchina.gov.cn）、中国政府采购网（www.ccgp.gov.cn）、深圳市政府采购监督管理网（zfcg.sz.gov.cn）和“国家企业信用信息公示系统（www.gsxt.gov.cn）等</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个官网中列入“失信被执行人、重大税收违法失信主体、政府采购严重违法失信行为记录名单”</w:t>
      </w:r>
      <w:r>
        <w:rPr>
          <w:rFonts w:hint="eastAsia" w:ascii="宋体" w:hAnsi="宋体" w:cs="宋体"/>
          <w:color w:val="auto"/>
          <w:sz w:val="24"/>
          <w:highlight w:val="none"/>
        </w:rPr>
        <w:t>。</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我单位不存在单位</w:t>
      </w: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我单位承诺“本单位（公司）不存在《深圳市财政局政府采购供应商信用信息管理办法》（深财规〔2023〕3号）列明的严重违法失信行为</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highlight w:val="none"/>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投标供应商</w:t>
      </w: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 xml:space="preserve">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hAnsi="宋体" w:cs="宋体"/>
          <w:color w:val="auto"/>
          <w:highlight w:val="none"/>
        </w:rPr>
        <w:br w:type="page"/>
      </w:r>
      <w:r>
        <w:rPr>
          <w:rFonts w:hint="eastAsia" w:ascii="宋体" w:hAnsi="宋体" w:cs="宋体"/>
          <w:color w:val="auto"/>
          <w:sz w:val="24"/>
          <w:highlight w:val="none"/>
        </w:rPr>
        <w:t>关于资格的声明函；</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关于资格的声明函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hint="eastAsia" w:ascii="宋体" w:hAnsi="宋体" w:cs="宋体"/>
          <w:color w:val="auto"/>
          <w:sz w:val="24"/>
          <w:highlight w:val="none"/>
        </w:rPr>
      </w:pPr>
    </w:p>
    <w:p>
      <w:pPr>
        <w:tabs>
          <w:tab w:val="left" w:pos="4860"/>
        </w:tabs>
        <w:adjustRightInd w:val="0"/>
        <w:snapToGrid w:val="0"/>
        <w:spacing w:line="360" w:lineRule="auto"/>
        <w:ind w:right="105" w:rightChars="5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eastAsia="zh-CN"/>
        </w:rPr>
        <w:t>法定代表人（负责人）</w:t>
      </w:r>
      <w:r>
        <w:rPr>
          <w:rFonts w:hint="eastAsia" w:ascii="宋体" w:hAnsi="宋体" w:cs="宋体"/>
          <w:color w:val="auto"/>
          <w:sz w:val="24"/>
          <w:highlight w:val="none"/>
          <w:lang w:val="fr-CH"/>
        </w:rPr>
        <w:t>证明书及身份证明；</w:t>
      </w:r>
    </w:p>
    <w:p>
      <w:pPr>
        <w:spacing w:before="120" w:after="120" w:line="360" w:lineRule="auto"/>
        <w:jc w:val="center"/>
        <w:rPr>
          <w:rFonts w:hint="eastAsia" w:ascii="宋体" w:hAnsi="宋体" w:cs="宋体"/>
          <w:b/>
          <w:color w:val="auto"/>
          <w:sz w:val="24"/>
          <w:highlight w:val="none"/>
        </w:rPr>
      </w:pPr>
    </w:p>
    <w:p>
      <w:pPr>
        <w:spacing w:before="120" w:after="120" w:line="360" w:lineRule="auto"/>
        <w:jc w:val="center"/>
        <w:rPr>
          <w:rFonts w:hint="eastAsia" w:ascii="宋体" w:hAnsi="宋体" w:cs="宋体"/>
          <w:color w:val="auto"/>
          <w:sz w:val="24"/>
          <w:highlight w:val="none"/>
          <w:u w:val="single"/>
        </w:rPr>
      </w:pPr>
      <w:r>
        <w:rPr>
          <w:rFonts w:hint="eastAsia" w:ascii="宋体" w:hAnsi="宋体" w:cs="宋体"/>
          <w:b/>
          <w:color w:val="auto"/>
          <w:sz w:val="24"/>
          <w:highlight w:val="none"/>
          <w:lang w:eastAsia="zh-CN"/>
        </w:rPr>
        <w:t>法定代表人（负责人）</w:t>
      </w:r>
      <w:r>
        <w:rPr>
          <w:rFonts w:hint="eastAsia" w:ascii="宋体" w:hAnsi="宋体" w:cs="宋体"/>
          <w:b/>
          <w:color w:val="auto"/>
          <w:sz w:val="24"/>
          <w:highlight w:val="none"/>
        </w:rPr>
        <w:t>证明书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w:t>
      </w: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说明：1、</w:t>
      </w: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为企业事业单位、国家机关、社会团体的主要行政负责人。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2、内容必须填写真实、清楚，涂改无效，不得转让、买卖.</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（签字或签章）：</w:t>
      </w:r>
    </w:p>
    <w:p>
      <w:pPr>
        <w:spacing w:before="120" w:after="120"/>
        <w:jc w:val="left"/>
        <w:rPr>
          <w:rFonts w:hint="eastAsia" w:ascii="宋体" w:hAnsi="宋体" w:cs="宋体"/>
          <w:color w:val="auto"/>
          <w:szCs w:val="21"/>
          <w:highlight w:val="none"/>
        </w:rPr>
      </w:pPr>
    </w:p>
    <w:p>
      <w:pPr>
        <w:spacing w:before="120" w:after="12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10"/>
              <w:spacing w:line="360" w:lineRule="auto"/>
              <w:rPr>
                <w:rFonts w:ascii="Arial Narrow" w:hAnsi="Arial Narrow"/>
                <w:b/>
                <w:bCs/>
                <w:color w:val="auto"/>
                <w:szCs w:val="21"/>
                <w:highlight w:val="none"/>
                <w:lang w:val="en-US" w:eastAsia="zh-CN"/>
              </w:rPr>
            </w:pPr>
          </w:p>
        </w:tc>
        <w:tc>
          <w:tcPr>
            <w:tcW w:w="4240" w:type="dxa"/>
            <w:noWrap w:val="0"/>
            <w:vAlign w:val="top"/>
          </w:tcPr>
          <w:p>
            <w:pPr>
              <w:pStyle w:val="10"/>
              <w:spacing w:line="360" w:lineRule="auto"/>
              <w:rPr>
                <w:rFonts w:ascii="Arial Narrow" w:hAnsi="Arial Narrow"/>
                <w:b/>
                <w:bCs/>
                <w:color w:val="auto"/>
                <w:szCs w:val="21"/>
                <w:highlight w:val="none"/>
                <w:lang w:val="en-US" w:eastAsia="zh-CN"/>
              </w:rPr>
            </w:pPr>
          </w:p>
        </w:tc>
      </w:tr>
    </w:tbl>
    <w:p>
      <w:pPr>
        <w:pStyle w:val="3"/>
        <w:rPr>
          <w:rFonts w:hint="eastAsia"/>
          <w:color w:val="auto"/>
          <w:highlight w:val="none"/>
          <w:lang w:val="fr-CH"/>
        </w:rPr>
      </w:pP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eastAsia="zh-CN"/>
        </w:rPr>
        <w:t>法定代表人（负责人）</w:t>
      </w:r>
      <w:r>
        <w:rPr>
          <w:rFonts w:hint="eastAsia" w:ascii="宋体" w:hAnsi="宋体" w:cs="宋体"/>
          <w:color w:val="auto"/>
          <w:sz w:val="24"/>
          <w:highlight w:val="none"/>
          <w:lang w:val="fr-CH"/>
        </w:rPr>
        <w:t>授权书及身份证明；</w:t>
      </w:r>
    </w:p>
    <w:p>
      <w:pPr>
        <w:pStyle w:val="10"/>
        <w:spacing w:line="360" w:lineRule="auto"/>
        <w:jc w:val="center"/>
        <w:rPr>
          <w:rFonts w:hint="eastAsia" w:hAnsi="宋体" w:cs="宋体"/>
          <w:b/>
          <w:color w:val="auto"/>
          <w:sz w:val="24"/>
          <w:highlight w:val="none"/>
        </w:rPr>
      </w:pPr>
    </w:p>
    <w:p>
      <w:pPr>
        <w:pStyle w:val="10"/>
        <w:spacing w:line="360" w:lineRule="auto"/>
        <w:jc w:val="center"/>
        <w:rPr>
          <w:rFonts w:hint="eastAsia" w:hAnsi="宋体" w:cs="宋体"/>
          <w:b/>
          <w:color w:val="auto"/>
          <w:sz w:val="24"/>
          <w:highlight w:val="none"/>
        </w:rPr>
      </w:pPr>
      <w:r>
        <w:rPr>
          <w:rFonts w:hint="eastAsia" w:hAnsi="宋体" w:cs="宋体"/>
          <w:b/>
          <w:color w:val="auto"/>
          <w:sz w:val="24"/>
          <w:highlight w:val="none"/>
          <w:lang w:eastAsia="zh-CN"/>
        </w:rPr>
        <w:t>法定代表人（负责人）</w:t>
      </w:r>
      <w:r>
        <w:rPr>
          <w:rFonts w:hint="eastAsia" w:hAnsi="宋体" w:cs="宋体"/>
          <w:b/>
          <w:color w:val="auto"/>
          <w:sz w:val="24"/>
          <w:highlight w:val="none"/>
        </w:rPr>
        <w:t>授权书</w:t>
      </w:r>
    </w:p>
    <w:p>
      <w:pPr>
        <w:pStyle w:val="10"/>
        <w:spacing w:line="360" w:lineRule="auto"/>
        <w:rPr>
          <w:rFonts w:hint="eastAsia" w:hAnsi="宋体" w:cs="宋体"/>
          <w:color w:val="auto"/>
          <w:sz w:val="24"/>
          <w:highlight w:val="none"/>
        </w:rPr>
      </w:pPr>
    </w:p>
    <w:p>
      <w:pPr>
        <w:pStyle w:val="10"/>
        <w:spacing w:line="360" w:lineRule="auto"/>
        <w:rPr>
          <w:rFonts w:hAnsi="宋体" w:cs="宋体"/>
          <w:color w:val="auto"/>
          <w:sz w:val="24"/>
          <w:highlight w:val="none"/>
        </w:rPr>
      </w:pPr>
      <w:r>
        <w:rPr>
          <w:rFonts w:hint="eastAsia" w:hAnsi="宋体" w:cs="宋体"/>
          <w:b/>
          <w:color w:val="auto"/>
          <w:sz w:val="24"/>
          <w:highlight w:val="none"/>
        </w:rPr>
        <w:t>深圳市前海深港现代服务业合作区管理局：</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hAnsi="宋体" w:cs="宋体"/>
          <w:color w:val="auto"/>
          <w:sz w:val="24"/>
          <w:highlight w:val="none"/>
          <w:lang w:eastAsia="zh-CN"/>
        </w:rPr>
        <w:t>法定代表人</w:t>
      </w:r>
      <w:r>
        <w:rPr>
          <w:rFonts w:hint="eastAsia" w:hAnsi="宋体" w:cs="宋体"/>
          <w:color w:val="auto"/>
          <w:sz w:val="24"/>
          <w:highlight w:val="none"/>
          <w:lang w:val="en-US" w:eastAsia="zh-CN"/>
        </w:rPr>
        <w:t>/</w:t>
      </w:r>
      <w:r>
        <w:rPr>
          <w:rFonts w:hint="eastAsia" w:hAnsi="宋体" w:cs="宋体"/>
          <w:color w:val="auto"/>
          <w:sz w:val="24"/>
          <w:highlight w:val="none"/>
          <w:lang w:eastAsia="zh-CN"/>
        </w:rPr>
        <w:t>负责人</w:t>
      </w:r>
      <w:r>
        <w:rPr>
          <w:rFonts w:hint="eastAsia" w:hAnsi="宋体" w:cs="宋体"/>
          <w:color w:val="auto"/>
          <w:sz w:val="24"/>
          <w:highlight w:val="none"/>
        </w:rPr>
        <w:t>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0"/>
        <w:spacing w:line="360" w:lineRule="auto"/>
        <w:rPr>
          <w:rFonts w:hint="eastAsia" w:hAnsi="宋体" w:cs="宋体"/>
          <w:color w:val="auto"/>
          <w:sz w:val="24"/>
          <w:highlight w:val="none"/>
        </w:rPr>
      </w:pPr>
    </w:p>
    <w:p>
      <w:pPr>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（签字或签章）：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被授权人代表（签字或签章）：</w:t>
      </w:r>
    </w:p>
    <w:p>
      <w:pPr>
        <w:tabs>
          <w:tab w:val="left" w:pos="640"/>
          <w:tab w:val="left" w:pos="1260"/>
          <w:tab w:val="left" w:pos="1418"/>
        </w:tabs>
        <w:spacing w:line="360" w:lineRule="auto"/>
        <w:rPr>
          <w:rFonts w:hint="eastAsia" w:ascii="宋体" w:hAnsi="宋体" w:cs="宋体"/>
          <w:b/>
          <w:color w:val="auto"/>
          <w:sz w:val="24"/>
          <w:highlight w:val="none"/>
        </w:rPr>
      </w:pPr>
    </w:p>
    <w:p>
      <w:pPr>
        <w:tabs>
          <w:tab w:val="left" w:pos="640"/>
          <w:tab w:val="left" w:pos="1260"/>
          <w:tab w:val="left" w:pos="1418"/>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10"/>
              <w:spacing w:line="360" w:lineRule="auto"/>
              <w:rPr>
                <w:rFonts w:ascii="Arial Narrow" w:hAnsi="Arial Narrow"/>
                <w:b/>
                <w:bCs/>
                <w:color w:val="auto"/>
                <w:szCs w:val="21"/>
                <w:highlight w:val="none"/>
                <w:lang w:val="en-US" w:eastAsia="zh-CN"/>
              </w:rPr>
            </w:pPr>
          </w:p>
        </w:tc>
        <w:tc>
          <w:tcPr>
            <w:tcW w:w="4677" w:type="dxa"/>
            <w:noWrap w:val="0"/>
            <w:vAlign w:val="top"/>
          </w:tcPr>
          <w:p>
            <w:pPr>
              <w:pStyle w:val="10"/>
              <w:spacing w:line="360" w:lineRule="auto"/>
              <w:rPr>
                <w:rFonts w:ascii="Arial Narrow" w:hAnsi="Arial Narrow"/>
                <w:b/>
                <w:bCs/>
                <w:color w:val="auto"/>
                <w:szCs w:val="21"/>
                <w:highlight w:val="none"/>
                <w:lang w:val="en-US" w:eastAsia="zh-CN"/>
              </w:rPr>
            </w:pPr>
          </w:p>
        </w:tc>
      </w:tr>
    </w:tbl>
    <w:p>
      <w:pPr>
        <w:tabs>
          <w:tab w:val="left" w:pos="640"/>
          <w:tab w:val="left" w:pos="1260"/>
          <w:tab w:val="left" w:pos="1418"/>
        </w:tabs>
        <w:spacing w:line="360" w:lineRule="auto"/>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项目（招标编号：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）（货物/服务/工程）招标中若获中标，我们保证在收到中标通知书后5日内按招标文件的规定，以现金或电汇向贵公司指定的银行帐号支付全额招标代理服务费。招标代理服务费按照</w:t>
      </w:r>
      <w:r>
        <w:rPr>
          <w:rFonts w:hint="eastAsia" w:ascii="宋体" w:hAnsi="宋体" w:cs="宋体"/>
          <w:color w:val="auto"/>
          <w:sz w:val="24"/>
          <w:highlight w:val="none"/>
          <w:u w:val="single"/>
        </w:rPr>
        <w:t>招标文件中的规定</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特此承诺。</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3"/>
        <w:rPr>
          <w:rFonts w:hint="eastAsia"/>
          <w:color w:val="auto"/>
          <w:highlight w:val="none"/>
          <w:lang w:val="fr-CH"/>
        </w:rPr>
      </w:pPr>
    </w:p>
    <w:p>
      <w:pPr>
        <w:tabs>
          <w:tab w:val="left" w:pos="640"/>
          <w:tab w:val="left" w:pos="1260"/>
          <w:tab w:val="left" w:pos="1418"/>
        </w:tabs>
        <w:spacing w:line="360" w:lineRule="auto"/>
        <w:rPr>
          <w:rFonts w:hint="eastAsia" w:ascii="宋体" w:hAnsi="宋体" w:cs="宋体"/>
          <w:color w:val="auto"/>
          <w:sz w:val="24"/>
          <w:highlight w:val="none"/>
          <w:lang w:val="fr-CH"/>
        </w:rPr>
      </w:pP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rPr>
        <w:t>供应商</w:t>
      </w:r>
      <w:r>
        <w:rPr>
          <w:rFonts w:hint="eastAsia" w:ascii="宋体" w:hAnsi="宋体" w:cs="宋体"/>
          <w:color w:val="auto"/>
          <w:sz w:val="24"/>
          <w:highlight w:val="none"/>
          <w:lang w:val="fr-CH"/>
        </w:rPr>
        <w:t>简介；</w:t>
      </w:r>
    </w:p>
    <w:p>
      <w:pPr>
        <w:pStyle w:val="10"/>
        <w:spacing w:line="360" w:lineRule="auto"/>
        <w:jc w:val="center"/>
        <w:rPr>
          <w:rFonts w:hint="eastAsia" w:hAnsi="宋体" w:cs="宋体"/>
          <w:b/>
          <w:bCs/>
          <w:color w:val="auto"/>
          <w:sz w:val="24"/>
          <w:highlight w:val="none"/>
        </w:rPr>
      </w:pPr>
      <w:r>
        <w:rPr>
          <w:rFonts w:hint="eastAsia" w:hAnsi="宋体" w:cs="宋体"/>
          <w:b/>
          <w:bCs/>
          <w:color w:val="auto"/>
          <w:sz w:val="24"/>
          <w:highlight w:val="none"/>
        </w:rPr>
        <w:t>供应商基本情况一览表</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1．名称及概况：</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（1）供应商名称：_______________________________________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（2）地址：______________________________________________</w:t>
      </w:r>
    </w:p>
    <w:p>
      <w:pPr>
        <w:pStyle w:val="10"/>
        <w:spacing w:line="360" w:lineRule="auto"/>
        <w:ind w:firstLine="660" w:firstLineChars="275"/>
        <w:rPr>
          <w:rFonts w:hint="eastAsia" w:hAnsi="宋体" w:cs="宋体"/>
          <w:color w:val="auto"/>
          <w:sz w:val="24"/>
          <w:highlight w:val="none"/>
        </w:rPr>
      </w:pPr>
      <w:r>
        <w:rPr>
          <w:rFonts w:hint="eastAsia" w:hAnsi="宋体" w:cs="宋体"/>
          <w:color w:val="auto"/>
          <w:sz w:val="24"/>
          <w:highlight w:val="none"/>
        </w:rPr>
        <w:t xml:space="preserve">   邮政编码：___________________________________________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电话号码：___________________________________________ </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传真号码：___________________________________________ </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（3）成立和／或注册日期：_________________________________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（4）法人代表：___________________________________________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（5）开户银行：___________________________________________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（6）开户帐号：___________________________________________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（7）注册资金：___________________________________________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（8）近两年财务基本情况</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①货币资金期末数：_____________________________________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③年营业总额（值）：___________________________________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③资产负债率：_________________________________________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④销售利润率：_________________________________________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⑤资本收益率：_________________________________________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（9）项目主要联系人（姓名、职务、通讯）：</w:t>
      </w:r>
    </w:p>
    <w:p>
      <w:pPr>
        <w:pStyle w:val="10"/>
        <w:spacing w:line="360" w:lineRule="auto"/>
        <w:rPr>
          <w:rFonts w:hint="eastAsia" w:hAnsi="宋体" w:cs="宋体"/>
          <w:color w:val="auto"/>
          <w:sz w:val="24"/>
          <w:highlight w:val="none"/>
        </w:rPr>
      </w:pPr>
      <w:r>
        <w:rPr>
          <w:rFonts w:hint="eastAsia" w:hAnsi="宋体" w:cs="宋体"/>
          <w:color w:val="auto"/>
          <w:sz w:val="24"/>
          <w:highlight w:val="none"/>
        </w:rPr>
        <w:t>_____________________________________________________________________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（10）公司概况；</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（11）公司组织机构；</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3"/>
        <w:rPr>
          <w:rFonts w:hint="eastAsia"/>
          <w:color w:val="auto"/>
          <w:highlight w:val="none"/>
          <w:lang w:val="fr-CH"/>
        </w:rPr>
      </w:pPr>
    </w:p>
    <w:p>
      <w:pPr>
        <w:numPr>
          <w:ilvl w:val="0"/>
          <w:numId w:val="10"/>
        </w:numPr>
        <w:tabs>
          <w:tab w:val="left" w:pos="640"/>
        </w:tabs>
        <w:spacing w:line="360" w:lineRule="auto"/>
        <w:ind w:left="845" w:hanging="845"/>
        <w:rPr>
          <w:rFonts w:hint="eastAsia" w:ascii="宋体" w:hAnsi="宋体" w:eastAsia="宋体" w:cs="宋体"/>
          <w:color w:val="auto"/>
          <w:kern w:val="2"/>
          <w:sz w:val="24"/>
          <w:szCs w:val="24"/>
          <w:highlight w:val="none"/>
          <w:lang w:val="fr-CH" w:eastAsia="zh-CN" w:bidi="ar-SA"/>
        </w:rPr>
      </w:pPr>
      <w:r>
        <w:rPr>
          <w:rFonts w:hint="eastAsia" w:ascii="宋体" w:hAnsi="宋体" w:cs="宋体"/>
          <w:color w:val="auto"/>
          <w:sz w:val="24"/>
          <w:highlight w:val="none"/>
          <w:lang w:val="fr-CH"/>
        </w:rPr>
        <w:br w:type="page"/>
      </w:r>
    </w:p>
    <w:p>
      <w:pPr>
        <w:numPr>
          <w:ilvl w:val="0"/>
          <w:numId w:val="0"/>
        </w:numPr>
        <w:tabs>
          <w:tab w:val="left" w:pos="640"/>
          <w:tab w:val="left" w:pos="1260"/>
          <w:tab w:val="left" w:pos="1418"/>
        </w:tabs>
        <w:spacing w:line="360" w:lineRule="auto"/>
        <w:ind w:leftChars="0"/>
        <w:rPr>
          <w:rFonts w:hint="eastAsia" w:ascii="宋体" w:hAnsi="宋体" w:cs="宋体"/>
          <w:i w:val="0"/>
          <w:iCs w:val="0"/>
          <w:color w:val="auto"/>
          <w:kern w:val="2"/>
          <w:sz w:val="24"/>
          <w:szCs w:val="24"/>
          <w:highlight w:val="none"/>
          <w:lang w:val="fr-CH" w:eastAsia="zh-CN" w:bidi="ar-SA"/>
        </w:rPr>
      </w:pPr>
      <w:r>
        <w:rPr>
          <w:rFonts w:hint="eastAsia" w:ascii="宋体" w:hAnsi="宋体" w:cs="宋体"/>
          <w:i w:val="0"/>
          <w:iCs w:val="0"/>
          <w:color w:val="auto"/>
          <w:kern w:val="2"/>
          <w:sz w:val="24"/>
          <w:szCs w:val="24"/>
          <w:highlight w:val="none"/>
          <w:lang w:val="fr-CH" w:eastAsia="zh-CN" w:bidi="ar-SA"/>
        </w:rPr>
        <w:t>（</w:t>
      </w:r>
      <w:r>
        <w:rPr>
          <w:rFonts w:hint="eastAsia" w:ascii="宋体" w:hAnsi="宋体" w:cs="宋体"/>
          <w:i w:val="0"/>
          <w:iCs w:val="0"/>
          <w:color w:val="auto"/>
          <w:kern w:val="2"/>
          <w:sz w:val="24"/>
          <w:szCs w:val="24"/>
          <w:highlight w:val="none"/>
          <w:lang w:val="en-US" w:eastAsia="zh-CN" w:bidi="ar-SA"/>
        </w:rPr>
        <w:t>9</w:t>
      </w:r>
      <w:r>
        <w:rPr>
          <w:rFonts w:hint="eastAsia" w:ascii="宋体" w:hAnsi="宋体" w:cs="宋体"/>
          <w:i w:val="0"/>
          <w:iCs w:val="0"/>
          <w:color w:val="auto"/>
          <w:kern w:val="2"/>
          <w:sz w:val="24"/>
          <w:szCs w:val="24"/>
          <w:highlight w:val="none"/>
          <w:lang w:val="fr-CH" w:eastAsia="zh-CN" w:bidi="ar-SA"/>
        </w:rPr>
        <w:t>）项目负责人（仅限一人）</w:t>
      </w:r>
      <w:r>
        <w:rPr>
          <w:rFonts w:hint="eastAsia" w:ascii="宋体" w:hAnsi="宋体" w:eastAsia="宋体" w:cs="宋体"/>
          <w:color w:val="auto"/>
          <w:kern w:val="2"/>
          <w:sz w:val="24"/>
          <w:szCs w:val="24"/>
          <w:highlight w:val="none"/>
          <w:lang w:val="en-US" w:eastAsia="zh-CN" w:bidi="ar-SA"/>
        </w:rPr>
        <w:t>；</w:t>
      </w:r>
    </w:p>
    <w:p>
      <w:pPr>
        <w:numPr>
          <w:ilvl w:val="0"/>
          <w:numId w:val="0"/>
        </w:numPr>
        <w:tabs>
          <w:tab w:val="left" w:pos="640"/>
          <w:tab w:val="left" w:pos="1260"/>
          <w:tab w:val="left" w:pos="1418"/>
        </w:tabs>
        <w:spacing w:line="360" w:lineRule="auto"/>
        <w:ind w:leftChars="0"/>
        <w:rPr>
          <w:rFonts w:hint="eastAsia" w:ascii="宋体" w:hAnsi="宋体" w:cs="宋体"/>
          <w:i w:val="0"/>
          <w:iCs w:val="0"/>
          <w:color w:val="auto"/>
          <w:kern w:val="2"/>
          <w:sz w:val="24"/>
          <w:szCs w:val="24"/>
          <w:highlight w:val="none"/>
          <w:lang w:val="fr-CH" w:eastAsia="zh-CN" w:bidi="ar-SA"/>
        </w:rPr>
      </w:pPr>
      <w:r>
        <w:rPr>
          <w:rFonts w:hint="eastAsia" w:ascii="宋体" w:hAnsi="宋体" w:cs="宋体"/>
          <w:i w:val="0"/>
          <w:iCs w:val="0"/>
          <w:color w:val="auto"/>
          <w:kern w:val="2"/>
          <w:sz w:val="24"/>
          <w:szCs w:val="24"/>
          <w:highlight w:val="none"/>
          <w:lang w:val="fr-CH" w:eastAsia="zh-CN" w:bidi="ar-SA"/>
        </w:rPr>
        <w:t>（</w:t>
      </w:r>
      <w:r>
        <w:rPr>
          <w:rFonts w:hint="eastAsia" w:ascii="宋体" w:hAnsi="宋体" w:cs="宋体"/>
          <w:i w:val="0"/>
          <w:iCs w:val="0"/>
          <w:color w:val="auto"/>
          <w:kern w:val="2"/>
          <w:sz w:val="24"/>
          <w:szCs w:val="24"/>
          <w:highlight w:val="none"/>
          <w:lang w:val="en-US" w:eastAsia="zh-CN" w:bidi="ar-SA"/>
        </w:rPr>
        <w:t>10</w:t>
      </w:r>
      <w:r>
        <w:rPr>
          <w:rFonts w:hint="eastAsia" w:ascii="宋体" w:hAnsi="宋体" w:cs="宋体"/>
          <w:i w:val="0"/>
          <w:iCs w:val="0"/>
          <w:color w:val="auto"/>
          <w:kern w:val="2"/>
          <w:sz w:val="24"/>
          <w:szCs w:val="24"/>
          <w:highlight w:val="none"/>
          <w:lang w:val="fr-CH" w:eastAsia="zh-CN" w:bidi="ar-SA"/>
        </w:rPr>
        <w:t>）服务团队</w:t>
      </w:r>
      <w:r>
        <w:rPr>
          <w:rFonts w:hint="eastAsia" w:ascii="宋体" w:hAnsi="宋体" w:eastAsia="宋体" w:cs="宋体"/>
          <w:i w:val="0"/>
          <w:iCs w:val="0"/>
          <w:color w:val="auto"/>
          <w:kern w:val="2"/>
          <w:sz w:val="24"/>
          <w:szCs w:val="24"/>
          <w:highlight w:val="none"/>
          <w:lang w:val="fr-CH" w:eastAsia="zh-CN" w:bidi="ar-SA"/>
        </w:rPr>
        <w:t>成员</w:t>
      </w:r>
      <w:r>
        <w:rPr>
          <w:rFonts w:hint="eastAsia" w:ascii="宋体" w:hAnsi="宋体" w:cs="宋体"/>
          <w:i w:val="0"/>
          <w:iCs w:val="0"/>
          <w:color w:val="auto"/>
          <w:kern w:val="2"/>
          <w:sz w:val="24"/>
          <w:szCs w:val="24"/>
          <w:highlight w:val="none"/>
          <w:lang w:val="fr-CH" w:eastAsia="zh-CN" w:bidi="ar-SA"/>
        </w:rPr>
        <w:t>（不含项目负责人）</w:t>
      </w:r>
      <w:r>
        <w:rPr>
          <w:rFonts w:hint="eastAsia" w:ascii="宋体" w:hAnsi="宋体" w:eastAsia="宋体" w:cs="宋体"/>
          <w:color w:val="auto"/>
          <w:kern w:val="2"/>
          <w:sz w:val="24"/>
          <w:szCs w:val="24"/>
          <w:highlight w:val="none"/>
          <w:lang w:val="en-US" w:eastAsia="zh-CN" w:bidi="ar-SA"/>
        </w:rPr>
        <w:t>；</w:t>
      </w:r>
    </w:p>
    <w:p>
      <w:pPr>
        <w:numPr>
          <w:ilvl w:val="0"/>
          <w:numId w:val="0"/>
        </w:numPr>
        <w:tabs>
          <w:tab w:val="left" w:pos="640"/>
          <w:tab w:val="left" w:pos="1260"/>
          <w:tab w:val="left" w:pos="1418"/>
        </w:tabs>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fr-CH" w:eastAsia="zh-CN" w:bidi="ar-SA"/>
        </w:rPr>
        <w:t>（</w:t>
      </w:r>
      <w:r>
        <w:rPr>
          <w:rFonts w:hint="eastAsia" w:ascii="宋体" w:hAnsi="宋体" w:cs="宋体"/>
          <w:i w:val="0"/>
          <w:iCs w:val="0"/>
          <w:color w:val="auto"/>
          <w:kern w:val="2"/>
          <w:sz w:val="24"/>
          <w:szCs w:val="24"/>
          <w:highlight w:val="none"/>
          <w:lang w:val="en-US" w:eastAsia="zh-CN" w:bidi="ar-SA"/>
        </w:rPr>
        <w:t>11</w:t>
      </w:r>
      <w:r>
        <w:rPr>
          <w:rFonts w:hint="eastAsia" w:ascii="宋体" w:hAnsi="宋体" w:cs="宋体"/>
          <w:i w:val="0"/>
          <w:iCs w:val="0"/>
          <w:color w:val="auto"/>
          <w:kern w:val="2"/>
          <w:sz w:val="24"/>
          <w:szCs w:val="24"/>
          <w:highlight w:val="none"/>
          <w:lang w:val="fr-CH" w:eastAsia="zh-CN" w:bidi="ar-SA"/>
        </w:rPr>
        <w:t>）同类项目业绩</w:t>
      </w:r>
      <w:r>
        <w:rPr>
          <w:rFonts w:hint="eastAsia" w:ascii="宋体" w:hAnsi="宋体" w:eastAsia="宋体" w:cs="宋体"/>
          <w:color w:val="auto"/>
          <w:kern w:val="2"/>
          <w:sz w:val="24"/>
          <w:szCs w:val="24"/>
          <w:highlight w:val="none"/>
          <w:lang w:val="en-US" w:eastAsia="zh-CN" w:bidi="ar-SA"/>
        </w:rPr>
        <w:t>；</w:t>
      </w:r>
    </w:p>
    <w:p>
      <w:pPr>
        <w:tabs>
          <w:tab w:val="left" w:pos="640"/>
          <w:tab w:val="left" w:pos="1260"/>
          <w:tab w:val="left" w:pos="1418"/>
        </w:tabs>
        <w:jc w:val="center"/>
        <w:rPr>
          <w:rFonts w:hint="eastAsia" w:ascii="宋体" w:hAnsi="宋体" w:cs="宋体"/>
          <w:b/>
          <w:bCs/>
          <w:color w:val="auto"/>
          <w:szCs w:val="21"/>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0"/>
        </w:numPr>
        <w:tabs>
          <w:tab w:val="left" w:pos="640"/>
          <w:tab w:val="left" w:pos="840"/>
          <w:tab w:val="left" w:pos="1260"/>
          <w:tab w:val="left" w:pos="1418"/>
        </w:tabs>
        <w:spacing w:line="360" w:lineRule="auto"/>
        <w:ind w:leftChars="0"/>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fr-CH" w:eastAsia="zh-CN"/>
        </w:rPr>
        <w:t>（</w:t>
      </w: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lang w:val="fr-CH" w:eastAsia="zh-CN"/>
        </w:rPr>
        <w:t>）</w:t>
      </w:r>
      <w:r>
        <w:rPr>
          <w:rFonts w:hint="eastAsia" w:ascii="宋体" w:hAnsi="宋体" w:cs="宋体"/>
          <w:b/>
          <w:bCs/>
          <w:color w:val="auto"/>
          <w:sz w:val="24"/>
          <w:highlight w:val="none"/>
          <w:lang w:val="fr-CH"/>
        </w:rPr>
        <w:t>诚信</w:t>
      </w:r>
      <w:r>
        <w:rPr>
          <w:rFonts w:hint="eastAsia" w:ascii="宋体" w:hAnsi="宋体" w:cs="宋体"/>
          <w:b/>
          <w:bCs/>
          <w:color w:val="auto"/>
          <w:sz w:val="24"/>
          <w:highlight w:val="none"/>
        </w:rPr>
        <w:t>声明与承诺</w:t>
      </w:r>
      <w:r>
        <w:rPr>
          <w:rFonts w:hint="eastAsia" w:ascii="宋体" w:hAnsi="宋体" w:cs="宋体"/>
          <w:b/>
          <w:bCs/>
          <w:color w:val="auto"/>
          <w:sz w:val="24"/>
          <w:highlight w:val="none"/>
          <w:lang w:val="fr-CH"/>
        </w:rPr>
        <w:t>；</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诚信声明与承诺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中国远东国际招标有限公司：</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lang w:eastAsia="zh-CN"/>
        </w:rPr>
        <w:t>）</w:t>
      </w:r>
      <w:r>
        <w:rPr>
          <w:rFonts w:hint="eastAsia" w:ascii="宋体" w:hAnsi="宋体" w:cs="宋体"/>
          <w:color w:val="auto"/>
          <w:sz w:val="24"/>
          <w:highlight w:val="none"/>
        </w:rPr>
        <w:t>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10"/>
        <w:spacing w:line="360" w:lineRule="auto"/>
        <w:jc w:val="left"/>
        <w:rPr>
          <w:rFonts w:hint="eastAsia" w:hAnsi="宋体" w:cs="宋体"/>
          <w:color w:val="auto"/>
          <w:sz w:val="24"/>
          <w:highlight w:val="none"/>
        </w:rPr>
      </w:pPr>
    </w:p>
    <w:p>
      <w:pPr>
        <w:pStyle w:val="10"/>
        <w:spacing w:line="360" w:lineRule="auto"/>
        <w:jc w:val="left"/>
        <w:rPr>
          <w:rFonts w:hint="eastAsia" w:hAnsi="宋体" w:cs="宋体"/>
          <w:color w:val="auto"/>
          <w:sz w:val="24"/>
          <w:highlight w:val="none"/>
        </w:rPr>
      </w:pPr>
    </w:p>
    <w:p>
      <w:pPr>
        <w:spacing w:before="100" w:beforeAutospacing="1" w:after="100" w:afterAutospacing="1"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3"/>
        <w:rPr>
          <w:rFonts w:hint="eastAsia"/>
          <w:color w:val="auto"/>
          <w:highlight w:val="none"/>
          <w:lang w:val="fr-CH"/>
        </w:rPr>
      </w:pPr>
    </w:p>
    <w:p>
      <w:pPr>
        <w:numPr>
          <w:ilvl w:val="0"/>
          <w:numId w:val="0"/>
        </w:numPr>
        <w:tabs>
          <w:tab w:val="left" w:pos="640"/>
          <w:tab w:val="left" w:pos="840"/>
          <w:tab w:val="left" w:pos="1260"/>
          <w:tab w:val="left" w:pos="1418"/>
        </w:tabs>
        <w:spacing w:line="360" w:lineRule="auto"/>
        <w:ind w:leftChars="0"/>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14</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color w:val="auto"/>
          <w:sz w:val="24"/>
          <w:highlight w:val="none"/>
        </w:rPr>
      </w:pPr>
    </w:p>
    <w:p>
      <w:pPr>
        <w:spacing w:line="360" w:lineRule="auto"/>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highlight w:val="none"/>
          <w:lang w:val="fr-CH"/>
        </w:rPr>
      </w:pPr>
      <w:r>
        <w:rPr>
          <w:rFonts w:hint="eastAsia" w:ascii="宋体" w:hAnsi="宋体" w:cs="宋体"/>
          <w:color w:val="auto"/>
          <w:sz w:val="24"/>
          <w:highlight w:val="none"/>
          <w:lang w:val="fr-CH"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fr-CH" w:eastAsia="zh-CN"/>
        </w:rPr>
        <w:t>）</w:t>
      </w:r>
      <w:r>
        <w:rPr>
          <w:rFonts w:hint="eastAsia" w:ascii="宋体" w:hAnsi="宋体" w:cs="宋体"/>
          <w:color w:val="auto"/>
          <w:sz w:val="24"/>
          <w:highlight w:val="none"/>
          <w:lang w:val="fr-CH"/>
        </w:rPr>
        <w:t>用户需求响应表；</w:t>
      </w:r>
    </w:p>
    <w:p>
      <w:pPr>
        <w:spacing w:after="78"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用户需求响应表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3507" w:type="dxa"/>
            <w:noWrap w:val="0"/>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招标文件要求</w:t>
            </w:r>
          </w:p>
        </w:tc>
        <w:tc>
          <w:tcPr>
            <w:tcW w:w="3241" w:type="dxa"/>
            <w:noWrap w:val="0"/>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投标文件响应</w:t>
            </w:r>
          </w:p>
        </w:tc>
        <w:tc>
          <w:tcPr>
            <w:tcW w:w="1917" w:type="dxa"/>
            <w:noWrap w:val="0"/>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3507" w:type="dxa"/>
            <w:noWrap w:val="0"/>
            <w:vAlign w:val="center"/>
          </w:tcPr>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noWrap w:val="0"/>
            <w:vAlign w:val="center"/>
          </w:tcPr>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1917" w:type="dxa"/>
            <w:noWrap w:val="0"/>
            <w:vAlign w:val="center"/>
          </w:tcPr>
          <w:p>
            <w:pPr>
              <w:spacing w:line="360" w:lineRule="auto"/>
              <w:jc w:val="center"/>
              <w:rPr>
                <w:rFonts w:hint="eastAsia" w:ascii="宋体" w:hAnsi="宋体" w:cs="宋体"/>
                <w:bCs/>
                <w:color w:val="auto"/>
                <w:sz w:val="24"/>
                <w:highlight w:val="none"/>
              </w:rPr>
            </w:pPr>
          </w:p>
        </w:tc>
      </w:tr>
    </w:tbl>
    <w:p>
      <w:pPr>
        <w:spacing w:after="78" w:line="360" w:lineRule="auto"/>
        <w:rPr>
          <w:rFonts w:hint="eastAsia" w:ascii="宋体" w:hAnsi="宋体" w:cs="宋体"/>
          <w:bCs/>
          <w:color w:val="auto"/>
          <w:sz w:val="24"/>
          <w:highlight w:val="none"/>
        </w:rPr>
      </w:pP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若响应情况优于招标要求，应作详细说明；“偏离情况”栏中根据响应情况填写，没有达到要求的填“负偏离”，达到要求的填“符合”，优于要求的填“正偏离”。</w:t>
      </w:r>
    </w:p>
    <w:p>
      <w:pPr>
        <w:spacing w:line="360" w:lineRule="auto"/>
        <w:rPr>
          <w:rFonts w:hint="eastAsia"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3"/>
        <w:spacing w:line="360" w:lineRule="auto"/>
        <w:rPr>
          <w:rFonts w:hint="eastAsia"/>
          <w:color w:val="auto"/>
          <w:highlight w:val="none"/>
          <w:lang w:val="fr-CH"/>
        </w:rPr>
      </w:pPr>
    </w:p>
    <w:p>
      <w:pPr>
        <w:spacing w:line="360" w:lineRule="auto"/>
        <w:rPr>
          <w:rFonts w:hint="eastAsia" w:ascii="宋体" w:hAnsi="宋体" w:cs="宋体"/>
          <w:color w:val="auto"/>
          <w:sz w:val="24"/>
          <w:highlight w:val="none"/>
          <w:lang w:val="sq-AL" w:eastAsia="zh-CN"/>
        </w:rPr>
      </w:pPr>
      <w:r>
        <w:rPr>
          <w:rFonts w:hint="eastAsia" w:ascii="宋体" w:hAnsi="宋体" w:cs="宋体"/>
          <w:color w:val="auto"/>
          <w:sz w:val="24"/>
          <w:highlight w:val="none"/>
          <w:lang w:val="sq-AL"/>
        </w:rPr>
        <w:br w:type="page"/>
      </w:r>
      <w:r>
        <w:rPr>
          <w:rFonts w:hint="eastAsia" w:ascii="宋体" w:hAnsi="宋体" w:cs="宋体"/>
          <w:color w:val="auto"/>
          <w:sz w:val="24"/>
          <w:highlight w:val="none"/>
          <w:lang w:val="sq-AL"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sq-AL" w:eastAsia="zh-CN"/>
        </w:rPr>
        <w:t>）对项目需求的理解和响应</w:t>
      </w:r>
      <w:r>
        <w:rPr>
          <w:rFonts w:hint="eastAsia" w:ascii="宋体" w:hAnsi="宋体" w:eastAsia="宋体" w:cs="宋体"/>
          <w:color w:val="auto"/>
          <w:sz w:val="24"/>
          <w:highlight w:val="none"/>
          <w:lang w:val="sq-AL"/>
        </w:rPr>
        <w:t>；</w:t>
      </w:r>
    </w:p>
    <w:p>
      <w:pPr>
        <w:spacing w:line="360" w:lineRule="auto"/>
        <w:rPr>
          <w:rFonts w:hint="eastAsia" w:ascii="宋体" w:hAnsi="宋体" w:cs="宋体"/>
          <w:color w:val="auto"/>
          <w:sz w:val="24"/>
          <w:highlight w:val="none"/>
          <w:lang w:val="sq-AL" w:eastAsia="zh-CN"/>
        </w:rPr>
      </w:pPr>
      <w:r>
        <w:rPr>
          <w:rFonts w:hint="eastAsia" w:ascii="宋体" w:hAnsi="宋体" w:cs="宋体"/>
          <w:color w:val="auto"/>
          <w:sz w:val="24"/>
          <w:highlight w:val="none"/>
          <w:lang w:val="sq-AL"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sq-AL" w:eastAsia="zh-CN"/>
        </w:rPr>
        <w:t>）工作安排科学性</w:t>
      </w:r>
      <w:r>
        <w:rPr>
          <w:rFonts w:hint="eastAsia" w:ascii="宋体" w:hAnsi="宋体" w:eastAsia="宋体" w:cs="宋体"/>
          <w:color w:val="auto"/>
          <w:sz w:val="24"/>
          <w:highlight w:val="none"/>
          <w:lang w:val="sq-AL"/>
        </w:rPr>
        <w:t>；</w:t>
      </w:r>
    </w:p>
    <w:p>
      <w:pPr>
        <w:spacing w:line="360" w:lineRule="auto"/>
        <w:rPr>
          <w:rFonts w:hint="eastAsia" w:ascii="宋体" w:hAnsi="宋体" w:eastAsia="宋体" w:cs="宋体"/>
          <w:color w:val="auto"/>
          <w:sz w:val="24"/>
          <w:highlight w:val="none"/>
          <w:lang w:val="sq-AL"/>
        </w:rPr>
      </w:pPr>
      <w:r>
        <w:rPr>
          <w:rFonts w:hint="eastAsia" w:ascii="宋体" w:hAnsi="宋体" w:cs="宋体"/>
          <w:color w:val="auto"/>
          <w:sz w:val="24"/>
          <w:highlight w:val="none"/>
          <w:lang w:val="sq-AL"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sq-AL" w:eastAsia="zh-CN"/>
        </w:rPr>
        <w:t>）合理化建议</w:t>
      </w:r>
      <w:r>
        <w:rPr>
          <w:rFonts w:hint="eastAsia" w:ascii="宋体" w:hAnsi="宋体" w:eastAsia="宋体" w:cs="宋体"/>
          <w:color w:val="auto"/>
          <w:sz w:val="24"/>
          <w:highlight w:val="none"/>
          <w:lang w:val="sq-AL"/>
        </w:rPr>
        <w:t>；</w:t>
      </w:r>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sq-AL"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sq-AL" w:eastAsia="zh-CN"/>
        </w:rPr>
        <w:t>）</w:t>
      </w:r>
      <w:r>
        <w:rPr>
          <w:rFonts w:hint="eastAsia" w:ascii="宋体" w:hAnsi="宋体" w:cs="宋体"/>
          <w:color w:val="auto"/>
          <w:sz w:val="24"/>
          <w:highlight w:val="none"/>
          <w:lang w:val="fr-CH"/>
        </w:rPr>
        <w:t>投标人认为有必要提供的其他材料。</w:t>
      </w:r>
      <w:bookmarkEnd w:id="20"/>
      <w:r>
        <w:rPr>
          <w:rFonts w:hint="eastAsia" w:ascii="宋体" w:hAnsi="宋体" w:cs="宋体"/>
          <w:color w:val="auto"/>
          <w:sz w:val="24"/>
          <w:highlight w:val="none"/>
          <w:lang w:val="fr-CH"/>
        </w:rPr>
        <w:t>（投标人可根据实际情况按照附件的格式提供中小微企业声明函）</w:t>
      </w:r>
    </w:p>
    <w:p>
      <w:pPr>
        <w:tabs>
          <w:tab w:val="left" w:pos="360"/>
        </w:tabs>
        <w:spacing w:line="300" w:lineRule="auto"/>
        <w:outlineLvl w:val="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lang w:val="fr-CH"/>
        </w:rPr>
        <w:br w:type="page"/>
      </w:r>
      <w:bookmarkStart w:id="26" w:name="_Toc742"/>
      <w:bookmarkStart w:id="27" w:name="_Toc6251"/>
      <w:r>
        <w:rPr>
          <w:rFonts w:hint="eastAsia" w:ascii="宋体" w:hAnsi="宋体" w:cs="宋体"/>
          <w:b/>
          <w:bCs/>
          <w:color w:val="auto"/>
          <w:sz w:val="24"/>
          <w:highlight w:val="none"/>
        </w:rPr>
        <w:t>附件：相关政策</w:t>
      </w:r>
      <w:bookmarkEnd w:id="26"/>
      <w:bookmarkEnd w:id="27"/>
    </w:p>
    <w:p>
      <w:pPr>
        <w:tabs>
          <w:tab w:val="left" w:pos="360"/>
        </w:tabs>
        <w:outlineLvl w:val="1"/>
        <w:rPr>
          <w:rFonts w:hint="eastAsia"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3"/>
        <w:tabs>
          <w:tab w:val="left" w:pos="562"/>
          <w:tab w:val="left" w:pos="3372"/>
          <w:tab w:val="left" w:pos="3653"/>
        </w:tabs>
        <w:rPr>
          <w:rFonts w:hint="eastAsia" w:ascii="宋体" w:hAnsi="宋体" w:cs="宋体"/>
          <w:color w:val="auto"/>
          <w:highlight w:val="none"/>
        </w:rPr>
      </w:pPr>
    </w:p>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jc w:val="left"/>
        <w:rPr>
          <w:rFonts w:hint="eastAsia" w:ascii="宋体" w:hAnsi="宋体" w:cs="宋体"/>
          <w:color w:val="auto"/>
          <w:kern w:val="0"/>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第一条 为了发挥政府采购的政策功能，促进中小企业健康发展，根据《中华人民共和国政府采购法》、《中华人民共和国中小企业促进法》等有关法律法规，制定本办法。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第三条 采购人在政府采购活动中应当通过加强采购需求管理，落实预留采购份额、价格评审优惠、优先采购等 措施，提高中小企业在政府采购中的份额，支持中小企业发展。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第四条 在政府采购活动中，供应商提供的货物、工程或者服务符合下列情形的，享受本办法规定的中小企业扶持政策：</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（一）在货物采购项目中，货物由中小企业制造，即货 物由中小企业生产且使用该中小企业商号或者注册商标；</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（二）在工程采购项目中，工程由中小企业承建，即工 程施工单位为中小企业；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（三）在服务采购项目中，服务由中小企业承接，即提供服务的人员为中小企业依照《中华人民共和国劳动合同法》订立劳动合同的从业人员。</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在货物采购项目中，供应商提供的货物既有中小企业制造货物，也有大型企业制造货物的，不享受本办法规定的中小企业扶持政策。</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以联合体形式参加政府采购活动，联合体各方均为中小企业的，联合体视同中小企业。其中，联合体各方均为小微企业的，联合体视同小微企业。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3"/>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kern w:val="0"/>
          <w:highlight w:val="none"/>
        </w:rPr>
        <w:t>符合下列情形之一的，可不专门面向中小企业预留采购</w:t>
      </w:r>
      <w:r>
        <w:rPr>
          <w:rFonts w:hint="eastAsia" w:ascii="宋体" w:hAnsi="宋体" w:cs="宋体"/>
          <w:color w:val="auto"/>
          <w:highlight w:val="none"/>
        </w:rPr>
        <w:t>份额：</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（一）法律法规和国家有关政策明确规定优先或者应当面向事业单位、社会组织等非企业主体采购的；</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（二）因确需使用不可替代的专利、专有技术，基础设施限制，或者提供特定公共服务等原因，只能从中小企业之外的供应商处采购的；</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（三）按照本办法规定预留采购份额无法确保充分供应、充分竞争，或者存在可能影响政府采购目标实现的情形；</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（四）框架协议采购项目；</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（五）省级以上人民政府财政部门规定的其他情形。 除上述情形外，其他均为适宜由中小企业提供的情形。</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第七条采购限额标准以上，200万元以下的货物和服务采购项目、400 万元以下的工程采购项目，适宜由中小企业提供的，采购人应当专门面向中小企业采购。</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（一）将采购项目整体或者设置采购包专门面向中小企业采购；</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（二）要求供应商以联合体形式参加采购活动，且联合体中中小企业承担的部分达到一定比例；</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（三）要求获得采购合同的供应商将采购项目中的一定比例分包给一家或者多家中小企业。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组成联合体或者接受分包合同的中小企业与联合体内 其他企业、分包企业之间不得存在直接控股、管理关系。</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第十二条 采购项目涉及中小企业采购的，采购文件应当明确以下内容：</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（一）预留份额的采购项目或者采购包，明确该项目或相关采购包专门面向中小企业采购，以及相关标的及预算金额；</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（二）要求以联合体形式参加或者合同分包的，明确联合协议或者分包意向协议中中小企业合同金额应当达到的 比例，并作为供应商资格条件；</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（三）非预留份额的采购项目或者采购包，明确有关价格扣除比例或者价格分加分比例；</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（四）规定依据本办法规定享受扶持政策获得政府采购合同的，小微企业不得将合同分包给大中型企业，中型企业不得将合同分包给大型企业；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（五）采购人认为具备相关条件的，明确对中小企业在资金支付期限、预付款比例等方面的优惠措施；</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（六）明确采购标的对应的中小企业划分标准所属行业；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（七）法律法规和省级以上人民政府财政部门规定的其他事项。</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第十三条 中标、成交供应商享受本办法规定的中小企业扶持政策的，采购人、采购代理机构应当随中标、成交结果公开中标、成交供应商的《中小企业声明函》。</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适用招标投标法的政府采购工程建设项目，应当在公示中标候选人时公开中标候选人的《中小企业声明函》。</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中小企业主管部门应当在收到财政部门或者有关招标 投标行政监督部门关于协助开展中小企业认定函后 10 个工作日内做出书面答复。</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第二十条 供应商按照本办法规定提供声明函内容不实的，属于提供虚假材料谋取中标、成交，依照《中华人民共和国政府采购法》等国家有关规定追究相应责任。</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第二十二条 对外援助项目、国家相关资格或者资质管理制度另有规定的项目，不适用本办法。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第二十三条 关于视同中小企业的其他主体的政府采购扶持政策，由财政部会同有关部门另行规定。</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第二十四条 省级财政部门可以会同中小企业主管部门根据本办法的规定制定具体实施办法。</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第二十五条 本办法自 2021 年 1 月 1 日起施行。《财政部 工业和信息化部关于印发〈政府采购促进中小企业发展暂行办法〉的通知》（财库﹝2011﹞181 号）同时废止。</w:t>
      </w:r>
    </w:p>
    <w:p>
      <w:pPr>
        <w:pStyle w:val="3"/>
        <w:tabs>
          <w:tab w:val="left" w:pos="562"/>
          <w:tab w:val="left" w:pos="3372"/>
          <w:tab w:val="left" w:pos="3653"/>
        </w:tabs>
        <w:spacing w:before="5"/>
        <w:rPr>
          <w:rFonts w:hint="eastAsia" w:ascii="宋体" w:hAnsi="宋体" w:cs="宋体"/>
          <w:color w:val="auto"/>
          <w:highlight w:val="none"/>
        </w:rPr>
      </w:pP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附：1.中小企业声明函</w:t>
      </w:r>
    </w:p>
    <w:p>
      <w:pPr>
        <w:pStyle w:val="3"/>
        <w:tabs>
          <w:tab w:val="left" w:pos="562"/>
          <w:tab w:val="left" w:pos="3372"/>
          <w:tab w:val="left" w:pos="3653"/>
        </w:tabs>
        <w:ind w:firstLine="960" w:firstLineChars="400"/>
        <w:rPr>
          <w:rFonts w:hint="eastAsia" w:ascii="宋体" w:hAnsi="宋体" w:cs="宋体"/>
          <w:color w:val="auto"/>
          <w:kern w:val="0"/>
          <w:highlight w:val="none"/>
        </w:rPr>
      </w:pPr>
      <w:r>
        <w:rPr>
          <w:rFonts w:hint="eastAsia" w:ascii="宋体" w:hAnsi="宋体" w:cs="宋体"/>
          <w:color w:val="auto"/>
          <w:kern w:val="0"/>
          <w:highlight w:val="none"/>
        </w:rPr>
        <w:t>2.面向中小企业预留项目执行情况公告</w:t>
      </w:r>
    </w:p>
    <w:p>
      <w:pPr>
        <w:pStyle w:val="3"/>
        <w:tabs>
          <w:tab w:val="left" w:pos="562"/>
          <w:tab w:val="left" w:pos="3372"/>
          <w:tab w:val="left" w:pos="3653"/>
        </w:tabs>
        <w:spacing w:before="30"/>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附 1</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t>中小企业声明函（货物）</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）采购活动，提供的货物全部由符合政策要求的中小企业制造。相关企业（含联合体中的中小企业、签订分包意向协议的中小企业） 的具体情况如下：</w:t>
      </w:r>
    </w:p>
    <w:p>
      <w:pPr>
        <w:pStyle w:val="3"/>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标的名称</w:t>
      </w:r>
      <w:r>
        <w:rPr>
          <w:rFonts w:hint="eastAsia" w:ascii="宋体" w:hAnsi="宋体" w:cs="宋体"/>
          <w:color w:val="auto"/>
          <w:kern w:val="0"/>
          <w:highlight w:val="none"/>
        </w:rPr>
        <w:t>），属于（</w:t>
      </w:r>
      <w:r>
        <w:rPr>
          <w:rFonts w:hint="eastAsia" w:ascii="宋体" w:hAnsi="宋体" w:cs="宋体"/>
          <w:color w:val="auto"/>
          <w:kern w:val="0"/>
          <w:highlight w:val="none"/>
          <w:u w:val="single"/>
        </w:rPr>
        <w:t>采购文件中明确的所属行业</w:t>
      </w:r>
      <w:r>
        <w:rPr>
          <w:rFonts w:hint="eastAsia" w:ascii="宋体" w:hAnsi="宋体" w:cs="宋体"/>
          <w:color w:val="auto"/>
          <w:kern w:val="0"/>
          <w:highlight w:val="none"/>
        </w:rPr>
        <w:t>）；制造商为（</w:t>
      </w:r>
      <w:r>
        <w:rPr>
          <w:rFonts w:hint="eastAsia" w:ascii="宋体" w:hAnsi="宋体" w:cs="宋体"/>
          <w:color w:val="auto"/>
          <w:kern w:val="0"/>
          <w:highlight w:val="none"/>
          <w:u w:val="single"/>
        </w:rPr>
        <w:t>企业名称</w:t>
      </w:r>
      <w:r>
        <w:rPr>
          <w:rFonts w:hint="eastAsia" w:ascii="宋体" w:hAnsi="宋体" w:cs="宋体"/>
          <w:color w:val="auto"/>
          <w:kern w:val="0"/>
          <w:highlight w:val="none"/>
        </w:rPr>
        <w:t>），从业人员</w:t>
      </w:r>
      <w:r>
        <w:rPr>
          <w:rFonts w:hint="eastAsia" w:ascii="宋体" w:hAnsi="宋体" w:cs="宋体"/>
          <w:color w:val="auto"/>
          <w:kern w:val="0"/>
          <w:highlight w:val="none"/>
          <w:u w:val="single"/>
        </w:rPr>
        <w:tab/>
      </w:r>
      <w:r>
        <w:rPr>
          <w:rFonts w:hint="eastAsia" w:ascii="宋体" w:hAnsi="宋体" w:cs="宋体"/>
          <w:color w:val="auto"/>
          <w:kern w:val="0"/>
          <w:highlight w:val="none"/>
        </w:rPr>
        <w:t xml:space="preserve">人，营业收入为 </w:t>
      </w:r>
      <w:r>
        <w:rPr>
          <w:rFonts w:hint="eastAsia" w:ascii="宋体" w:hAnsi="宋体" w:cs="宋体"/>
          <w:color w:val="auto"/>
          <w:kern w:val="0"/>
          <w:highlight w:val="none"/>
          <w:u w:val="single"/>
        </w:rPr>
        <w:tab/>
      </w:r>
      <w:r>
        <w:rPr>
          <w:rFonts w:hint="eastAsia" w:ascii="宋体" w:hAnsi="宋体" w:cs="宋体"/>
          <w:color w:val="auto"/>
          <w:kern w:val="0"/>
          <w:highlight w:val="none"/>
        </w:rPr>
        <w:t>万元，资产总额为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万元，属于（</w:t>
      </w:r>
      <w:r>
        <w:rPr>
          <w:rFonts w:hint="eastAsia" w:ascii="宋体" w:hAnsi="宋体" w:cs="宋体"/>
          <w:color w:val="auto"/>
          <w:kern w:val="0"/>
          <w:highlight w:val="none"/>
          <w:u w:val="single"/>
        </w:rPr>
        <w:t>中型企业、小型企业、微型企业</w:t>
      </w:r>
      <w:r>
        <w:rPr>
          <w:rFonts w:hint="eastAsia" w:ascii="宋体" w:hAnsi="宋体" w:cs="宋体"/>
          <w:color w:val="auto"/>
          <w:kern w:val="0"/>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）；制造商为（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ind w:left="4200" w:leftChars="2000"/>
        <w:rPr>
          <w:rFonts w:hint="eastAsia" w:ascii="宋体" w:hAnsi="宋体" w:cs="宋体"/>
          <w:color w:val="auto"/>
          <w:highlight w:val="none"/>
        </w:rPr>
      </w:pPr>
      <w:r>
        <w:rPr>
          <w:rFonts w:hint="eastAsia" w:ascii="宋体" w:hAnsi="宋体" w:cs="宋体"/>
          <w:color w:val="auto"/>
          <w:spacing w:val="-2"/>
          <w:highlight w:val="none"/>
        </w:rPr>
        <w:t>企业名称（盖章）日期：</w:t>
      </w:r>
    </w:p>
    <w:p>
      <w:pPr>
        <w:pStyle w:val="3"/>
        <w:tabs>
          <w:tab w:val="left" w:pos="562"/>
          <w:tab w:val="left" w:pos="3372"/>
          <w:tab w:val="left" w:pos="3653"/>
        </w:tabs>
        <w:jc w:val="center"/>
        <w:rPr>
          <w:rFonts w:hint="eastAsia" w:ascii="宋体" w:hAnsi="宋体" w:cs="宋体"/>
          <w:color w:val="auto"/>
          <w:spacing w:val="-2"/>
          <w:highlight w:val="none"/>
        </w:rPr>
      </w:pPr>
      <w:r>
        <w:rPr>
          <w:rFonts w:hint="eastAsia" w:ascii="宋体" w:hAnsi="宋体" w:cs="宋体"/>
          <w:color w:val="auto"/>
          <w:spacing w:val="-2"/>
          <w:highlight w:val="none"/>
        </w:rPr>
        <w:t>从业人员、营业收入、资产总额填报上一年度数据，无上一年度数据的新成立企业可不填报。</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1、（</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 ；承建（承接）企业为（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3"/>
        <w:tabs>
          <w:tab w:val="left" w:pos="562"/>
          <w:tab w:val="left" w:pos="3372"/>
          <w:tab w:val="left" w:pos="3653"/>
        </w:tabs>
        <w:ind w:firstLine="472" w:firstLineChars="200"/>
        <w:rPr>
          <w:rFonts w:hint="eastAsia" w:ascii="宋体" w:hAnsi="宋体" w:cs="宋体"/>
          <w:color w:val="auto"/>
          <w:spacing w:val="-2"/>
          <w:highlight w:val="none"/>
        </w:rPr>
      </w:pPr>
    </w:p>
    <w:p>
      <w:pPr>
        <w:pStyle w:val="3"/>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注意事项：</w:t>
      </w:r>
    </w:p>
    <w:p>
      <w:pPr>
        <w:pStyle w:val="3"/>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after="0" w:line="240" w:lineRule="auto"/>
        <w:ind w:firstLine="472" w:firstLineChars="200"/>
        <w:textAlignment w:val="auto"/>
        <w:rPr>
          <w:rFonts w:hint="eastAsia" w:ascii="宋体" w:hAnsi="宋体" w:cs="宋体"/>
          <w:color w:val="auto"/>
          <w:spacing w:val="-2"/>
          <w:highlight w:val="none"/>
        </w:rPr>
      </w:pPr>
      <w:r>
        <w:rPr>
          <w:rFonts w:hint="eastAsia" w:ascii="宋体" w:hAnsi="宋体" w:cs="宋体"/>
          <w:color w:val="auto"/>
          <w:spacing w:val="-2"/>
          <w:highlight w:val="none"/>
        </w:rPr>
        <w:t>1.从业人员、营业收入、资产总额填报上一年度数据，无上一年度数据的新成立企业可不填报。</w:t>
      </w:r>
    </w:p>
    <w:p>
      <w:pPr>
        <w:pStyle w:val="3"/>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after="0" w:line="240" w:lineRule="auto"/>
        <w:ind w:firstLine="472" w:firstLineChars="200"/>
        <w:textAlignment w:val="auto"/>
        <w:rPr>
          <w:rFonts w:hint="eastAsia" w:ascii="宋体" w:hAnsi="宋体" w:cs="宋体"/>
          <w:color w:val="auto"/>
          <w:spacing w:val="-2"/>
          <w:highlight w:val="none"/>
        </w:rPr>
      </w:pPr>
      <w:r>
        <w:rPr>
          <w:rFonts w:hint="eastAsia" w:ascii="宋体" w:hAnsi="宋体" w:cs="宋体"/>
          <w:color w:val="auto"/>
          <w:spacing w:val="-2"/>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3"/>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after="0" w:line="240" w:lineRule="auto"/>
        <w:ind w:firstLine="472" w:firstLineChars="200"/>
        <w:textAlignment w:val="auto"/>
        <w:rPr>
          <w:rFonts w:hint="eastAsia" w:ascii="宋体" w:hAnsi="宋体" w:cs="宋体"/>
          <w:color w:val="auto"/>
          <w:spacing w:val="-2"/>
          <w:highlight w:val="none"/>
        </w:rPr>
      </w:pPr>
      <w:r>
        <w:rPr>
          <w:rFonts w:hint="eastAsia" w:ascii="宋体" w:hAnsi="宋体" w:cs="宋体"/>
          <w:color w:val="auto"/>
          <w:spacing w:val="-2"/>
          <w:highlight w:val="none"/>
        </w:rPr>
        <w:t>3.事业单位、社会组织等非企业主体不享受中小企业扶持政策，但事业单位、社会组织等非企业主体提供全部由中小企业制造的货物参加货物采购项目的除外。</w:t>
      </w:r>
    </w:p>
    <w:p>
      <w:pPr>
        <w:pStyle w:val="3"/>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after="0" w:line="240" w:lineRule="auto"/>
        <w:ind w:firstLine="472" w:firstLineChars="200"/>
        <w:textAlignment w:val="auto"/>
        <w:rPr>
          <w:rFonts w:hint="eastAsia" w:ascii="宋体" w:hAnsi="宋体" w:cs="宋体"/>
          <w:color w:val="auto"/>
          <w:spacing w:val="-2"/>
          <w:highlight w:val="none"/>
        </w:rPr>
      </w:pPr>
      <w:r>
        <w:rPr>
          <w:rFonts w:hint="eastAsia" w:ascii="宋体" w:hAnsi="宋体" w:cs="宋体"/>
          <w:color w:val="auto"/>
          <w:spacing w:val="-2"/>
          <w:highlight w:val="none"/>
        </w:rPr>
        <w:t>4.相关承接/承建企业的所属行业应当与采购标的所属行业（采购文件中明确的行业）相一致。</w:t>
      </w:r>
    </w:p>
    <w:p>
      <w:pPr>
        <w:pStyle w:val="3"/>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after="0" w:line="240" w:lineRule="auto"/>
        <w:ind w:firstLine="472" w:firstLineChars="200"/>
        <w:textAlignment w:val="auto"/>
        <w:rPr>
          <w:rFonts w:hint="eastAsia"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ind w:left="4200" w:leftChars="2000"/>
        <w:rPr>
          <w:rFonts w:hint="eastAsia" w:ascii="宋体" w:hAnsi="宋体" w:cs="宋体"/>
          <w:color w:val="auto"/>
          <w:spacing w:val="-2"/>
          <w:highlight w:val="none"/>
        </w:rPr>
      </w:pPr>
    </w:p>
    <w:p>
      <w:pPr>
        <w:pStyle w:val="3"/>
        <w:tabs>
          <w:tab w:val="left" w:pos="562"/>
          <w:tab w:val="left" w:pos="3372"/>
          <w:tab w:val="left" w:pos="3653"/>
        </w:tabs>
        <w:ind w:left="4200" w:leftChars="2000"/>
        <w:rPr>
          <w:rFonts w:hint="eastAsia" w:ascii="宋体" w:hAnsi="宋体" w:cs="宋体"/>
          <w:color w:val="auto"/>
          <w:spacing w:val="-2"/>
          <w:highlight w:val="none"/>
        </w:rPr>
      </w:pPr>
      <w:r>
        <w:rPr>
          <w:rFonts w:hint="eastAsia" w:ascii="宋体" w:hAnsi="宋体" w:cs="宋体"/>
          <w:color w:val="auto"/>
          <w:spacing w:val="-2"/>
          <w:highlight w:val="none"/>
        </w:rPr>
        <w:t>企业名称（盖章）日期：</w:t>
      </w:r>
    </w:p>
    <w:p>
      <w:pPr>
        <w:pStyle w:val="3"/>
        <w:tabs>
          <w:tab w:val="left" w:pos="562"/>
          <w:tab w:val="left" w:pos="3372"/>
          <w:tab w:val="left" w:pos="3653"/>
        </w:tabs>
        <w:spacing w:before="30"/>
        <w:rPr>
          <w:rFonts w:hint="eastAsia" w:ascii="宋体" w:hAnsi="宋体" w:cs="宋体"/>
          <w:color w:val="auto"/>
          <w:highlight w:val="none"/>
        </w:rPr>
      </w:pPr>
      <w:r>
        <w:rPr>
          <w:rFonts w:hint="eastAsia" w:ascii="宋体" w:hAnsi="宋体" w:cs="宋体"/>
          <w:color w:val="auto"/>
          <w:spacing w:val="-2"/>
          <w:highlight w:val="none"/>
        </w:rPr>
        <w:t>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b/>
          <w:bCs/>
          <w:color w:val="auto"/>
          <w:highlight w:val="none"/>
        </w:rPr>
        <w:t>附 2</w:t>
      </w:r>
    </w:p>
    <w:p>
      <w:pPr>
        <w:jc w:val="center"/>
        <w:rPr>
          <w:rFonts w:hint="eastAsia"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3"/>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highlight w:val="none"/>
        </w:rPr>
        <w:t>根据《政府采购促进中小企业发展管理办法》（财库﹝2020﹞46</w:t>
      </w:r>
      <w:r>
        <w:rPr>
          <w:rFonts w:hint="eastAsia" w:ascii="宋体" w:hAnsi="宋体" w:cs="宋体"/>
          <w:color w:val="auto"/>
          <w:spacing w:val="-47"/>
          <w:highlight w:val="none"/>
        </w:rPr>
        <w:t xml:space="preserve"> 号</w:t>
      </w:r>
      <w:r>
        <w:rPr>
          <w:rFonts w:hint="eastAsia" w:ascii="宋体" w:hAnsi="宋体" w:cs="宋体"/>
          <w:color w:val="auto"/>
          <w:spacing w:val="-22"/>
          <w:highlight w:val="none"/>
        </w:rPr>
        <w:t>）</w:t>
      </w:r>
      <w:r>
        <w:rPr>
          <w:rFonts w:hint="eastAsia" w:ascii="宋体" w:hAnsi="宋体" w:cs="宋体"/>
          <w:color w:val="auto"/>
          <w:spacing w:val="-7"/>
          <w:highlight w:val="none"/>
        </w:rPr>
        <w:t>要求，现对本部门</w:t>
      </w:r>
      <w:r>
        <w:rPr>
          <w:rFonts w:hint="eastAsia" w:ascii="宋体" w:hAnsi="宋体" w:cs="宋体"/>
          <w:color w:val="auto"/>
          <w:spacing w:val="-3"/>
          <w:highlight w:val="none"/>
        </w:rPr>
        <w:t>（</w:t>
      </w:r>
      <w:r>
        <w:rPr>
          <w:rFonts w:hint="eastAsia" w:ascii="宋体" w:hAnsi="宋体" w:cs="宋体"/>
          <w:color w:val="auto"/>
          <w:highlight w:val="none"/>
        </w:rPr>
        <w:t>单位</w:t>
      </w:r>
      <w:r>
        <w:rPr>
          <w:rFonts w:hint="eastAsia" w:ascii="宋体" w:hAnsi="宋体" w:cs="宋体"/>
          <w:color w:val="auto"/>
          <w:spacing w:val="-7"/>
          <w:highlight w:val="none"/>
        </w:rPr>
        <w:t>）</w:t>
      </w:r>
      <w:r>
        <w:rPr>
          <w:rFonts w:hint="eastAsia" w:ascii="宋体" w:hAnsi="宋体" w:cs="宋体"/>
          <w:color w:val="auto"/>
          <w:spacing w:val="-4"/>
          <w:highlight w:val="none"/>
        </w:rPr>
        <w:t>××年面向中小企业预留项目执行情况公告如下：</w:t>
      </w:r>
    </w:p>
    <w:p>
      <w:pPr>
        <w:pStyle w:val="3"/>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highlight w:val="none"/>
        </w:rPr>
        <w:t>本部门（单位）××年预留项目面向中小企业采购共计××万元，其中，面向小微企业采购××万元，占××%。</w:t>
      </w:r>
    </w:p>
    <w:p>
      <w:pPr>
        <w:pStyle w:val="3"/>
        <w:tabs>
          <w:tab w:val="left" w:pos="562"/>
          <w:tab w:val="left" w:pos="3372"/>
          <w:tab w:val="left" w:pos="3653"/>
        </w:tabs>
        <w:jc w:val="center"/>
        <w:rPr>
          <w:rFonts w:hint="eastAsia" w:ascii="宋体" w:hAnsi="宋体" w:cs="宋体"/>
          <w:b/>
          <w:bCs/>
          <w:color w:val="auto"/>
          <w:highlight w:val="none"/>
        </w:rPr>
      </w:pPr>
      <w:r>
        <w:rPr>
          <w:rFonts w:hint="eastAsia" w:ascii="宋体" w:hAnsi="宋体" w:cs="宋体"/>
          <w:b/>
          <w:bCs/>
          <w:color w:val="auto"/>
          <w:highlight w:val="none"/>
        </w:rPr>
        <w:t>面向中小企业预留项目明细</w:t>
      </w:r>
    </w:p>
    <w:tbl>
      <w:tblPr>
        <w:tblStyle w:val="18"/>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9"/>
              <w:jc w:val="center"/>
              <w:rPr>
                <w:rFonts w:hint="eastAsia"/>
                <w:b/>
                <w:color w:val="auto"/>
                <w:sz w:val="24"/>
                <w:szCs w:val="24"/>
                <w:highlight w:val="none"/>
              </w:rPr>
            </w:pPr>
            <w:r>
              <w:rPr>
                <w:rFonts w:hint="eastAsia"/>
                <w:b/>
                <w:color w:val="auto"/>
                <w:sz w:val="24"/>
                <w:szCs w:val="24"/>
                <w:highlight w:val="none"/>
              </w:rPr>
              <w:t>序号</w:t>
            </w:r>
          </w:p>
        </w:tc>
        <w:tc>
          <w:tcPr>
            <w:tcW w:w="1866" w:type="dxa"/>
            <w:noWrap w:val="0"/>
            <w:vAlign w:val="center"/>
          </w:tcPr>
          <w:p>
            <w:pPr>
              <w:pStyle w:val="29"/>
              <w:jc w:val="center"/>
              <w:rPr>
                <w:rFonts w:hint="eastAsia"/>
                <w:b/>
                <w:color w:val="auto"/>
                <w:sz w:val="24"/>
                <w:szCs w:val="24"/>
                <w:highlight w:val="none"/>
              </w:rPr>
            </w:pPr>
            <w:r>
              <w:rPr>
                <w:rFonts w:hint="eastAsia"/>
                <w:b/>
                <w:color w:val="auto"/>
                <w:sz w:val="24"/>
                <w:szCs w:val="24"/>
                <w:highlight w:val="none"/>
              </w:rPr>
              <w:t>项目名称</w:t>
            </w:r>
          </w:p>
        </w:tc>
        <w:tc>
          <w:tcPr>
            <w:tcW w:w="2010" w:type="dxa"/>
            <w:noWrap w:val="0"/>
            <w:vAlign w:val="center"/>
          </w:tcPr>
          <w:p>
            <w:pPr>
              <w:pStyle w:val="29"/>
              <w:jc w:val="center"/>
              <w:rPr>
                <w:rFonts w:hint="eastAsia"/>
                <w:b/>
                <w:color w:val="auto"/>
                <w:sz w:val="24"/>
                <w:szCs w:val="24"/>
                <w:highlight w:val="none"/>
              </w:rPr>
            </w:pPr>
            <w:r>
              <w:rPr>
                <w:rFonts w:hint="eastAsia"/>
                <w:b/>
                <w:color w:val="auto"/>
                <w:sz w:val="24"/>
                <w:szCs w:val="24"/>
                <w:highlight w:val="none"/>
              </w:rPr>
              <w:t>预留选项</w:t>
            </w:r>
          </w:p>
        </w:tc>
        <w:tc>
          <w:tcPr>
            <w:tcW w:w="2296" w:type="dxa"/>
            <w:noWrap w:val="0"/>
            <w:vAlign w:val="center"/>
          </w:tcPr>
          <w:p>
            <w:pPr>
              <w:pStyle w:val="29"/>
              <w:jc w:val="center"/>
              <w:rPr>
                <w:rFonts w:hint="eastAsia"/>
                <w:b/>
                <w:color w:val="auto"/>
                <w:sz w:val="24"/>
                <w:szCs w:val="24"/>
                <w:highlight w:val="none"/>
              </w:rPr>
            </w:pPr>
            <w:r>
              <w:rPr>
                <w:rFonts w:hint="eastAsia"/>
                <w:b/>
                <w:color w:val="auto"/>
                <w:sz w:val="24"/>
                <w:szCs w:val="24"/>
                <w:highlight w:val="none"/>
              </w:rPr>
              <w:t>面向中小企业采购金额</w:t>
            </w:r>
          </w:p>
        </w:tc>
        <w:tc>
          <w:tcPr>
            <w:tcW w:w="1784" w:type="dxa"/>
            <w:noWrap w:val="0"/>
            <w:vAlign w:val="center"/>
          </w:tcPr>
          <w:p>
            <w:pPr>
              <w:pStyle w:val="29"/>
              <w:jc w:val="center"/>
              <w:rPr>
                <w:rFonts w:hint="eastAsia"/>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29"/>
              <w:jc w:val="center"/>
              <w:rPr>
                <w:rFonts w:hint="eastAsia"/>
                <w:color w:val="auto"/>
                <w:sz w:val="24"/>
                <w:szCs w:val="24"/>
                <w:highlight w:val="none"/>
              </w:rPr>
            </w:pPr>
          </w:p>
        </w:tc>
        <w:tc>
          <w:tcPr>
            <w:tcW w:w="1866" w:type="dxa"/>
            <w:tcBorders>
              <w:bottom w:val="nil"/>
            </w:tcBorders>
            <w:noWrap w:val="0"/>
            <w:vAlign w:val="center"/>
          </w:tcPr>
          <w:p>
            <w:pPr>
              <w:pStyle w:val="29"/>
              <w:jc w:val="center"/>
              <w:rPr>
                <w:rFonts w:hint="eastAsia"/>
                <w:color w:val="auto"/>
                <w:sz w:val="24"/>
                <w:szCs w:val="24"/>
                <w:highlight w:val="none"/>
              </w:rPr>
            </w:pPr>
          </w:p>
        </w:tc>
        <w:tc>
          <w:tcPr>
            <w:tcW w:w="2010" w:type="dxa"/>
            <w:tcBorders>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（填写“采购项</w:t>
            </w:r>
          </w:p>
        </w:tc>
        <w:tc>
          <w:tcPr>
            <w:tcW w:w="2296" w:type="dxa"/>
            <w:tcBorders>
              <w:bottom w:val="nil"/>
            </w:tcBorders>
            <w:noWrap w:val="0"/>
            <w:vAlign w:val="center"/>
          </w:tcPr>
          <w:p>
            <w:pPr>
              <w:pStyle w:val="29"/>
              <w:jc w:val="center"/>
              <w:rPr>
                <w:rFonts w:hint="eastAsia"/>
                <w:color w:val="auto"/>
                <w:sz w:val="24"/>
                <w:szCs w:val="24"/>
                <w:highlight w:val="none"/>
              </w:rPr>
            </w:pPr>
          </w:p>
        </w:tc>
        <w:tc>
          <w:tcPr>
            <w:tcW w:w="1784" w:type="dxa"/>
            <w:vMerge w:val="restart"/>
            <w:noWrap w:val="0"/>
            <w:vAlign w:val="center"/>
          </w:tcPr>
          <w:p>
            <w:pPr>
              <w:pStyle w:val="29"/>
              <w:jc w:val="center"/>
              <w:rPr>
                <w:rFonts w:hint="eastAsia"/>
                <w:color w:val="auto"/>
                <w:sz w:val="24"/>
                <w:szCs w:val="24"/>
                <w:highlight w:val="none"/>
              </w:rPr>
            </w:pPr>
          </w:p>
          <w:p>
            <w:pPr>
              <w:pStyle w:val="29"/>
              <w:jc w:val="center"/>
              <w:rPr>
                <w:rFonts w:hint="eastAsia"/>
                <w:color w:val="auto"/>
                <w:sz w:val="24"/>
                <w:szCs w:val="24"/>
                <w:highlight w:val="none"/>
              </w:rPr>
            </w:pPr>
          </w:p>
          <w:p>
            <w:pPr>
              <w:pStyle w:val="29"/>
              <w:jc w:val="center"/>
              <w:rPr>
                <w:rFonts w:hint="eastAsia"/>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目整体预留”、</w:t>
            </w:r>
          </w:p>
        </w:tc>
        <w:tc>
          <w:tcPr>
            <w:tcW w:w="2296" w:type="dxa"/>
            <w:tcBorders>
              <w:top w:val="nil"/>
              <w:bottom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（填写集中采</w:t>
            </w: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包”、“要求以</w:t>
            </w:r>
          </w:p>
        </w:tc>
        <w:tc>
          <w:tcPr>
            <w:tcW w:w="2296" w:type="dxa"/>
            <w:tcBorders>
              <w:top w:val="nil"/>
              <w:bottom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加”或者“要求</w:t>
            </w:r>
          </w:p>
        </w:tc>
        <w:tc>
          <w:tcPr>
            <w:tcW w:w="2296" w:type="dxa"/>
            <w:tcBorders>
              <w:top w:val="nil"/>
              <w:bottom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合同分包”，除</w:t>
            </w:r>
          </w:p>
        </w:tc>
        <w:tc>
          <w:tcPr>
            <w:tcW w:w="2296" w:type="dxa"/>
            <w:tcBorders>
              <w:top w:val="nil"/>
              <w:bottom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预留”外，还应</w:t>
            </w:r>
          </w:p>
        </w:tc>
        <w:tc>
          <w:tcPr>
            <w:tcW w:w="2296" w:type="dxa"/>
            <w:tcBorders>
              <w:top w:val="nil"/>
              <w:bottom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29"/>
              <w:jc w:val="center"/>
              <w:rPr>
                <w:rFonts w:hint="eastAsia"/>
                <w:color w:val="auto"/>
                <w:sz w:val="24"/>
                <w:szCs w:val="24"/>
                <w:highlight w:val="none"/>
              </w:rPr>
            </w:pPr>
          </w:p>
        </w:tc>
        <w:tc>
          <w:tcPr>
            <w:tcW w:w="2010" w:type="dxa"/>
            <w:tcBorders>
              <w:top w:val="nil"/>
              <w:bottom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tcBorders>
            <w:noWrap w:val="0"/>
            <w:vAlign w:val="center"/>
          </w:tcPr>
          <w:p>
            <w:pPr>
              <w:pStyle w:val="29"/>
              <w:jc w:val="center"/>
              <w:rPr>
                <w:rFonts w:hint="eastAsia"/>
                <w:color w:val="auto"/>
                <w:sz w:val="24"/>
                <w:szCs w:val="24"/>
                <w:highlight w:val="none"/>
              </w:rPr>
            </w:pPr>
          </w:p>
        </w:tc>
        <w:tc>
          <w:tcPr>
            <w:tcW w:w="2010" w:type="dxa"/>
            <w:tcBorders>
              <w:top w:val="nil"/>
            </w:tcBorders>
            <w:noWrap w:val="0"/>
            <w:vAlign w:val="center"/>
          </w:tcPr>
          <w:p>
            <w:pPr>
              <w:pStyle w:val="29"/>
              <w:jc w:val="center"/>
              <w:rPr>
                <w:rFonts w:hint="eastAsia"/>
                <w:color w:val="auto"/>
                <w:sz w:val="24"/>
                <w:szCs w:val="24"/>
                <w:highlight w:val="none"/>
              </w:rPr>
            </w:pPr>
            <w:r>
              <w:rPr>
                <w:rFonts w:hint="eastAsia"/>
                <w:color w:val="auto"/>
                <w:sz w:val="24"/>
                <w:szCs w:val="24"/>
                <w:highlight w:val="none"/>
              </w:rPr>
              <w:t>小企业的比例）</w:t>
            </w:r>
          </w:p>
        </w:tc>
        <w:tc>
          <w:tcPr>
            <w:tcW w:w="2296" w:type="dxa"/>
            <w:tcBorders>
              <w:top w:val="nil"/>
            </w:tcBorders>
            <w:noWrap w:val="0"/>
            <w:vAlign w:val="center"/>
          </w:tcPr>
          <w:p>
            <w:pPr>
              <w:pStyle w:val="2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9"/>
              <w:jc w:val="center"/>
              <w:rPr>
                <w:rFonts w:hint="eastAsia"/>
                <w:color w:val="auto"/>
                <w:sz w:val="24"/>
                <w:szCs w:val="24"/>
                <w:highlight w:val="none"/>
              </w:rPr>
            </w:pPr>
            <w:r>
              <w:rPr>
                <w:rFonts w:hint="eastAsia"/>
                <w:color w:val="auto"/>
                <w:sz w:val="24"/>
                <w:szCs w:val="24"/>
                <w:highlight w:val="none"/>
              </w:rPr>
              <w:t>……</w:t>
            </w:r>
          </w:p>
        </w:tc>
        <w:tc>
          <w:tcPr>
            <w:tcW w:w="1866" w:type="dxa"/>
            <w:noWrap w:val="0"/>
            <w:vAlign w:val="center"/>
          </w:tcPr>
          <w:p>
            <w:pPr>
              <w:pStyle w:val="29"/>
              <w:jc w:val="center"/>
              <w:rPr>
                <w:rFonts w:hint="eastAsia"/>
                <w:color w:val="auto"/>
                <w:sz w:val="24"/>
                <w:szCs w:val="24"/>
                <w:highlight w:val="none"/>
              </w:rPr>
            </w:pPr>
            <w:r>
              <w:rPr>
                <w:rFonts w:hint="eastAsia"/>
                <w:color w:val="auto"/>
                <w:sz w:val="24"/>
                <w:szCs w:val="24"/>
                <w:highlight w:val="none"/>
              </w:rPr>
              <w:t>……</w:t>
            </w:r>
          </w:p>
        </w:tc>
        <w:tc>
          <w:tcPr>
            <w:tcW w:w="2010" w:type="dxa"/>
            <w:noWrap w:val="0"/>
            <w:vAlign w:val="center"/>
          </w:tcPr>
          <w:p>
            <w:pPr>
              <w:pStyle w:val="29"/>
              <w:jc w:val="center"/>
              <w:rPr>
                <w:rFonts w:hint="eastAsia"/>
                <w:color w:val="auto"/>
                <w:sz w:val="24"/>
                <w:szCs w:val="24"/>
                <w:highlight w:val="none"/>
              </w:rPr>
            </w:pPr>
            <w:r>
              <w:rPr>
                <w:rFonts w:hint="eastAsia"/>
                <w:color w:val="auto"/>
                <w:sz w:val="24"/>
                <w:szCs w:val="24"/>
                <w:highlight w:val="none"/>
              </w:rPr>
              <w:t>……</w:t>
            </w:r>
          </w:p>
        </w:tc>
        <w:tc>
          <w:tcPr>
            <w:tcW w:w="2296" w:type="dxa"/>
            <w:noWrap w:val="0"/>
            <w:vAlign w:val="center"/>
          </w:tcPr>
          <w:p>
            <w:pPr>
              <w:pStyle w:val="29"/>
              <w:jc w:val="center"/>
              <w:rPr>
                <w:rFonts w:hint="eastAsia"/>
                <w:color w:val="auto"/>
                <w:sz w:val="24"/>
                <w:szCs w:val="24"/>
                <w:highlight w:val="none"/>
              </w:rPr>
            </w:pPr>
            <w:r>
              <w:rPr>
                <w:rFonts w:hint="eastAsia"/>
                <w:color w:val="auto"/>
                <w:sz w:val="24"/>
                <w:szCs w:val="24"/>
                <w:highlight w:val="none"/>
              </w:rPr>
              <w:t>……</w:t>
            </w:r>
          </w:p>
        </w:tc>
        <w:tc>
          <w:tcPr>
            <w:tcW w:w="1784" w:type="dxa"/>
            <w:noWrap w:val="0"/>
            <w:vAlign w:val="center"/>
          </w:tcPr>
          <w:p>
            <w:pPr>
              <w:pStyle w:val="29"/>
              <w:jc w:val="center"/>
              <w:rPr>
                <w:rFonts w:hint="eastAsia"/>
                <w:color w:val="auto"/>
                <w:sz w:val="24"/>
                <w:szCs w:val="24"/>
                <w:highlight w:val="none"/>
              </w:rPr>
            </w:pPr>
            <w:r>
              <w:rPr>
                <w:rFonts w:hint="eastAsia"/>
                <w:color w:val="auto"/>
                <w:sz w:val="24"/>
                <w:szCs w:val="24"/>
                <w:highlight w:val="none"/>
              </w:rPr>
              <w:t>……</w:t>
            </w:r>
          </w:p>
        </w:tc>
      </w:tr>
    </w:tbl>
    <w:p>
      <w:pPr>
        <w:pStyle w:val="3"/>
        <w:tabs>
          <w:tab w:val="left" w:pos="562"/>
          <w:tab w:val="left" w:pos="3372"/>
          <w:tab w:val="left" w:pos="3653"/>
        </w:tabs>
        <w:spacing w:before="128"/>
        <w:ind w:left="4220" w:right="1843"/>
        <w:rPr>
          <w:rFonts w:hint="eastAsia" w:ascii="宋体" w:hAnsi="宋体" w:cs="宋体"/>
          <w:color w:val="auto"/>
          <w:highlight w:val="none"/>
        </w:rPr>
      </w:pPr>
      <w:r>
        <w:rPr>
          <w:rFonts w:hint="eastAsia" w:ascii="宋体" w:hAnsi="宋体" w:cs="宋体"/>
          <w:color w:val="auto"/>
          <w:highlight w:val="none"/>
        </w:rPr>
        <w:t>部门（单位）名称： 日期：</w:t>
      </w:r>
    </w:p>
    <w:p>
      <w:pPr>
        <w:pStyle w:val="3"/>
        <w:tabs>
          <w:tab w:val="left" w:pos="562"/>
          <w:tab w:val="left" w:pos="3372"/>
          <w:tab w:val="left" w:pos="3653"/>
        </w:tabs>
        <w:rPr>
          <w:rFonts w:hint="eastAsia" w:ascii="宋体" w:hAnsi="宋体" w:cs="宋体"/>
          <w:color w:val="auto"/>
          <w:highlight w:val="none"/>
        </w:rPr>
      </w:pPr>
    </w:p>
    <w:p>
      <w:pPr>
        <w:pStyle w:val="17"/>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2、工业和信息化部、国家统计局、国家发展和改革委员会、财政部《关于印发〈中小企业划型标准规定〉的通知》（工信部联企〔2011〕300 号）</w:t>
      </w:r>
    </w:p>
    <w:p>
      <w:pPr>
        <w:pStyle w:val="3"/>
        <w:tabs>
          <w:tab w:val="left" w:pos="562"/>
          <w:tab w:val="left" w:pos="3372"/>
          <w:tab w:val="left" w:pos="3653"/>
        </w:tabs>
        <w:rPr>
          <w:rFonts w:hint="eastAsia" w:ascii="宋体" w:hAnsi="宋体" w:cs="宋体"/>
          <w:color w:val="auto"/>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jc w:val="center"/>
        <w:rPr>
          <w:rFonts w:hint="eastAsia" w:ascii="宋体" w:hAnsi="宋体" w:cs="宋体"/>
          <w:color w:val="auto"/>
          <w:sz w:val="24"/>
          <w:highlight w:val="none"/>
        </w:rPr>
      </w:pPr>
      <w:r>
        <w:rPr>
          <w:rFonts w:hint="eastAsia" w:ascii="宋体" w:hAnsi="宋体" w:cs="宋体"/>
          <w:color w:val="auto"/>
          <w:sz w:val="24"/>
          <w:highlight w:val="none"/>
        </w:rPr>
        <w:t>工信部联企业〔2011〕300号</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工业和信息化部 国家统计局</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国家发展和改革委员会 财政部</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二○一一年六月十八日</w:t>
      </w: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highlight w:val="none"/>
        </w:rPr>
      </w:pPr>
    </w:p>
    <w:p>
      <w:pPr>
        <w:pStyle w:val="17"/>
        <w:jc w:val="both"/>
        <w:outlineLvl w:val="9"/>
        <w:rPr>
          <w:rFonts w:hint="eastAsia" w:ascii="宋体" w:hAnsi="宋体" w:eastAsia="宋体" w:cs="宋体"/>
          <w:color w:val="auto"/>
          <w:sz w:val="24"/>
          <w:szCs w:val="24"/>
          <w:highlight w:val="none"/>
        </w:rPr>
      </w:pPr>
    </w:p>
    <w:p>
      <w:pPr>
        <w:pStyle w:val="17"/>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highlight w:val="none"/>
        </w:rPr>
      </w:pPr>
    </w:p>
    <w:p>
      <w:pPr>
        <w:widowControl/>
        <w:shd w:val="clear" w:color="auto" w:fill="FFFFFF"/>
        <w:jc w:val="center"/>
        <w:rPr>
          <w:rFonts w:hint="eastAsia"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jc w:val="left"/>
        <w:rPr>
          <w:rFonts w:hint="eastAsia" w:ascii="宋体" w:hAnsi="宋体" w:cs="宋体"/>
          <w:color w:val="auto"/>
          <w:kern w:val="0"/>
          <w:sz w:val="24"/>
          <w:highlight w:val="none"/>
        </w:rPr>
      </w:pPr>
    </w:p>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w:t>
      </w:r>
    </w:p>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noWrap w:val="0"/>
            <w:vAlign w:val="center"/>
          </w:tcPr>
          <w:p>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计量</w:t>
            </w:r>
          </w:p>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tabs>
          <w:tab w:val="left" w:pos="562"/>
          <w:tab w:val="left" w:pos="3372"/>
          <w:tab w:val="left" w:pos="3653"/>
        </w:tabs>
        <w:rPr>
          <w:rFonts w:hint="eastAsia" w:ascii="宋体" w:hAnsi="宋体" w:cs="宋体"/>
          <w:color w:val="auto"/>
          <w:highlight w:val="none"/>
        </w:rPr>
      </w:pPr>
    </w:p>
    <w:p>
      <w:pPr>
        <w:pStyle w:val="17"/>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rPr>
          <w:rFonts w:hint="eastAsia" w:ascii="宋体" w:hAnsi="宋体" w:cs="宋体"/>
          <w:bCs/>
          <w:color w:val="auto"/>
          <w:sz w:val="24"/>
          <w:highlight w:val="none"/>
        </w:rPr>
      </w:pPr>
    </w:p>
    <w:p>
      <w:pPr>
        <w:shd w:val="clear" w:color="auto" w:fill="FFFFFF"/>
        <w:rPr>
          <w:rFonts w:hint="eastAsia"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6"/>
        <w:shd w:val="clear" w:color="auto" w:fill="FFFFFF"/>
        <w:spacing w:before="0" w:beforeAutospacing="0" w:after="0" w:afterAutospacing="0"/>
        <w:jc w:val="center"/>
        <w:rPr>
          <w:rFonts w:hint="eastAsia"/>
          <w:color w:val="auto"/>
          <w:highlight w:val="none"/>
        </w:rPr>
      </w:pPr>
      <w:r>
        <w:rPr>
          <w:rFonts w:hint="eastAsia"/>
          <w:color w:val="auto"/>
          <w:highlight w:val="none"/>
        </w:rPr>
        <w:t>　　</w:t>
      </w:r>
      <w:bookmarkStart w:id="28" w:name="sendNo"/>
      <w:r>
        <w:rPr>
          <w:rFonts w:hint="eastAsia"/>
          <w:color w:val="auto"/>
          <w:highlight w:val="none"/>
        </w:rPr>
        <w:t>财库〔</w:t>
      </w:r>
      <w:bookmarkEnd w:id="28"/>
      <w:r>
        <w:rPr>
          <w:rFonts w:hint="eastAsia"/>
          <w:color w:val="auto"/>
          <w:highlight w:val="none"/>
        </w:rPr>
        <w:t>2017〕141号</w:t>
      </w:r>
    </w:p>
    <w:p>
      <w:pPr>
        <w:pStyle w:val="16"/>
        <w:shd w:val="clear" w:color="auto" w:fill="FFFFFF"/>
        <w:spacing w:before="0" w:beforeAutospacing="0" w:after="0" w:afterAutospacing="0"/>
        <w:ind w:firstLine="480" w:firstLineChars="200"/>
        <w:rPr>
          <w:rFonts w:hint="eastAsia"/>
          <w:color w:val="auto"/>
          <w:highlight w:val="none"/>
        </w:rPr>
      </w:pPr>
      <w:bookmarkStart w:id="29"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9"/>
      <w:r>
        <w:rPr>
          <w:rFonts w:hint="eastAsia"/>
          <w:color w:val="auto"/>
          <w:highlight w:val="none"/>
        </w:rPr>
        <w:t>：</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一、享受政府采购支持政策的残疾人福利性单位应当同时满足以下条件：</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（二）依法与安置的每位残疾人签订了一年以上（含一年）的劳动合同或服务协议；</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七、本通知自2017年10月1日起执行。</w:t>
      </w:r>
    </w:p>
    <w:p>
      <w:pPr>
        <w:pStyle w:val="16"/>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财政部 民政部 中国残疾人联合会</w:t>
      </w:r>
    </w:p>
    <w:p>
      <w:pPr>
        <w:pStyle w:val="16"/>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2017年8月22日</w:t>
      </w:r>
    </w:p>
    <w:p>
      <w:pPr>
        <w:pStyle w:val="30"/>
        <w:shd w:val="clear" w:color="auto" w:fill="FFFFFF"/>
        <w:spacing w:before="0" w:beforeAutospacing="0" w:after="0" w:afterAutospacing="0" w:line="560" w:lineRule="exact"/>
        <w:jc w:val="both"/>
        <w:rPr>
          <w:rFonts w:hint="eastAsia"/>
          <w:color w:val="auto"/>
          <w:highlight w:val="none"/>
        </w:rPr>
      </w:pPr>
      <w:r>
        <w:rPr>
          <w:rFonts w:hint="eastAsia"/>
          <w:color w:val="auto"/>
          <w:highlight w:val="none"/>
        </w:rPr>
        <w:t>附件：</w:t>
      </w:r>
    </w:p>
    <w:p>
      <w:pPr>
        <w:pStyle w:val="30"/>
        <w:shd w:val="clear" w:color="auto" w:fill="FFFFFF"/>
        <w:spacing w:before="0" w:beforeAutospacing="0" w:after="0" w:afterAutospacing="0" w:line="560" w:lineRule="exact"/>
        <w:ind w:firstLine="482" w:firstLineChars="200"/>
        <w:jc w:val="center"/>
        <w:rPr>
          <w:rFonts w:hint="eastAsia"/>
          <w:color w:val="auto"/>
          <w:highlight w:val="none"/>
        </w:rPr>
      </w:pPr>
      <w:r>
        <w:rPr>
          <w:rStyle w:val="31"/>
          <w:rFonts w:hint="eastAsia"/>
          <w:b/>
          <w:bCs/>
          <w:color w:val="auto"/>
          <w:highlight w:val="none"/>
        </w:rPr>
        <w:t>残疾人福利性单位声明函</w:t>
      </w:r>
    </w:p>
    <w:p>
      <w:pPr>
        <w:pStyle w:val="30"/>
        <w:shd w:val="clear" w:color="auto" w:fill="FFFFFF"/>
        <w:spacing w:before="0" w:beforeAutospacing="0" w:after="0" w:afterAutospacing="0" w:line="560" w:lineRule="exact"/>
        <w:ind w:firstLine="480" w:firstLineChars="200"/>
        <w:jc w:val="both"/>
        <w:rPr>
          <w:rFonts w:hint="eastAsia"/>
          <w:color w:val="auto"/>
          <w:highlight w:val="none"/>
        </w:rPr>
      </w:pPr>
      <w:r>
        <w:rPr>
          <w:rStyle w:val="31"/>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0"/>
        <w:shd w:val="clear" w:color="auto" w:fill="FFFFFF"/>
        <w:spacing w:before="0" w:beforeAutospacing="0" w:after="0" w:afterAutospacing="0" w:line="560" w:lineRule="exact"/>
        <w:ind w:firstLine="480" w:firstLineChars="200"/>
        <w:jc w:val="both"/>
        <w:rPr>
          <w:rFonts w:hint="eastAsia"/>
          <w:color w:val="auto"/>
          <w:highlight w:val="none"/>
        </w:rPr>
      </w:pPr>
      <w:r>
        <w:rPr>
          <w:rStyle w:val="31"/>
          <w:rFonts w:hint="eastAsia"/>
          <w:color w:val="auto"/>
          <w:highlight w:val="none"/>
        </w:rPr>
        <w:t>本单位对上述声明的真实性负责。如有虚假，将依法承担相应责任。</w:t>
      </w:r>
    </w:p>
    <w:p>
      <w:pPr>
        <w:pStyle w:val="30"/>
        <w:shd w:val="clear" w:color="auto" w:fill="FFFFFF"/>
        <w:spacing w:before="0" w:beforeAutospacing="0" w:after="0" w:afterAutospacing="0" w:line="560" w:lineRule="exact"/>
        <w:ind w:firstLine="480" w:firstLineChars="200"/>
        <w:jc w:val="both"/>
        <w:rPr>
          <w:rFonts w:hint="eastAsia"/>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30"/>
        <w:shd w:val="clear" w:color="auto" w:fill="FFFFFF"/>
        <w:spacing w:before="0" w:beforeAutospacing="0" w:after="0" w:afterAutospacing="0" w:line="560" w:lineRule="exact"/>
        <w:ind w:right="2100" w:rightChars="1000"/>
        <w:jc w:val="right"/>
        <w:rPr>
          <w:rFonts w:hint="eastAsia"/>
          <w:color w:val="auto"/>
          <w:highlight w:val="none"/>
        </w:rPr>
      </w:pPr>
      <w:r>
        <w:rPr>
          <w:rStyle w:val="31"/>
          <w:rFonts w:hint="eastAsia"/>
          <w:color w:val="auto"/>
          <w:highlight w:val="none"/>
        </w:rPr>
        <w:t>单位名称（盖章）：</w:t>
      </w:r>
    </w:p>
    <w:p>
      <w:pPr>
        <w:pStyle w:val="30"/>
        <w:shd w:val="clear" w:color="auto" w:fill="FFFFFF"/>
        <w:spacing w:before="0" w:beforeAutospacing="0" w:after="0" w:afterAutospacing="0" w:line="560" w:lineRule="exact"/>
        <w:ind w:right="2100" w:rightChars="1000"/>
        <w:jc w:val="right"/>
        <w:rPr>
          <w:rFonts w:hint="eastAsia"/>
          <w:color w:val="auto"/>
          <w:highlight w:val="none"/>
          <w:lang w:val="fr-CH"/>
        </w:rPr>
      </w:pPr>
      <w:r>
        <w:rPr>
          <w:rStyle w:val="31"/>
          <w:rFonts w:hint="eastAsia"/>
          <w:color w:val="auto"/>
          <w:highlight w:val="none"/>
        </w:rPr>
        <w:t>日 期：</w:t>
      </w:r>
    </w:p>
    <w:p>
      <w:pPr>
        <w:tabs>
          <w:tab w:val="left" w:pos="640"/>
          <w:tab w:val="left" w:pos="1260"/>
          <w:tab w:val="left" w:pos="1418"/>
        </w:tabs>
        <w:spacing w:line="360" w:lineRule="auto"/>
        <w:ind w:right="-420" w:rightChars="-200"/>
        <w:rPr>
          <w:rFonts w:hint="eastAsia" w:ascii="宋体" w:hAnsi="宋体" w:cs="宋体"/>
          <w:color w:val="auto"/>
          <w:sz w:val="24"/>
          <w:highlight w:val="none"/>
          <w:lang w:val="fr-CH"/>
        </w:rPr>
      </w:pPr>
    </w:p>
    <w:p>
      <w:pPr>
        <w:pStyle w:val="25"/>
        <w:rPr>
          <w:rFonts w:hint="eastAsia"/>
          <w:color w:val="auto"/>
          <w:highlight w:val="none"/>
          <w:lang w:val="fr-CH"/>
        </w:rPr>
      </w:pPr>
    </w:p>
    <w:p>
      <w:pPr>
        <w:rPr>
          <w:color w:val="auto"/>
          <w:highlight w:val="none"/>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9"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BFFEB4E7"/>
    <w:multiLevelType w:val="singleLevel"/>
    <w:tmpl w:val="BFFEB4E7"/>
    <w:lvl w:ilvl="0" w:tentative="0">
      <w:start w:val="1"/>
      <w:numFmt w:val="decimal"/>
      <w:suff w:val="nothing"/>
      <w:lvlText w:val="（%1）"/>
      <w:lvlJc w:val="left"/>
      <w:pPr>
        <w:ind w:left="480" w:firstLine="0"/>
      </w:pPr>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0">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0"/>
  </w:num>
  <w:num w:numId="2">
    <w:abstractNumId w:val="4"/>
  </w:num>
  <w:num w:numId="3">
    <w:abstractNumId w:val="2"/>
  </w:num>
  <w:num w:numId="4">
    <w:abstractNumId w:val="8"/>
  </w:num>
  <w:num w:numId="5">
    <w:abstractNumId w:val="5"/>
  </w:num>
  <w:num w:numId="6">
    <w:abstractNumId w:val="3"/>
  </w:num>
  <w:num w:numId="7">
    <w:abstractNumId w:val="6"/>
  </w:num>
  <w:num w:numId="8">
    <w:abstractNumId w:val="1"/>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ZGYzMWRiZGY4ZTI2MTI2MTVmMDQ1Njk1NDRmZGMifQ=="/>
    <w:docVar w:name="KSO_WPS_MARK_KEY" w:val="6c52a594-fa24-4eda-8bdf-1df5baad3362"/>
  </w:docVars>
  <w:rsids>
    <w:rsidRoot w:val="6F152D9A"/>
    <w:rsid w:val="00491802"/>
    <w:rsid w:val="005726D8"/>
    <w:rsid w:val="00577718"/>
    <w:rsid w:val="00591ED4"/>
    <w:rsid w:val="006836D3"/>
    <w:rsid w:val="006A5E20"/>
    <w:rsid w:val="009E70F5"/>
    <w:rsid w:val="00A81D22"/>
    <w:rsid w:val="00DE5743"/>
    <w:rsid w:val="00E536C6"/>
    <w:rsid w:val="01211AD4"/>
    <w:rsid w:val="012B1DC1"/>
    <w:rsid w:val="013B4944"/>
    <w:rsid w:val="0159126E"/>
    <w:rsid w:val="0159301C"/>
    <w:rsid w:val="018C0929"/>
    <w:rsid w:val="01AA3877"/>
    <w:rsid w:val="01B8192A"/>
    <w:rsid w:val="01D33634"/>
    <w:rsid w:val="01DB1EFD"/>
    <w:rsid w:val="01E27A17"/>
    <w:rsid w:val="01F560F7"/>
    <w:rsid w:val="01FB0647"/>
    <w:rsid w:val="02145195"/>
    <w:rsid w:val="02234397"/>
    <w:rsid w:val="022618D2"/>
    <w:rsid w:val="02274EC8"/>
    <w:rsid w:val="02395177"/>
    <w:rsid w:val="023A5F04"/>
    <w:rsid w:val="0284231A"/>
    <w:rsid w:val="02855713"/>
    <w:rsid w:val="02881E0B"/>
    <w:rsid w:val="028A5D00"/>
    <w:rsid w:val="028C62E2"/>
    <w:rsid w:val="02A46519"/>
    <w:rsid w:val="031134B4"/>
    <w:rsid w:val="03394299"/>
    <w:rsid w:val="0341645D"/>
    <w:rsid w:val="03600EDC"/>
    <w:rsid w:val="0375603F"/>
    <w:rsid w:val="03990047"/>
    <w:rsid w:val="03DD6186"/>
    <w:rsid w:val="03E219EE"/>
    <w:rsid w:val="03F15591"/>
    <w:rsid w:val="042277B0"/>
    <w:rsid w:val="04475B8D"/>
    <w:rsid w:val="045B70AB"/>
    <w:rsid w:val="046D71F2"/>
    <w:rsid w:val="047B23DE"/>
    <w:rsid w:val="04883E97"/>
    <w:rsid w:val="04A005CC"/>
    <w:rsid w:val="04B50EB1"/>
    <w:rsid w:val="04C63705"/>
    <w:rsid w:val="04FF037E"/>
    <w:rsid w:val="05062697"/>
    <w:rsid w:val="05614B95"/>
    <w:rsid w:val="05804BC2"/>
    <w:rsid w:val="05A62DD8"/>
    <w:rsid w:val="06336033"/>
    <w:rsid w:val="068A098C"/>
    <w:rsid w:val="069E458D"/>
    <w:rsid w:val="06BC14B2"/>
    <w:rsid w:val="06BE2A9A"/>
    <w:rsid w:val="06C44D16"/>
    <w:rsid w:val="06D42BC7"/>
    <w:rsid w:val="06F25469"/>
    <w:rsid w:val="06F30D45"/>
    <w:rsid w:val="070D6D82"/>
    <w:rsid w:val="072D6233"/>
    <w:rsid w:val="072F63A4"/>
    <w:rsid w:val="07787DB5"/>
    <w:rsid w:val="077961C6"/>
    <w:rsid w:val="07AC659B"/>
    <w:rsid w:val="07FD54F6"/>
    <w:rsid w:val="08762705"/>
    <w:rsid w:val="087C541A"/>
    <w:rsid w:val="08950582"/>
    <w:rsid w:val="08BE1D36"/>
    <w:rsid w:val="08CE609D"/>
    <w:rsid w:val="08E57A87"/>
    <w:rsid w:val="08E92ED7"/>
    <w:rsid w:val="08F43C68"/>
    <w:rsid w:val="08F57ACE"/>
    <w:rsid w:val="09073F1B"/>
    <w:rsid w:val="09203324"/>
    <w:rsid w:val="09300B06"/>
    <w:rsid w:val="093305F6"/>
    <w:rsid w:val="093822B1"/>
    <w:rsid w:val="09491BC8"/>
    <w:rsid w:val="09823515"/>
    <w:rsid w:val="09C84ED3"/>
    <w:rsid w:val="09CB5D24"/>
    <w:rsid w:val="09F60A55"/>
    <w:rsid w:val="09F77876"/>
    <w:rsid w:val="0A236C0C"/>
    <w:rsid w:val="0A2A768E"/>
    <w:rsid w:val="0A2B0DCB"/>
    <w:rsid w:val="0A3B3C06"/>
    <w:rsid w:val="0A5E16A3"/>
    <w:rsid w:val="0A602146"/>
    <w:rsid w:val="0A873F23"/>
    <w:rsid w:val="0A8A693C"/>
    <w:rsid w:val="0A9B4D34"/>
    <w:rsid w:val="0AA72E75"/>
    <w:rsid w:val="0AB85257"/>
    <w:rsid w:val="0AD731CB"/>
    <w:rsid w:val="0B140280"/>
    <w:rsid w:val="0B3B53D5"/>
    <w:rsid w:val="0B4D553B"/>
    <w:rsid w:val="0B522C8B"/>
    <w:rsid w:val="0B7B37EB"/>
    <w:rsid w:val="0B92404D"/>
    <w:rsid w:val="0BB91DF1"/>
    <w:rsid w:val="0BCB4B16"/>
    <w:rsid w:val="0BE62205"/>
    <w:rsid w:val="0BF10254"/>
    <w:rsid w:val="0BFE40A0"/>
    <w:rsid w:val="0C104662"/>
    <w:rsid w:val="0C2801BA"/>
    <w:rsid w:val="0C2B0B3A"/>
    <w:rsid w:val="0C322DE7"/>
    <w:rsid w:val="0C45359F"/>
    <w:rsid w:val="0C822ACA"/>
    <w:rsid w:val="0CAC79CA"/>
    <w:rsid w:val="0CB70393"/>
    <w:rsid w:val="0CBB0F79"/>
    <w:rsid w:val="0CBB2DDD"/>
    <w:rsid w:val="0CF01E3D"/>
    <w:rsid w:val="0D046532"/>
    <w:rsid w:val="0D1954AC"/>
    <w:rsid w:val="0D321381"/>
    <w:rsid w:val="0D3F1CF7"/>
    <w:rsid w:val="0D4402D3"/>
    <w:rsid w:val="0D5374B9"/>
    <w:rsid w:val="0D5C54A5"/>
    <w:rsid w:val="0D7E45DD"/>
    <w:rsid w:val="0D815DCD"/>
    <w:rsid w:val="0D9F3011"/>
    <w:rsid w:val="0DC34AA9"/>
    <w:rsid w:val="0E303356"/>
    <w:rsid w:val="0E430BBB"/>
    <w:rsid w:val="0E4B0853"/>
    <w:rsid w:val="0E59465B"/>
    <w:rsid w:val="0E9953A0"/>
    <w:rsid w:val="0EA26534"/>
    <w:rsid w:val="0EC73CBB"/>
    <w:rsid w:val="0EDC703A"/>
    <w:rsid w:val="0F104BA8"/>
    <w:rsid w:val="0F2819E7"/>
    <w:rsid w:val="0F2A5DFB"/>
    <w:rsid w:val="0F6063AF"/>
    <w:rsid w:val="0F670FFA"/>
    <w:rsid w:val="0F7D081D"/>
    <w:rsid w:val="0FAC4C5F"/>
    <w:rsid w:val="0FDF48E7"/>
    <w:rsid w:val="0FE254EF"/>
    <w:rsid w:val="0FE47EF3"/>
    <w:rsid w:val="0FE96BFE"/>
    <w:rsid w:val="0FF5D091"/>
    <w:rsid w:val="10134CDE"/>
    <w:rsid w:val="102D2243"/>
    <w:rsid w:val="10365E2E"/>
    <w:rsid w:val="105B311D"/>
    <w:rsid w:val="105B405A"/>
    <w:rsid w:val="10634BF3"/>
    <w:rsid w:val="108B0D18"/>
    <w:rsid w:val="108B4148"/>
    <w:rsid w:val="10B40C48"/>
    <w:rsid w:val="10C30782"/>
    <w:rsid w:val="11412690"/>
    <w:rsid w:val="114C75DD"/>
    <w:rsid w:val="12431D83"/>
    <w:rsid w:val="12597320"/>
    <w:rsid w:val="125B755A"/>
    <w:rsid w:val="128123D2"/>
    <w:rsid w:val="12D149BF"/>
    <w:rsid w:val="12E42D35"/>
    <w:rsid w:val="130C4592"/>
    <w:rsid w:val="13160D6D"/>
    <w:rsid w:val="13242E4C"/>
    <w:rsid w:val="137139FA"/>
    <w:rsid w:val="1373154F"/>
    <w:rsid w:val="137FA8DD"/>
    <w:rsid w:val="138A5087"/>
    <w:rsid w:val="138B7170"/>
    <w:rsid w:val="13921D93"/>
    <w:rsid w:val="13951544"/>
    <w:rsid w:val="139B74C4"/>
    <w:rsid w:val="13A1291C"/>
    <w:rsid w:val="13D029CA"/>
    <w:rsid w:val="13D61A1C"/>
    <w:rsid w:val="13D76995"/>
    <w:rsid w:val="13DA0C71"/>
    <w:rsid w:val="13E90B4A"/>
    <w:rsid w:val="13F57F6C"/>
    <w:rsid w:val="140E7C96"/>
    <w:rsid w:val="144E5BAF"/>
    <w:rsid w:val="145B077C"/>
    <w:rsid w:val="148F7029"/>
    <w:rsid w:val="14BE346A"/>
    <w:rsid w:val="14C64A14"/>
    <w:rsid w:val="14D52961"/>
    <w:rsid w:val="14D83808"/>
    <w:rsid w:val="14FE7D0A"/>
    <w:rsid w:val="1528122B"/>
    <w:rsid w:val="15347304"/>
    <w:rsid w:val="153B4ABB"/>
    <w:rsid w:val="15567B46"/>
    <w:rsid w:val="155F4659"/>
    <w:rsid w:val="15610299"/>
    <w:rsid w:val="159124F5"/>
    <w:rsid w:val="16027A14"/>
    <w:rsid w:val="16322361"/>
    <w:rsid w:val="164B3423"/>
    <w:rsid w:val="165D0268"/>
    <w:rsid w:val="16705645"/>
    <w:rsid w:val="167179C0"/>
    <w:rsid w:val="16817906"/>
    <w:rsid w:val="16A448E1"/>
    <w:rsid w:val="16B46578"/>
    <w:rsid w:val="16CF7BB0"/>
    <w:rsid w:val="16D8450A"/>
    <w:rsid w:val="16EB2510"/>
    <w:rsid w:val="16F81197"/>
    <w:rsid w:val="17033CFE"/>
    <w:rsid w:val="171F4A71"/>
    <w:rsid w:val="17325709"/>
    <w:rsid w:val="173F4503"/>
    <w:rsid w:val="176E0569"/>
    <w:rsid w:val="17A4601D"/>
    <w:rsid w:val="17B32321"/>
    <w:rsid w:val="180C2F5C"/>
    <w:rsid w:val="18363C5F"/>
    <w:rsid w:val="184A3A9A"/>
    <w:rsid w:val="184B770B"/>
    <w:rsid w:val="18796DE5"/>
    <w:rsid w:val="189C7F66"/>
    <w:rsid w:val="18C46036"/>
    <w:rsid w:val="18D70F61"/>
    <w:rsid w:val="18E667DE"/>
    <w:rsid w:val="19094ED0"/>
    <w:rsid w:val="190B1AB7"/>
    <w:rsid w:val="190E1E92"/>
    <w:rsid w:val="1910625E"/>
    <w:rsid w:val="191E2C88"/>
    <w:rsid w:val="191E47AE"/>
    <w:rsid w:val="19213D00"/>
    <w:rsid w:val="19391946"/>
    <w:rsid w:val="193E2DCB"/>
    <w:rsid w:val="193F1B3B"/>
    <w:rsid w:val="194A5C14"/>
    <w:rsid w:val="194B4539"/>
    <w:rsid w:val="19677F5C"/>
    <w:rsid w:val="1988673C"/>
    <w:rsid w:val="199FA76B"/>
    <w:rsid w:val="19AA0461"/>
    <w:rsid w:val="19EF3664"/>
    <w:rsid w:val="1A163D48"/>
    <w:rsid w:val="1A1A7931"/>
    <w:rsid w:val="1A3C3E2A"/>
    <w:rsid w:val="1A680537"/>
    <w:rsid w:val="1A8A3DEE"/>
    <w:rsid w:val="1A8E78C8"/>
    <w:rsid w:val="1A914D5C"/>
    <w:rsid w:val="1A9417E2"/>
    <w:rsid w:val="1A9B5FFB"/>
    <w:rsid w:val="1AED6666"/>
    <w:rsid w:val="1B46065D"/>
    <w:rsid w:val="1B6740A4"/>
    <w:rsid w:val="1B6F3A26"/>
    <w:rsid w:val="1B735DC4"/>
    <w:rsid w:val="1B886580"/>
    <w:rsid w:val="1B9637E8"/>
    <w:rsid w:val="1BB235FD"/>
    <w:rsid w:val="1BB9498B"/>
    <w:rsid w:val="1BC947C4"/>
    <w:rsid w:val="1BD96DDB"/>
    <w:rsid w:val="1C0868FA"/>
    <w:rsid w:val="1C2529FF"/>
    <w:rsid w:val="1C280A6A"/>
    <w:rsid w:val="1C2F19F0"/>
    <w:rsid w:val="1C403D0E"/>
    <w:rsid w:val="1C427076"/>
    <w:rsid w:val="1C522596"/>
    <w:rsid w:val="1C5A2562"/>
    <w:rsid w:val="1C5B5A42"/>
    <w:rsid w:val="1C6F14EE"/>
    <w:rsid w:val="1C9636A0"/>
    <w:rsid w:val="1CD549F2"/>
    <w:rsid w:val="1CEF358F"/>
    <w:rsid w:val="1CF40995"/>
    <w:rsid w:val="1D274825"/>
    <w:rsid w:val="1D2B18B9"/>
    <w:rsid w:val="1D3D000F"/>
    <w:rsid w:val="1D44297A"/>
    <w:rsid w:val="1D552DD9"/>
    <w:rsid w:val="1D6A70DF"/>
    <w:rsid w:val="1D7414B2"/>
    <w:rsid w:val="1D815FCC"/>
    <w:rsid w:val="1D927B8A"/>
    <w:rsid w:val="1DB731B5"/>
    <w:rsid w:val="1DC42A0B"/>
    <w:rsid w:val="1DCA2E80"/>
    <w:rsid w:val="1DD117FA"/>
    <w:rsid w:val="1DF84EC4"/>
    <w:rsid w:val="1E340C41"/>
    <w:rsid w:val="1E403142"/>
    <w:rsid w:val="1E5C1522"/>
    <w:rsid w:val="1E6B7566"/>
    <w:rsid w:val="1E781388"/>
    <w:rsid w:val="1EA45087"/>
    <w:rsid w:val="1EA47B74"/>
    <w:rsid w:val="1EAE454F"/>
    <w:rsid w:val="1EC51899"/>
    <w:rsid w:val="1ECC5479"/>
    <w:rsid w:val="1EEA75A0"/>
    <w:rsid w:val="1EEF7754"/>
    <w:rsid w:val="1F1F77A7"/>
    <w:rsid w:val="1F27593E"/>
    <w:rsid w:val="1F394761"/>
    <w:rsid w:val="1F9BB067"/>
    <w:rsid w:val="1FA31BDA"/>
    <w:rsid w:val="1FAF2718"/>
    <w:rsid w:val="1FB47A5D"/>
    <w:rsid w:val="1FD75D28"/>
    <w:rsid w:val="1FF42436"/>
    <w:rsid w:val="1FFF00F8"/>
    <w:rsid w:val="200655C0"/>
    <w:rsid w:val="20126D60"/>
    <w:rsid w:val="201E5705"/>
    <w:rsid w:val="207417C9"/>
    <w:rsid w:val="208E5A5D"/>
    <w:rsid w:val="209818E4"/>
    <w:rsid w:val="20AA3CDC"/>
    <w:rsid w:val="20B23D8A"/>
    <w:rsid w:val="20C23F73"/>
    <w:rsid w:val="20D54766"/>
    <w:rsid w:val="20FD531A"/>
    <w:rsid w:val="213760C2"/>
    <w:rsid w:val="213D1BBA"/>
    <w:rsid w:val="213F6706"/>
    <w:rsid w:val="2165078C"/>
    <w:rsid w:val="217C1E2D"/>
    <w:rsid w:val="218B0B78"/>
    <w:rsid w:val="21A734D8"/>
    <w:rsid w:val="21F030D1"/>
    <w:rsid w:val="221D6C29"/>
    <w:rsid w:val="2221328A"/>
    <w:rsid w:val="22462A8A"/>
    <w:rsid w:val="22574EFE"/>
    <w:rsid w:val="225E6D5C"/>
    <w:rsid w:val="22696FF6"/>
    <w:rsid w:val="229F2035"/>
    <w:rsid w:val="22B7264E"/>
    <w:rsid w:val="22B97967"/>
    <w:rsid w:val="22D30480"/>
    <w:rsid w:val="22E83DA8"/>
    <w:rsid w:val="22F14C3C"/>
    <w:rsid w:val="22F20EEE"/>
    <w:rsid w:val="23006025"/>
    <w:rsid w:val="230B7162"/>
    <w:rsid w:val="230C1C0F"/>
    <w:rsid w:val="2335523F"/>
    <w:rsid w:val="23445482"/>
    <w:rsid w:val="23531B69"/>
    <w:rsid w:val="23664217"/>
    <w:rsid w:val="238E2BA1"/>
    <w:rsid w:val="23915FA1"/>
    <w:rsid w:val="23976FC8"/>
    <w:rsid w:val="239D1036"/>
    <w:rsid w:val="23A5639B"/>
    <w:rsid w:val="23A67435"/>
    <w:rsid w:val="23FE3883"/>
    <w:rsid w:val="240746D5"/>
    <w:rsid w:val="240F5A90"/>
    <w:rsid w:val="24293F8F"/>
    <w:rsid w:val="243A63CC"/>
    <w:rsid w:val="245E4322"/>
    <w:rsid w:val="246C10ED"/>
    <w:rsid w:val="247C0C4C"/>
    <w:rsid w:val="24904744"/>
    <w:rsid w:val="249912B8"/>
    <w:rsid w:val="249F3FA9"/>
    <w:rsid w:val="24BA0F84"/>
    <w:rsid w:val="24C745BD"/>
    <w:rsid w:val="24DF4279"/>
    <w:rsid w:val="25016B56"/>
    <w:rsid w:val="2505221B"/>
    <w:rsid w:val="2571148E"/>
    <w:rsid w:val="25B44CD6"/>
    <w:rsid w:val="25BA1A2C"/>
    <w:rsid w:val="25D53C59"/>
    <w:rsid w:val="25F3318F"/>
    <w:rsid w:val="25FC2044"/>
    <w:rsid w:val="26025181"/>
    <w:rsid w:val="260F2A28"/>
    <w:rsid w:val="26176E7E"/>
    <w:rsid w:val="26201D24"/>
    <w:rsid w:val="26315FCE"/>
    <w:rsid w:val="26322643"/>
    <w:rsid w:val="263631A5"/>
    <w:rsid w:val="2637667A"/>
    <w:rsid w:val="264D110D"/>
    <w:rsid w:val="269F15EB"/>
    <w:rsid w:val="26BE19EF"/>
    <w:rsid w:val="26CC0CA3"/>
    <w:rsid w:val="26E24FAE"/>
    <w:rsid w:val="26EE5511"/>
    <w:rsid w:val="26F00D5C"/>
    <w:rsid w:val="26F7280B"/>
    <w:rsid w:val="270423C8"/>
    <w:rsid w:val="27734588"/>
    <w:rsid w:val="2780146B"/>
    <w:rsid w:val="27CF7A19"/>
    <w:rsid w:val="27D52687"/>
    <w:rsid w:val="27DA0163"/>
    <w:rsid w:val="28131C63"/>
    <w:rsid w:val="28150C75"/>
    <w:rsid w:val="281C68B6"/>
    <w:rsid w:val="28203B81"/>
    <w:rsid w:val="28227D98"/>
    <w:rsid w:val="282F222C"/>
    <w:rsid w:val="286F3F95"/>
    <w:rsid w:val="28702CD8"/>
    <w:rsid w:val="287B7F79"/>
    <w:rsid w:val="287E1436"/>
    <w:rsid w:val="28C01A4F"/>
    <w:rsid w:val="28D72CA4"/>
    <w:rsid w:val="28D92B11"/>
    <w:rsid w:val="29053273"/>
    <w:rsid w:val="29376315"/>
    <w:rsid w:val="29567BFF"/>
    <w:rsid w:val="295F5BAE"/>
    <w:rsid w:val="2973086F"/>
    <w:rsid w:val="29CD4DD1"/>
    <w:rsid w:val="29ED6BDD"/>
    <w:rsid w:val="2A3E6896"/>
    <w:rsid w:val="2A431C41"/>
    <w:rsid w:val="2A445BEE"/>
    <w:rsid w:val="2A54739A"/>
    <w:rsid w:val="2A5A1A2F"/>
    <w:rsid w:val="2A6754CA"/>
    <w:rsid w:val="2A7FF3BA"/>
    <w:rsid w:val="2A97058D"/>
    <w:rsid w:val="2AA6683B"/>
    <w:rsid w:val="2AB90504"/>
    <w:rsid w:val="2B0674C1"/>
    <w:rsid w:val="2B1A46C4"/>
    <w:rsid w:val="2B353322"/>
    <w:rsid w:val="2B37239C"/>
    <w:rsid w:val="2B3D7387"/>
    <w:rsid w:val="2B6A63EC"/>
    <w:rsid w:val="2BA50A88"/>
    <w:rsid w:val="2BB449CF"/>
    <w:rsid w:val="2BB9468C"/>
    <w:rsid w:val="2BC2163A"/>
    <w:rsid w:val="2BD73CFD"/>
    <w:rsid w:val="2C09011C"/>
    <w:rsid w:val="2C2422F5"/>
    <w:rsid w:val="2C2A71DF"/>
    <w:rsid w:val="2C41042A"/>
    <w:rsid w:val="2C804767"/>
    <w:rsid w:val="2CFF7F99"/>
    <w:rsid w:val="2D546C0A"/>
    <w:rsid w:val="2D5A1190"/>
    <w:rsid w:val="2D5B7F98"/>
    <w:rsid w:val="2D614E83"/>
    <w:rsid w:val="2D806433"/>
    <w:rsid w:val="2D9E69EF"/>
    <w:rsid w:val="2DD077B2"/>
    <w:rsid w:val="2DF301D1"/>
    <w:rsid w:val="2E1A72A5"/>
    <w:rsid w:val="2E1E4B22"/>
    <w:rsid w:val="2E24482E"/>
    <w:rsid w:val="2E615CCD"/>
    <w:rsid w:val="2EA35514"/>
    <w:rsid w:val="2EC701E5"/>
    <w:rsid w:val="2EEF6BEA"/>
    <w:rsid w:val="2EF94174"/>
    <w:rsid w:val="2EF97A69"/>
    <w:rsid w:val="2F097580"/>
    <w:rsid w:val="2F1B5030"/>
    <w:rsid w:val="2F3445FD"/>
    <w:rsid w:val="2F37730B"/>
    <w:rsid w:val="2F793F79"/>
    <w:rsid w:val="2F8A6913"/>
    <w:rsid w:val="2F940B9B"/>
    <w:rsid w:val="2FAF6379"/>
    <w:rsid w:val="2FB83480"/>
    <w:rsid w:val="2FE364D9"/>
    <w:rsid w:val="2FE83639"/>
    <w:rsid w:val="2FF11F73"/>
    <w:rsid w:val="2FF6EBD2"/>
    <w:rsid w:val="2FFF1CE2"/>
    <w:rsid w:val="30077F63"/>
    <w:rsid w:val="300974C0"/>
    <w:rsid w:val="302610FC"/>
    <w:rsid w:val="30403475"/>
    <w:rsid w:val="3043586B"/>
    <w:rsid w:val="304A4FBC"/>
    <w:rsid w:val="3058256D"/>
    <w:rsid w:val="30766E97"/>
    <w:rsid w:val="30A47610"/>
    <w:rsid w:val="30B71989"/>
    <w:rsid w:val="30E33504"/>
    <w:rsid w:val="30F524B2"/>
    <w:rsid w:val="30FF4B22"/>
    <w:rsid w:val="310B6BF3"/>
    <w:rsid w:val="31114518"/>
    <w:rsid w:val="31624D74"/>
    <w:rsid w:val="31A627B9"/>
    <w:rsid w:val="31F60A7B"/>
    <w:rsid w:val="32236C2E"/>
    <w:rsid w:val="32382656"/>
    <w:rsid w:val="32496611"/>
    <w:rsid w:val="327F327C"/>
    <w:rsid w:val="329769BD"/>
    <w:rsid w:val="32A343B8"/>
    <w:rsid w:val="32C254CB"/>
    <w:rsid w:val="33154745"/>
    <w:rsid w:val="3332198B"/>
    <w:rsid w:val="333E2D8F"/>
    <w:rsid w:val="335A7075"/>
    <w:rsid w:val="335D7410"/>
    <w:rsid w:val="336D3EA4"/>
    <w:rsid w:val="33705E1F"/>
    <w:rsid w:val="337442CE"/>
    <w:rsid w:val="339C6C14"/>
    <w:rsid w:val="33A342A9"/>
    <w:rsid w:val="33AC6E70"/>
    <w:rsid w:val="33C64EB5"/>
    <w:rsid w:val="33DC674E"/>
    <w:rsid w:val="33EC6C5A"/>
    <w:rsid w:val="340622E0"/>
    <w:rsid w:val="343E641F"/>
    <w:rsid w:val="343E7C06"/>
    <w:rsid w:val="3442156A"/>
    <w:rsid w:val="347E6334"/>
    <w:rsid w:val="349A75F8"/>
    <w:rsid w:val="34C74165"/>
    <w:rsid w:val="34E00D83"/>
    <w:rsid w:val="34E751DD"/>
    <w:rsid w:val="34E924AB"/>
    <w:rsid w:val="34EB5A9A"/>
    <w:rsid w:val="352F64C7"/>
    <w:rsid w:val="353C7D87"/>
    <w:rsid w:val="355A36A5"/>
    <w:rsid w:val="3596107F"/>
    <w:rsid w:val="359758E5"/>
    <w:rsid w:val="35A57EBA"/>
    <w:rsid w:val="35C012AA"/>
    <w:rsid w:val="35C249F4"/>
    <w:rsid w:val="35FC3D7E"/>
    <w:rsid w:val="35FE5313"/>
    <w:rsid w:val="362058DB"/>
    <w:rsid w:val="363D6170"/>
    <w:rsid w:val="36525CB0"/>
    <w:rsid w:val="36570DD6"/>
    <w:rsid w:val="36590DED"/>
    <w:rsid w:val="36A77DAA"/>
    <w:rsid w:val="36AC3612"/>
    <w:rsid w:val="36C546D4"/>
    <w:rsid w:val="36E813DF"/>
    <w:rsid w:val="36F17277"/>
    <w:rsid w:val="36FF7BE6"/>
    <w:rsid w:val="370278A8"/>
    <w:rsid w:val="37205FF6"/>
    <w:rsid w:val="3731405A"/>
    <w:rsid w:val="374F72A9"/>
    <w:rsid w:val="37865C12"/>
    <w:rsid w:val="379876F3"/>
    <w:rsid w:val="379A16BD"/>
    <w:rsid w:val="37BE0F45"/>
    <w:rsid w:val="37DC1DC0"/>
    <w:rsid w:val="383621D7"/>
    <w:rsid w:val="38415FDC"/>
    <w:rsid w:val="38624A88"/>
    <w:rsid w:val="38664899"/>
    <w:rsid w:val="3876050F"/>
    <w:rsid w:val="38AE714C"/>
    <w:rsid w:val="38B76A01"/>
    <w:rsid w:val="38DC3EDC"/>
    <w:rsid w:val="38FA68B7"/>
    <w:rsid w:val="38FB98C4"/>
    <w:rsid w:val="390D5B8A"/>
    <w:rsid w:val="39111A4A"/>
    <w:rsid w:val="391B4A7F"/>
    <w:rsid w:val="39202096"/>
    <w:rsid w:val="39394B01"/>
    <w:rsid w:val="396E2E01"/>
    <w:rsid w:val="39777F08"/>
    <w:rsid w:val="39B520EA"/>
    <w:rsid w:val="39B62C55"/>
    <w:rsid w:val="39CF7D6C"/>
    <w:rsid w:val="39D71739"/>
    <w:rsid w:val="39F50E2C"/>
    <w:rsid w:val="3A060EE0"/>
    <w:rsid w:val="3A241712"/>
    <w:rsid w:val="3A2B414D"/>
    <w:rsid w:val="3A924955"/>
    <w:rsid w:val="3A950543"/>
    <w:rsid w:val="3A9E7716"/>
    <w:rsid w:val="3ADA56C8"/>
    <w:rsid w:val="3AE54D9B"/>
    <w:rsid w:val="3AFC2589"/>
    <w:rsid w:val="3B00217F"/>
    <w:rsid w:val="3B043A1D"/>
    <w:rsid w:val="3B20012B"/>
    <w:rsid w:val="3B2A60E9"/>
    <w:rsid w:val="3B6B6670"/>
    <w:rsid w:val="3B855DC3"/>
    <w:rsid w:val="3B9052B1"/>
    <w:rsid w:val="3B974891"/>
    <w:rsid w:val="3BBE797E"/>
    <w:rsid w:val="3BD21711"/>
    <w:rsid w:val="3BD70484"/>
    <w:rsid w:val="3BD80F0D"/>
    <w:rsid w:val="3BDB85C8"/>
    <w:rsid w:val="3BE467D1"/>
    <w:rsid w:val="3BFF8581"/>
    <w:rsid w:val="3C035F1A"/>
    <w:rsid w:val="3C1C38AF"/>
    <w:rsid w:val="3C1C4D96"/>
    <w:rsid w:val="3C215F09"/>
    <w:rsid w:val="3C31001D"/>
    <w:rsid w:val="3C4340D1"/>
    <w:rsid w:val="3C4B11D8"/>
    <w:rsid w:val="3C6F5B2F"/>
    <w:rsid w:val="3CDD2778"/>
    <w:rsid w:val="3CEA279F"/>
    <w:rsid w:val="3D310065"/>
    <w:rsid w:val="3D4E0F7F"/>
    <w:rsid w:val="3D7A0677"/>
    <w:rsid w:val="3D7F382F"/>
    <w:rsid w:val="3D9B4E64"/>
    <w:rsid w:val="3D9F76BF"/>
    <w:rsid w:val="3DA70690"/>
    <w:rsid w:val="3DA963FF"/>
    <w:rsid w:val="3DAB5AC0"/>
    <w:rsid w:val="3DC54FBA"/>
    <w:rsid w:val="3DE2791A"/>
    <w:rsid w:val="3DFB09DB"/>
    <w:rsid w:val="3DFD1951"/>
    <w:rsid w:val="3E12336F"/>
    <w:rsid w:val="3E1F78FF"/>
    <w:rsid w:val="3E35137E"/>
    <w:rsid w:val="3E3A4C3F"/>
    <w:rsid w:val="3E6432A1"/>
    <w:rsid w:val="3E685493"/>
    <w:rsid w:val="3E6B3DB3"/>
    <w:rsid w:val="3E90273A"/>
    <w:rsid w:val="3EA352FB"/>
    <w:rsid w:val="3EA846BF"/>
    <w:rsid w:val="3EBE3EE3"/>
    <w:rsid w:val="3EC62D97"/>
    <w:rsid w:val="3EE33949"/>
    <w:rsid w:val="3EF97772"/>
    <w:rsid w:val="3F2859A4"/>
    <w:rsid w:val="3F3C7CCF"/>
    <w:rsid w:val="3F8C5D8F"/>
    <w:rsid w:val="3FA56B52"/>
    <w:rsid w:val="3FCC669D"/>
    <w:rsid w:val="3FD00372"/>
    <w:rsid w:val="3FDD483D"/>
    <w:rsid w:val="3FE07E89"/>
    <w:rsid w:val="3FF77793"/>
    <w:rsid w:val="4004575B"/>
    <w:rsid w:val="401150BE"/>
    <w:rsid w:val="402236FF"/>
    <w:rsid w:val="405D1E62"/>
    <w:rsid w:val="407D110C"/>
    <w:rsid w:val="40810011"/>
    <w:rsid w:val="408C3992"/>
    <w:rsid w:val="40C17CBA"/>
    <w:rsid w:val="411B561D"/>
    <w:rsid w:val="411E0F75"/>
    <w:rsid w:val="41326E0A"/>
    <w:rsid w:val="41361B95"/>
    <w:rsid w:val="414A3D55"/>
    <w:rsid w:val="41526B64"/>
    <w:rsid w:val="419E624E"/>
    <w:rsid w:val="41A35612"/>
    <w:rsid w:val="41C37A62"/>
    <w:rsid w:val="41D04935"/>
    <w:rsid w:val="41D2272D"/>
    <w:rsid w:val="41F1637D"/>
    <w:rsid w:val="421C7965"/>
    <w:rsid w:val="422A40C5"/>
    <w:rsid w:val="42497F67"/>
    <w:rsid w:val="425410BD"/>
    <w:rsid w:val="4257135A"/>
    <w:rsid w:val="4263038F"/>
    <w:rsid w:val="426D63FE"/>
    <w:rsid w:val="428F6994"/>
    <w:rsid w:val="4297632A"/>
    <w:rsid w:val="42A15FF5"/>
    <w:rsid w:val="42AE0712"/>
    <w:rsid w:val="42D31F27"/>
    <w:rsid w:val="42D55690"/>
    <w:rsid w:val="42D8704F"/>
    <w:rsid w:val="42DE3E28"/>
    <w:rsid w:val="431C567C"/>
    <w:rsid w:val="439971FA"/>
    <w:rsid w:val="439D4A0F"/>
    <w:rsid w:val="43A833B4"/>
    <w:rsid w:val="43BD6E5F"/>
    <w:rsid w:val="43C65B52"/>
    <w:rsid w:val="43F213F1"/>
    <w:rsid w:val="43F41FD8"/>
    <w:rsid w:val="43FD1DA6"/>
    <w:rsid w:val="44006D4C"/>
    <w:rsid w:val="440209A9"/>
    <w:rsid w:val="44307631"/>
    <w:rsid w:val="443A2A91"/>
    <w:rsid w:val="44A06AE5"/>
    <w:rsid w:val="44D65FFB"/>
    <w:rsid w:val="44DF0C3C"/>
    <w:rsid w:val="44EE2EF8"/>
    <w:rsid w:val="45045743"/>
    <w:rsid w:val="450D2FF8"/>
    <w:rsid w:val="45237196"/>
    <w:rsid w:val="45244CBC"/>
    <w:rsid w:val="4535500F"/>
    <w:rsid w:val="457271D8"/>
    <w:rsid w:val="458D79D2"/>
    <w:rsid w:val="45B0789F"/>
    <w:rsid w:val="45B570AE"/>
    <w:rsid w:val="461A0599"/>
    <w:rsid w:val="461B60BF"/>
    <w:rsid w:val="46317690"/>
    <w:rsid w:val="4649255C"/>
    <w:rsid w:val="46737CA9"/>
    <w:rsid w:val="46974134"/>
    <w:rsid w:val="469C746C"/>
    <w:rsid w:val="46B651A1"/>
    <w:rsid w:val="46C06DBE"/>
    <w:rsid w:val="472015A9"/>
    <w:rsid w:val="473179E3"/>
    <w:rsid w:val="47354BD4"/>
    <w:rsid w:val="474C4C7E"/>
    <w:rsid w:val="47507FEA"/>
    <w:rsid w:val="477F0678"/>
    <w:rsid w:val="47867568"/>
    <w:rsid w:val="47900EAC"/>
    <w:rsid w:val="4792411F"/>
    <w:rsid w:val="4797218C"/>
    <w:rsid w:val="479C0AB6"/>
    <w:rsid w:val="479D7445"/>
    <w:rsid w:val="47C00CCC"/>
    <w:rsid w:val="47DC1505"/>
    <w:rsid w:val="47EA5D49"/>
    <w:rsid w:val="480E7A25"/>
    <w:rsid w:val="48180B08"/>
    <w:rsid w:val="48276805"/>
    <w:rsid w:val="484E4529"/>
    <w:rsid w:val="485D6071"/>
    <w:rsid w:val="487B4BF3"/>
    <w:rsid w:val="490168B9"/>
    <w:rsid w:val="4957740E"/>
    <w:rsid w:val="49997A26"/>
    <w:rsid w:val="49D36A87"/>
    <w:rsid w:val="49FC09C8"/>
    <w:rsid w:val="4A301681"/>
    <w:rsid w:val="4A8550A5"/>
    <w:rsid w:val="4A9560CC"/>
    <w:rsid w:val="4A9D52F4"/>
    <w:rsid w:val="4AA04DE4"/>
    <w:rsid w:val="4AA429EA"/>
    <w:rsid w:val="4ABD14F2"/>
    <w:rsid w:val="4ACC3E2B"/>
    <w:rsid w:val="4ADE5AFE"/>
    <w:rsid w:val="4AF313B8"/>
    <w:rsid w:val="4B4439C2"/>
    <w:rsid w:val="4B693466"/>
    <w:rsid w:val="4BA532BA"/>
    <w:rsid w:val="4BA60AB1"/>
    <w:rsid w:val="4BAF1783"/>
    <w:rsid w:val="4BB23021"/>
    <w:rsid w:val="4BB2670B"/>
    <w:rsid w:val="4BB365B5"/>
    <w:rsid w:val="4BC114B6"/>
    <w:rsid w:val="4BE34546"/>
    <w:rsid w:val="4BEB02E1"/>
    <w:rsid w:val="4BF37AF5"/>
    <w:rsid w:val="4BF94C2F"/>
    <w:rsid w:val="4C1635B0"/>
    <w:rsid w:val="4C906769"/>
    <w:rsid w:val="4CB93F3C"/>
    <w:rsid w:val="4CCC0113"/>
    <w:rsid w:val="4CE74F4D"/>
    <w:rsid w:val="4CE84AB9"/>
    <w:rsid w:val="4D01600E"/>
    <w:rsid w:val="4D1473C4"/>
    <w:rsid w:val="4D1A2C2C"/>
    <w:rsid w:val="4D2E2B7B"/>
    <w:rsid w:val="4D4935A3"/>
    <w:rsid w:val="4D514E22"/>
    <w:rsid w:val="4DB35167"/>
    <w:rsid w:val="4DDF102B"/>
    <w:rsid w:val="4DE33966"/>
    <w:rsid w:val="4DEB6377"/>
    <w:rsid w:val="4E1844A1"/>
    <w:rsid w:val="4E43721F"/>
    <w:rsid w:val="4E5B75AC"/>
    <w:rsid w:val="4E5E1120"/>
    <w:rsid w:val="4E652874"/>
    <w:rsid w:val="4E731753"/>
    <w:rsid w:val="4E9208C3"/>
    <w:rsid w:val="4EDE6657"/>
    <w:rsid w:val="4EF26C2A"/>
    <w:rsid w:val="4F0C39F5"/>
    <w:rsid w:val="4F226DC8"/>
    <w:rsid w:val="4F234ACC"/>
    <w:rsid w:val="4F2A7373"/>
    <w:rsid w:val="4F3E697A"/>
    <w:rsid w:val="4F485A53"/>
    <w:rsid w:val="4F493C9D"/>
    <w:rsid w:val="4F5E53C7"/>
    <w:rsid w:val="4F6351A5"/>
    <w:rsid w:val="4F665D41"/>
    <w:rsid w:val="4F7EFCB4"/>
    <w:rsid w:val="4F7F44DF"/>
    <w:rsid w:val="4FA71C3F"/>
    <w:rsid w:val="4FA9473B"/>
    <w:rsid w:val="4FAE5BAC"/>
    <w:rsid w:val="4FB84E80"/>
    <w:rsid w:val="4FBA3692"/>
    <w:rsid w:val="4FE985C7"/>
    <w:rsid w:val="4FF932AD"/>
    <w:rsid w:val="500C08AC"/>
    <w:rsid w:val="501C6CBB"/>
    <w:rsid w:val="502703FE"/>
    <w:rsid w:val="50482E97"/>
    <w:rsid w:val="505C668F"/>
    <w:rsid w:val="50601F36"/>
    <w:rsid w:val="507329BF"/>
    <w:rsid w:val="50786CBB"/>
    <w:rsid w:val="50964CC0"/>
    <w:rsid w:val="50AB003F"/>
    <w:rsid w:val="50FE0AB7"/>
    <w:rsid w:val="51042AC7"/>
    <w:rsid w:val="51230ABD"/>
    <w:rsid w:val="512978E2"/>
    <w:rsid w:val="51346847"/>
    <w:rsid w:val="515D758B"/>
    <w:rsid w:val="5161537B"/>
    <w:rsid w:val="516C5CF7"/>
    <w:rsid w:val="51867B3E"/>
    <w:rsid w:val="51870AAC"/>
    <w:rsid w:val="519D3E2C"/>
    <w:rsid w:val="51A575B0"/>
    <w:rsid w:val="51C21AE4"/>
    <w:rsid w:val="51C25FE7"/>
    <w:rsid w:val="51C969CF"/>
    <w:rsid w:val="51F41FF1"/>
    <w:rsid w:val="51FF4AE6"/>
    <w:rsid w:val="520774F7"/>
    <w:rsid w:val="520C5A74"/>
    <w:rsid w:val="52255B09"/>
    <w:rsid w:val="525564B4"/>
    <w:rsid w:val="525B75EF"/>
    <w:rsid w:val="526341EB"/>
    <w:rsid w:val="52666914"/>
    <w:rsid w:val="5267529D"/>
    <w:rsid w:val="526D5CE7"/>
    <w:rsid w:val="52902DFA"/>
    <w:rsid w:val="52DB2E5E"/>
    <w:rsid w:val="53135B7C"/>
    <w:rsid w:val="5314011E"/>
    <w:rsid w:val="53360094"/>
    <w:rsid w:val="533E519B"/>
    <w:rsid w:val="5346796B"/>
    <w:rsid w:val="535D0510"/>
    <w:rsid w:val="536B319B"/>
    <w:rsid w:val="53755060"/>
    <w:rsid w:val="539D0113"/>
    <w:rsid w:val="53A6051D"/>
    <w:rsid w:val="53A76F3B"/>
    <w:rsid w:val="53AF2171"/>
    <w:rsid w:val="53B60FA0"/>
    <w:rsid w:val="53B92BD0"/>
    <w:rsid w:val="53C27B7A"/>
    <w:rsid w:val="53E61F03"/>
    <w:rsid w:val="5406215C"/>
    <w:rsid w:val="542E6C2A"/>
    <w:rsid w:val="547215A0"/>
    <w:rsid w:val="548B2661"/>
    <w:rsid w:val="548D63DA"/>
    <w:rsid w:val="54AA699E"/>
    <w:rsid w:val="54BE5581"/>
    <w:rsid w:val="54C3413E"/>
    <w:rsid w:val="54C343AC"/>
    <w:rsid w:val="54E67898"/>
    <w:rsid w:val="550C37A2"/>
    <w:rsid w:val="55124B31"/>
    <w:rsid w:val="552C7A66"/>
    <w:rsid w:val="55363B79"/>
    <w:rsid w:val="55367AA1"/>
    <w:rsid w:val="553757FC"/>
    <w:rsid w:val="556233C2"/>
    <w:rsid w:val="55690BF5"/>
    <w:rsid w:val="55A0038E"/>
    <w:rsid w:val="55F85AD5"/>
    <w:rsid w:val="56113BC9"/>
    <w:rsid w:val="563F6BD5"/>
    <w:rsid w:val="56621F53"/>
    <w:rsid w:val="566D4FAA"/>
    <w:rsid w:val="566D64C3"/>
    <w:rsid w:val="5677F382"/>
    <w:rsid w:val="56B9194B"/>
    <w:rsid w:val="56D766B3"/>
    <w:rsid w:val="56DA167E"/>
    <w:rsid w:val="56EFBCE7"/>
    <w:rsid w:val="56F79C35"/>
    <w:rsid w:val="571006E4"/>
    <w:rsid w:val="572556CD"/>
    <w:rsid w:val="57544F8D"/>
    <w:rsid w:val="5764574C"/>
    <w:rsid w:val="578E580A"/>
    <w:rsid w:val="57A11429"/>
    <w:rsid w:val="57B02EBF"/>
    <w:rsid w:val="58020E8D"/>
    <w:rsid w:val="581A12AA"/>
    <w:rsid w:val="583D01CF"/>
    <w:rsid w:val="58AD704A"/>
    <w:rsid w:val="58C63C68"/>
    <w:rsid w:val="58D50A2B"/>
    <w:rsid w:val="59362507"/>
    <w:rsid w:val="595A2986"/>
    <w:rsid w:val="596949DD"/>
    <w:rsid w:val="59C74AA1"/>
    <w:rsid w:val="59E912D3"/>
    <w:rsid w:val="59F04A62"/>
    <w:rsid w:val="59FC37A5"/>
    <w:rsid w:val="5A0013FC"/>
    <w:rsid w:val="5A1C694B"/>
    <w:rsid w:val="5A407A4A"/>
    <w:rsid w:val="5A4E09B0"/>
    <w:rsid w:val="5A56B2A4"/>
    <w:rsid w:val="5A6A4308"/>
    <w:rsid w:val="5A78538F"/>
    <w:rsid w:val="5A7B0A82"/>
    <w:rsid w:val="5A953685"/>
    <w:rsid w:val="5AA13369"/>
    <w:rsid w:val="5AA44386"/>
    <w:rsid w:val="5AB05047"/>
    <w:rsid w:val="5ABA15AB"/>
    <w:rsid w:val="5AE26D53"/>
    <w:rsid w:val="5AE723C6"/>
    <w:rsid w:val="5AF01470"/>
    <w:rsid w:val="5AFC6067"/>
    <w:rsid w:val="5B0A6B1D"/>
    <w:rsid w:val="5B1834F7"/>
    <w:rsid w:val="5B4475D9"/>
    <w:rsid w:val="5B710F66"/>
    <w:rsid w:val="5BD743DE"/>
    <w:rsid w:val="5BF07EDE"/>
    <w:rsid w:val="5BF60D08"/>
    <w:rsid w:val="5C0C052C"/>
    <w:rsid w:val="5C237623"/>
    <w:rsid w:val="5C2631A6"/>
    <w:rsid w:val="5C276FB7"/>
    <w:rsid w:val="5C3B496D"/>
    <w:rsid w:val="5C4D4754"/>
    <w:rsid w:val="5C6F429B"/>
    <w:rsid w:val="5C700ABB"/>
    <w:rsid w:val="5C71038F"/>
    <w:rsid w:val="5C9C6B0B"/>
    <w:rsid w:val="5CA249EC"/>
    <w:rsid w:val="5CA73DB1"/>
    <w:rsid w:val="5CCE6402"/>
    <w:rsid w:val="5CDC6150"/>
    <w:rsid w:val="5CED7D9E"/>
    <w:rsid w:val="5CF43BCB"/>
    <w:rsid w:val="5D172CE4"/>
    <w:rsid w:val="5D1A517B"/>
    <w:rsid w:val="5D4476A0"/>
    <w:rsid w:val="5D605600"/>
    <w:rsid w:val="5DEA6951"/>
    <w:rsid w:val="5E0A647D"/>
    <w:rsid w:val="5E343D6A"/>
    <w:rsid w:val="5E436EA1"/>
    <w:rsid w:val="5E5E6812"/>
    <w:rsid w:val="5E6737F7"/>
    <w:rsid w:val="5E776851"/>
    <w:rsid w:val="5E8B1BDC"/>
    <w:rsid w:val="5E965F45"/>
    <w:rsid w:val="5EA06D09"/>
    <w:rsid w:val="5EA64A28"/>
    <w:rsid w:val="5EB729BA"/>
    <w:rsid w:val="5EF07C91"/>
    <w:rsid w:val="5F132FF0"/>
    <w:rsid w:val="5F1E0A25"/>
    <w:rsid w:val="5F335DCF"/>
    <w:rsid w:val="5F337B7D"/>
    <w:rsid w:val="5F45616F"/>
    <w:rsid w:val="5F48187B"/>
    <w:rsid w:val="5F4F0B4E"/>
    <w:rsid w:val="5F5572F2"/>
    <w:rsid w:val="5F637A1A"/>
    <w:rsid w:val="5F6CADD2"/>
    <w:rsid w:val="5F72767B"/>
    <w:rsid w:val="5FB24ACC"/>
    <w:rsid w:val="5FBA55DB"/>
    <w:rsid w:val="5FCC5339"/>
    <w:rsid w:val="5FD01870"/>
    <w:rsid w:val="5FD7C21D"/>
    <w:rsid w:val="5FE77D07"/>
    <w:rsid w:val="5FEFCB6A"/>
    <w:rsid w:val="600864C5"/>
    <w:rsid w:val="60204437"/>
    <w:rsid w:val="602045A6"/>
    <w:rsid w:val="60211516"/>
    <w:rsid w:val="60301004"/>
    <w:rsid w:val="60382473"/>
    <w:rsid w:val="603B26DF"/>
    <w:rsid w:val="603E67DA"/>
    <w:rsid w:val="605E3790"/>
    <w:rsid w:val="607E751E"/>
    <w:rsid w:val="609B1E7E"/>
    <w:rsid w:val="60E07891"/>
    <w:rsid w:val="60E45417"/>
    <w:rsid w:val="61161505"/>
    <w:rsid w:val="613227E3"/>
    <w:rsid w:val="61333E65"/>
    <w:rsid w:val="613876CD"/>
    <w:rsid w:val="614C5210"/>
    <w:rsid w:val="614F61F1"/>
    <w:rsid w:val="616A6E87"/>
    <w:rsid w:val="618049FD"/>
    <w:rsid w:val="618F2C11"/>
    <w:rsid w:val="61936344"/>
    <w:rsid w:val="619E1C26"/>
    <w:rsid w:val="61AB57EF"/>
    <w:rsid w:val="61E45BE1"/>
    <w:rsid w:val="61E52821"/>
    <w:rsid w:val="61F25ACE"/>
    <w:rsid w:val="61FC06FB"/>
    <w:rsid w:val="620E7C5F"/>
    <w:rsid w:val="62161BC7"/>
    <w:rsid w:val="623B56C7"/>
    <w:rsid w:val="62944DD7"/>
    <w:rsid w:val="62B24AC2"/>
    <w:rsid w:val="62E55633"/>
    <w:rsid w:val="6341070D"/>
    <w:rsid w:val="634C56B2"/>
    <w:rsid w:val="63666773"/>
    <w:rsid w:val="637901FC"/>
    <w:rsid w:val="638C3E3F"/>
    <w:rsid w:val="63972DD1"/>
    <w:rsid w:val="63A075C4"/>
    <w:rsid w:val="63A92582"/>
    <w:rsid w:val="63BB361B"/>
    <w:rsid w:val="642C6F17"/>
    <w:rsid w:val="64427DEE"/>
    <w:rsid w:val="64793B97"/>
    <w:rsid w:val="64826BAA"/>
    <w:rsid w:val="648D523F"/>
    <w:rsid w:val="64970BAF"/>
    <w:rsid w:val="64B475B4"/>
    <w:rsid w:val="64C64FF0"/>
    <w:rsid w:val="64C92E5D"/>
    <w:rsid w:val="64E421D7"/>
    <w:rsid w:val="65000502"/>
    <w:rsid w:val="652FD859"/>
    <w:rsid w:val="65474383"/>
    <w:rsid w:val="65662D40"/>
    <w:rsid w:val="658E3D60"/>
    <w:rsid w:val="65975ABE"/>
    <w:rsid w:val="65980C88"/>
    <w:rsid w:val="65E358B9"/>
    <w:rsid w:val="65FC3B45"/>
    <w:rsid w:val="665F12E2"/>
    <w:rsid w:val="6677416F"/>
    <w:rsid w:val="667E2026"/>
    <w:rsid w:val="66903B07"/>
    <w:rsid w:val="66DBAC17"/>
    <w:rsid w:val="66DE0D17"/>
    <w:rsid w:val="66EA3BE6"/>
    <w:rsid w:val="6721001D"/>
    <w:rsid w:val="67334BBF"/>
    <w:rsid w:val="67380427"/>
    <w:rsid w:val="6739419F"/>
    <w:rsid w:val="674768BC"/>
    <w:rsid w:val="678629DB"/>
    <w:rsid w:val="679259FF"/>
    <w:rsid w:val="67987117"/>
    <w:rsid w:val="679F2254"/>
    <w:rsid w:val="67C47140"/>
    <w:rsid w:val="67D23AAF"/>
    <w:rsid w:val="67D363A2"/>
    <w:rsid w:val="67FC60FE"/>
    <w:rsid w:val="680907F4"/>
    <w:rsid w:val="682E5386"/>
    <w:rsid w:val="68354427"/>
    <w:rsid w:val="686F41A0"/>
    <w:rsid w:val="687C5E53"/>
    <w:rsid w:val="687E455F"/>
    <w:rsid w:val="68B7625C"/>
    <w:rsid w:val="68CA77A4"/>
    <w:rsid w:val="68D12617"/>
    <w:rsid w:val="68FA02C2"/>
    <w:rsid w:val="69015C29"/>
    <w:rsid w:val="69117181"/>
    <w:rsid w:val="691B590A"/>
    <w:rsid w:val="69344C1E"/>
    <w:rsid w:val="6944742F"/>
    <w:rsid w:val="69613711"/>
    <w:rsid w:val="697F233D"/>
    <w:rsid w:val="69B018C1"/>
    <w:rsid w:val="69D912FF"/>
    <w:rsid w:val="69F85C4B"/>
    <w:rsid w:val="6A010FA4"/>
    <w:rsid w:val="6A2A7525"/>
    <w:rsid w:val="6A58163F"/>
    <w:rsid w:val="6A5F748C"/>
    <w:rsid w:val="6A7C062B"/>
    <w:rsid w:val="6AA84602"/>
    <w:rsid w:val="6ABC0824"/>
    <w:rsid w:val="6ABC136F"/>
    <w:rsid w:val="6AC61871"/>
    <w:rsid w:val="6AD56927"/>
    <w:rsid w:val="6AE85CC0"/>
    <w:rsid w:val="6AF61265"/>
    <w:rsid w:val="6B0A3E88"/>
    <w:rsid w:val="6B0B007F"/>
    <w:rsid w:val="6B0C6771"/>
    <w:rsid w:val="6B155A49"/>
    <w:rsid w:val="6B5F3D12"/>
    <w:rsid w:val="6B8568CE"/>
    <w:rsid w:val="6BB6110A"/>
    <w:rsid w:val="6BBA12EE"/>
    <w:rsid w:val="6BCA74BB"/>
    <w:rsid w:val="6BCF0C2E"/>
    <w:rsid w:val="6C134FBF"/>
    <w:rsid w:val="6C643B3D"/>
    <w:rsid w:val="6C7C7008"/>
    <w:rsid w:val="6C950778"/>
    <w:rsid w:val="6C9E0378"/>
    <w:rsid w:val="6CC369E5"/>
    <w:rsid w:val="6CC47E5A"/>
    <w:rsid w:val="6CC664D5"/>
    <w:rsid w:val="6CDE737B"/>
    <w:rsid w:val="6CFB2BAA"/>
    <w:rsid w:val="6D152C7A"/>
    <w:rsid w:val="6D3708FB"/>
    <w:rsid w:val="6D401DE3"/>
    <w:rsid w:val="6D5835D1"/>
    <w:rsid w:val="6D632B13"/>
    <w:rsid w:val="6D6533EB"/>
    <w:rsid w:val="6D8A305E"/>
    <w:rsid w:val="6D8C6AB1"/>
    <w:rsid w:val="6D9050BE"/>
    <w:rsid w:val="6DA7245C"/>
    <w:rsid w:val="6DAD1DA4"/>
    <w:rsid w:val="6DD469CF"/>
    <w:rsid w:val="6E1B2AED"/>
    <w:rsid w:val="6E3154F8"/>
    <w:rsid w:val="6E4A456A"/>
    <w:rsid w:val="6E5518BE"/>
    <w:rsid w:val="6E9835C9"/>
    <w:rsid w:val="6E9D0F19"/>
    <w:rsid w:val="6EA13F6B"/>
    <w:rsid w:val="6EA8098D"/>
    <w:rsid w:val="6EBD15FB"/>
    <w:rsid w:val="6EC604AB"/>
    <w:rsid w:val="6ECF62E4"/>
    <w:rsid w:val="6EE41D4A"/>
    <w:rsid w:val="6EEA46FD"/>
    <w:rsid w:val="6F101C89"/>
    <w:rsid w:val="6F152D9A"/>
    <w:rsid w:val="6F5A1052"/>
    <w:rsid w:val="6F600666"/>
    <w:rsid w:val="6F6179BD"/>
    <w:rsid w:val="6F6D294A"/>
    <w:rsid w:val="6F87083E"/>
    <w:rsid w:val="6F9B22A2"/>
    <w:rsid w:val="6FA526CF"/>
    <w:rsid w:val="6FA64098"/>
    <w:rsid w:val="6FB865A9"/>
    <w:rsid w:val="6FD107B4"/>
    <w:rsid w:val="6FE7D2BF"/>
    <w:rsid w:val="6FEB57BA"/>
    <w:rsid w:val="6FEF1DE7"/>
    <w:rsid w:val="6FFF7C0E"/>
    <w:rsid w:val="701F7152"/>
    <w:rsid w:val="7049709F"/>
    <w:rsid w:val="7073599E"/>
    <w:rsid w:val="70736AC3"/>
    <w:rsid w:val="707FDCA3"/>
    <w:rsid w:val="70865C9C"/>
    <w:rsid w:val="708A4D58"/>
    <w:rsid w:val="708F6BDE"/>
    <w:rsid w:val="70995FB2"/>
    <w:rsid w:val="70A42689"/>
    <w:rsid w:val="70AC0354"/>
    <w:rsid w:val="70B5505B"/>
    <w:rsid w:val="70B64CF9"/>
    <w:rsid w:val="71286E22"/>
    <w:rsid w:val="713E48B1"/>
    <w:rsid w:val="717D2A82"/>
    <w:rsid w:val="71A566B9"/>
    <w:rsid w:val="71DB20DB"/>
    <w:rsid w:val="71DC5974"/>
    <w:rsid w:val="72273572"/>
    <w:rsid w:val="722C6DDA"/>
    <w:rsid w:val="722D78DE"/>
    <w:rsid w:val="724508C1"/>
    <w:rsid w:val="725325B9"/>
    <w:rsid w:val="72583E79"/>
    <w:rsid w:val="725A654C"/>
    <w:rsid w:val="725A715D"/>
    <w:rsid w:val="72602357"/>
    <w:rsid w:val="72C45265"/>
    <w:rsid w:val="72D8187A"/>
    <w:rsid w:val="730506BB"/>
    <w:rsid w:val="73153BB6"/>
    <w:rsid w:val="731C29AB"/>
    <w:rsid w:val="734F61F6"/>
    <w:rsid w:val="735E0EFB"/>
    <w:rsid w:val="737547B1"/>
    <w:rsid w:val="737650A4"/>
    <w:rsid w:val="738549F4"/>
    <w:rsid w:val="73941CCC"/>
    <w:rsid w:val="73993FFB"/>
    <w:rsid w:val="739F0CFB"/>
    <w:rsid w:val="73AA26AC"/>
    <w:rsid w:val="73AE12EC"/>
    <w:rsid w:val="73AF3118"/>
    <w:rsid w:val="73B80474"/>
    <w:rsid w:val="73C117A4"/>
    <w:rsid w:val="74123DAE"/>
    <w:rsid w:val="74222C41"/>
    <w:rsid w:val="744213FF"/>
    <w:rsid w:val="744A1799"/>
    <w:rsid w:val="7491607B"/>
    <w:rsid w:val="74AB66DC"/>
    <w:rsid w:val="74DB6895"/>
    <w:rsid w:val="74DEE34C"/>
    <w:rsid w:val="74FB609D"/>
    <w:rsid w:val="74FE3011"/>
    <w:rsid w:val="751029E3"/>
    <w:rsid w:val="7512497F"/>
    <w:rsid w:val="755201BF"/>
    <w:rsid w:val="75532CC9"/>
    <w:rsid w:val="75581C94"/>
    <w:rsid w:val="756E5C8B"/>
    <w:rsid w:val="757F36C5"/>
    <w:rsid w:val="75AD15DA"/>
    <w:rsid w:val="75AE7D3B"/>
    <w:rsid w:val="75B01F58"/>
    <w:rsid w:val="75CE4A51"/>
    <w:rsid w:val="75D27C98"/>
    <w:rsid w:val="75FF5FFB"/>
    <w:rsid w:val="75FF7042"/>
    <w:rsid w:val="7603295D"/>
    <w:rsid w:val="760925E8"/>
    <w:rsid w:val="764566BC"/>
    <w:rsid w:val="76487F5B"/>
    <w:rsid w:val="76845500"/>
    <w:rsid w:val="76934ECB"/>
    <w:rsid w:val="7696746C"/>
    <w:rsid w:val="76BB697E"/>
    <w:rsid w:val="76BD3B8F"/>
    <w:rsid w:val="76F58E6F"/>
    <w:rsid w:val="76FD6F97"/>
    <w:rsid w:val="77076AA4"/>
    <w:rsid w:val="770C0F88"/>
    <w:rsid w:val="77100A78"/>
    <w:rsid w:val="77107490"/>
    <w:rsid w:val="774DFFB0"/>
    <w:rsid w:val="7754671E"/>
    <w:rsid w:val="777013DF"/>
    <w:rsid w:val="77705895"/>
    <w:rsid w:val="777233CA"/>
    <w:rsid w:val="777DC016"/>
    <w:rsid w:val="77AC474E"/>
    <w:rsid w:val="77B04C16"/>
    <w:rsid w:val="77BA4E88"/>
    <w:rsid w:val="77BEBB5C"/>
    <w:rsid w:val="77C11D73"/>
    <w:rsid w:val="77C61FA0"/>
    <w:rsid w:val="77D17A45"/>
    <w:rsid w:val="77D744B6"/>
    <w:rsid w:val="77E14875"/>
    <w:rsid w:val="77FE2FC7"/>
    <w:rsid w:val="78055809"/>
    <w:rsid w:val="78125870"/>
    <w:rsid w:val="78412EB3"/>
    <w:rsid w:val="78623556"/>
    <w:rsid w:val="786728C9"/>
    <w:rsid w:val="78743151"/>
    <w:rsid w:val="787D038F"/>
    <w:rsid w:val="78867F50"/>
    <w:rsid w:val="78A7540C"/>
    <w:rsid w:val="78C22246"/>
    <w:rsid w:val="78E82ECC"/>
    <w:rsid w:val="79061938"/>
    <w:rsid w:val="791B1604"/>
    <w:rsid w:val="797572B9"/>
    <w:rsid w:val="79907C4E"/>
    <w:rsid w:val="79A90D10"/>
    <w:rsid w:val="79B0209F"/>
    <w:rsid w:val="79BF480D"/>
    <w:rsid w:val="79CE4C1B"/>
    <w:rsid w:val="79CF5E40"/>
    <w:rsid w:val="79D51B05"/>
    <w:rsid w:val="7A0B7C1A"/>
    <w:rsid w:val="7A301431"/>
    <w:rsid w:val="7A344A7E"/>
    <w:rsid w:val="7A42505B"/>
    <w:rsid w:val="7A5F5873"/>
    <w:rsid w:val="7A6A1622"/>
    <w:rsid w:val="7A7815A3"/>
    <w:rsid w:val="7A886B78"/>
    <w:rsid w:val="7A9A3B0E"/>
    <w:rsid w:val="7AE936A4"/>
    <w:rsid w:val="7B226FCC"/>
    <w:rsid w:val="7B5178B1"/>
    <w:rsid w:val="7B651B6F"/>
    <w:rsid w:val="7B6E1C39"/>
    <w:rsid w:val="7B9D74A9"/>
    <w:rsid w:val="7BA615A2"/>
    <w:rsid w:val="7BB8348D"/>
    <w:rsid w:val="7BB95E55"/>
    <w:rsid w:val="7BBC2185"/>
    <w:rsid w:val="7BD41ECB"/>
    <w:rsid w:val="7BDE554C"/>
    <w:rsid w:val="7BF3D4AF"/>
    <w:rsid w:val="7BF546E1"/>
    <w:rsid w:val="7BFF585B"/>
    <w:rsid w:val="7C031C34"/>
    <w:rsid w:val="7C1161AD"/>
    <w:rsid w:val="7C1F175E"/>
    <w:rsid w:val="7C273F75"/>
    <w:rsid w:val="7C575A25"/>
    <w:rsid w:val="7C5D696C"/>
    <w:rsid w:val="7C7B014B"/>
    <w:rsid w:val="7C8017F9"/>
    <w:rsid w:val="7CDFA69B"/>
    <w:rsid w:val="7D0B0B62"/>
    <w:rsid w:val="7D0F17D2"/>
    <w:rsid w:val="7D1C27E0"/>
    <w:rsid w:val="7D337C34"/>
    <w:rsid w:val="7D40373A"/>
    <w:rsid w:val="7D4A0A5C"/>
    <w:rsid w:val="7D580E3B"/>
    <w:rsid w:val="7D731D61"/>
    <w:rsid w:val="7D7E6B8B"/>
    <w:rsid w:val="7DBFAEB0"/>
    <w:rsid w:val="7DC55265"/>
    <w:rsid w:val="7DCD02A0"/>
    <w:rsid w:val="7DEB3451"/>
    <w:rsid w:val="7DFF5852"/>
    <w:rsid w:val="7E3D5ECB"/>
    <w:rsid w:val="7E4E1E86"/>
    <w:rsid w:val="7E4E5CE5"/>
    <w:rsid w:val="7E502DF4"/>
    <w:rsid w:val="7E576F8D"/>
    <w:rsid w:val="7E5E6C4A"/>
    <w:rsid w:val="7E6B34F5"/>
    <w:rsid w:val="7E7A711F"/>
    <w:rsid w:val="7E7B1E6F"/>
    <w:rsid w:val="7E7B3A3F"/>
    <w:rsid w:val="7E85299E"/>
    <w:rsid w:val="7E8B30DA"/>
    <w:rsid w:val="7EAB72D9"/>
    <w:rsid w:val="7EAD236E"/>
    <w:rsid w:val="7EBF4B32"/>
    <w:rsid w:val="7EBFF13C"/>
    <w:rsid w:val="7EC91358"/>
    <w:rsid w:val="7ED7DDCE"/>
    <w:rsid w:val="7EED08B7"/>
    <w:rsid w:val="7F07550C"/>
    <w:rsid w:val="7F0D1D41"/>
    <w:rsid w:val="7F141322"/>
    <w:rsid w:val="7F1453DB"/>
    <w:rsid w:val="7F172C2E"/>
    <w:rsid w:val="7F1E1CCB"/>
    <w:rsid w:val="7F341DFF"/>
    <w:rsid w:val="7F351859"/>
    <w:rsid w:val="7F3F7BBC"/>
    <w:rsid w:val="7F6734C2"/>
    <w:rsid w:val="7F7E6041"/>
    <w:rsid w:val="7F7F6932"/>
    <w:rsid w:val="7F7FAF50"/>
    <w:rsid w:val="7F7FE64A"/>
    <w:rsid w:val="7F9B49B0"/>
    <w:rsid w:val="7FBC67F5"/>
    <w:rsid w:val="7FCDF314"/>
    <w:rsid w:val="7FD64829"/>
    <w:rsid w:val="7FDC3989"/>
    <w:rsid w:val="7FDD72CD"/>
    <w:rsid w:val="7FEA09E2"/>
    <w:rsid w:val="7FEC1957"/>
    <w:rsid w:val="7FF37189"/>
    <w:rsid w:val="7FF7507A"/>
    <w:rsid w:val="7FF754A0"/>
    <w:rsid w:val="8E57DCFE"/>
    <w:rsid w:val="8E97EEF0"/>
    <w:rsid w:val="9E7FB5C6"/>
    <w:rsid w:val="9FBD6E3A"/>
    <w:rsid w:val="A7A68469"/>
    <w:rsid w:val="ABB51C1B"/>
    <w:rsid w:val="AFB7940F"/>
    <w:rsid w:val="AFBBF067"/>
    <w:rsid w:val="B1FF1592"/>
    <w:rsid w:val="B5FF2DC1"/>
    <w:rsid w:val="B7D75C42"/>
    <w:rsid w:val="B9F775B7"/>
    <w:rsid w:val="BC936312"/>
    <w:rsid w:val="BD7BCB8D"/>
    <w:rsid w:val="BDFF1568"/>
    <w:rsid w:val="BDFFED4C"/>
    <w:rsid w:val="BEDF50DF"/>
    <w:rsid w:val="BF7F7A46"/>
    <w:rsid w:val="BFBA9DBF"/>
    <w:rsid w:val="BFD75EF3"/>
    <w:rsid w:val="BFD7F7BE"/>
    <w:rsid w:val="BFEA60F3"/>
    <w:rsid w:val="BFF4EE88"/>
    <w:rsid w:val="C6DEE6AD"/>
    <w:rsid w:val="C6DF4D2C"/>
    <w:rsid w:val="CDDF8D29"/>
    <w:rsid w:val="CDEF3FA2"/>
    <w:rsid w:val="CF7B6F3E"/>
    <w:rsid w:val="D2B781E6"/>
    <w:rsid w:val="D47FFD19"/>
    <w:rsid w:val="D6F3290F"/>
    <w:rsid w:val="D7EB514D"/>
    <w:rsid w:val="D7FE6EF6"/>
    <w:rsid w:val="DB2EA37C"/>
    <w:rsid w:val="DE3FAC83"/>
    <w:rsid w:val="DFB72C70"/>
    <w:rsid w:val="DFF3BE51"/>
    <w:rsid w:val="DFFA7DB7"/>
    <w:rsid w:val="E4EB1C6E"/>
    <w:rsid w:val="E75F9682"/>
    <w:rsid w:val="E7FB8D6D"/>
    <w:rsid w:val="EA0B12A9"/>
    <w:rsid w:val="EBF68805"/>
    <w:rsid w:val="EEE7E7A4"/>
    <w:rsid w:val="EF36CB4F"/>
    <w:rsid w:val="EF9F1AE8"/>
    <w:rsid w:val="EFA7BDF2"/>
    <w:rsid w:val="EFF60C47"/>
    <w:rsid w:val="F1F511E9"/>
    <w:rsid w:val="F4F5EFC9"/>
    <w:rsid w:val="F5A46D7A"/>
    <w:rsid w:val="F68F70A5"/>
    <w:rsid w:val="F75D9AA6"/>
    <w:rsid w:val="F79E0AE6"/>
    <w:rsid w:val="F7BBF211"/>
    <w:rsid w:val="F7DEF1EE"/>
    <w:rsid w:val="F7EBEF86"/>
    <w:rsid w:val="F7F38D57"/>
    <w:rsid w:val="F7FF55DE"/>
    <w:rsid w:val="F98567CE"/>
    <w:rsid w:val="F9BEFF0E"/>
    <w:rsid w:val="FADDB4F8"/>
    <w:rsid w:val="FAE9CD5D"/>
    <w:rsid w:val="FB5F9FE3"/>
    <w:rsid w:val="FB692196"/>
    <w:rsid w:val="FD7DC39C"/>
    <w:rsid w:val="FDAD4A42"/>
    <w:rsid w:val="FDB488BE"/>
    <w:rsid w:val="FDCE86CD"/>
    <w:rsid w:val="FDEC5532"/>
    <w:rsid w:val="FDEE4AAB"/>
    <w:rsid w:val="FDF48445"/>
    <w:rsid w:val="FDFDD994"/>
    <w:rsid w:val="FDFE196F"/>
    <w:rsid w:val="FDFFA531"/>
    <w:rsid w:val="FE7E9E63"/>
    <w:rsid w:val="FEBDE989"/>
    <w:rsid w:val="FEBF0BE3"/>
    <w:rsid w:val="FEF5BAD6"/>
    <w:rsid w:val="FF572B2E"/>
    <w:rsid w:val="FF7B3FA7"/>
    <w:rsid w:val="FFCF1407"/>
    <w:rsid w:val="FFDF63B8"/>
    <w:rsid w:val="FFE70018"/>
    <w:rsid w:val="FFEF422E"/>
    <w:rsid w:val="FFEF43B7"/>
    <w:rsid w:val="FFF82716"/>
    <w:rsid w:val="FFFAA7B2"/>
    <w:rsid w:val="FFFDC16F"/>
    <w:rsid w:val="FFFE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napToGrid w:val="0"/>
      <w:spacing w:line="560" w:lineRule="exact"/>
      <w:ind w:firstLine="200" w:firstLineChars="200"/>
      <w:jc w:val="both"/>
    </w:pPr>
    <w:rPr>
      <w:rFonts w:ascii="仿宋" w:hAnsi="仿宋" w:cs="仿宋"/>
    </w:rPr>
  </w:style>
  <w:style w:type="paragraph" w:styleId="3">
    <w:name w:val="Body Text"/>
    <w:basedOn w:val="1"/>
    <w:next w:val="4"/>
    <w:unhideWhenUsed/>
    <w:qFormat/>
    <w:uiPriority w:val="0"/>
    <w:pPr>
      <w:spacing w:after="120"/>
    </w:pPr>
    <w:rPr>
      <w:sz w:val="24"/>
    </w:rPr>
  </w:style>
  <w:style w:type="paragraph" w:styleId="4">
    <w:name w:val="Body Text 2"/>
    <w:basedOn w:val="1"/>
    <w:qFormat/>
    <w:uiPriority w:val="99"/>
    <w:pPr>
      <w:widowControl w:val="0"/>
      <w:spacing w:before="240"/>
      <w:jc w:val="both"/>
    </w:pPr>
    <w:rPr>
      <w:rFonts w:ascii="Calibri" w:hAnsi="Calibri" w:eastAsia="宋体" w:cs="Times New Roman"/>
      <w:color w:val="FF0000"/>
      <w:kern w:val="2"/>
      <w:sz w:val="21"/>
      <w:szCs w:val="24"/>
      <w:lang w:val="en-US" w:eastAsia="zh-CN" w:bidi="ar-SA"/>
    </w:rPr>
  </w:style>
  <w:style w:type="paragraph" w:styleId="7">
    <w:name w:val="Normal Indent"/>
    <w:basedOn w:val="1"/>
    <w:qFormat/>
    <w:uiPriority w:val="0"/>
    <w:pPr>
      <w:ind w:firstLine="420" w:firstLineChars="200"/>
    </w:pPr>
    <w:rPr>
      <w:szCs w:val="20"/>
    </w:rPr>
  </w:style>
  <w:style w:type="paragraph" w:styleId="8">
    <w:name w:val="annotation text"/>
    <w:basedOn w:val="1"/>
    <w:unhideWhenUsed/>
    <w:qFormat/>
    <w:uiPriority w:val="0"/>
    <w:pPr>
      <w:jc w:val="left"/>
    </w:pPr>
    <w:rPr>
      <w:kern w:val="0"/>
      <w:sz w:val="20"/>
    </w:rPr>
  </w:style>
  <w:style w:type="paragraph" w:styleId="9">
    <w:name w:val="Body Text Indent"/>
    <w:basedOn w:val="1"/>
    <w:unhideWhenUsed/>
    <w:qFormat/>
    <w:uiPriority w:val="99"/>
    <w:pPr>
      <w:spacing w:after="120"/>
      <w:ind w:left="420" w:leftChars="200"/>
    </w:pPr>
    <w:rPr>
      <w:kern w:val="0"/>
      <w:sz w:val="20"/>
      <w:szCs w:val="20"/>
    </w:r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toc 2"/>
    <w:basedOn w:val="1"/>
    <w:next w:val="1"/>
    <w:qFormat/>
    <w:uiPriority w:val="0"/>
    <w:pPr>
      <w:spacing w:line="600" w:lineRule="exact"/>
      <w:ind w:firstLine="880" w:firstLineChars="200"/>
    </w:pPr>
    <w:rPr>
      <w:rFonts w:eastAsia="仿宋_GB2312"/>
      <w:sz w:val="3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character" w:styleId="20">
    <w:name w:val="Strong"/>
    <w:basedOn w:val="19"/>
    <w:qFormat/>
    <w:uiPriority w:val="0"/>
    <w:rPr>
      <w:b/>
    </w:rPr>
  </w:style>
  <w:style w:type="character" w:styleId="21">
    <w:name w:val="page number"/>
    <w:qFormat/>
    <w:uiPriority w:val="0"/>
  </w:style>
  <w:style w:type="character" w:styleId="22">
    <w:name w:val="FollowedHyperlink"/>
    <w:basedOn w:val="19"/>
    <w:qFormat/>
    <w:uiPriority w:val="0"/>
    <w:rPr>
      <w:color w:val="800080"/>
      <w:u w:val="none"/>
    </w:rPr>
  </w:style>
  <w:style w:type="character" w:styleId="23">
    <w:name w:val="Hyperlink"/>
    <w:basedOn w:val="19"/>
    <w:qFormat/>
    <w:uiPriority w:val="0"/>
    <w:rPr>
      <w:color w:val="0000FF"/>
      <w:u w:val="none"/>
    </w:rPr>
  </w:style>
  <w:style w:type="paragraph" w:styleId="2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5">
    <w:name w:val="正文格式"/>
    <w:basedOn w:val="9"/>
    <w:qFormat/>
    <w:uiPriority w:val="99"/>
    <w:pPr>
      <w:spacing w:after="0" w:line="360" w:lineRule="auto"/>
      <w:ind w:left="0" w:leftChars="0" w:firstLine="600"/>
    </w:pPr>
    <w:rPr>
      <w:rFonts w:eastAsia="仿宋_GB2312"/>
      <w:sz w:val="30"/>
      <w:szCs w:val="30"/>
    </w:rPr>
  </w:style>
  <w:style w:type="paragraph" w:customStyle="1" w:styleId="26">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7">
    <w:name w:val="List Paragraph"/>
    <w:basedOn w:val="1"/>
    <w:qFormat/>
    <w:uiPriority w:val="34"/>
    <w:pPr>
      <w:ind w:firstLine="420" w:firstLineChars="200"/>
    </w:pPr>
  </w:style>
  <w:style w:type="paragraph" w:customStyle="1" w:styleId="28">
    <w:name w:val="（）列表模式"/>
    <w:basedOn w:val="1"/>
    <w:qFormat/>
    <w:uiPriority w:val="0"/>
    <w:pPr>
      <w:tabs>
        <w:tab w:val="left" w:pos="960"/>
        <w:tab w:val="left" w:pos="1470"/>
      </w:tabs>
      <w:spacing w:line="360" w:lineRule="auto"/>
      <w:ind w:left="1470" w:hanging="420"/>
    </w:pPr>
    <w:rPr>
      <w:sz w:val="24"/>
      <w:szCs w:val="20"/>
    </w:rPr>
  </w:style>
  <w:style w:type="paragraph" w:customStyle="1" w:styleId="29">
    <w:name w:val="Table Paragraph"/>
    <w:basedOn w:val="1"/>
    <w:qFormat/>
    <w:uiPriority w:val="0"/>
    <w:pPr>
      <w:autoSpaceDE w:val="0"/>
      <w:autoSpaceDN w:val="0"/>
      <w:jc w:val="left"/>
    </w:pPr>
    <w:rPr>
      <w:rFonts w:ascii="宋体" w:hAnsi="宋体" w:cs="宋体"/>
      <w:kern w:val="0"/>
      <w:sz w:val="22"/>
      <w:szCs w:val="22"/>
    </w:rPr>
  </w:style>
  <w:style w:type="paragraph" w:customStyle="1" w:styleId="30">
    <w:name w:val="x-scop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1">
    <w:name w:val="qowt-font5-gb2312"/>
    <w:qFormat/>
    <w:uiPriority w:val="0"/>
  </w:style>
  <w:style w:type="paragraph" w:customStyle="1" w:styleId="32">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33">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4">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40066</Words>
  <Characters>42721</Characters>
  <Lines>0</Lines>
  <Paragraphs>0</Paragraphs>
  <TotalTime>30</TotalTime>
  <ScaleCrop>false</ScaleCrop>
  <LinksUpToDate>false</LinksUpToDate>
  <CharactersWithSpaces>44666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2023-11-18T12:59:00Z</dcterms:created>
  <dc:creator>姬崽</dc:creator>
  <cp:lastModifiedBy>陈可欣</cp:lastModifiedBy>
  <dcterms:modified xsi:type="dcterms:W3CDTF">2024-10-16T07:26:59Z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C5B2B10C09E24E1499CAE7B23C272841_13</vt:lpwstr>
  </property>
</Properties>
</file>