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560" w:lineRule="exact"/>
        <w:jc w:val="center"/>
        <w:rPr>
          <w:rFonts w:ascii="方正小标宋简体" w:hAnsi="黑体" w:eastAsia="方正小标宋简体"/>
          <w:b/>
          <w:bCs/>
          <w:sz w:val="36"/>
          <w:szCs w:val="32"/>
        </w:rPr>
      </w:pPr>
      <w:bookmarkStart w:id="1" w:name="_GoBack"/>
      <w:bookmarkEnd w:id="1"/>
      <w:r>
        <w:rPr>
          <w:rFonts w:hint="eastAsia" w:ascii="方正小标宋简体" w:hAnsi="黑体" w:eastAsia="方正小标宋简体"/>
          <w:b/>
          <w:bCs/>
          <w:sz w:val="36"/>
          <w:szCs w:val="32"/>
        </w:rPr>
        <w:t>《深圳市新能源汽车充电设施收费明码标价</w:t>
      </w:r>
    </w:p>
    <w:p>
      <w:pPr>
        <w:spacing w:before="0" w:beforeLines="0" w:after="0" w:afterLines="0" w:line="560" w:lineRule="exact"/>
        <w:jc w:val="center"/>
        <w:rPr>
          <w:rFonts w:ascii="方正小标宋简体" w:hAnsi="黑体" w:eastAsia="方正小标宋简体"/>
          <w:b/>
          <w:bCs/>
          <w:sz w:val="36"/>
          <w:szCs w:val="32"/>
        </w:rPr>
      </w:pPr>
      <w:r>
        <w:rPr>
          <w:rFonts w:ascii="方正小标宋简体" w:hAnsi="黑体" w:eastAsia="方正小标宋简体"/>
          <w:b/>
          <w:bCs/>
          <w:sz w:val="36"/>
          <w:szCs w:val="32"/>
          <w:lang w:val="en"/>
        </w:rPr>
        <w:t>合规指引</w:t>
      </w:r>
      <w:r>
        <w:rPr>
          <w:rFonts w:hint="eastAsia" w:ascii="方正小标宋简体" w:hAnsi="黑体" w:eastAsia="方正小标宋简体"/>
          <w:b/>
          <w:bCs/>
          <w:sz w:val="36"/>
          <w:szCs w:val="32"/>
        </w:rPr>
        <w:t>（</w:t>
      </w:r>
      <w:r>
        <w:rPr>
          <w:rFonts w:hint="eastAsia" w:ascii="方正小标宋简体" w:hAnsi="黑体" w:eastAsia="方正小标宋简体"/>
          <w:b/>
          <w:bCs/>
          <w:sz w:val="36"/>
          <w:szCs w:val="32"/>
          <w:lang w:eastAsia="zh-CN"/>
        </w:rPr>
        <w:t>公开</w:t>
      </w:r>
      <w:r>
        <w:rPr>
          <w:rFonts w:hint="eastAsia" w:ascii="方正小标宋简体" w:hAnsi="黑体" w:eastAsia="方正小标宋简体"/>
          <w:b/>
          <w:bCs/>
          <w:sz w:val="36"/>
          <w:szCs w:val="32"/>
        </w:rPr>
        <w:t>征求意见稿）》起草说明</w:t>
      </w:r>
    </w:p>
    <w:p>
      <w:pPr>
        <w:spacing w:before="0" w:beforeLines="0" w:after="0" w:afterLines="0" w:line="560" w:lineRule="exact"/>
        <w:rPr>
          <w:rFonts w:ascii="黑体" w:hAnsi="黑体" w:eastAsia="黑体"/>
          <w:b/>
          <w:bCs/>
          <w:sz w:val="32"/>
          <w:szCs w:val="32"/>
        </w:rPr>
      </w:pPr>
    </w:p>
    <w:p>
      <w:pPr>
        <w:spacing w:before="0" w:beforeLines="0" w:after="0" w:afterLines="0" w:line="560" w:lineRule="exact"/>
        <w:ind w:firstLine="642" w:firstLineChars="200"/>
        <w:rPr>
          <w:rFonts w:ascii="黑体" w:hAnsi="黑体" w:eastAsia="黑体"/>
          <w:b/>
          <w:bCs/>
          <w:sz w:val="32"/>
          <w:szCs w:val="32"/>
        </w:rPr>
      </w:pPr>
      <w:r>
        <w:rPr>
          <w:rFonts w:hint="eastAsia" w:ascii="黑体" w:hAnsi="黑体" w:eastAsia="黑体"/>
          <w:b/>
          <w:bCs/>
          <w:sz w:val="32"/>
          <w:szCs w:val="32"/>
        </w:rPr>
        <w:t>一、制定背景和必要性</w:t>
      </w:r>
    </w:p>
    <w:p>
      <w:pPr>
        <w:spacing w:before="0" w:beforeLines="0" w:after="0" w:afterLines="0" w:line="560" w:lineRule="exact"/>
        <w:ind w:firstLine="640" w:firstLineChars="200"/>
        <w:rPr>
          <w:rFonts w:ascii="黑体" w:hAnsi="黑体" w:eastAsia="黑体"/>
          <w:b/>
          <w:bCs/>
          <w:sz w:val="32"/>
          <w:szCs w:val="32"/>
        </w:rPr>
      </w:pPr>
      <w:r>
        <w:rPr>
          <w:rFonts w:hint="eastAsia" w:ascii="仿宋_GB2312" w:hAnsi="仿宋_GB2312" w:eastAsia="仿宋_GB2312"/>
          <w:sz w:val="32"/>
          <w:szCs w:val="32"/>
        </w:rPr>
        <w:t>随着新能源汽车的快速发展，充电设施的建设和运营成为新能源汽车普及的重要基础设施之一。然而，市场上存在的价格不透明、不规范等问题，严重影响了消费者的权益保护和市场秩序的稳定。为了进一步规范新能源汽车充电设施的经营行为，促进公平竞争和保护消费者权益，制定了《深圳市市场监督管理局新能源汽车充电设施明码标价合规指引（征求意见稿）》（以下简称</w:t>
      </w:r>
      <w:r>
        <w:rPr>
          <w:rFonts w:ascii="仿宋_GB2312" w:hAnsi="仿宋_GB2312" w:eastAsia="仿宋_GB2312"/>
          <w:sz w:val="32"/>
          <w:szCs w:val="32"/>
          <w:lang w:val="en"/>
        </w:rPr>
        <w:t>《指引》</w:t>
      </w:r>
      <w:r>
        <w:rPr>
          <w:rFonts w:hint="eastAsia" w:ascii="仿宋_GB2312" w:hAnsi="仿宋_GB2312" w:eastAsia="仿宋_GB2312"/>
          <w:sz w:val="32"/>
          <w:szCs w:val="32"/>
        </w:rPr>
        <w:t>）。</w:t>
      </w:r>
    </w:p>
    <w:p>
      <w:pPr>
        <w:spacing w:before="0" w:beforeLines="0" w:after="0" w:afterLines="0" w:line="560" w:lineRule="exact"/>
        <w:ind w:firstLine="642" w:firstLineChars="200"/>
        <w:rPr>
          <w:rFonts w:ascii="黑体" w:hAnsi="黑体" w:eastAsia="黑体"/>
          <w:b/>
          <w:bCs/>
          <w:sz w:val="32"/>
          <w:szCs w:val="32"/>
        </w:rPr>
      </w:pPr>
      <w:r>
        <w:rPr>
          <w:rFonts w:hint="eastAsia" w:ascii="黑体" w:hAnsi="黑体" w:eastAsia="黑体"/>
          <w:b/>
          <w:bCs/>
          <w:sz w:val="32"/>
          <w:szCs w:val="32"/>
        </w:rPr>
        <w:t>二、制定目的</w:t>
      </w:r>
    </w:p>
    <w:p>
      <w:pPr>
        <w:spacing w:before="0" w:beforeLines="0" w:after="0" w:afterLines="0" w:line="560" w:lineRule="exact"/>
        <w:ind w:firstLine="640" w:firstLineChars="200"/>
        <w:rPr>
          <w:rFonts w:ascii="黑体" w:hAnsi="黑体" w:eastAsia="黑体"/>
          <w:b/>
          <w:bCs/>
          <w:sz w:val="32"/>
          <w:szCs w:val="32"/>
        </w:rPr>
      </w:pPr>
      <w:r>
        <w:rPr>
          <w:rFonts w:ascii="仿宋_GB2312" w:hAnsi="仿宋_GB2312" w:eastAsia="仿宋_GB2312"/>
          <w:sz w:val="32"/>
          <w:szCs w:val="32"/>
          <w:lang w:val="en"/>
        </w:rPr>
        <w:t>《指引》</w:t>
      </w:r>
      <w:r>
        <w:rPr>
          <w:rFonts w:hint="eastAsia" w:ascii="仿宋_GB2312" w:hAnsi="仿宋_GB2312" w:eastAsia="仿宋_GB2312"/>
          <w:sz w:val="32"/>
          <w:szCs w:val="32"/>
        </w:rPr>
        <w:t>旨在通过规范新能源汽车充电设施经营者的明码标价行为，建立公开、公正、透明的市场价格秩序，保护消费者和经营者的合法权益，促进深圳市新能源汽车充电行业的健康有序发展。</w:t>
      </w:r>
    </w:p>
    <w:p>
      <w:pPr>
        <w:spacing w:before="0" w:beforeLines="0" w:after="0" w:afterLines="0" w:line="560" w:lineRule="exact"/>
        <w:ind w:firstLine="642" w:firstLineChars="200"/>
        <w:rPr>
          <w:rFonts w:ascii="黑体" w:hAnsi="黑体" w:eastAsia="黑体"/>
          <w:b/>
          <w:bCs/>
          <w:sz w:val="32"/>
          <w:szCs w:val="32"/>
        </w:rPr>
      </w:pPr>
      <w:r>
        <w:rPr>
          <w:rFonts w:hint="eastAsia" w:ascii="黑体" w:hAnsi="黑体" w:eastAsia="黑体"/>
          <w:b/>
          <w:bCs/>
          <w:sz w:val="32"/>
          <w:szCs w:val="32"/>
        </w:rPr>
        <w:t>三、制定依据</w:t>
      </w:r>
    </w:p>
    <w:p>
      <w:pPr>
        <w:spacing w:before="0" w:beforeLines="0" w:after="0" w:afterLines="0" w:line="560" w:lineRule="exact"/>
        <w:ind w:firstLine="640" w:firstLineChars="200"/>
        <w:rPr>
          <w:rFonts w:ascii="黑体" w:hAnsi="黑体" w:eastAsia="黑体"/>
          <w:b/>
          <w:bCs/>
          <w:sz w:val="32"/>
          <w:szCs w:val="32"/>
        </w:rPr>
      </w:pPr>
      <w:r>
        <w:rPr>
          <w:rFonts w:hint="eastAsia" w:ascii="仿宋_GB2312" w:hAnsi="仿宋_GB2312" w:eastAsia="仿宋_GB2312"/>
          <w:sz w:val="32"/>
          <w:szCs w:val="32"/>
        </w:rPr>
        <w:t>本</w:t>
      </w:r>
      <w:r>
        <w:rPr>
          <w:rFonts w:ascii="仿宋_GB2312" w:hAnsi="仿宋_GB2312" w:eastAsia="仿宋_GB2312"/>
          <w:sz w:val="32"/>
          <w:szCs w:val="32"/>
          <w:lang w:val="en"/>
        </w:rPr>
        <w:t>《指引》</w:t>
      </w:r>
      <w:r>
        <w:rPr>
          <w:rFonts w:hint="eastAsia" w:ascii="仿宋_GB2312" w:hAnsi="仿宋_GB2312" w:eastAsia="仿宋_GB2312"/>
          <w:sz w:val="32"/>
          <w:szCs w:val="32"/>
        </w:rPr>
        <w:t>依据《中华人民共和国价格法》、《明码标价和禁止价格欺诈规定》和《价格违法行为行政处罚规定》等相关法律法规，并结合深圳经济特区的实际情况进行制定。</w:t>
      </w:r>
    </w:p>
    <w:p>
      <w:pPr>
        <w:spacing w:before="0" w:beforeLines="0" w:after="0" w:afterLines="0" w:line="560" w:lineRule="exact"/>
        <w:ind w:firstLine="642" w:firstLineChars="200"/>
        <w:rPr>
          <w:rFonts w:ascii="黑体" w:hAnsi="黑体" w:eastAsia="黑体"/>
          <w:b/>
          <w:bCs/>
          <w:sz w:val="32"/>
          <w:szCs w:val="32"/>
        </w:rPr>
      </w:pPr>
      <w:r>
        <w:rPr>
          <w:rFonts w:hint="eastAsia" w:ascii="黑体" w:hAnsi="黑体" w:eastAsia="黑体"/>
          <w:b/>
          <w:bCs/>
          <w:sz w:val="32"/>
          <w:szCs w:val="32"/>
        </w:rPr>
        <w:t>四、适用范围</w:t>
      </w:r>
    </w:p>
    <w:p>
      <w:pPr>
        <w:spacing w:before="0" w:beforeLines="0" w:after="0" w:afterLines="0" w:line="560" w:lineRule="exact"/>
        <w:ind w:firstLine="640" w:firstLineChars="200"/>
        <w:rPr>
          <w:rFonts w:ascii="黑体" w:hAnsi="黑体" w:eastAsia="黑体"/>
          <w:b/>
          <w:bCs/>
          <w:sz w:val="32"/>
          <w:szCs w:val="32"/>
        </w:rPr>
      </w:pPr>
      <w:r>
        <w:rPr>
          <w:rFonts w:hint="eastAsia" w:ascii="仿宋_GB2312" w:hAnsi="仿宋_GB2312" w:eastAsia="仿宋_GB2312"/>
          <w:sz w:val="32"/>
          <w:szCs w:val="32"/>
        </w:rPr>
        <w:t>本</w:t>
      </w:r>
      <w:r>
        <w:rPr>
          <w:rFonts w:ascii="仿宋_GB2312" w:hAnsi="仿宋_GB2312" w:eastAsia="仿宋_GB2312"/>
          <w:sz w:val="32"/>
          <w:szCs w:val="32"/>
          <w:lang w:val="en"/>
        </w:rPr>
        <w:t>《指引》</w:t>
      </w:r>
      <w:r>
        <w:rPr>
          <w:rFonts w:hint="eastAsia" w:ascii="仿宋_GB2312" w:hAnsi="仿宋_GB2312" w:eastAsia="仿宋_GB2312"/>
          <w:sz w:val="32"/>
          <w:szCs w:val="32"/>
        </w:rPr>
        <w:t>适用于所有在深圳市范围内从事经营性新能源汽车充电服务的设施经营者，包括新能源汽车充电设施运营企业、个体经营者、第三方充电服务平台运营企业等。</w:t>
      </w:r>
    </w:p>
    <w:p>
      <w:pPr>
        <w:spacing w:before="0" w:beforeLines="0" w:after="0" w:afterLines="0" w:line="560" w:lineRule="exact"/>
        <w:ind w:firstLine="642" w:firstLineChars="200"/>
        <w:rPr>
          <w:rFonts w:ascii="黑体" w:hAnsi="黑体" w:eastAsia="黑体"/>
          <w:b/>
          <w:bCs/>
          <w:sz w:val="32"/>
          <w:szCs w:val="32"/>
        </w:rPr>
      </w:pPr>
      <w:r>
        <w:rPr>
          <w:rFonts w:hint="eastAsia" w:ascii="黑体" w:hAnsi="黑体" w:eastAsia="黑体"/>
          <w:b/>
          <w:bCs/>
          <w:sz w:val="32"/>
          <w:szCs w:val="32"/>
        </w:rPr>
        <w:t>五、主要内容</w:t>
      </w:r>
    </w:p>
    <w:p>
      <w:pPr>
        <w:spacing w:before="0" w:beforeLines="0" w:after="0" w:afterLines="0" w:line="560" w:lineRule="exact"/>
        <w:ind w:firstLine="640" w:firstLineChars="200"/>
        <w:rPr>
          <w:rFonts w:ascii="仿宋_GB2312" w:hAnsi="仿宋_GB2312" w:eastAsia="仿宋_GB2312"/>
          <w:sz w:val="32"/>
          <w:szCs w:val="32"/>
        </w:rPr>
      </w:pPr>
      <w:r>
        <w:rPr>
          <w:rFonts w:ascii="仿宋_GB2312" w:hAnsi="仿宋_GB2312" w:eastAsia="仿宋_GB2312"/>
          <w:sz w:val="32"/>
          <w:szCs w:val="32"/>
          <w:lang w:val="en"/>
        </w:rPr>
        <w:t>《指引》</w:t>
      </w:r>
      <w:r>
        <w:rPr>
          <w:rFonts w:hint="eastAsia" w:ascii="仿宋_GB2312" w:hAnsi="仿宋_GB2312" w:eastAsia="仿宋_GB2312"/>
          <w:sz w:val="32"/>
          <w:szCs w:val="32"/>
        </w:rPr>
        <w:t>共分为五章，主要内容如下：</w:t>
      </w:r>
    </w:p>
    <w:p>
      <w:pPr>
        <w:spacing w:before="0" w:beforeLines="0" w:after="0" w:afterLines="0" w:line="560" w:lineRule="exact"/>
        <w:ind w:firstLine="640" w:firstLineChars="200"/>
        <w:rPr>
          <w:rFonts w:ascii="楷体" w:hAnsi="楷体" w:eastAsia="楷体"/>
          <w:sz w:val="32"/>
          <w:szCs w:val="32"/>
        </w:rPr>
      </w:pPr>
      <w:r>
        <w:rPr>
          <w:rFonts w:hint="eastAsia" w:ascii="楷体" w:hAnsi="楷体" w:eastAsia="楷体"/>
          <w:sz w:val="32"/>
          <w:szCs w:val="32"/>
        </w:rPr>
        <w:t>（一）总则</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第一章明确了本</w:t>
      </w:r>
      <w:r>
        <w:rPr>
          <w:rFonts w:ascii="仿宋_GB2312" w:hAnsi="仿宋_GB2312" w:eastAsia="仿宋_GB2312"/>
          <w:sz w:val="32"/>
          <w:szCs w:val="32"/>
          <w:lang w:val="en"/>
        </w:rPr>
        <w:t>《指引》</w:t>
      </w:r>
      <w:r>
        <w:rPr>
          <w:rFonts w:hint="eastAsia" w:ascii="仿宋_GB2312" w:hAnsi="仿宋_GB2312" w:eastAsia="仿宋_GB2312"/>
          <w:sz w:val="32"/>
          <w:szCs w:val="32"/>
        </w:rPr>
        <w:t>的制定目的、适用范围及主管部门。第二条确定本</w:t>
      </w:r>
      <w:r>
        <w:rPr>
          <w:rFonts w:ascii="仿宋_GB2312" w:hAnsi="仿宋_GB2312" w:eastAsia="仿宋_GB2312"/>
          <w:sz w:val="32"/>
          <w:szCs w:val="32"/>
          <w:lang w:val="en"/>
        </w:rPr>
        <w:t>《指引》</w:t>
      </w:r>
      <w:r>
        <w:rPr>
          <w:rFonts w:hint="eastAsia" w:ascii="仿宋_GB2312" w:hAnsi="仿宋_GB2312" w:eastAsia="仿宋_GB2312"/>
          <w:sz w:val="32"/>
          <w:szCs w:val="32"/>
        </w:rPr>
        <w:t>适用于在深圳市范围内从事经营性新能源汽车充电服务的经营者，包括但不限于新能源汽车充电设施运营企业、个体经营者和第三方充电服务平台运营企业。此条文明确了</w:t>
      </w:r>
      <w:r>
        <w:rPr>
          <w:rFonts w:ascii="仿宋_GB2312" w:hAnsi="仿宋_GB2312" w:eastAsia="仿宋_GB2312"/>
          <w:sz w:val="32"/>
          <w:szCs w:val="32"/>
          <w:lang w:val="en"/>
        </w:rPr>
        <w:t>《指引》</w:t>
      </w:r>
      <w:r>
        <w:rPr>
          <w:rFonts w:hint="eastAsia" w:ascii="仿宋_GB2312" w:hAnsi="仿宋_GB2312" w:eastAsia="仿宋_GB2312"/>
          <w:sz w:val="32"/>
          <w:szCs w:val="32"/>
        </w:rPr>
        <w:t>的适用对象和地理范围，特别是将第三方充电服务平台纳入了本</w:t>
      </w:r>
      <w:r>
        <w:rPr>
          <w:rFonts w:ascii="仿宋_GB2312" w:hAnsi="仿宋_GB2312" w:eastAsia="仿宋_GB2312"/>
          <w:sz w:val="32"/>
          <w:szCs w:val="32"/>
          <w:lang w:val="en"/>
        </w:rPr>
        <w:t>《指引》</w:t>
      </w:r>
      <w:r>
        <w:rPr>
          <w:rFonts w:hint="eastAsia" w:ascii="仿宋_GB2312" w:hAnsi="仿宋_GB2312" w:eastAsia="仿宋_GB2312"/>
          <w:sz w:val="32"/>
          <w:szCs w:val="32"/>
        </w:rPr>
        <w:t>的规管范围，确保了所有在深圳市经营的相关设施和服务提供商都受到同样的规范和监督。</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第三条主管部门条款则规定了本</w:t>
      </w:r>
      <w:r>
        <w:rPr>
          <w:rFonts w:ascii="仿宋_GB2312" w:hAnsi="仿宋_GB2312" w:eastAsia="仿宋_GB2312"/>
          <w:sz w:val="32"/>
          <w:szCs w:val="32"/>
          <w:lang w:val="en"/>
        </w:rPr>
        <w:t>《指引》</w:t>
      </w:r>
      <w:r>
        <w:rPr>
          <w:rFonts w:hint="eastAsia" w:ascii="仿宋_GB2312" w:hAnsi="仿宋_GB2312" w:eastAsia="仿宋_GB2312"/>
          <w:sz w:val="32"/>
          <w:szCs w:val="32"/>
        </w:rPr>
        <w:t>的主管部门是市场监督管理部门，以明确监管责任主体</w:t>
      </w:r>
      <w:r>
        <w:rPr>
          <w:rFonts w:ascii="仿宋_GB2312" w:hAnsi="仿宋_GB2312" w:eastAsia="仿宋_GB2312"/>
          <w:sz w:val="32"/>
          <w:szCs w:val="32"/>
        </w:rPr>
        <w:t>。</w:t>
      </w:r>
    </w:p>
    <w:p>
      <w:pPr>
        <w:spacing w:before="0" w:beforeLines="0" w:after="0" w:afterLines="0" w:line="560" w:lineRule="exact"/>
        <w:ind w:firstLine="640" w:firstLineChars="200"/>
        <w:rPr>
          <w:rFonts w:ascii="楷体" w:hAnsi="楷体" w:eastAsia="楷体"/>
          <w:sz w:val="32"/>
          <w:szCs w:val="32"/>
        </w:rPr>
      </w:pPr>
      <w:r>
        <w:rPr>
          <w:rFonts w:hint="eastAsia" w:ascii="楷体" w:hAnsi="楷体" w:eastAsia="楷体"/>
          <w:sz w:val="32"/>
          <w:szCs w:val="32"/>
        </w:rPr>
        <w:t>（二）明码标价的内容</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第二章详细阐述了经营者在进行价格标示时的要求，包括价费分离、价格标示内容、不得收取未标示的费用等，确保价格信息的全面性和透明性。</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第四条价费分离原则提出经营者对单位电价、服务费、</w:t>
      </w:r>
      <w:bookmarkStart w:id="0" w:name="_Hlk176787773"/>
      <w:r>
        <w:rPr>
          <w:rFonts w:hint="eastAsia" w:ascii="仿宋_GB2312" w:hAnsi="仿宋_GB2312" w:eastAsia="仿宋_GB2312"/>
          <w:sz w:val="32"/>
          <w:szCs w:val="32"/>
        </w:rPr>
        <w:t>充电总价（电价与服务费之和）</w:t>
      </w:r>
      <w:bookmarkEnd w:id="0"/>
      <w:r>
        <w:rPr>
          <w:rFonts w:hint="eastAsia" w:ascii="仿宋_GB2312" w:hAnsi="仿宋_GB2312" w:eastAsia="仿宋_GB2312"/>
          <w:sz w:val="32"/>
          <w:szCs w:val="32"/>
        </w:rPr>
        <w:t>以及任何其他可能的费用进行分别单项计价。这一条文旨在确保价格的透明性，使消费者能够清晰了解每一项收费的具体内容，避免因为不清楚的费用构成而引起争议或投诉。</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五条明码标价范围条款对经营者标示的内容进行了列举，包括：充电服务各时段的单位电价、服务费、充电总价；任何额外费用或附加费用（如充电超时占位费等）；适用的优惠政策及条件；其他消费者需知晓的相关收费信息。这一条旨在要求运营者将所有价格相关信息向消费者进行披露，杜绝隐藏收费或附加费用，确保所有收费行为都公开透明，避免消费者权益受损。</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八条指出对于执行峰谷分时电价的充电设施，经营者需公示全天24小时全部时段的电价和各项费用，避免仅公示当前时段的电价及各项费用。这一要求是为了确保消费者在使用充电服务时能够全面了解不同时间段的收费标准，做出最有利的消费选择。</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十二条运营者若提供任何优惠政策，需标示该优惠政策的内容、适用对象、条件和期限。前期调研发现，运营者为了吸引客户，会不定期推出各种优惠政策，而优惠政策的适用，将直接影响消费者最终付费的金额。因此，本条结合市场实际情况，对优惠信息的公示提出要求，确保全部可能影响最终价格的信息均保持公开透明。此外，有些运营者为了增加用户粘度，推出积分兑换礼品或抵扣费用的活动，这些信息也属于影响消费者最终付费金额的信息，需对相关活动规则进行明确说明和标示。</w:t>
      </w:r>
    </w:p>
    <w:p>
      <w:pPr>
        <w:spacing w:before="0" w:beforeLines="0" w:after="0" w:afterLines="0" w:line="560" w:lineRule="exact"/>
        <w:ind w:firstLine="640" w:firstLineChars="200"/>
        <w:rPr>
          <w:rFonts w:ascii="楷体" w:hAnsi="楷体" w:eastAsia="楷体"/>
          <w:sz w:val="32"/>
          <w:szCs w:val="32"/>
        </w:rPr>
      </w:pPr>
      <w:r>
        <w:rPr>
          <w:rFonts w:hint="eastAsia" w:ascii="楷体" w:hAnsi="楷体" w:eastAsia="楷体"/>
          <w:sz w:val="32"/>
          <w:szCs w:val="32"/>
        </w:rPr>
        <w:t>（三）明码标价的形式</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第三章明确了经营者采取的明码标价方式和渠道，如电子显示屏、小程序、网络平台等，确保消费者在充电前能够清楚了解收费标准。</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第十五条对标价的渠道进行了说明，考虑到不同用户的获取价格信息的来源不同，结合用户进行充电操作的特点，本《</w:t>
      </w:r>
      <w:r>
        <w:rPr>
          <w:rFonts w:ascii="仿宋_GB2312" w:hAnsi="仿宋_GB2312" w:eastAsia="仿宋_GB2312"/>
          <w:sz w:val="32"/>
          <w:szCs w:val="32"/>
          <w:lang w:val="en"/>
        </w:rPr>
        <w:t>指引</w:t>
      </w:r>
      <w:r>
        <w:rPr>
          <w:rFonts w:hint="eastAsia" w:ascii="仿宋_GB2312" w:hAnsi="仿宋_GB2312" w:eastAsia="仿宋_GB2312"/>
          <w:sz w:val="32"/>
          <w:szCs w:val="32"/>
        </w:rPr>
        <w:t>》鼓励经营者同时通过线下和线上两种渠道进行价格信息公示。此规定旨在确保消费者在各个接触点都能方便地获取价格信息，避免因为信息缺失或模糊导致的误解或投诉。</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十六条对明码标价的方式进行了进一步明确。经营者可以结合充电设施的具体情况，选择采用最合适且有效的形式进行明码标价。鼓励经营者采用最有利于用户直接便捷获取和知悉价格信息的方式，以便用户可以一目了然直接获取价格信息。同时，考虑到充电设施的多样性和可能需要及时对价格信息进行更新的实际情况，本《</w:t>
      </w:r>
      <w:r>
        <w:rPr>
          <w:rFonts w:ascii="仿宋_GB2312" w:hAnsi="仿宋_GB2312" w:eastAsia="仿宋_GB2312"/>
          <w:sz w:val="32"/>
          <w:szCs w:val="32"/>
          <w:lang w:val="en"/>
        </w:rPr>
        <w:t>指引</w:t>
      </w:r>
      <w:r>
        <w:rPr>
          <w:rFonts w:hint="eastAsia" w:ascii="仿宋_GB2312" w:hAnsi="仿宋_GB2312" w:eastAsia="仿宋_GB2312"/>
          <w:sz w:val="32"/>
          <w:szCs w:val="32"/>
        </w:rPr>
        <w:t>》亦允许经营者通过提供二维码、链接或一键直达按钮等方式进行公示，总体原则是尽可能减少用户为获取价格信息而需要进行操作的步骤。</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十七条对公示信息一致性提出要求。考虑到第三方平台的运行模式以及未来可能出现的其他新业态，充分保障经营者的定价自由，本条并未规定经营者在不同渠道公示的价格信息必须保持相同，但是要求经营者在每个渠道所标示的信息应该是全面和充分的，避免出现以仅在某一个渠道标示的价格信息作为在另一个渠道对用户进行收费的依据。此外，本《</w:t>
      </w:r>
      <w:r>
        <w:rPr>
          <w:rFonts w:ascii="仿宋_GB2312" w:hAnsi="仿宋_GB2312" w:eastAsia="仿宋_GB2312"/>
          <w:sz w:val="32"/>
          <w:szCs w:val="32"/>
          <w:lang w:val="en"/>
        </w:rPr>
        <w:t>指引</w:t>
      </w:r>
      <w:r>
        <w:rPr>
          <w:rFonts w:hint="eastAsia" w:ascii="仿宋_GB2312" w:hAnsi="仿宋_GB2312" w:eastAsia="仿宋_GB2312"/>
          <w:sz w:val="32"/>
          <w:szCs w:val="32"/>
        </w:rPr>
        <w:t>》要求经营者在首页或显著位置标示的价格不得低于在详情页面显示的价格，避免对消费者产生虚假或欺诈性的引导。</w:t>
      </w:r>
    </w:p>
    <w:p>
      <w:pPr>
        <w:spacing w:before="0" w:beforeLines="0" w:after="0" w:afterLines="0" w:line="560" w:lineRule="exact"/>
        <w:ind w:firstLine="640" w:firstLineChars="200"/>
        <w:rPr>
          <w:rFonts w:ascii="楷体" w:hAnsi="楷体" w:eastAsia="楷体"/>
          <w:sz w:val="32"/>
          <w:szCs w:val="32"/>
        </w:rPr>
      </w:pPr>
      <w:r>
        <w:rPr>
          <w:rFonts w:hint="eastAsia" w:ascii="楷体" w:hAnsi="楷体" w:eastAsia="楷体"/>
          <w:sz w:val="32"/>
          <w:szCs w:val="32"/>
        </w:rPr>
        <w:t>（四）监督管理及法律责任</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第四章明确了经营者的自我管理和自查义务，市场监督管理部门、行业协会及消费者在监督明码标价行为中的职责和权利，以及经营者应承担的法律责任。</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第二十一条</w:t>
      </w:r>
      <w:r>
        <w:rPr>
          <w:rFonts w:hint="eastAsia" w:ascii="仿宋_GB2312" w:hAnsi="仿宋_GB2312" w:eastAsia="仿宋_GB2312"/>
          <w:sz w:val="32"/>
          <w:szCs w:val="32"/>
          <w:lang w:eastAsia="zh-CN"/>
        </w:rPr>
        <w:t>鼓励</w:t>
      </w:r>
      <w:r>
        <w:rPr>
          <w:rFonts w:hint="eastAsia" w:ascii="仿宋_GB2312" w:hAnsi="仿宋_GB2312" w:eastAsia="仿宋_GB2312"/>
          <w:sz w:val="32"/>
          <w:szCs w:val="32"/>
        </w:rPr>
        <w:t>经营者建立健全价格管理制度，加强员工培训，确保明码标价工作的有效落实，定期进行自查，并建立投诉处理机制。此要求旨在确保经营者的内部有良好的管理制度和操作流程，从源头防止违规行为的发生。</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第二十二条要求第三方充电服务平台依法配合市场监督管理部门对平台内经营者开展价格监督管理工作，第三方充电服务平台作为关键一环，有义务共同维护消费者权益与市场秩序的稳定。</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第二十四条、第二十五条、第二十六条提供了多种监督渠道和方式，对经营者的违规行为进行全面监督，以保障明码标价行为的有效落实。</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第二十六条是法律责任条款。经营者违反明码标价规定的，将由市场监督管理部门依据相关法律法规进行处罚。此条款指明了法律责任和处罚措施，旨在督促经营者严格执行明码标价相关规定。同时，本条款并未在上位法之外设置额外的行政处罚，符合合规指引文件的制定要求。</w:t>
      </w:r>
    </w:p>
    <w:p>
      <w:pPr>
        <w:spacing w:before="0" w:beforeLines="0" w:after="0" w:afterLines="0" w:line="560" w:lineRule="exact"/>
        <w:ind w:firstLine="640" w:firstLineChars="200"/>
        <w:rPr>
          <w:rFonts w:ascii="楷体" w:hAnsi="楷体" w:eastAsia="楷体"/>
          <w:sz w:val="32"/>
          <w:szCs w:val="32"/>
        </w:rPr>
      </w:pPr>
      <w:r>
        <w:rPr>
          <w:rFonts w:hint="eastAsia" w:ascii="楷体" w:hAnsi="楷体" w:eastAsia="楷体"/>
          <w:sz w:val="32"/>
          <w:szCs w:val="32"/>
        </w:rPr>
        <w:t>（五）附则</w:t>
      </w:r>
    </w:p>
    <w:p>
      <w:pPr>
        <w:spacing w:before="0" w:beforeLines="0" w:after="0" w:afterLines="0" w:line="560" w:lineRule="exact"/>
        <w:ind w:firstLine="640" w:firstLineChars="200"/>
        <w:rPr>
          <w:rFonts w:ascii="黑体" w:hAnsi="黑体" w:eastAsia="黑体"/>
          <w:b/>
          <w:bCs/>
          <w:sz w:val="32"/>
          <w:szCs w:val="32"/>
        </w:rPr>
      </w:pPr>
      <w:r>
        <w:rPr>
          <w:rFonts w:hint="eastAsia" w:ascii="仿宋_GB2312" w:hAnsi="仿宋_GB2312" w:eastAsia="仿宋_GB2312"/>
          <w:sz w:val="32"/>
          <w:szCs w:val="32"/>
        </w:rPr>
        <w:t>第五章对相关术语进行了定义，并明确了</w:t>
      </w:r>
      <w:r>
        <w:rPr>
          <w:rFonts w:ascii="仿宋_GB2312" w:hAnsi="仿宋_GB2312" w:eastAsia="仿宋_GB2312"/>
          <w:sz w:val="32"/>
          <w:szCs w:val="32"/>
          <w:lang w:val="en"/>
        </w:rPr>
        <w:t>《指引》</w:t>
      </w:r>
      <w:r>
        <w:rPr>
          <w:rFonts w:hint="eastAsia" w:ascii="仿宋_GB2312" w:hAnsi="仿宋_GB2312" w:eastAsia="仿宋_GB2312"/>
          <w:sz w:val="32"/>
          <w:szCs w:val="32"/>
        </w:rPr>
        <w:t>的解释权和效力。第二十九条指出，本《指引》并非规范性文件，不具有强制性。经营者可以结合自身特点，细化完善明码标价内容。若法律法规规章另有规定的，从其规定。</w:t>
      </w:r>
    </w:p>
    <w:p>
      <w:pPr>
        <w:spacing w:before="0" w:beforeLines="0" w:after="0" w:afterLines="0" w:line="560" w:lineRule="exact"/>
        <w:ind w:firstLine="642" w:firstLineChars="200"/>
        <w:rPr>
          <w:rFonts w:ascii="黑体" w:hAnsi="黑体" w:eastAsia="黑体"/>
          <w:b/>
          <w:bCs/>
          <w:sz w:val="32"/>
          <w:szCs w:val="32"/>
        </w:rPr>
      </w:pPr>
      <w:r>
        <w:rPr>
          <w:rFonts w:hint="eastAsia" w:ascii="黑体" w:hAnsi="黑体" w:eastAsia="黑体"/>
          <w:b/>
          <w:bCs/>
          <w:sz w:val="32"/>
          <w:szCs w:val="32"/>
        </w:rPr>
        <w:t>六、预计影响</w:t>
      </w:r>
    </w:p>
    <w:p>
      <w:pPr>
        <w:spacing w:before="0" w:beforeLines="0" w:after="0" w:afterLines="0"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本</w:t>
      </w:r>
      <w:r>
        <w:rPr>
          <w:rFonts w:ascii="仿宋_GB2312" w:hAnsi="仿宋_GB2312" w:eastAsia="仿宋_GB2312"/>
          <w:sz w:val="32"/>
          <w:szCs w:val="32"/>
          <w:lang w:val="en"/>
        </w:rPr>
        <w:t>《指引》</w:t>
      </w:r>
      <w:r>
        <w:rPr>
          <w:rFonts w:hint="eastAsia" w:ascii="仿宋_GB2312" w:hAnsi="仿宋_GB2312" w:eastAsia="仿宋_GB2312"/>
          <w:sz w:val="32"/>
          <w:szCs w:val="32"/>
        </w:rPr>
        <w:t>的实施将有效规范深圳市新能源汽车充电设施的价格行为，提高市场透明度和规范性，保障消费者权益，有助于营造公平竞争的市场环境。同时，也将为新能源汽车的推广应用提供更为有力的支持，推动深圳市绿色低碳交通的发展。</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624"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等线">
    <w:altName w:val="URW Book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859751"/>
    </w:sdtPr>
    <w:sdtContent>
      <w:sdt>
        <w:sdtPr>
          <w:id w:val="1728636285"/>
        </w:sdtPr>
        <w:sdtContent>
          <w:p>
            <w:pPr>
              <w:pStyle w:val="11"/>
              <w:spacing w:before="120" w:after="12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1"/>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4A"/>
    <w:rsid w:val="0000559B"/>
    <w:rsid w:val="00006E1D"/>
    <w:rsid w:val="000312F9"/>
    <w:rsid w:val="00034C5A"/>
    <w:rsid w:val="000441F0"/>
    <w:rsid w:val="00073ED2"/>
    <w:rsid w:val="00077353"/>
    <w:rsid w:val="000915E0"/>
    <w:rsid w:val="000C240A"/>
    <w:rsid w:val="000C2B9E"/>
    <w:rsid w:val="000D2E2D"/>
    <w:rsid w:val="000E1025"/>
    <w:rsid w:val="000E590F"/>
    <w:rsid w:val="000F3578"/>
    <w:rsid w:val="000F519A"/>
    <w:rsid w:val="001159CA"/>
    <w:rsid w:val="001256CD"/>
    <w:rsid w:val="00125E33"/>
    <w:rsid w:val="00131A10"/>
    <w:rsid w:val="00142A5C"/>
    <w:rsid w:val="001511CD"/>
    <w:rsid w:val="00166A89"/>
    <w:rsid w:val="0017495A"/>
    <w:rsid w:val="001A5CA9"/>
    <w:rsid w:val="001A6CE9"/>
    <w:rsid w:val="001C30E0"/>
    <w:rsid w:val="001E30DE"/>
    <w:rsid w:val="001F212B"/>
    <w:rsid w:val="00210D38"/>
    <w:rsid w:val="0023044C"/>
    <w:rsid w:val="002373C5"/>
    <w:rsid w:val="00295C3F"/>
    <w:rsid w:val="002B2D43"/>
    <w:rsid w:val="002B4EDC"/>
    <w:rsid w:val="002F2577"/>
    <w:rsid w:val="00311AC5"/>
    <w:rsid w:val="0032593D"/>
    <w:rsid w:val="00325CE1"/>
    <w:rsid w:val="00336791"/>
    <w:rsid w:val="00354604"/>
    <w:rsid w:val="00356AD0"/>
    <w:rsid w:val="00357B78"/>
    <w:rsid w:val="00386128"/>
    <w:rsid w:val="003B657E"/>
    <w:rsid w:val="003C4579"/>
    <w:rsid w:val="003D4DFD"/>
    <w:rsid w:val="003E3B8F"/>
    <w:rsid w:val="00427B50"/>
    <w:rsid w:val="00432B57"/>
    <w:rsid w:val="0043534A"/>
    <w:rsid w:val="00446117"/>
    <w:rsid w:val="0046205A"/>
    <w:rsid w:val="00483BD7"/>
    <w:rsid w:val="00487495"/>
    <w:rsid w:val="004A2A0A"/>
    <w:rsid w:val="004A4D44"/>
    <w:rsid w:val="004A5891"/>
    <w:rsid w:val="004A6621"/>
    <w:rsid w:val="00503BEF"/>
    <w:rsid w:val="0051048B"/>
    <w:rsid w:val="005333E8"/>
    <w:rsid w:val="00553ED4"/>
    <w:rsid w:val="00562B2A"/>
    <w:rsid w:val="00567E82"/>
    <w:rsid w:val="00570454"/>
    <w:rsid w:val="005907CC"/>
    <w:rsid w:val="00596563"/>
    <w:rsid w:val="00596B89"/>
    <w:rsid w:val="005B7035"/>
    <w:rsid w:val="005E0F36"/>
    <w:rsid w:val="005E0F83"/>
    <w:rsid w:val="005F21F3"/>
    <w:rsid w:val="005F315A"/>
    <w:rsid w:val="005F4BE1"/>
    <w:rsid w:val="005F5F67"/>
    <w:rsid w:val="00600868"/>
    <w:rsid w:val="0067012E"/>
    <w:rsid w:val="0068624E"/>
    <w:rsid w:val="006953E3"/>
    <w:rsid w:val="0069686A"/>
    <w:rsid w:val="006A33D3"/>
    <w:rsid w:val="006A4C55"/>
    <w:rsid w:val="006B4001"/>
    <w:rsid w:val="006B7581"/>
    <w:rsid w:val="006C59F3"/>
    <w:rsid w:val="006F022F"/>
    <w:rsid w:val="006F135A"/>
    <w:rsid w:val="006F3A5B"/>
    <w:rsid w:val="007034DB"/>
    <w:rsid w:val="007073CD"/>
    <w:rsid w:val="00720894"/>
    <w:rsid w:val="007359C9"/>
    <w:rsid w:val="00764766"/>
    <w:rsid w:val="0076723F"/>
    <w:rsid w:val="00767D76"/>
    <w:rsid w:val="007878D3"/>
    <w:rsid w:val="007D2E8A"/>
    <w:rsid w:val="007F40CB"/>
    <w:rsid w:val="0082557B"/>
    <w:rsid w:val="00850A24"/>
    <w:rsid w:val="00862F1F"/>
    <w:rsid w:val="008D5F27"/>
    <w:rsid w:val="008D6BC2"/>
    <w:rsid w:val="008E20F8"/>
    <w:rsid w:val="009030B4"/>
    <w:rsid w:val="0090624B"/>
    <w:rsid w:val="00917E48"/>
    <w:rsid w:val="00922A50"/>
    <w:rsid w:val="00946D6E"/>
    <w:rsid w:val="00946FDC"/>
    <w:rsid w:val="00950573"/>
    <w:rsid w:val="00960E5D"/>
    <w:rsid w:val="00992077"/>
    <w:rsid w:val="009A4D6C"/>
    <w:rsid w:val="009B11AA"/>
    <w:rsid w:val="009C06DA"/>
    <w:rsid w:val="009D3F75"/>
    <w:rsid w:val="009F68D6"/>
    <w:rsid w:val="00A21B83"/>
    <w:rsid w:val="00A23425"/>
    <w:rsid w:val="00A47E8E"/>
    <w:rsid w:val="00A55E45"/>
    <w:rsid w:val="00A7110D"/>
    <w:rsid w:val="00A71ABA"/>
    <w:rsid w:val="00A737EB"/>
    <w:rsid w:val="00A7627F"/>
    <w:rsid w:val="00A816F6"/>
    <w:rsid w:val="00A96768"/>
    <w:rsid w:val="00A97114"/>
    <w:rsid w:val="00AA40FC"/>
    <w:rsid w:val="00AA5320"/>
    <w:rsid w:val="00AC2C2B"/>
    <w:rsid w:val="00AD3379"/>
    <w:rsid w:val="00AD7BC4"/>
    <w:rsid w:val="00AE68DC"/>
    <w:rsid w:val="00AE69E5"/>
    <w:rsid w:val="00AF3DAA"/>
    <w:rsid w:val="00AF520A"/>
    <w:rsid w:val="00AF6BA3"/>
    <w:rsid w:val="00B15E25"/>
    <w:rsid w:val="00B3057D"/>
    <w:rsid w:val="00B35E1A"/>
    <w:rsid w:val="00B42207"/>
    <w:rsid w:val="00B42B6F"/>
    <w:rsid w:val="00B56B46"/>
    <w:rsid w:val="00B62AF7"/>
    <w:rsid w:val="00B91C11"/>
    <w:rsid w:val="00B940AF"/>
    <w:rsid w:val="00BB01CD"/>
    <w:rsid w:val="00C045F0"/>
    <w:rsid w:val="00C239A8"/>
    <w:rsid w:val="00C33B20"/>
    <w:rsid w:val="00C41ED5"/>
    <w:rsid w:val="00C47E16"/>
    <w:rsid w:val="00C646F8"/>
    <w:rsid w:val="00C64B58"/>
    <w:rsid w:val="00C70795"/>
    <w:rsid w:val="00CC29D6"/>
    <w:rsid w:val="00CD43D0"/>
    <w:rsid w:val="00CD63A6"/>
    <w:rsid w:val="00CE3DC2"/>
    <w:rsid w:val="00D01DC0"/>
    <w:rsid w:val="00D0482B"/>
    <w:rsid w:val="00D32893"/>
    <w:rsid w:val="00D33DED"/>
    <w:rsid w:val="00D46010"/>
    <w:rsid w:val="00D66691"/>
    <w:rsid w:val="00D80EA6"/>
    <w:rsid w:val="00D839E2"/>
    <w:rsid w:val="00D96D86"/>
    <w:rsid w:val="00DA4BAD"/>
    <w:rsid w:val="00DB0D3A"/>
    <w:rsid w:val="00DD5789"/>
    <w:rsid w:val="00DE4215"/>
    <w:rsid w:val="00DE75D4"/>
    <w:rsid w:val="00E01BB3"/>
    <w:rsid w:val="00E16D88"/>
    <w:rsid w:val="00E176CE"/>
    <w:rsid w:val="00E4331F"/>
    <w:rsid w:val="00E44C92"/>
    <w:rsid w:val="00E5650D"/>
    <w:rsid w:val="00E7242B"/>
    <w:rsid w:val="00E75600"/>
    <w:rsid w:val="00E82517"/>
    <w:rsid w:val="00E90D05"/>
    <w:rsid w:val="00E9583F"/>
    <w:rsid w:val="00E96C1D"/>
    <w:rsid w:val="00EA379D"/>
    <w:rsid w:val="00EB22AB"/>
    <w:rsid w:val="00EB364E"/>
    <w:rsid w:val="00ED4ACE"/>
    <w:rsid w:val="00EE174D"/>
    <w:rsid w:val="00EF04B1"/>
    <w:rsid w:val="00EF30E6"/>
    <w:rsid w:val="00F05594"/>
    <w:rsid w:val="00F12431"/>
    <w:rsid w:val="00F131F5"/>
    <w:rsid w:val="00F20CF3"/>
    <w:rsid w:val="00F21CFE"/>
    <w:rsid w:val="00F252F9"/>
    <w:rsid w:val="00F43959"/>
    <w:rsid w:val="00F54807"/>
    <w:rsid w:val="00F61FBE"/>
    <w:rsid w:val="00F63331"/>
    <w:rsid w:val="00F85F69"/>
    <w:rsid w:val="00FA1D6C"/>
    <w:rsid w:val="00FC19E2"/>
    <w:rsid w:val="00FD0F4C"/>
    <w:rsid w:val="00FD175B"/>
    <w:rsid w:val="00FD19C1"/>
    <w:rsid w:val="00FD63EC"/>
    <w:rsid w:val="00FE4626"/>
    <w:rsid w:val="00FE7C47"/>
    <w:rsid w:val="00FF3A5E"/>
    <w:rsid w:val="0BFE1FE4"/>
    <w:rsid w:val="17ABB911"/>
    <w:rsid w:val="1FE3CC40"/>
    <w:rsid w:val="1FFEE2CC"/>
    <w:rsid w:val="243DEE0C"/>
    <w:rsid w:val="2567AD64"/>
    <w:rsid w:val="2BC6077C"/>
    <w:rsid w:val="2BF60236"/>
    <w:rsid w:val="2C7BB04E"/>
    <w:rsid w:val="2EDFB7BE"/>
    <w:rsid w:val="2F3B2BDE"/>
    <w:rsid w:val="2FFD5937"/>
    <w:rsid w:val="337F3D7D"/>
    <w:rsid w:val="3765BFD5"/>
    <w:rsid w:val="37FF7273"/>
    <w:rsid w:val="397BE623"/>
    <w:rsid w:val="39E4D1B1"/>
    <w:rsid w:val="3BBB885C"/>
    <w:rsid w:val="3D0FA82B"/>
    <w:rsid w:val="3DFFF64A"/>
    <w:rsid w:val="3E7DF916"/>
    <w:rsid w:val="3EFF3A2C"/>
    <w:rsid w:val="3FBB03F8"/>
    <w:rsid w:val="3FF9BD5F"/>
    <w:rsid w:val="3FFF43D7"/>
    <w:rsid w:val="4E7EC58E"/>
    <w:rsid w:val="4EBF0335"/>
    <w:rsid w:val="4F77544C"/>
    <w:rsid w:val="4F7FF08F"/>
    <w:rsid w:val="51D745A1"/>
    <w:rsid w:val="52FE8306"/>
    <w:rsid w:val="578FF306"/>
    <w:rsid w:val="57B04A55"/>
    <w:rsid w:val="57FA93B4"/>
    <w:rsid w:val="597F5C44"/>
    <w:rsid w:val="5BBFD48A"/>
    <w:rsid w:val="5BCB179E"/>
    <w:rsid w:val="5F3E5A36"/>
    <w:rsid w:val="5FDE3154"/>
    <w:rsid w:val="5FDFB4D4"/>
    <w:rsid w:val="636D2B63"/>
    <w:rsid w:val="63BFE8D0"/>
    <w:rsid w:val="67BD5FA6"/>
    <w:rsid w:val="67DB3261"/>
    <w:rsid w:val="67F40650"/>
    <w:rsid w:val="67FFE2BC"/>
    <w:rsid w:val="6ADFD2A4"/>
    <w:rsid w:val="6B7B953E"/>
    <w:rsid w:val="6CF78B44"/>
    <w:rsid w:val="6D7EF5F4"/>
    <w:rsid w:val="6DFB5A9A"/>
    <w:rsid w:val="6DFBCCB1"/>
    <w:rsid w:val="6E2B784F"/>
    <w:rsid w:val="6F7CBE32"/>
    <w:rsid w:val="6FCB7290"/>
    <w:rsid w:val="6FDF488E"/>
    <w:rsid w:val="6FDFE6F8"/>
    <w:rsid w:val="6FE777B7"/>
    <w:rsid w:val="70BF7983"/>
    <w:rsid w:val="70E78739"/>
    <w:rsid w:val="75DE536B"/>
    <w:rsid w:val="76FDE9F1"/>
    <w:rsid w:val="7703F97C"/>
    <w:rsid w:val="77F3FC15"/>
    <w:rsid w:val="77FC7F43"/>
    <w:rsid w:val="77FEB8C6"/>
    <w:rsid w:val="7BA72BCD"/>
    <w:rsid w:val="7BBED196"/>
    <w:rsid w:val="7BC054BA"/>
    <w:rsid w:val="7BF7E5CF"/>
    <w:rsid w:val="7BFB4F7D"/>
    <w:rsid w:val="7BFFBE3D"/>
    <w:rsid w:val="7C3EC0CE"/>
    <w:rsid w:val="7C4F55F6"/>
    <w:rsid w:val="7CFF1F08"/>
    <w:rsid w:val="7D7FD3A8"/>
    <w:rsid w:val="7D9D7272"/>
    <w:rsid w:val="7DDDA5B9"/>
    <w:rsid w:val="7E2F6362"/>
    <w:rsid w:val="7EDFDB71"/>
    <w:rsid w:val="7EF5A6F2"/>
    <w:rsid w:val="7EFF09B8"/>
    <w:rsid w:val="7F37C6EA"/>
    <w:rsid w:val="7F3FEF89"/>
    <w:rsid w:val="7F67E2A7"/>
    <w:rsid w:val="7F796FE9"/>
    <w:rsid w:val="7F7B1C84"/>
    <w:rsid w:val="7F7C1C72"/>
    <w:rsid w:val="7F87DD93"/>
    <w:rsid w:val="7FCF1AB4"/>
    <w:rsid w:val="7FDFABFD"/>
    <w:rsid w:val="7FEF5098"/>
    <w:rsid w:val="7FF658C7"/>
    <w:rsid w:val="7FFC884C"/>
    <w:rsid w:val="7FFDFF3D"/>
    <w:rsid w:val="7FFE05D1"/>
    <w:rsid w:val="83F290F8"/>
    <w:rsid w:val="86DFA9EE"/>
    <w:rsid w:val="88FEFDAF"/>
    <w:rsid w:val="8E2F1B1A"/>
    <w:rsid w:val="93EF21DA"/>
    <w:rsid w:val="96FD9635"/>
    <w:rsid w:val="97FE2A2E"/>
    <w:rsid w:val="9BCDA855"/>
    <w:rsid w:val="9E87A18F"/>
    <w:rsid w:val="9EFB58FF"/>
    <w:rsid w:val="9F8FB5C2"/>
    <w:rsid w:val="9FEA164D"/>
    <w:rsid w:val="A57B6FD3"/>
    <w:rsid w:val="ADF5A22D"/>
    <w:rsid w:val="AF6D8BAE"/>
    <w:rsid w:val="B1BDA42C"/>
    <w:rsid w:val="B3FF5860"/>
    <w:rsid w:val="B4E59E4F"/>
    <w:rsid w:val="B57EEF91"/>
    <w:rsid w:val="B6774D10"/>
    <w:rsid w:val="B677D439"/>
    <w:rsid w:val="B6EF2C7B"/>
    <w:rsid w:val="B8CE5C77"/>
    <w:rsid w:val="B93605F1"/>
    <w:rsid w:val="B9F3E9EE"/>
    <w:rsid w:val="BBB5FEE6"/>
    <w:rsid w:val="BBDFEF51"/>
    <w:rsid w:val="BBEF698B"/>
    <w:rsid w:val="BBFF7258"/>
    <w:rsid w:val="BD9E155A"/>
    <w:rsid w:val="BDD7687D"/>
    <w:rsid w:val="BE27CC32"/>
    <w:rsid w:val="BECF8638"/>
    <w:rsid w:val="BF7EFD72"/>
    <w:rsid w:val="BFEF2702"/>
    <w:rsid w:val="BFFFE10C"/>
    <w:rsid w:val="C3D9F935"/>
    <w:rsid w:val="C5EA10D8"/>
    <w:rsid w:val="CC3D7ECD"/>
    <w:rsid w:val="CCFF072C"/>
    <w:rsid w:val="CEFACEBB"/>
    <w:rsid w:val="CFFBA0A4"/>
    <w:rsid w:val="D59FCAE3"/>
    <w:rsid w:val="D777FFEB"/>
    <w:rsid w:val="DA9D411F"/>
    <w:rsid w:val="DBFEBD8F"/>
    <w:rsid w:val="DBFFE457"/>
    <w:rsid w:val="DCFFBCEE"/>
    <w:rsid w:val="DDABD800"/>
    <w:rsid w:val="DEBCA3BE"/>
    <w:rsid w:val="DEF70641"/>
    <w:rsid w:val="DF464BDD"/>
    <w:rsid w:val="DFBF49F6"/>
    <w:rsid w:val="DFF6C229"/>
    <w:rsid w:val="E43FF8DE"/>
    <w:rsid w:val="E4F7B060"/>
    <w:rsid w:val="E6EFC252"/>
    <w:rsid w:val="E6FF3B2A"/>
    <w:rsid w:val="EAEE90A1"/>
    <w:rsid w:val="EB6B02DB"/>
    <w:rsid w:val="ED357B00"/>
    <w:rsid w:val="EDFAF0B6"/>
    <w:rsid w:val="EEC70DC1"/>
    <w:rsid w:val="EEDA76F7"/>
    <w:rsid w:val="EF6F4E25"/>
    <w:rsid w:val="EF95837E"/>
    <w:rsid w:val="EFAD3900"/>
    <w:rsid w:val="EFFB17F6"/>
    <w:rsid w:val="F356DBEF"/>
    <w:rsid w:val="F3FE5228"/>
    <w:rsid w:val="F62FC835"/>
    <w:rsid w:val="F6B763FC"/>
    <w:rsid w:val="F7C33A34"/>
    <w:rsid w:val="F7EFEF84"/>
    <w:rsid w:val="F7FF8C62"/>
    <w:rsid w:val="F96D3308"/>
    <w:rsid w:val="F99FB0BC"/>
    <w:rsid w:val="FA1FD9A3"/>
    <w:rsid w:val="FBFDF4A2"/>
    <w:rsid w:val="FBFE4702"/>
    <w:rsid w:val="FC682602"/>
    <w:rsid w:val="FCDED9E2"/>
    <w:rsid w:val="FCEDE4EA"/>
    <w:rsid w:val="FDD333C0"/>
    <w:rsid w:val="FDDF18B2"/>
    <w:rsid w:val="FDF35693"/>
    <w:rsid w:val="FDFFA1C5"/>
    <w:rsid w:val="FE1744CC"/>
    <w:rsid w:val="FE67631B"/>
    <w:rsid w:val="FEB75FB3"/>
    <w:rsid w:val="FECF350C"/>
    <w:rsid w:val="FEEB69B2"/>
    <w:rsid w:val="FEFAD833"/>
    <w:rsid w:val="FEFDA0A1"/>
    <w:rsid w:val="FF39F5C8"/>
    <w:rsid w:val="FF3B2B86"/>
    <w:rsid w:val="FF3BDCCA"/>
    <w:rsid w:val="FF7BC361"/>
    <w:rsid w:val="FF9F5CE8"/>
    <w:rsid w:val="FF9FA264"/>
    <w:rsid w:val="FFA514AB"/>
    <w:rsid w:val="FFAA62F8"/>
    <w:rsid w:val="FFBDA23E"/>
    <w:rsid w:val="FFBF5915"/>
    <w:rsid w:val="FFBF6F6B"/>
    <w:rsid w:val="FFC28678"/>
    <w:rsid w:val="FFD66F5A"/>
    <w:rsid w:val="FFDCF1AF"/>
    <w:rsid w:val="FFDE9ABB"/>
    <w:rsid w:val="FFE5839A"/>
    <w:rsid w:val="FFF67C0C"/>
    <w:rsid w:val="FFF6F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8"/>
    <w:qFormat/>
    <w:uiPriority w:val="9"/>
    <w:pPr>
      <w:keepNext/>
      <w:keepLines/>
      <w:spacing w:before="100" w:beforeLines="100" w:after="100" w:afterLines="100"/>
      <w:outlineLvl w:val="0"/>
    </w:pPr>
    <w:rPr>
      <w:b/>
      <w:bCs/>
      <w:kern w:val="44"/>
      <w:szCs w:val="44"/>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3"/>
    <w:semiHidden/>
    <w:unhideWhenUsed/>
    <w:qFormat/>
    <w:uiPriority w:val="9"/>
    <w:pPr>
      <w:keepNext/>
      <w:keepLines/>
      <w:spacing w:before="40" w:after="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before="0"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before="0"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before="0" w:after="80" w:line="240" w:lineRule="auto"/>
      <w:contextualSpacing/>
      <w:jc w:val="center"/>
    </w:pPr>
    <w:rPr>
      <w:rFonts w:asciiTheme="majorHAnsi" w:hAnsiTheme="majorHAnsi" w:eastAsiaTheme="majorEastAsia" w:cstheme="majorBidi"/>
      <w:spacing w:val="-10"/>
      <w:kern w:val="28"/>
      <w:sz w:val="56"/>
      <w:szCs w:val="56"/>
    </w:rPr>
  </w:style>
  <w:style w:type="table" w:customStyle="1" w:styleId="17">
    <w:name w:val="样式1"/>
    <w:basedOn w:val="15"/>
    <w:qFormat/>
    <w:uiPriority w:val="99"/>
    <w:rPr>
      <w:rFonts w:ascii="Microsoft YaHei UI" w:hAnsi="Microsoft YaHei UI"/>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customStyle="1" w:styleId="18">
    <w:name w:val="标题 1 字符"/>
    <w:basedOn w:val="16"/>
    <w:link w:val="2"/>
    <w:qFormat/>
    <w:uiPriority w:val="9"/>
    <w:rPr>
      <w:b/>
      <w:bCs/>
      <w:kern w:val="44"/>
      <w:szCs w:val="44"/>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2">
    <w:name w:val="标题 5 字符"/>
    <w:basedOn w:val="16"/>
    <w:link w:val="6"/>
    <w:semiHidden/>
    <w:qFormat/>
    <w:uiPriority w:val="9"/>
    <w:rPr>
      <w:rFonts w:asciiTheme="minorHAnsi" w:hAnsiTheme="minorHAnsi" w:eastAsiaTheme="minorEastAsia" w:cstheme="majorBidi"/>
      <w:color w:val="104862" w:themeColor="accent1" w:themeShade="BF"/>
      <w:szCs w:val="24"/>
    </w:rPr>
  </w:style>
  <w:style w:type="character" w:customStyle="1" w:styleId="23">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4">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明显参考1"/>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paragraph" w:customStyle="1" w:styleId="38">
    <w:name w:val="修订1"/>
    <w:hidden/>
    <w:semiHidden/>
    <w:qFormat/>
    <w:uiPriority w:val="99"/>
    <w:pPr>
      <w:spacing w:after="0" w:line="240" w:lineRule="auto"/>
    </w:pPr>
    <w:rPr>
      <w:rFonts w:ascii="Times New Roman" w:hAnsi="Times New Roman" w:eastAsia="宋体" w:cstheme="minorBidi"/>
      <w:kern w:val="2"/>
      <w:sz w:val="24"/>
      <w:szCs w:val="22"/>
      <w:lang w:val="en-US" w:eastAsia="zh-CN" w:bidi="ar-SA"/>
    </w:rPr>
  </w:style>
  <w:style w:type="paragraph" w:customStyle="1" w:styleId="39">
    <w:name w:val="Revision"/>
    <w:hidden/>
    <w:unhideWhenUsed/>
    <w:qFormat/>
    <w:uiPriority w:val="99"/>
    <w:pPr>
      <w:spacing w:after="0" w:line="240" w:lineRule="auto"/>
    </w:pPr>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417</Words>
  <Characters>2380</Characters>
  <Lines>19</Lines>
  <Paragraphs>5</Paragraphs>
  <TotalTime>35</TotalTime>
  <ScaleCrop>false</ScaleCrop>
  <LinksUpToDate>false</LinksUpToDate>
  <CharactersWithSpaces>2792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2024-09-12T18:27:00Z</dcterms:created>
  <dc:creator>ZhongLun</dc:creator>
  <cp:lastModifiedBy>Linzd</cp:lastModifiedBy>
  <cp:lastPrinted>2024-08-30T14:49:00Z</cp:lastPrinted>
  <dcterms:modified xsi:type="dcterms:W3CDTF">2024-09-29T15:23:39Z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