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3" w:after="163" w:line="560" w:lineRule="exact"/>
        <w:jc w:val="center"/>
        <w:rPr>
          <w:rFonts w:hint="eastAsia" w:ascii="方正小标宋简体" w:hAnsi="仿宋_GB2312" w:eastAsia="方正小标宋简体"/>
          <w:b/>
          <w:bCs/>
          <w:sz w:val="40"/>
          <w:szCs w:val="40"/>
        </w:rPr>
      </w:pPr>
      <w:bookmarkStart w:id="2" w:name="_GoBack"/>
      <w:bookmarkEnd w:id="2"/>
      <w:r>
        <w:rPr>
          <w:rFonts w:hint="eastAsia" w:ascii="方正小标宋简体" w:hAnsi="仿宋_GB2312" w:eastAsia="方正小标宋简体"/>
          <w:b/>
          <w:bCs/>
          <w:sz w:val="40"/>
          <w:szCs w:val="40"/>
        </w:rPr>
        <w:t>深圳市新能源汽车充电设施收费明码标价</w:t>
      </w:r>
    </w:p>
    <w:p>
      <w:pPr>
        <w:spacing w:before="163" w:after="163" w:line="560" w:lineRule="exact"/>
        <w:jc w:val="center"/>
        <w:rPr>
          <w:rFonts w:ascii="方正小标宋简体" w:hAnsi="仿宋_GB2312" w:eastAsia="方正小标宋简体"/>
          <w:b/>
          <w:bCs/>
          <w:sz w:val="40"/>
          <w:szCs w:val="40"/>
        </w:rPr>
      </w:pPr>
      <w:r>
        <w:rPr>
          <w:rFonts w:hint="eastAsia" w:ascii="方正小标宋简体" w:hAnsi="仿宋_GB2312" w:eastAsia="方正小标宋简体"/>
          <w:b/>
          <w:bCs/>
          <w:sz w:val="40"/>
          <w:szCs w:val="40"/>
        </w:rPr>
        <w:t>合规指引</w:t>
      </w:r>
    </w:p>
    <w:p>
      <w:pPr>
        <w:spacing w:before="163" w:after="163" w:line="560" w:lineRule="exact"/>
        <w:jc w:val="center"/>
        <w:rPr>
          <w:rFonts w:ascii="方正小标宋简体" w:hAnsi="仿宋_GB2312" w:eastAsia="方正小标宋简体"/>
          <w:b/>
          <w:bCs/>
          <w:sz w:val="40"/>
          <w:szCs w:val="40"/>
        </w:rPr>
      </w:pPr>
      <w:r>
        <w:rPr>
          <w:rFonts w:hint="eastAsia" w:ascii="方正小标宋简体" w:hAnsi="仿宋_GB2312" w:eastAsia="方正小标宋简体"/>
          <w:b/>
          <w:bCs/>
          <w:sz w:val="40"/>
          <w:szCs w:val="40"/>
        </w:rPr>
        <w:t>（</w:t>
      </w:r>
      <w:r>
        <w:rPr>
          <w:rFonts w:hint="eastAsia" w:ascii="方正小标宋简体" w:hAnsi="仿宋_GB2312" w:eastAsia="方正小标宋简体"/>
          <w:b/>
          <w:bCs/>
          <w:sz w:val="40"/>
          <w:szCs w:val="40"/>
          <w:lang w:eastAsia="zh-CN"/>
        </w:rPr>
        <w:t>公开</w:t>
      </w:r>
      <w:r>
        <w:rPr>
          <w:rFonts w:hint="eastAsia" w:ascii="方正小标宋简体" w:hAnsi="仿宋_GB2312" w:eastAsia="方正小标宋简体"/>
          <w:b/>
          <w:bCs/>
          <w:sz w:val="40"/>
          <w:szCs w:val="40"/>
        </w:rPr>
        <w:t>征求意见稿）</w:t>
      </w:r>
    </w:p>
    <w:p>
      <w:pPr>
        <w:spacing w:before="0" w:beforeLines="0" w:after="0" w:afterLines="0" w:line="560" w:lineRule="exact"/>
        <w:jc w:val="center"/>
        <w:rPr>
          <w:rFonts w:ascii="黑体" w:hAnsi="黑体" w:eastAsia="黑体"/>
          <w:b/>
          <w:bCs/>
          <w:sz w:val="32"/>
          <w:szCs w:val="32"/>
        </w:rPr>
      </w:pPr>
    </w:p>
    <w:p>
      <w:pPr>
        <w:spacing w:before="0" w:beforeLines="0" w:after="0" w:afterLines="0" w:line="560" w:lineRule="exact"/>
        <w:jc w:val="center"/>
        <w:rPr>
          <w:rFonts w:ascii="黑体" w:hAnsi="黑体" w:eastAsia="黑体"/>
          <w:b/>
          <w:bCs/>
          <w:sz w:val="32"/>
          <w:szCs w:val="32"/>
        </w:rPr>
      </w:pPr>
      <w:r>
        <w:rPr>
          <w:rFonts w:hint="eastAsia" w:ascii="黑体" w:hAnsi="黑体" w:eastAsia="黑体"/>
          <w:b/>
          <w:bCs/>
          <w:sz w:val="32"/>
          <w:szCs w:val="32"/>
        </w:rPr>
        <w:t>第一章 总则</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【目的与依据】为了规范新能源汽车充电设施经营者收费明码标价行为，</w:t>
      </w:r>
      <w:r>
        <w:rPr>
          <w:rFonts w:ascii="仿宋_GB2312" w:hAnsi="仿宋_GB2312" w:eastAsia="仿宋_GB2312"/>
          <w:sz w:val="32"/>
          <w:szCs w:val="32"/>
        </w:rPr>
        <w:t>建立和维护公开、公正、透明的市场价格秩序，保护消费者</w:t>
      </w:r>
      <w:r>
        <w:rPr>
          <w:rFonts w:hint="eastAsia" w:ascii="仿宋_GB2312" w:hAnsi="仿宋_GB2312" w:eastAsia="仿宋_GB2312"/>
          <w:sz w:val="32"/>
          <w:szCs w:val="32"/>
        </w:rPr>
        <w:t>、</w:t>
      </w:r>
      <w:r>
        <w:rPr>
          <w:rFonts w:ascii="仿宋_GB2312" w:hAnsi="仿宋_GB2312" w:eastAsia="仿宋_GB2312"/>
          <w:sz w:val="32"/>
          <w:szCs w:val="32"/>
        </w:rPr>
        <w:t>经营者的合法权益</w:t>
      </w:r>
      <w:r>
        <w:rPr>
          <w:rFonts w:hint="eastAsia" w:ascii="仿宋_GB2312" w:hAnsi="仿宋_GB2312" w:eastAsia="仿宋_GB2312"/>
          <w:sz w:val="32"/>
          <w:szCs w:val="32"/>
        </w:rPr>
        <w:t>和社会公共利益，根据《中华人民共和国价格法》《价格违法行为行政处罚规定》《明码标价和禁止价格欺诈规定》等有关规定，结合深圳经济特区实际，制定本指引。</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【适用范围】新能源汽车充电设施经营者（以下简称经营者）在深圳市范围内从事经营性新能源汽车充电服务的，参照本指引实行明码标价。</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【主管部门】市场监督管理部门是经营者明码标价行为的主管部门，依法对明码标价行为进行监督管理。</w:t>
      </w:r>
    </w:p>
    <w:p>
      <w:pPr>
        <w:spacing w:before="0" w:beforeLines="0" w:after="0" w:afterLines="0" w:line="560" w:lineRule="exact"/>
        <w:jc w:val="center"/>
        <w:rPr>
          <w:rFonts w:ascii="黑体" w:hAnsi="黑体" w:eastAsia="黑体"/>
          <w:b/>
          <w:bCs/>
          <w:sz w:val="32"/>
          <w:szCs w:val="32"/>
        </w:rPr>
      </w:pPr>
    </w:p>
    <w:p>
      <w:pPr>
        <w:spacing w:before="0" w:beforeLines="0" w:after="0" w:afterLines="0" w:line="560" w:lineRule="exact"/>
        <w:jc w:val="center"/>
        <w:rPr>
          <w:rFonts w:ascii="黑体" w:hAnsi="黑体" w:eastAsia="黑体"/>
          <w:b/>
          <w:bCs/>
          <w:sz w:val="32"/>
          <w:szCs w:val="32"/>
        </w:rPr>
      </w:pPr>
      <w:r>
        <w:rPr>
          <w:rFonts w:hint="eastAsia" w:ascii="黑体" w:hAnsi="黑体" w:eastAsia="黑体"/>
          <w:b/>
          <w:bCs/>
          <w:sz w:val="32"/>
          <w:szCs w:val="32"/>
        </w:rPr>
        <w:t>第二章 明码标价的内容</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【价费分离原则】经营者遵循“价费分离”的原则，对单位电价、服务费、充电总价（电价与服务费之和）以及任何其他可能的费用分别标示、分别计价。</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bookmarkStart w:id="0" w:name="_Ref174715285"/>
      <w:r>
        <w:rPr>
          <w:rFonts w:hint="eastAsia" w:ascii="仿宋_GB2312" w:hAnsi="仿宋_GB2312" w:eastAsia="仿宋_GB2312"/>
          <w:sz w:val="32"/>
          <w:szCs w:val="32"/>
        </w:rPr>
        <w:t>【明码标价范围】经营者依法将以下内容对用户进行标示：</w:t>
      </w:r>
      <w:bookmarkEnd w:id="0"/>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（一）充电服务各时段的单位电价、服务费、充电总价（元</w:t>
      </w:r>
      <w:r>
        <w:rPr>
          <w:rFonts w:ascii="仿宋_GB2312" w:hAnsi="仿宋_GB2312" w:eastAsia="仿宋_GB2312"/>
          <w:sz w:val="32"/>
          <w:szCs w:val="32"/>
        </w:rPr>
        <w:t>/</w:t>
      </w:r>
      <w:r>
        <w:rPr>
          <w:rFonts w:hint="eastAsia" w:ascii="仿宋_GB2312" w:hAnsi="仿宋_GB2312" w:eastAsia="仿宋_GB2312"/>
          <w:sz w:val="32"/>
          <w:szCs w:val="32"/>
        </w:rPr>
        <w:t>千瓦时）；</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（二）任何额外费用或附加费用（如充电超时占位费等）；</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（三）适用的优惠政策及适用条件等；</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（四）依法应向消费者标示的其他价格信息。</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经营者可以根据实际经营情况，自行标示与价格有关的其他信息。</w:t>
      </w:r>
    </w:p>
    <w:p>
      <w:pPr>
        <w:pStyle w:val="37"/>
        <w:numPr>
          <w:ilvl w:val="0"/>
          <w:numId w:val="1"/>
        </w:numPr>
        <w:spacing w:before="0" w:beforeLines="0" w:after="0" w:afterLines="0" w:line="560" w:lineRule="exact"/>
        <w:ind w:left="0" w:firstLine="640"/>
        <w:rPr>
          <w:rFonts w:ascii="仿宋_GB2312" w:hAnsi="仿宋_GB2312" w:eastAsia="仿宋_GB2312"/>
          <w:sz w:val="32"/>
          <w:szCs w:val="32"/>
        </w:rPr>
      </w:pPr>
      <w:bookmarkStart w:id="1" w:name="_Hlk174461792"/>
      <w:r>
        <w:rPr>
          <w:rFonts w:hint="eastAsia" w:ascii="仿宋_GB2312" w:hAnsi="仿宋_GB2312" w:eastAsia="仿宋_GB2312"/>
          <w:sz w:val="32"/>
          <w:szCs w:val="32"/>
        </w:rPr>
        <w:t>【不得收取未标示的费用】经营者</w:t>
      </w:r>
      <w:bookmarkEnd w:id="1"/>
      <w:r>
        <w:rPr>
          <w:rFonts w:hint="eastAsia" w:ascii="仿宋_GB2312" w:hAnsi="仿宋_GB2312" w:eastAsia="仿宋_GB2312"/>
          <w:sz w:val="32"/>
          <w:szCs w:val="32"/>
        </w:rPr>
        <w:t>在向用户收费时，不得在标价之外加价，不得收取任何未予标明的费用。</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【电价的标示要求】新能源汽车充电设施电价严格执行国家和省市的电价政策，不得在电价中包含除电价以外的任何其他费用。</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【电价的标示要求】执行峰谷分时电价的充电设施，在公示电价、服务费、充电总价及其他费用时，需完整公示一天二十四小时全部时段的峰谷分时电价及各项费用，以供用户比较选择。</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【电价期限的标示要求】经营者所标示的电价如果设有有效期限的，需注明有效期限，并在该有效期限届满后及时进行调整和更新。</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【价格的标示要求】经营者标示价格信息，一般使用阿拉伯数字标明人民币金额。</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【额外费用、附加费用的标示】经营者在提供充电服务的同时有偿提供任何其他产品或服务且需一并收取相关费用的，按照本指引的要求，对所提供的其他产品或服务进行明码标价。</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【优惠政策的标示】经营者若向用户提供任何优惠政策的（包括价格减免、积分、礼券、兑换券、代金券、会员优惠等），需对该优惠政策的内容、适用对象、适用条件、适用期限等进行标示。</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【其他需要标示的内容】经营者若采用先充值后扣费的模式与用户进行结算的，需提前告知用户付款方式</w:t>
      </w:r>
      <w:r>
        <w:rPr>
          <w:rFonts w:hint="eastAsia" w:ascii="仿宋_GB2312" w:hAnsi="仿宋_GB2312" w:eastAsia="仿宋_GB2312"/>
          <w:sz w:val="32"/>
          <w:szCs w:val="32"/>
          <w:lang w:eastAsia="zh-CN"/>
        </w:rPr>
        <w:t>及剩余钱款退款方式</w:t>
      </w:r>
      <w:r>
        <w:rPr>
          <w:rFonts w:hint="eastAsia" w:ascii="仿宋_GB2312" w:hAnsi="仿宋_GB2312" w:eastAsia="仿宋_GB2312"/>
          <w:sz w:val="32"/>
          <w:szCs w:val="32"/>
        </w:rPr>
        <w:t>。</w:t>
      </w:r>
    </w:p>
    <w:p>
      <w:pPr>
        <w:spacing w:before="0" w:beforeLines="0" w:after="0" w:afterLines="0" w:line="560" w:lineRule="exact"/>
        <w:jc w:val="center"/>
        <w:rPr>
          <w:rFonts w:ascii="黑体" w:hAnsi="黑体" w:eastAsia="黑体"/>
          <w:b/>
          <w:bCs/>
          <w:sz w:val="32"/>
          <w:szCs w:val="32"/>
        </w:rPr>
      </w:pPr>
    </w:p>
    <w:p>
      <w:pPr>
        <w:spacing w:before="0" w:beforeLines="0" w:after="0" w:afterLines="0" w:line="560" w:lineRule="exact"/>
        <w:jc w:val="center"/>
        <w:rPr>
          <w:rFonts w:ascii="黑体" w:hAnsi="黑体" w:eastAsia="黑体"/>
          <w:b/>
          <w:bCs/>
          <w:sz w:val="32"/>
          <w:szCs w:val="32"/>
        </w:rPr>
      </w:pPr>
      <w:r>
        <w:rPr>
          <w:rFonts w:hint="eastAsia" w:ascii="黑体" w:hAnsi="黑体" w:eastAsia="黑体"/>
          <w:b/>
          <w:bCs/>
          <w:sz w:val="32"/>
          <w:szCs w:val="32"/>
        </w:rPr>
        <w:t>第三章 明码标价的形式</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【总体要求】经营者依法以显著方式进行明码标价，所有标示的价格信息应真实、准确，并与实际执行的价格一致。</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【具体标价渠道】经营者通过以下渠道进行明码标价：</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（一）在新能源汽车充电设施的电子显示屏、其他显著位置或所在场所附近的显著位置公示价格信息；</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（二）在移动互联网应用程序、官方网站等网络服务渠道公示价格信息。</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【明码标价的方式】经营者可以选择采用标价牌、价目表（册）、展示板、电子屏幕、图片展示以及其他有效形式进行明码标价。鼓励经营者采用最有利于用户直接便捷获取和知悉价格信息的方式。</w:t>
      </w:r>
    </w:p>
    <w:p>
      <w:pPr>
        <w:pStyle w:val="37"/>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若因展示空间有限或其他合理理由无法直接标示全部价格信息的，经营者可以采用提供二维码、链接或一键直达按钮等形式进行明码标价，并尽可能减少用户为获取价格信息而需要进行操作的步骤。</w:t>
      </w:r>
    </w:p>
    <w:p>
      <w:pPr>
        <w:pStyle w:val="37"/>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鼓励经营者采用图片、动画等生动易懂的方式展示价格信息，便于用户快速准确理解。</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【公示信息一致性要求】经营者依法不得将在其他渠道所展示的价格信息作为向非该渠道用户进行收费的依据。</w:t>
      </w:r>
    </w:p>
    <w:p>
      <w:pPr>
        <w:pStyle w:val="37"/>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经营者在首页或者其他显著位置标示的价格不得低于在详情页面标示的价格。</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【公示的环节要求】本指引要求进行明码标价的各项信息应当在充电启动前告知用户。</w:t>
      </w:r>
    </w:p>
    <w:p>
      <w:pPr>
        <w:pStyle w:val="37"/>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经营者可以通过设置确认按钮等方式确保用户已知悉应当公示的价格信息。</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【出具结算清单要求】在用户充电结束后，进行结算前，经营者</w:t>
      </w:r>
      <w:r>
        <w:rPr>
          <w:rFonts w:hint="eastAsia" w:ascii="仿宋_GB2312" w:hAnsi="仿宋_GB2312" w:eastAsia="仿宋_GB2312"/>
          <w:sz w:val="32"/>
          <w:szCs w:val="32"/>
          <w:lang w:eastAsia="zh-CN"/>
        </w:rPr>
        <w:t>依法</w:t>
      </w:r>
      <w:r>
        <w:rPr>
          <w:rFonts w:hint="eastAsia" w:ascii="仿宋_GB2312" w:hAnsi="仿宋_GB2312" w:eastAsia="仿宋_GB2312"/>
          <w:sz w:val="32"/>
          <w:szCs w:val="32"/>
        </w:rPr>
        <w:t>向用户出具结算清单，列明充电桩编号、充电时间、充电电量、所有收费项目、各项目的价格、优惠减免的价格以及总收费金额等信息。</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【及时更新要求】本指引要求进行明码标价的各项信息如果发生变动的，经营者</w:t>
      </w:r>
      <w:r>
        <w:rPr>
          <w:rFonts w:hint="eastAsia" w:ascii="仿宋_GB2312" w:hAnsi="仿宋_GB2312" w:eastAsia="仿宋_GB2312"/>
          <w:sz w:val="32"/>
          <w:szCs w:val="32"/>
          <w:lang w:eastAsia="zh-CN"/>
        </w:rPr>
        <w:t>依法</w:t>
      </w:r>
      <w:r>
        <w:rPr>
          <w:rFonts w:hint="eastAsia" w:ascii="仿宋_GB2312" w:hAnsi="仿宋_GB2312" w:eastAsia="仿宋_GB2312"/>
          <w:sz w:val="32"/>
          <w:szCs w:val="32"/>
        </w:rPr>
        <w:t>及时调整和更新。</w:t>
      </w:r>
    </w:p>
    <w:p>
      <w:pPr>
        <w:spacing w:before="0" w:beforeLines="0" w:after="0" w:afterLines="0" w:line="560" w:lineRule="exact"/>
        <w:jc w:val="center"/>
        <w:rPr>
          <w:rFonts w:ascii="黑体" w:hAnsi="黑体" w:eastAsia="黑体"/>
          <w:b/>
          <w:bCs/>
          <w:sz w:val="32"/>
          <w:szCs w:val="32"/>
        </w:rPr>
      </w:pPr>
    </w:p>
    <w:p>
      <w:pPr>
        <w:spacing w:before="0" w:beforeLines="0" w:after="0" w:afterLines="0" w:line="560" w:lineRule="exact"/>
        <w:jc w:val="center"/>
        <w:rPr>
          <w:rFonts w:ascii="黑体" w:hAnsi="黑体" w:eastAsia="黑体"/>
          <w:b/>
          <w:bCs/>
          <w:sz w:val="32"/>
          <w:szCs w:val="32"/>
        </w:rPr>
      </w:pPr>
      <w:r>
        <w:rPr>
          <w:rFonts w:hint="eastAsia" w:ascii="黑体" w:hAnsi="黑体" w:eastAsia="黑体"/>
          <w:b/>
          <w:bCs/>
          <w:sz w:val="32"/>
          <w:szCs w:val="32"/>
        </w:rPr>
        <w:t>第四章 监督管理及法律责任</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【经营者的管理和自查义务】</w:t>
      </w:r>
      <w:r>
        <w:rPr>
          <w:rFonts w:hint="eastAsia" w:ascii="仿宋_GB2312" w:hAnsi="仿宋_GB2312" w:eastAsia="仿宋_GB2312"/>
          <w:sz w:val="32"/>
          <w:szCs w:val="32"/>
          <w:lang w:eastAsia="zh-CN"/>
        </w:rPr>
        <w:t>鼓励</w:t>
      </w:r>
      <w:r>
        <w:rPr>
          <w:rFonts w:hint="eastAsia" w:ascii="仿宋_GB2312" w:hAnsi="仿宋_GB2312" w:eastAsia="仿宋_GB2312"/>
          <w:sz w:val="32"/>
          <w:szCs w:val="32"/>
        </w:rPr>
        <w:t>经营者建立健全价格管理制度，加强员工培训，确保明码标价工作的有效落实。</w:t>
      </w:r>
    </w:p>
    <w:p>
      <w:pPr>
        <w:pStyle w:val="37"/>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鼓励</w:t>
      </w:r>
      <w:r>
        <w:rPr>
          <w:rFonts w:hint="eastAsia" w:ascii="仿宋_GB2312" w:hAnsi="仿宋_GB2312" w:eastAsia="仿宋_GB2312"/>
          <w:sz w:val="32"/>
          <w:szCs w:val="32"/>
        </w:rPr>
        <w:t>经营者定期对明码标价的落实情况进行自查，并对发现的问题及时整改。</w:t>
      </w:r>
    </w:p>
    <w:p>
      <w:pPr>
        <w:pStyle w:val="37"/>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鼓励</w:t>
      </w:r>
      <w:r>
        <w:rPr>
          <w:rFonts w:hint="eastAsia" w:ascii="仿宋_GB2312" w:hAnsi="仿宋_GB2312" w:eastAsia="仿宋_GB2312"/>
          <w:sz w:val="32"/>
          <w:szCs w:val="32"/>
        </w:rPr>
        <w:t>经营者建立服务投诉处理机制，及时受理和处理用户咨询和投诉。</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【第三方充电服务平台的义务】第三方充电服务平台依法配合市场监督管理部门对平台内经营者开展价格监督管理工作。</w:t>
      </w:r>
    </w:p>
    <w:p>
      <w:pPr>
        <w:pStyle w:val="37"/>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第三方充电服务平台发现平台内经营者有违反明码标价相关规定的行为的，依法采取必要处置措施，保存有关信息记录，依法承担相应义务和责任。</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【消费者的监督】消费者有权要求经营者对标价行为进行解释，并对经营者违反本指引的行为进行投诉。</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【行业协会的自律作用】鼓励相关行业协会发挥行业自律作用，监督经营者的明码标价行为，推动新能源汽车充电行业价格的规范与稳定。</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【监管部门的监督】市场监督管理部门依法向消费者告知明码标价行为监督投诉热线，接受消费者对明码标价违法行为的举报。</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【法律责任】经营者违反明码标价规定的，由市场监督管理部门依照《中华人民共和国价格法》《价格违法行为行政处罚规定》及国家市场监督管理总局《明码标价和禁止价格欺诈规定》等有关规定进行处罚。</w:t>
      </w:r>
    </w:p>
    <w:p>
      <w:pPr>
        <w:spacing w:before="0" w:beforeLines="0" w:after="0" w:afterLines="0" w:line="560" w:lineRule="exact"/>
        <w:jc w:val="center"/>
        <w:rPr>
          <w:rFonts w:ascii="黑体" w:hAnsi="黑体" w:eastAsia="黑体"/>
          <w:b/>
          <w:bCs/>
          <w:sz w:val="32"/>
          <w:szCs w:val="32"/>
        </w:rPr>
      </w:pPr>
    </w:p>
    <w:p>
      <w:pPr>
        <w:spacing w:before="0" w:beforeLines="0" w:after="0" w:afterLines="0" w:line="560" w:lineRule="exact"/>
        <w:jc w:val="center"/>
        <w:rPr>
          <w:rFonts w:ascii="黑体" w:hAnsi="黑体" w:eastAsia="黑体"/>
          <w:b/>
          <w:bCs/>
          <w:sz w:val="32"/>
          <w:szCs w:val="32"/>
        </w:rPr>
      </w:pPr>
      <w:r>
        <w:rPr>
          <w:rFonts w:hint="eastAsia" w:ascii="黑体" w:hAnsi="黑体" w:eastAsia="黑体"/>
          <w:b/>
          <w:bCs/>
          <w:sz w:val="32"/>
          <w:szCs w:val="32"/>
        </w:rPr>
        <w:t>第五章 附则</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【定义】本指引所称新能源汽车充电设施经营者包括：新能源汽车充电设施运营企业、个体经营者、以及第三方充电服务平台运营企业等。</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本指引所称第三方充电服务平台是指通过自身的资源整合能力将非本企业的充电设施接入自家互联网软件服务平台，为用户提供一站式充电服务体验的平台。</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【解释权】本指引由深圳市市场监督管理局负责解释。</w:t>
      </w:r>
    </w:p>
    <w:p>
      <w:pPr>
        <w:pStyle w:val="37"/>
        <w:numPr>
          <w:ilvl w:val="0"/>
          <w:numId w:val="1"/>
        </w:numPr>
        <w:spacing w:before="0" w:beforeLines="0" w:after="0" w:afterLines="0" w:line="560" w:lineRule="exact"/>
        <w:ind w:left="0" w:firstLine="640" w:firstLineChars="200"/>
        <w:rPr>
          <w:rFonts w:ascii="仿宋_GB2312" w:hAnsi="仿宋_GB2312" w:eastAsia="仿宋_GB2312"/>
          <w:sz w:val="32"/>
          <w:szCs w:val="32"/>
        </w:rPr>
      </w:pPr>
      <w:r>
        <w:rPr>
          <w:rFonts w:hint="eastAsia" w:ascii="仿宋_GB2312" w:hAnsi="仿宋_GB2312" w:eastAsia="仿宋_GB2312"/>
          <w:sz w:val="32"/>
          <w:szCs w:val="32"/>
        </w:rPr>
        <w:t>【指引的效力】本指引并非规范性文件，仅对经营者明码标价行为作出一般性指引，不具有强制性。经营者可以结合自身特点，细化完善明码标价内容。法律法规规章另有规定的，从其规定。</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397"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等线">
    <w:altName w:val="URW Book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8268706"/>
    </w:sdtPr>
    <w:sdtContent>
      <w:sdt>
        <w:sdtPr>
          <w:id w:val="1728636285"/>
        </w:sdtPr>
        <w:sdtContent>
          <w:p>
            <w:pPr>
              <w:pStyle w:val="12"/>
              <w:spacing w:before="120" w:after="12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2"/>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21046"/>
    <w:multiLevelType w:val="multilevel"/>
    <w:tmpl w:val="37E21046"/>
    <w:lvl w:ilvl="0" w:tentative="0">
      <w:start w:val="1"/>
      <w:numFmt w:val="japaneseCounting"/>
      <w:lvlText w:val="第%1条"/>
      <w:lvlJc w:val="left"/>
      <w:pPr>
        <w:ind w:left="4253" w:hanging="425"/>
      </w:pPr>
      <w:rPr>
        <w:rFonts w:hint="default"/>
        <w:b/>
        <w:i w:val="0"/>
        <w:sz w:val="32"/>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xNTdhZWZkYTAyMmQ2NmMyZGFlMzc0Mzk2ZTE0OTYifQ=="/>
  </w:docVars>
  <w:rsids>
    <w:rsidRoot w:val="006E4BA6"/>
    <w:rsid w:val="00000CB4"/>
    <w:rsid w:val="00005627"/>
    <w:rsid w:val="000069BC"/>
    <w:rsid w:val="00012F35"/>
    <w:rsid w:val="00017C06"/>
    <w:rsid w:val="00017C46"/>
    <w:rsid w:val="0002280E"/>
    <w:rsid w:val="000277BE"/>
    <w:rsid w:val="000326D6"/>
    <w:rsid w:val="00035F4D"/>
    <w:rsid w:val="000368CA"/>
    <w:rsid w:val="000413A9"/>
    <w:rsid w:val="00047510"/>
    <w:rsid w:val="00055914"/>
    <w:rsid w:val="00061312"/>
    <w:rsid w:val="00063425"/>
    <w:rsid w:val="00071447"/>
    <w:rsid w:val="000774BC"/>
    <w:rsid w:val="00081378"/>
    <w:rsid w:val="00084B8B"/>
    <w:rsid w:val="00087C3A"/>
    <w:rsid w:val="00093121"/>
    <w:rsid w:val="000A128A"/>
    <w:rsid w:val="000A45B4"/>
    <w:rsid w:val="000A60F1"/>
    <w:rsid w:val="000B4AFF"/>
    <w:rsid w:val="000C2325"/>
    <w:rsid w:val="000C2943"/>
    <w:rsid w:val="000C4C9A"/>
    <w:rsid w:val="000D1B76"/>
    <w:rsid w:val="000D4B07"/>
    <w:rsid w:val="000D628F"/>
    <w:rsid w:val="000D6B1A"/>
    <w:rsid w:val="000E188C"/>
    <w:rsid w:val="000E191B"/>
    <w:rsid w:val="000E21CA"/>
    <w:rsid w:val="000E4190"/>
    <w:rsid w:val="000E574B"/>
    <w:rsid w:val="000E689A"/>
    <w:rsid w:val="000E710E"/>
    <w:rsid w:val="000F47A5"/>
    <w:rsid w:val="000F4DD8"/>
    <w:rsid w:val="000F56E2"/>
    <w:rsid w:val="001004CA"/>
    <w:rsid w:val="0010281B"/>
    <w:rsid w:val="00107E76"/>
    <w:rsid w:val="0011033C"/>
    <w:rsid w:val="00110C2B"/>
    <w:rsid w:val="001173DC"/>
    <w:rsid w:val="00117CA2"/>
    <w:rsid w:val="0012033D"/>
    <w:rsid w:val="00121D67"/>
    <w:rsid w:val="00137B60"/>
    <w:rsid w:val="00147B09"/>
    <w:rsid w:val="00153154"/>
    <w:rsid w:val="00154853"/>
    <w:rsid w:val="0016232F"/>
    <w:rsid w:val="001902B8"/>
    <w:rsid w:val="001914BE"/>
    <w:rsid w:val="00193212"/>
    <w:rsid w:val="001977F3"/>
    <w:rsid w:val="001A6C4D"/>
    <w:rsid w:val="001B38AE"/>
    <w:rsid w:val="001B3D96"/>
    <w:rsid w:val="001B5827"/>
    <w:rsid w:val="001B68FA"/>
    <w:rsid w:val="001B6DF9"/>
    <w:rsid w:val="001C0C5A"/>
    <w:rsid w:val="001C0F77"/>
    <w:rsid w:val="001C1F1A"/>
    <w:rsid w:val="001D23BB"/>
    <w:rsid w:val="001D5ECE"/>
    <w:rsid w:val="001D628E"/>
    <w:rsid w:val="001E1367"/>
    <w:rsid w:val="001E3A19"/>
    <w:rsid w:val="001E4681"/>
    <w:rsid w:val="001E50E9"/>
    <w:rsid w:val="001E7341"/>
    <w:rsid w:val="001F5E9E"/>
    <w:rsid w:val="00204AFC"/>
    <w:rsid w:val="002060AF"/>
    <w:rsid w:val="0022382E"/>
    <w:rsid w:val="002267FB"/>
    <w:rsid w:val="00234320"/>
    <w:rsid w:val="00242F8A"/>
    <w:rsid w:val="002455B4"/>
    <w:rsid w:val="00246AE5"/>
    <w:rsid w:val="00246CA3"/>
    <w:rsid w:val="002472A0"/>
    <w:rsid w:val="00252413"/>
    <w:rsid w:val="0025472E"/>
    <w:rsid w:val="00262BB6"/>
    <w:rsid w:val="00265C30"/>
    <w:rsid w:val="002735E9"/>
    <w:rsid w:val="0027475E"/>
    <w:rsid w:val="002802A3"/>
    <w:rsid w:val="002873E1"/>
    <w:rsid w:val="00287AD4"/>
    <w:rsid w:val="00291FDA"/>
    <w:rsid w:val="00295064"/>
    <w:rsid w:val="00295924"/>
    <w:rsid w:val="002A22A8"/>
    <w:rsid w:val="002A33AA"/>
    <w:rsid w:val="002A7DF6"/>
    <w:rsid w:val="002B4C53"/>
    <w:rsid w:val="002B558B"/>
    <w:rsid w:val="002C5211"/>
    <w:rsid w:val="002C5EB1"/>
    <w:rsid w:val="002D400F"/>
    <w:rsid w:val="002E0AB0"/>
    <w:rsid w:val="002E3B41"/>
    <w:rsid w:val="002E4811"/>
    <w:rsid w:val="00302541"/>
    <w:rsid w:val="00305A68"/>
    <w:rsid w:val="0030696B"/>
    <w:rsid w:val="00311ED7"/>
    <w:rsid w:val="00312D4B"/>
    <w:rsid w:val="003176E1"/>
    <w:rsid w:val="00321042"/>
    <w:rsid w:val="00321C2F"/>
    <w:rsid w:val="00321F86"/>
    <w:rsid w:val="0032224F"/>
    <w:rsid w:val="00323AE0"/>
    <w:rsid w:val="00325B4A"/>
    <w:rsid w:val="0033448F"/>
    <w:rsid w:val="00344C30"/>
    <w:rsid w:val="00345072"/>
    <w:rsid w:val="00345833"/>
    <w:rsid w:val="0034643A"/>
    <w:rsid w:val="00346D36"/>
    <w:rsid w:val="00350DDE"/>
    <w:rsid w:val="00356AD0"/>
    <w:rsid w:val="00357EC2"/>
    <w:rsid w:val="00370A0A"/>
    <w:rsid w:val="00374B63"/>
    <w:rsid w:val="003871EC"/>
    <w:rsid w:val="00387A66"/>
    <w:rsid w:val="0039407B"/>
    <w:rsid w:val="00396C6E"/>
    <w:rsid w:val="003A1A17"/>
    <w:rsid w:val="003A1DFD"/>
    <w:rsid w:val="003A41FD"/>
    <w:rsid w:val="003B0939"/>
    <w:rsid w:val="003B2894"/>
    <w:rsid w:val="003B62D9"/>
    <w:rsid w:val="003C0582"/>
    <w:rsid w:val="003C3A32"/>
    <w:rsid w:val="003D514A"/>
    <w:rsid w:val="003D7E8B"/>
    <w:rsid w:val="003E735E"/>
    <w:rsid w:val="003E7821"/>
    <w:rsid w:val="003F5282"/>
    <w:rsid w:val="003F749E"/>
    <w:rsid w:val="004001D0"/>
    <w:rsid w:val="00400ED7"/>
    <w:rsid w:val="00405DBB"/>
    <w:rsid w:val="004077F1"/>
    <w:rsid w:val="0041452B"/>
    <w:rsid w:val="00420C78"/>
    <w:rsid w:val="00431371"/>
    <w:rsid w:val="004323FB"/>
    <w:rsid w:val="00435734"/>
    <w:rsid w:val="004358AF"/>
    <w:rsid w:val="0044207B"/>
    <w:rsid w:val="00442C2A"/>
    <w:rsid w:val="0045373B"/>
    <w:rsid w:val="004576FF"/>
    <w:rsid w:val="004605A0"/>
    <w:rsid w:val="00460F97"/>
    <w:rsid w:val="00462D4F"/>
    <w:rsid w:val="00464E3A"/>
    <w:rsid w:val="004658AE"/>
    <w:rsid w:val="0047301E"/>
    <w:rsid w:val="00473B66"/>
    <w:rsid w:val="00480446"/>
    <w:rsid w:val="004914A2"/>
    <w:rsid w:val="00491C3E"/>
    <w:rsid w:val="00492279"/>
    <w:rsid w:val="004A2B7A"/>
    <w:rsid w:val="004A3098"/>
    <w:rsid w:val="004A3994"/>
    <w:rsid w:val="004B007B"/>
    <w:rsid w:val="004B21C2"/>
    <w:rsid w:val="004B2616"/>
    <w:rsid w:val="004B3632"/>
    <w:rsid w:val="004C5A0B"/>
    <w:rsid w:val="004C6D46"/>
    <w:rsid w:val="004D124B"/>
    <w:rsid w:val="004D7D30"/>
    <w:rsid w:val="004E2F7C"/>
    <w:rsid w:val="004E52FD"/>
    <w:rsid w:val="004E5F80"/>
    <w:rsid w:val="004F01EA"/>
    <w:rsid w:val="004F0253"/>
    <w:rsid w:val="0050591E"/>
    <w:rsid w:val="005102B4"/>
    <w:rsid w:val="00510D9F"/>
    <w:rsid w:val="005235DD"/>
    <w:rsid w:val="005306D4"/>
    <w:rsid w:val="00531156"/>
    <w:rsid w:val="00536084"/>
    <w:rsid w:val="00536739"/>
    <w:rsid w:val="0053696F"/>
    <w:rsid w:val="0054292E"/>
    <w:rsid w:val="005461E8"/>
    <w:rsid w:val="00562B2A"/>
    <w:rsid w:val="0057275C"/>
    <w:rsid w:val="0057305D"/>
    <w:rsid w:val="00581B22"/>
    <w:rsid w:val="00584C0E"/>
    <w:rsid w:val="00597F83"/>
    <w:rsid w:val="005A0657"/>
    <w:rsid w:val="005B1D0C"/>
    <w:rsid w:val="005C1004"/>
    <w:rsid w:val="005C16A7"/>
    <w:rsid w:val="005C288A"/>
    <w:rsid w:val="005C7FAE"/>
    <w:rsid w:val="005D0654"/>
    <w:rsid w:val="005E0280"/>
    <w:rsid w:val="005E17D2"/>
    <w:rsid w:val="005E283A"/>
    <w:rsid w:val="005F06CA"/>
    <w:rsid w:val="005F2973"/>
    <w:rsid w:val="00604274"/>
    <w:rsid w:val="00612C8A"/>
    <w:rsid w:val="00614772"/>
    <w:rsid w:val="00615FBB"/>
    <w:rsid w:val="006249F5"/>
    <w:rsid w:val="006269B8"/>
    <w:rsid w:val="00630C19"/>
    <w:rsid w:val="00634CD8"/>
    <w:rsid w:val="00635B0E"/>
    <w:rsid w:val="006455B3"/>
    <w:rsid w:val="006527D0"/>
    <w:rsid w:val="00652D74"/>
    <w:rsid w:val="00661002"/>
    <w:rsid w:val="00661283"/>
    <w:rsid w:val="00664747"/>
    <w:rsid w:val="00671863"/>
    <w:rsid w:val="00672625"/>
    <w:rsid w:val="00674578"/>
    <w:rsid w:val="0067584C"/>
    <w:rsid w:val="00691EB1"/>
    <w:rsid w:val="00692049"/>
    <w:rsid w:val="006A22A2"/>
    <w:rsid w:val="006A5258"/>
    <w:rsid w:val="006A7732"/>
    <w:rsid w:val="006A77CC"/>
    <w:rsid w:val="006A7A90"/>
    <w:rsid w:val="006B0E11"/>
    <w:rsid w:val="006B34CB"/>
    <w:rsid w:val="006C37BB"/>
    <w:rsid w:val="006C48EC"/>
    <w:rsid w:val="006D374A"/>
    <w:rsid w:val="006D40FA"/>
    <w:rsid w:val="006D4730"/>
    <w:rsid w:val="006E455E"/>
    <w:rsid w:val="006E4BA6"/>
    <w:rsid w:val="006E501B"/>
    <w:rsid w:val="007004C4"/>
    <w:rsid w:val="00710BDF"/>
    <w:rsid w:val="0071109A"/>
    <w:rsid w:val="007122DC"/>
    <w:rsid w:val="00715CE5"/>
    <w:rsid w:val="0072123A"/>
    <w:rsid w:val="007275E4"/>
    <w:rsid w:val="007278DE"/>
    <w:rsid w:val="00730DF7"/>
    <w:rsid w:val="0074111A"/>
    <w:rsid w:val="0074797B"/>
    <w:rsid w:val="0075141A"/>
    <w:rsid w:val="00753D99"/>
    <w:rsid w:val="00756D00"/>
    <w:rsid w:val="00765368"/>
    <w:rsid w:val="00770183"/>
    <w:rsid w:val="00772F3F"/>
    <w:rsid w:val="00777F0C"/>
    <w:rsid w:val="00785038"/>
    <w:rsid w:val="007863AF"/>
    <w:rsid w:val="007A645B"/>
    <w:rsid w:val="007A74A7"/>
    <w:rsid w:val="007A7E46"/>
    <w:rsid w:val="007B6898"/>
    <w:rsid w:val="007C2D62"/>
    <w:rsid w:val="007C45AB"/>
    <w:rsid w:val="007D11B1"/>
    <w:rsid w:val="007D2C97"/>
    <w:rsid w:val="007F09F0"/>
    <w:rsid w:val="007F101F"/>
    <w:rsid w:val="0080004B"/>
    <w:rsid w:val="0080149D"/>
    <w:rsid w:val="00801A4D"/>
    <w:rsid w:val="00802E6E"/>
    <w:rsid w:val="00804B45"/>
    <w:rsid w:val="00807C10"/>
    <w:rsid w:val="00811940"/>
    <w:rsid w:val="008150CC"/>
    <w:rsid w:val="00816AEC"/>
    <w:rsid w:val="008202A1"/>
    <w:rsid w:val="00822575"/>
    <w:rsid w:val="008256ED"/>
    <w:rsid w:val="00827F6C"/>
    <w:rsid w:val="0083417A"/>
    <w:rsid w:val="00834BE6"/>
    <w:rsid w:val="0083564F"/>
    <w:rsid w:val="00836DA2"/>
    <w:rsid w:val="0084046B"/>
    <w:rsid w:val="00857C4A"/>
    <w:rsid w:val="00861664"/>
    <w:rsid w:val="008640A7"/>
    <w:rsid w:val="008661EB"/>
    <w:rsid w:val="008669C9"/>
    <w:rsid w:val="00880AB9"/>
    <w:rsid w:val="00882B92"/>
    <w:rsid w:val="008901BF"/>
    <w:rsid w:val="0089255B"/>
    <w:rsid w:val="008942C1"/>
    <w:rsid w:val="00897563"/>
    <w:rsid w:val="008A1049"/>
    <w:rsid w:val="008A648C"/>
    <w:rsid w:val="008A7AF1"/>
    <w:rsid w:val="008B14DE"/>
    <w:rsid w:val="008B7B85"/>
    <w:rsid w:val="008C08FE"/>
    <w:rsid w:val="008C3037"/>
    <w:rsid w:val="008C411E"/>
    <w:rsid w:val="008C4965"/>
    <w:rsid w:val="008D110D"/>
    <w:rsid w:val="008D257F"/>
    <w:rsid w:val="008D79A1"/>
    <w:rsid w:val="008E29CF"/>
    <w:rsid w:val="008E7C1F"/>
    <w:rsid w:val="008F5BBF"/>
    <w:rsid w:val="009016F0"/>
    <w:rsid w:val="00906EF3"/>
    <w:rsid w:val="00911861"/>
    <w:rsid w:val="0091291F"/>
    <w:rsid w:val="00917330"/>
    <w:rsid w:val="00931821"/>
    <w:rsid w:val="00931903"/>
    <w:rsid w:val="00932621"/>
    <w:rsid w:val="00932CCF"/>
    <w:rsid w:val="00936B40"/>
    <w:rsid w:val="00960665"/>
    <w:rsid w:val="00962DF8"/>
    <w:rsid w:val="009700DE"/>
    <w:rsid w:val="009710F7"/>
    <w:rsid w:val="00972B30"/>
    <w:rsid w:val="00973D0F"/>
    <w:rsid w:val="00974DA7"/>
    <w:rsid w:val="00982A8D"/>
    <w:rsid w:val="0098424C"/>
    <w:rsid w:val="00994AFC"/>
    <w:rsid w:val="009A0D72"/>
    <w:rsid w:val="009B46A8"/>
    <w:rsid w:val="009C06DA"/>
    <w:rsid w:val="009C3227"/>
    <w:rsid w:val="009D31C0"/>
    <w:rsid w:val="009D5941"/>
    <w:rsid w:val="009D74A1"/>
    <w:rsid w:val="009E0019"/>
    <w:rsid w:val="009E05EB"/>
    <w:rsid w:val="009E23D1"/>
    <w:rsid w:val="009E3B05"/>
    <w:rsid w:val="009E5709"/>
    <w:rsid w:val="009E5D0B"/>
    <w:rsid w:val="009F2796"/>
    <w:rsid w:val="00A036F3"/>
    <w:rsid w:val="00A07458"/>
    <w:rsid w:val="00A120C1"/>
    <w:rsid w:val="00A1322C"/>
    <w:rsid w:val="00A14B98"/>
    <w:rsid w:val="00A15024"/>
    <w:rsid w:val="00A22752"/>
    <w:rsid w:val="00A236BF"/>
    <w:rsid w:val="00A24F59"/>
    <w:rsid w:val="00A25339"/>
    <w:rsid w:val="00A31CC8"/>
    <w:rsid w:val="00A339DF"/>
    <w:rsid w:val="00A36420"/>
    <w:rsid w:val="00A4288F"/>
    <w:rsid w:val="00A45510"/>
    <w:rsid w:val="00A46AE8"/>
    <w:rsid w:val="00A50CE9"/>
    <w:rsid w:val="00A552A5"/>
    <w:rsid w:val="00A61364"/>
    <w:rsid w:val="00A6176B"/>
    <w:rsid w:val="00A65B1D"/>
    <w:rsid w:val="00A71164"/>
    <w:rsid w:val="00A72878"/>
    <w:rsid w:val="00A74A31"/>
    <w:rsid w:val="00A81CF8"/>
    <w:rsid w:val="00A82065"/>
    <w:rsid w:val="00A840A1"/>
    <w:rsid w:val="00A84C93"/>
    <w:rsid w:val="00A93627"/>
    <w:rsid w:val="00A959DE"/>
    <w:rsid w:val="00A966EB"/>
    <w:rsid w:val="00A96F10"/>
    <w:rsid w:val="00AA52D8"/>
    <w:rsid w:val="00AC4119"/>
    <w:rsid w:val="00AC4C03"/>
    <w:rsid w:val="00AC5E90"/>
    <w:rsid w:val="00AD02F3"/>
    <w:rsid w:val="00AD0AA5"/>
    <w:rsid w:val="00AD5653"/>
    <w:rsid w:val="00AE1EF8"/>
    <w:rsid w:val="00AF26AB"/>
    <w:rsid w:val="00B05565"/>
    <w:rsid w:val="00B11758"/>
    <w:rsid w:val="00B21E48"/>
    <w:rsid w:val="00B320F6"/>
    <w:rsid w:val="00B41A66"/>
    <w:rsid w:val="00B42E8A"/>
    <w:rsid w:val="00B42F55"/>
    <w:rsid w:val="00B442D3"/>
    <w:rsid w:val="00B4480E"/>
    <w:rsid w:val="00B44840"/>
    <w:rsid w:val="00B51086"/>
    <w:rsid w:val="00B53309"/>
    <w:rsid w:val="00B55765"/>
    <w:rsid w:val="00B640D7"/>
    <w:rsid w:val="00B665E2"/>
    <w:rsid w:val="00B67A3D"/>
    <w:rsid w:val="00B84EE2"/>
    <w:rsid w:val="00B901BD"/>
    <w:rsid w:val="00B9260C"/>
    <w:rsid w:val="00B931D8"/>
    <w:rsid w:val="00B94E4D"/>
    <w:rsid w:val="00BA2120"/>
    <w:rsid w:val="00BA36E1"/>
    <w:rsid w:val="00BB0201"/>
    <w:rsid w:val="00BB7CD9"/>
    <w:rsid w:val="00BC10D2"/>
    <w:rsid w:val="00BC1EE1"/>
    <w:rsid w:val="00BD4C2F"/>
    <w:rsid w:val="00BD4F15"/>
    <w:rsid w:val="00BE1B1D"/>
    <w:rsid w:val="00BE2DF4"/>
    <w:rsid w:val="00BE54DA"/>
    <w:rsid w:val="00BE5EF8"/>
    <w:rsid w:val="00BE642B"/>
    <w:rsid w:val="00BE67C0"/>
    <w:rsid w:val="00BF325C"/>
    <w:rsid w:val="00BF6F1F"/>
    <w:rsid w:val="00C072C8"/>
    <w:rsid w:val="00C078B5"/>
    <w:rsid w:val="00C07C63"/>
    <w:rsid w:val="00C22147"/>
    <w:rsid w:val="00C24008"/>
    <w:rsid w:val="00C25AE1"/>
    <w:rsid w:val="00C30B11"/>
    <w:rsid w:val="00C33D3F"/>
    <w:rsid w:val="00C347C8"/>
    <w:rsid w:val="00C36342"/>
    <w:rsid w:val="00C36443"/>
    <w:rsid w:val="00C40CC3"/>
    <w:rsid w:val="00C4244D"/>
    <w:rsid w:val="00C43887"/>
    <w:rsid w:val="00C47339"/>
    <w:rsid w:val="00C52513"/>
    <w:rsid w:val="00C57318"/>
    <w:rsid w:val="00C61B50"/>
    <w:rsid w:val="00C71D79"/>
    <w:rsid w:val="00C87227"/>
    <w:rsid w:val="00CA2231"/>
    <w:rsid w:val="00CA2458"/>
    <w:rsid w:val="00CB2A10"/>
    <w:rsid w:val="00CB535D"/>
    <w:rsid w:val="00CC3DEC"/>
    <w:rsid w:val="00CC4217"/>
    <w:rsid w:val="00CC4CA6"/>
    <w:rsid w:val="00CC557B"/>
    <w:rsid w:val="00CC56CF"/>
    <w:rsid w:val="00CC5D5C"/>
    <w:rsid w:val="00CD1684"/>
    <w:rsid w:val="00CD3AE9"/>
    <w:rsid w:val="00CE2AD2"/>
    <w:rsid w:val="00CE433D"/>
    <w:rsid w:val="00CE5542"/>
    <w:rsid w:val="00CE6353"/>
    <w:rsid w:val="00CF03C7"/>
    <w:rsid w:val="00CF1DE1"/>
    <w:rsid w:val="00CF2BF4"/>
    <w:rsid w:val="00CF4255"/>
    <w:rsid w:val="00D00956"/>
    <w:rsid w:val="00D00B91"/>
    <w:rsid w:val="00D0182E"/>
    <w:rsid w:val="00D019E2"/>
    <w:rsid w:val="00D05004"/>
    <w:rsid w:val="00D10D65"/>
    <w:rsid w:val="00D43A4A"/>
    <w:rsid w:val="00D77739"/>
    <w:rsid w:val="00D8398C"/>
    <w:rsid w:val="00D854FB"/>
    <w:rsid w:val="00D96D91"/>
    <w:rsid w:val="00D9704D"/>
    <w:rsid w:val="00DA429C"/>
    <w:rsid w:val="00DA490A"/>
    <w:rsid w:val="00DA4A24"/>
    <w:rsid w:val="00DA7100"/>
    <w:rsid w:val="00DB0D11"/>
    <w:rsid w:val="00DB21AB"/>
    <w:rsid w:val="00DB3E3E"/>
    <w:rsid w:val="00DB5CAF"/>
    <w:rsid w:val="00DC224F"/>
    <w:rsid w:val="00DD0CA4"/>
    <w:rsid w:val="00DD78BE"/>
    <w:rsid w:val="00DE1A83"/>
    <w:rsid w:val="00DE2BC4"/>
    <w:rsid w:val="00DE475D"/>
    <w:rsid w:val="00DF0850"/>
    <w:rsid w:val="00DF21C7"/>
    <w:rsid w:val="00DF450D"/>
    <w:rsid w:val="00DF55C0"/>
    <w:rsid w:val="00DF562B"/>
    <w:rsid w:val="00E11CBF"/>
    <w:rsid w:val="00E12746"/>
    <w:rsid w:val="00E13350"/>
    <w:rsid w:val="00E14353"/>
    <w:rsid w:val="00E20531"/>
    <w:rsid w:val="00E2232A"/>
    <w:rsid w:val="00E25A4F"/>
    <w:rsid w:val="00E41AAA"/>
    <w:rsid w:val="00E43045"/>
    <w:rsid w:val="00E47253"/>
    <w:rsid w:val="00E53BE8"/>
    <w:rsid w:val="00E56516"/>
    <w:rsid w:val="00E63A3A"/>
    <w:rsid w:val="00E6728A"/>
    <w:rsid w:val="00E74D35"/>
    <w:rsid w:val="00E81396"/>
    <w:rsid w:val="00E8276B"/>
    <w:rsid w:val="00E902BF"/>
    <w:rsid w:val="00E90D20"/>
    <w:rsid w:val="00E90EE4"/>
    <w:rsid w:val="00EA1D30"/>
    <w:rsid w:val="00EA3669"/>
    <w:rsid w:val="00EB1922"/>
    <w:rsid w:val="00EC5B6A"/>
    <w:rsid w:val="00EC5D96"/>
    <w:rsid w:val="00EC67DA"/>
    <w:rsid w:val="00ED4DB7"/>
    <w:rsid w:val="00ED6C32"/>
    <w:rsid w:val="00ED7349"/>
    <w:rsid w:val="00EE045B"/>
    <w:rsid w:val="00EE2319"/>
    <w:rsid w:val="00EE30F5"/>
    <w:rsid w:val="00EE3222"/>
    <w:rsid w:val="00EE68DF"/>
    <w:rsid w:val="00EF18E1"/>
    <w:rsid w:val="00EF4956"/>
    <w:rsid w:val="00EF6591"/>
    <w:rsid w:val="00EF67A6"/>
    <w:rsid w:val="00EF7B4F"/>
    <w:rsid w:val="00F04DD3"/>
    <w:rsid w:val="00F15C33"/>
    <w:rsid w:val="00F163F3"/>
    <w:rsid w:val="00F16986"/>
    <w:rsid w:val="00F17AFA"/>
    <w:rsid w:val="00F221C9"/>
    <w:rsid w:val="00F222E1"/>
    <w:rsid w:val="00F23AE2"/>
    <w:rsid w:val="00F3409E"/>
    <w:rsid w:val="00F37C96"/>
    <w:rsid w:val="00F41F1F"/>
    <w:rsid w:val="00F4519C"/>
    <w:rsid w:val="00F47902"/>
    <w:rsid w:val="00F66D1A"/>
    <w:rsid w:val="00F71B97"/>
    <w:rsid w:val="00F73929"/>
    <w:rsid w:val="00F7523C"/>
    <w:rsid w:val="00F75671"/>
    <w:rsid w:val="00F767BA"/>
    <w:rsid w:val="00F76A3E"/>
    <w:rsid w:val="00F77727"/>
    <w:rsid w:val="00F81031"/>
    <w:rsid w:val="00F92D82"/>
    <w:rsid w:val="00F944FD"/>
    <w:rsid w:val="00F949DB"/>
    <w:rsid w:val="00F968A9"/>
    <w:rsid w:val="00FA47F2"/>
    <w:rsid w:val="00FA5633"/>
    <w:rsid w:val="00FB7E86"/>
    <w:rsid w:val="00FC08BA"/>
    <w:rsid w:val="00FC118D"/>
    <w:rsid w:val="00FC19E2"/>
    <w:rsid w:val="00FC5CC3"/>
    <w:rsid w:val="00FD164A"/>
    <w:rsid w:val="00FD4FF3"/>
    <w:rsid w:val="00FD63EC"/>
    <w:rsid w:val="00FE0DEC"/>
    <w:rsid w:val="00FE7AF0"/>
    <w:rsid w:val="00FF1667"/>
    <w:rsid w:val="0BDD8A78"/>
    <w:rsid w:val="17EFC39C"/>
    <w:rsid w:val="1FAA4E92"/>
    <w:rsid w:val="25EBC7BB"/>
    <w:rsid w:val="28FF37AE"/>
    <w:rsid w:val="29B779D8"/>
    <w:rsid w:val="2BA99415"/>
    <w:rsid w:val="2C5BA642"/>
    <w:rsid w:val="2CAE4ED1"/>
    <w:rsid w:val="2FF480AE"/>
    <w:rsid w:val="2FFF4867"/>
    <w:rsid w:val="33FEFFDE"/>
    <w:rsid w:val="37D72C97"/>
    <w:rsid w:val="37EAFF8C"/>
    <w:rsid w:val="3DEF6EF3"/>
    <w:rsid w:val="3DEFEDC3"/>
    <w:rsid w:val="3DFD6141"/>
    <w:rsid w:val="3E9029A6"/>
    <w:rsid w:val="3EFA67CB"/>
    <w:rsid w:val="3F7BAB6B"/>
    <w:rsid w:val="3FDEFDA5"/>
    <w:rsid w:val="3FEFCF0D"/>
    <w:rsid w:val="3FF77309"/>
    <w:rsid w:val="3FFD105D"/>
    <w:rsid w:val="3FFF245C"/>
    <w:rsid w:val="40FE1A2E"/>
    <w:rsid w:val="43FCDAE3"/>
    <w:rsid w:val="4D7FBBAC"/>
    <w:rsid w:val="4F7A793F"/>
    <w:rsid w:val="4FF62E9F"/>
    <w:rsid w:val="53BFB5C8"/>
    <w:rsid w:val="577143DB"/>
    <w:rsid w:val="57D6FDB9"/>
    <w:rsid w:val="595B5CF8"/>
    <w:rsid w:val="5B3F7B87"/>
    <w:rsid w:val="5D1E9CD8"/>
    <w:rsid w:val="5F4372A4"/>
    <w:rsid w:val="5F77E88C"/>
    <w:rsid w:val="5FBF9110"/>
    <w:rsid w:val="5FFF6902"/>
    <w:rsid w:val="646B06B9"/>
    <w:rsid w:val="65E59ABC"/>
    <w:rsid w:val="65FEF686"/>
    <w:rsid w:val="6B997E3E"/>
    <w:rsid w:val="6BDF9D09"/>
    <w:rsid w:val="6D8C06AF"/>
    <w:rsid w:val="6DBF5863"/>
    <w:rsid w:val="6DFE8E0E"/>
    <w:rsid w:val="6ED35C83"/>
    <w:rsid w:val="6EFF25AB"/>
    <w:rsid w:val="6F345689"/>
    <w:rsid w:val="6F6F3436"/>
    <w:rsid w:val="6FF58E82"/>
    <w:rsid w:val="71F7D8EC"/>
    <w:rsid w:val="723FCED6"/>
    <w:rsid w:val="73DDF5D7"/>
    <w:rsid w:val="73FB0560"/>
    <w:rsid w:val="74C90910"/>
    <w:rsid w:val="757C1D18"/>
    <w:rsid w:val="75CFF7DD"/>
    <w:rsid w:val="76AFF90E"/>
    <w:rsid w:val="76F63BB9"/>
    <w:rsid w:val="77627F8A"/>
    <w:rsid w:val="77E5590C"/>
    <w:rsid w:val="77F4AC71"/>
    <w:rsid w:val="77FD0CA2"/>
    <w:rsid w:val="79053796"/>
    <w:rsid w:val="7A7E3F4B"/>
    <w:rsid w:val="7AEF5AA8"/>
    <w:rsid w:val="7B5FBAC9"/>
    <w:rsid w:val="7B75263F"/>
    <w:rsid w:val="7B7B72A7"/>
    <w:rsid w:val="7BF5C43C"/>
    <w:rsid w:val="7BF925D4"/>
    <w:rsid w:val="7BFC62F5"/>
    <w:rsid w:val="7BFD912F"/>
    <w:rsid w:val="7BFF6B9E"/>
    <w:rsid w:val="7D7F2B26"/>
    <w:rsid w:val="7D7F490A"/>
    <w:rsid w:val="7DFFD026"/>
    <w:rsid w:val="7E6B68EB"/>
    <w:rsid w:val="7EDB0BDD"/>
    <w:rsid w:val="7EEB81CD"/>
    <w:rsid w:val="7EF163EC"/>
    <w:rsid w:val="7EFCE901"/>
    <w:rsid w:val="7F3A86CC"/>
    <w:rsid w:val="7F73AFCE"/>
    <w:rsid w:val="7F77E5B3"/>
    <w:rsid w:val="7F7F2943"/>
    <w:rsid w:val="7FD74CA7"/>
    <w:rsid w:val="7FDE253D"/>
    <w:rsid w:val="7FDE859B"/>
    <w:rsid w:val="7FE7CAE1"/>
    <w:rsid w:val="7FEF4802"/>
    <w:rsid w:val="7FF38381"/>
    <w:rsid w:val="7FF72D10"/>
    <w:rsid w:val="7FFB5073"/>
    <w:rsid w:val="7FFE5D00"/>
    <w:rsid w:val="8D6923C5"/>
    <w:rsid w:val="9AB7ED36"/>
    <w:rsid w:val="9EBF42F5"/>
    <w:rsid w:val="9FBE4F77"/>
    <w:rsid w:val="9FDF075A"/>
    <w:rsid w:val="9FFF972E"/>
    <w:rsid w:val="9FFFC839"/>
    <w:rsid w:val="A7F363D2"/>
    <w:rsid w:val="ABF7AFBD"/>
    <w:rsid w:val="AD5FE817"/>
    <w:rsid w:val="AFD938E1"/>
    <w:rsid w:val="AFFFE627"/>
    <w:rsid w:val="B5779CDB"/>
    <w:rsid w:val="B57D282B"/>
    <w:rsid w:val="B63FAA99"/>
    <w:rsid w:val="B7DF23CE"/>
    <w:rsid w:val="B977A304"/>
    <w:rsid w:val="B9FF8769"/>
    <w:rsid w:val="BAFB93F6"/>
    <w:rsid w:val="BB790F3A"/>
    <w:rsid w:val="BBDAD216"/>
    <w:rsid w:val="BEBD902D"/>
    <w:rsid w:val="BED98FDF"/>
    <w:rsid w:val="BEFBCC9E"/>
    <w:rsid w:val="BF7BCC91"/>
    <w:rsid w:val="BFB5B469"/>
    <w:rsid w:val="BFBECD49"/>
    <w:rsid w:val="BFBFE3E9"/>
    <w:rsid w:val="C579A547"/>
    <w:rsid w:val="CABE0C50"/>
    <w:rsid w:val="CE7F7D8D"/>
    <w:rsid w:val="CEB65D4E"/>
    <w:rsid w:val="CEBB1FDD"/>
    <w:rsid w:val="CFEF2FE5"/>
    <w:rsid w:val="D2F89767"/>
    <w:rsid w:val="D5B3666B"/>
    <w:rsid w:val="D5F76CEF"/>
    <w:rsid w:val="D7FB3F57"/>
    <w:rsid w:val="D9C7F5AF"/>
    <w:rsid w:val="DBBDBFBC"/>
    <w:rsid w:val="DBFA4471"/>
    <w:rsid w:val="DC7D7204"/>
    <w:rsid w:val="DDDF7D7F"/>
    <w:rsid w:val="DEDFB4E9"/>
    <w:rsid w:val="DF5AB5A3"/>
    <w:rsid w:val="DF9047B1"/>
    <w:rsid w:val="DFEFAD9A"/>
    <w:rsid w:val="DFFB9217"/>
    <w:rsid w:val="E4FDF42A"/>
    <w:rsid w:val="E5FDF292"/>
    <w:rsid w:val="E7FBF266"/>
    <w:rsid w:val="EAD9D901"/>
    <w:rsid w:val="EAEBE745"/>
    <w:rsid w:val="EBAF5540"/>
    <w:rsid w:val="EBFE681F"/>
    <w:rsid w:val="EC3E4DC1"/>
    <w:rsid w:val="EEBD8C15"/>
    <w:rsid w:val="EF3669FA"/>
    <w:rsid w:val="EF375E85"/>
    <w:rsid w:val="EFBFF985"/>
    <w:rsid w:val="F27F3B45"/>
    <w:rsid w:val="F36F4B16"/>
    <w:rsid w:val="F37B393A"/>
    <w:rsid w:val="F3C78ECB"/>
    <w:rsid w:val="F47F2923"/>
    <w:rsid w:val="F573F316"/>
    <w:rsid w:val="F67B4514"/>
    <w:rsid w:val="F6F74F16"/>
    <w:rsid w:val="F7C54F4A"/>
    <w:rsid w:val="F93D50FC"/>
    <w:rsid w:val="F9BFE2C2"/>
    <w:rsid w:val="F9F8A1CC"/>
    <w:rsid w:val="F9FB74DC"/>
    <w:rsid w:val="FABBD282"/>
    <w:rsid w:val="FAEC1F15"/>
    <w:rsid w:val="FB3B3DEE"/>
    <w:rsid w:val="FB8E0701"/>
    <w:rsid w:val="FB91F726"/>
    <w:rsid w:val="FBBC08F5"/>
    <w:rsid w:val="FBBF8829"/>
    <w:rsid w:val="FBE48966"/>
    <w:rsid w:val="FBFDDC5A"/>
    <w:rsid w:val="FC7B9D61"/>
    <w:rsid w:val="FCACE47D"/>
    <w:rsid w:val="FCFE0B1F"/>
    <w:rsid w:val="FD8F1265"/>
    <w:rsid w:val="FDBE545F"/>
    <w:rsid w:val="FDDF8DBA"/>
    <w:rsid w:val="FE3B2B29"/>
    <w:rsid w:val="FE3F2C5D"/>
    <w:rsid w:val="FE7F7519"/>
    <w:rsid w:val="FEB581A1"/>
    <w:rsid w:val="FEEFDEB8"/>
    <w:rsid w:val="FEFAF69E"/>
    <w:rsid w:val="FEFF6C27"/>
    <w:rsid w:val="FF5709F8"/>
    <w:rsid w:val="FF6FD46B"/>
    <w:rsid w:val="FF7D0466"/>
    <w:rsid w:val="FF7FC4C9"/>
    <w:rsid w:val="FF7FEB37"/>
    <w:rsid w:val="FFA95A64"/>
    <w:rsid w:val="FFC7B214"/>
    <w:rsid w:val="FFD5E904"/>
    <w:rsid w:val="FFDB20A4"/>
    <w:rsid w:val="FFDD573A"/>
    <w:rsid w:val="FFDF8D83"/>
    <w:rsid w:val="FFE12110"/>
    <w:rsid w:val="FFEC263B"/>
    <w:rsid w:val="FFF5203E"/>
    <w:rsid w:val="FFFD5117"/>
    <w:rsid w:val="FFFD754B"/>
    <w:rsid w:val="FFFE8526"/>
    <w:rsid w:val="FFFF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4"/>
    <w:qFormat/>
    <w:uiPriority w:val="9"/>
    <w:pPr>
      <w:keepNext/>
      <w:keepLines/>
      <w:spacing w:before="100" w:beforeLines="100" w:after="100" w:afterLines="100"/>
      <w:outlineLvl w:val="0"/>
    </w:pPr>
    <w:rPr>
      <w:b/>
      <w:bCs/>
      <w:kern w:val="44"/>
      <w:szCs w:val="44"/>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9"/>
    <w:semiHidden/>
    <w:unhideWhenUsed/>
    <w:qFormat/>
    <w:uiPriority w:val="9"/>
    <w:pPr>
      <w:keepNext/>
      <w:keepLines/>
      <w:spacing w:before="40" w:after="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before="0"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spacing w:before="0"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unhideWhenUsed/>
    <w:qFormat/>
    <w:uiPriority w:val="99"/>
    <w:pPr>
      <w:jc w:val="left"/>
    </w:pPr>
  </w:style>
  <w:style w:type="paragraph" w:styleId="12">
    <w:name w:val="footer"/>
    <w:basedOn w:val="1"/>
    <w:link w:val="43"/>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6"/>
    <w:semiHidden/>
    <w:unhideWhenUsed/>
    <w:qFormat/>
    <w:uiPriority w:val="99"/>
    <w:pPr>
      <w:snapToGrid w:val="0"/>
      <w:jc w:val="left"/>
    </w:pPr>
    <w:rPr>
      <w:sz w:val="18"/>
      <w:szCs w:val="18"/>
    </w:rPr>
  </w:style>
  <w:style w:type="paragraph" w:styleId="16">
    <w:name w:val="Title"/>
    <w:basedOn w:val="1"/>
    <w:next w:val="1"/>
    <w:link w:val="33"/>
    <w:qFormat/>
    <w:uiPriority w:val="10"/>
    <w:pPr>
      <w:spacing w:before="0"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5"/>
    <w:semiHidden/>
    <w:unhideWhenUsed/>
    <w:qFormat/>
    <w:uiPriority w:val="99"/>
    <w:rPr>
      <w:b/>
      <w:bCs/>
    </w:r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styleId="22">
    <w:name w:val="footnote reference"/>
    <w:basedOn w:val="19"/>
    <w:semiHidden/>
    <w:unhideWhenUsed/>
    <w:qFormat/>
    <w:uiPriority w:val="99"/>
    <w:rPr>
      <w:vertAlign w:val="superscript"/>
    </w:rPr>
  </w:style>
  <w:style w:type="table" w:customStyle="1" w:styleId="23">
    <w:name w:val="样式1"/>
    <w:basedOn w:val="18"/>
    <w:qFormat/>
    <w:uiPriority w:val="99"/>
    <w:rPr>
      <w:rFonts w:ascii="Microsoft YaHei UI" w:hAnsi="Microsoft YaHei UI"/>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customStyle="1" w:styleId="24">
    <w:name w:val="标题 1 字符"/>
    <w:basedOn w:val="19"/>
    <w:link w:val="2"/>
    <w:qFormat/>
    <w:uiPriority w:val="9"/>
    <w:rPr>
      <w:b/>
      <w:bCs/>
      <w:kern w:val="44"/>
      <w:szCs w:val="44"/>
    </w:rPr>
  </w:style>
  <w:style w:type="character" w:customStyle="1" w:styleId="25">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19"/>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8">
    <w:name w:val="标题 5 字符"/>
    <w:basedOn w:val="19"/>
    <w:link w:val="6"/>
    <w:semiHidden/>
    <w:qFormat/>
    <w:uiPriority w:val="9"/>
    <w:rPr>
      <w:rFonts w:asciiTheme="minorHAnsi" w:hAnsiTheme="minorHAnsi" w:eastAsiaTheme="minorEastAsia" w:cstheme="majorBidi"/>
      <w:color w:val="104862" w:themeColor="accent1" w:themeShade="BF"/>
      <w:szCs w:val="24"/>
    </w:rPr>
  </w:style>
  <w:style w:type="character" w:customStyle="1" w:styleId="29">
    <w:name w:val="标题 6 字符"/>
    <w:basedOn w:val="19"/>
    <w:link w:val="7"/>
    <w:semiHidden/>
    <w:qFormat/>
    <w:uiPriority w:val="9"/>
    <w:rPr>
      <w:rFonts w:asciiTheme="minorHAnsi" w:hAnsiTheme="minorHAnsi" w:eastAsiaTheme="minorEastAsia" w:cstheme="majorBidi"/>
      <w:b/>
      <w:bCs/>
      <w:color w:val="104862" w:themeColor="accent1" w:themeShade="BF"/>
    </w:rPr>
  </w:style>
  <w:style w:type="character" w:customStyle="1" w:styleId="30">
    <w:name w:val="标题 7 字符"/>
    <w:basedOn w:val="19"/>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19"/>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19"/>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19"/>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19"/>
    <w:link w:val="39"/>
    <w:qFormat/>
    <w:uiPriority w:val="30"/>
    <w:rPr>
      <w:i/>
      <w:iCs/>
      <w:color w:val="104862" w:themeColor="accent1" w:themeShade="BF"/>
    </w:rPr>
  </w:style>
  <w:style w:type="character" w:customStyle="1" w:styleId="41">
    <w:name w:val="明显参考1"/>
    <w:basedOn w:val="19"/>
    <w:qFormat/>
    <w:uiPriority w:val="32"/>
    <w:rPr>
      <w:b/>
      <w:bCs/>
      <w:smallCaps/>
      <w:color w:val="104862" w:themeColor="accent1" w:themeShade="BF"/>
      <w:spacing w:val="5"/>
    </w:rPr>
  </w:style>
  <w:style w:type="character" w:customStyle="1" w:styleId="42">
    <w:name w:val="页眉 字符"/>
    <w:basedOn w:val="19"/>
    <w:link w:val="13"/>
    <w:qFormat/>
    <w:uiPriority w:val="99"/>
    <w:rPr>
      <w:sz w:val="18"/>
      <w:szCs w:val="18"/>
    </w:rPr>
  </w:style>
  <w:style w:type="character" w:customStyle="1" w:styleId="43">
    <w:name w:val="页脚 字符"/>
    <w:basedOn w:val="19"/>
    <w:link w:val="12"/>
    <w:qFormat/>
    <w:uiPriority w:val="99"/>
    <w:rPr>
      <w:sz w:val="18"/>
      <w:szCs w:val="18"/>
    </w:rPr>
  </w:style>
  <w:style w:type="character" w:customStyle="1" w:styleId="44">
    <w:name w:val="批注文字 字符"/>
    <w:basedOn w:val="19"/>
    <w:link w:val="11"/>
    <w:qFormat/>
    <w:uiPriority w:val="99"/>
  </w:style>
  <w:style w:type="character" w:customStyle="1" w:styleId="45">
    <w:name w:val="批注主题 字符"/>
    <w:basedOn w:val="44"/>
    <w:link w:val="17"/>
    <w:semiHidden/>
    <w:qFormat/>
    <w:uiPriority w:val="99"/>
    <w:rPr>
      <w:b/>
      <w:bCs/>
    </w:rPr>
  </w:style>
  <w:style w:type="character" w:customStyle="1" w:styleId="46">
    <w:name w:val="脚注文本 字符"/>
    <w:basedOn w:val="19"/>
    <w:link w:val="15"/>
    <w:semiHidden/>
    <w:qFormat/>
    <w:uiPriority w:val="99"/>
    <w:rPr>
      <w:sz w:val="18"/>
      <w:szCs w:val="18"/>
    </w:rPr>
  </w:style>
  <w:style w:type="paragraph" w:customStyle="1" w:styleId="47">
    <w:name w:val="修订1"/>
    <w:hidden/>
    <w:semiHidden/>
    <w:qFormat/>
    <w:uiPriority w:val="99"/>
    <w:pPr>
      <w:spacing w:after="160" w:line="278" w:lineRule="auto"/>
    </w:pPr>
    <w:rPr>
      <w:rFonts w:ascii="Times New Roman" w:hAnsi="Times New Roman" w:eastAsia="宋体" w:cstheme="minorBidi"/>
      <w:kern w:val="2"/>
      <w:sz w:val="24"/>
      <w:szCs w:val="22"/>
      <w:lang w:val="en-US" w:eastAsia="zh-CN" w:bidi="ar-SA"/>
    </w:rPr>
  </w:style>
  <w:style w:type="paragraph" w:customStyle="1" w:styleId="48">
    <w:name w:val="修订2"/>
    <w:hidden/>
    <w:unhideWhenUsed/>
    <w:qFormat/>
    <w:uiPriority w:val="99"/>
    <w:pPr>
      <w:spacing w:after="160" w:line="278" w:lineRule="auto"/>
    </w:pPr>
    <w:rPr>
      <w:rFonts w:ascii="Times New Roman" w:hAnsi="Times New Roman" w:eastAsia="宋体" w:cstheme="minorBidi"/>
      <w:kern w:val="2"/>
      <w:sz w:val="24"/>
      <w:szCs w:val="22"/>
      <w:lang w:val="en-US" w:eastAsia="zh-CN" w:bidi="ar-SA"/>
    </w:rPr>
  </w:style>
  <w:style w:type="character" w:customStyle="1" w:styleId="49">
    <w:name w:val="未处理的提及1"/>
    <w:basedOn w:val="19"/>
    <w:semiHidden/>
    <w:unhideWhenUsed/>
    <w:qFormat/>
    <w:uiPriority w:val="99"/>
    <w:rPr>
      <w:color w:val="605E5C"/>
      <w:shd w:val="clear" w:color="auto" w:fill="E1DFDD"/>
    </w:rPr>
  </w:style>
  <w:style w:type="paragraph" w:customStyle="1" w:styleId="50">
    <w:name w:val="修订3"/>
    <w:hidden/>
    <w:unhideWhenUsed/>
    <w:qFormat/>
    <w:uiPriority w:val="99"/>
    <w:pPr>
      <w:spacing w:after="160" w:line="278" w:lineRule="auto"/>
    </w:pPr>
    <w:rPr>
      <w:rFonts w:ascii="Times New Roman" w:hAnsi="Times New Roman" w:eastAsia="宋体" w:cstheme="minorBidi"/>
      <w:kern w:val="2"/>
      <w:sz w:val="24"/>
      <w:szCs w:val="22"/>
      <w:lang w:val="en-US" w:eastAsia="zh-CN" w:bidi="ar-SA"/>
    </w:rPr>
  </w:style>
  <w:style w:type="paragraph" w:customStyle="1" w:styleId="51">
    <w:name w:val="Revision"/>
    <w:hidden/>
    <w:unhideWhenUsed/>
    <w:qFormat/>
    <w:uiPriority w:val="99"/>
    <w:pPr>
      <w:spacing w:after="0" w:line="240" w:lineRule="auto"/>
    </w:pPr>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383</Words>
  <Characters>2185</Characters>
  <Lines>18</Lines>
  <Paragraphs>5</Paragraphs>
  <TotalTime>74</TotalTime>
  <ScaleCrop>false</ScaleCrop>
  <LinksUpToDate>false</LinksUpToDate>
  <CharactersWithSpaces>2563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2024-09-13T15:23:00Z</dcterms:created>
  <dc:creator>ZhongLun</dc:creator>
  <cp:lastModifiedBy>Linzd</cp:lastModifiedBy>
  <cp:lastPrinted>2024-08-31T14:48:00Z</cp:lastPrinted>
  <dcterms:modified xsi:type="dcterms:W3CDTF">2024-09-29T15:23:29Z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37453F4B81864B839835CCF9A2224179_12</vt:lpwstr>
  </property>
</Properties>
</file>