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pStyle w:val="2"/>
        <w:rPr>
          <w:rFonts w:hAnsi="Times New Roman" w:cs="Times New Roman"/>
        </w:rPr>
      </w:pP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期知识产权质押融资入园惠企活动议程</w:t>
      </w:r>
    </w:p>
    <w:tbl>
      <w:tblPr>
        <w:tblStyle w:val="4"/>
        <w:tblpPr w:leftFromText="180" w:rightFromText="180" w:vertAnchor="text" w:horzAnchor="page" w:tblpX="1925" w:tblpY="469"/>
        <w:tblOverlap w:val="never"/>
        <w:tblW w:w="8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754"/>
        <w:gridCol w:w="26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bidi="ar-SA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培训时间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2024年9月25日（周三）14:00-17:00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培训地址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深圳市福田区市花路8号T8保税旅游创意园</w:t>
            </w:r>
          </w:p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2楼多功能会议厅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bidi="ar-SA"/>
              </w:rPr>
              <w:t>议程</w:t>
            </w:r>
          </w:p>
        </w:tc>
        <w:tc>
          <w:tcPr>
            <w:tcW w:w="2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bidi="ar-SA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bidi="ar-SA"/>
              </w:rPr>
              <w:t>签到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14:30-14: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主持人开场，介绍出席嘉宾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福田区科技创新政策宣讲</w:t>
            </w:r>
          </w:p>
        </w:tc>
        <w:tc>
          <w:tcPr>
            <w:tcW w:w="2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福田科工局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5:20</w:t>
            </w:r>
          </w:p>
        </w:tc>
        <w:tc>
          <w:tcPr>
            <w:tcW w:w="3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bidi="ar-SA"/>
              </w:rPr>
              <w:t>知识产权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质押融资探索与实践</w:t>
            </w:r>
          </w:p>
        </w:tc>
        <w:tc>
          <w:tcPr>
            <w:tcW w:w="2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bidi="ar-SA"/>
              </w:rPr>
              <w:t>市知识产权金融协会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15:20-15:45</w:t>
            </w:r>
          </w:p>
        </w:tc>
        <w:tc>
          <w:tcPr>
            <w:tcW w:w="3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企业专利转化运用实务：知识产权质押融资与无形资产出资入股</w:t>
            </w:r>
          </w:p>
        </w:tc>
        <w:tc>
          <w:tcPr>
            <w:tcW w:w="2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知识产权领域专家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知识产权质押融资服务方案</w:t>
            </w:r>
          </w:p>
        </w:tc>
        <w:tc>
          <w:tcPr>
            <w:tcW w:w="2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微众银行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16:00-16:15</w:t>
            </w:r>
          </w:p>
        </w:tc>
        <w:tc>
          <w:tcPr>
            <w:tcW w:w="3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知识产权质押融资服务方案</w:t>
            </w:r>
          </w:p>
        </w:tc>
        <w:tc>
          <w:tcPr>
            <w:tcW w:w="2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交通银行深圳分行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政银企交流和对接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7:00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活动结</w:t>
            </w:r>
            <w:bookmarkEnd w:id="0"/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束</w:t>
            </w:r>
          </w:p>
        </w:tc>
      </w:tr>
    </w:tbl>
    <w:p>
      <w:pPr>
        <w:pStyle w:val="2"/>
        <w:ind w:firstLine="0" w:firstLineChars="0"/>
        <w:rPr>
          <w:rFonts w:hAnsi="Times New Roman" w:cs="Times New Roman"/>
        </w:rPr>
      </w:pPr>
    </w:p>
    <w:p>
      <w:pPr>
        <w:pStyle w:val="2"/>
        <w:ind w:firstLine="0" w:firstLineChars="0"/>
        <w:rPr>
          <w:rFonts w:hAnsi="Times New Roman" w:cs="Times New Roman"/>
        </w:rPr>
      </w:pPr>
    </w:p>
    <w:p>
      <w:pPr>
        <w:pStyle w:val="2"/>
        <w:ind w:firstLine="0" w:firstLineChars="0"/>
        <w:rPr>
          <w:rFonts w:hAnsi="Times New Roman" w:cs="Times New Roman"/>
        </w:rPr>
      </w:pPr>
    </w:p>
    <w:p>
      <w:pPr>
        <w:pStyle w:val="2"/>
        <w:ind w:firstLine="0" w:firstLineChars="0"/>
        <w:rPr>
          <w:rFonts w:hAnsi="Times New Roman" w:cs="Times New Roman"/>
        </w:rPr>
      </w:pPr>
    </w:p>
    <w:p>
      <w:pPr>
        <w:pStyle w:val="2"/>
        <w:ind w:firstLine="0" w:firstLineChars="0"/>
        <w:rPr>
          <w:rFonts w:hAnsi="Times New Roman" w:cs="Times New Roman"/>
        </w:rPr>
      </w:pP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Ansi="Times New Roman" w:cs="Times New Roma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"https://cn.mikecrm.com/ugc_5_b/pub/0y/0ysm10eutl1o9j652yt1vtic4z6mvy9z/form/qr/Lb0uul1.png?v=owwrypom5ph1sb5fN"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5950" cy="18859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BFF4"/>
    <w:rsid w:val="D6DF39B5"/>
    <w:rsid w:val="FFFBB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2024-09-20T01:25:00Z</dcterms:created>
  <dc:creator>WANGQW</dc:creator>
  <cp:lastModifiedBy>WANGQW</cp:lastModifiedBy>
  <dcterms:modified xsi:type="dcterms:W3CDTF">2024-09-19T17:33:58Z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782D0F0207895A34F0EDEB66396637CC</vt:lpwstr>
  </property>
</Properties>
</file>