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72"/>
          <w:szCs w:val="72"/>
          <w:lang w:val="en-US" w:eastAsia="zh-CN"/>
          <w14:textFill>
            <w14:solidFill>
              <w14:schemeClr w14:val="tx1"/>
            </w14:solidFill>
          </w14:textFill>
        </w:rPr>
      </w:pPr>
    </w:p>
    <w:p>
      <w:pPr>
        <w:pStyle w:val="2"/>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hint="eastAsia" w:ascii="宋体" w:hAnsi="宋体" w:cs="宋体"/>
          <w:b/>
          <w:color w:val="000000" w:themeColor="text1"/>
          <w:sz w:val="36"/>
          <w:szCs w:val="36"/>
          <w:lang w:eastAsia="zh-CN"/>
          <w14:textFill>
            <w14:solidFill>
              <w14:schemeClr w14:val="tx1"/>
            </w14:solidFill>
          </w14:textFill>
        </w:rPr>
        <w:t>QH2024072</w:t>
      </w: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前海桂湾片区规划建设运营国际化提升—前海梦工场北区5号楼建筑及公共空间提升研究</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4</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9</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pStyle w:val="2"/>
        <w:rPr>
          <w:rFonts w:hint="eastAsia"/>
          <w:color w:val="000000" w:themeColor="text1"/>
          <w14:textFill>
            <w14:solidFill>
              <w14:schemeClr w14:val="tx1"/>
            </w14:solidFill>
          </w14:textFill>
        </w:rPr>
      </w:pP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（一）在采购活动中应当回避而未回避的；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（二）未按本条例规定签订、履行采购合同，造成严重后果的；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（三）隐瞒真实情况，提供虚假资料的；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（四）以非法手段排斥其他供应商参与竞争的；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（五）与其他采购参加人串通投标的；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（六）恶意投诉的；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（七）向采购项目相关人行贿或者提供其他不当利益的；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（八）阻碍、抗拒主管部门监督检查的；</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（九）其他违反本条例规定的行为。</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二、《深圳经济特区政府采购条例实施细则》</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bookmarkStart w:id="1" w:name="_Toc15819"/>
      <w:bookmarkStart w:id="2"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1"/>
      <w:bookmarkEnd w:id="2"/>
    </w:p>
    <w:p>
      <w:pPr>
        <w:pStyle w:val="12"/>
        <w:tabs>
          <w:tab w:val="right" w:leader="dot" w:pos="8306"/>
        </w:tabs>
        <w:spacing w:line="480" w:lineRule="auto"/>
        <w:rPr>
          <w:b/>
          <w:bCs/>
          <w:color w:val="000000" w:themeColor="text1"/>
          <w:sz w:val="24"/>
          <w:szCs w:val="32"/>
          <w14:textFill>
            <w14:solidFill>
              <w14:schemeClr w14:val="tx1"/>
            </w14:solidFill>
          </w14:textFill>
        </w:rPr>
      </w:pP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32"/>
          <w:szCs w:val="32"/>
          <w14:textFill>
            <w14:solidFill>
              <w14:schemeClr w14:val="tx1"/>
            </w14:solidFill>
          </w14:textFill>
        </w:rPr>
        <w:fldChar w:fldCharType="begin"/>
      </w:r>
      <w:r>
        <w:rPr>
          <w:rFonts w:hint="eastAsia" w:ascii="宋体" w:hAnsi="宋体" w:cs="宋体"/>
          <w:b/>
          <w:bCs w:val="0"/>
          <w:color w:val="000000" w:themeColor="text1"/>
          <w:sz w:val="32"/>
          <w:szCs w:val="32"/>
          <w14:textFill>
            <w14:solidFill>
              <w14:schemeClr w14:val="tx1"/>
            </w14:solidFill>
          </w14:textFill>
        </w:rPr>
        <w:instrText xml:space="preserve">TOC \o "1-1" \h \u </w:instrText>
      </w:r>
      <w:r>
        <w:rPr>
          <w:rFonts w:hint="eastAsia" w:ascii="宋体" w:hAnsi="宋体" w:cs="宋体"/>
          <w:b/>
          <w:bCs w:val="0"/>
          <w:color w:val="000000" w:themeColor="text1"/>
          <w:sz w:val="32"/>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_Toc15819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44"/>
          <w:lang w:val="zh-CN"/>
          <w14:textFill>
            <w14:solidFill>
              <w14:schemeClr w14:val="tx1"/>
            </w14:solidFill>
          </w14:textFill>
        </w:rPr>
        <w:t>目录</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_Toc15819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4</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_Toc12852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第一章 招标邀请书（招标公告）</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_Toc12852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5</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_Toc12814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第二章 投标须知</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_Toc12814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8</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_Toc21486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第三章 评标程序</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_Toc21486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11</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_Toc8184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第四章 合同格式及合同条款</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_Toc8184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13</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_Toc9484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第五章 用户需求书</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_Toc9484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24</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_Toc8103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cs="宋体"/>
          <w:b/>
          <w:bCs w:val="0"/>
          <w:color w:val="000000" w:themeColor="text1"/>
          <w:sz w:val="24"/>
          <w:szCs w:val="32"/>
          <w14:textFill>
            <w14:solidFill>
              <w14:schemeClr w14:val="tx1"/>
            </w14:solidFill>
          </w14:textFill>
        </w:rPr>
        <w:t>第六章 投标文件初审及招标项目评分表</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_Toc8103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31</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_Toc510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第七章 附件（投标文件格式）</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_Toc510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38</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b/>
          <w:bCs w:val="0"/>
          <w:color w:val="000000" w:themeColor="text1"/>
          <w:sz w:val="24"/>
          <w:szCs w:val="32"/>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begin"/>
      </w:r>
      <w:r>
        <w:rPr>
          <w:rFonts w:hint="eastAsia" w:ascii="宋体" w:hAnsi="宋体" w:cs="宋体"/>
          <w:b/>
          <w:bCs w:val="0"/>
          <w:color w:val="000000" w:themeColor="text1"/>
          <w:sz w:val="24"/>
          <w:szCs w:val="32"/>
          <w14:textFill>
            <w14:solidFill>
              <w14:schemeClr w14:val="tx1"/>
            </w14:solidFill>
          </w14:textFill>
        </w:rPr>
        <w:instrText xml:space="preserve"> HYPERLINK \l _Toc21876 </w:instrText>
      </w:r>
      <w:r>
        <w:rPr>
          <w:rFonts w:hint="eastAsia" w:ascii="宋体" w:hAnsi="宋体" w:cs="宋体"/>
          <w:b/>
          <w:bCs w:val="0"/>
          <w:color w:val="000000" w:themeColor="text1"/>
          <w:sz w:val="24"/>
          <w:szCs w:val="32"/>
          <w14:textFill>
            <w14:solidFill>
              <w14:schemeClr w14:val="tx1"/>
            </w14:solidFill>
          </w14:textFill>
        </w:rPr>
        <w:fldChar w:fldCharType="separate"/>
      </w:r>
      <w:r>
        <w:rPr>
          <w:rFonts w:hint="eastAsia" w:ascii="宋体" w:hAnsi="宋体" w:cs="宋体"/>
          <w:b/>
          <w:bCs w:val="0"/>
          <w:color w:val="000000" w:themeColor="text1"/>
          <w:sz w:val="24"/>
          <w:szCs w:val="32"/>
          <w14:textFill>
            <w14:solidFill>
              <w14:schemeClr w14:val="tx1"/>
            </w14:solidFill>
          </w14:textFill>
        </w:rPr>
        <w:t>附件：相关政策</w:t>
      </w:r>
      <w:r>
        <w:rPr>
          <w:b/>
          <w:bCs w:val="0"/>
          <w:color w:val="000000" w:themeColor="text1"/>
          <w:sz w:val="24"/>
          <w:szCs w:val="32"/>
          <w14:textFill>
            <w14:solidFill>
              <w14:schemeClr w14:val="tx1"/>
            </w14:solidFill>
          </w14:textFill>
        </w:rPr>
        <w:tab/>
      </w:r>
      <w:r>
        <w:rPr>
          <w:b/>
          <w:bCs w:val="0"/>
          <w:color w:val="000000" w:themeColor="text1"/>
          <w:sz w:val="24"/>
          <w:szCs w:val="32"/>
          <w14:textFill>
            <w14:solidFill>
              <w14:schemeClr w14:val="tx1"/>
            </w14:solidFill>
          </w14:textFill>
        </w:rPr>
        <w:fldChar w:fldCharType="begin"/>
      </w:r>
      <w:r>
        <w:rPr>
          <w:b/>
          <w:bCs w:val="0"/>
          <w:color w:val="000000" w:themeColor="text1"/>
          <w:sz w:val="24"/>
          <w:szCs w:val="32"/>
          <w14:textFill>
            <w14:solidFill>
              <w14:schemeClr w14:val="tx1"/>
            </w14:solidFill>
          </w14:textFill>
        </w:rPr>
        <w:instrText xml:space="preserve"> PAGEREF _Toc21876 \h </w:instrText>
      </w:r>
      <w:r>
        <w:rPr>
          <w:b/>
          <w:bCs w:val="0"/>
          <w:color w:val="000000" w:themeColor="text1"/>
          <w:sz w:val="24"/>
          <w:szCs w:val="32"/>
          <w14:textFill>
            <w14:solidFill>
              <w14:schemeClr w14:val="tx1"/>
            </w14:solidFill>
          </w14:textFill>
        </w:rPr>
        <w:fldChar w:fldCharType="separate"/>
      </w:r>
      <w:r>
        <w:rPr>
          <w:b/>
          <w:bCs w:val="0"/>
          <w:color w:val="000000" w:themeColor="text1"/>
          <w:sz w:val="24"/>
          <w:szCs w:val="32"/>
          <w14:textFill>
            <w14:solidFill>
              <w14:schemeClr w14:val="tx1"/>
            </w14:solidFill>
          </w14:textFill>
        </w:rPr>
        <w:t>57</w:t>
      </w:r>
      <w:r>
        <w:rPr>
          <w:b/>
          <w:bCs w:val="0"/>
          <w:color w:val="000000" w:themeColor="text1"/>
          <w:sz w:val="24"/>
          <w:szCs w:val="32"/>
          <w14:textFill>
            <w14:solidFill>
              <w14:schemeClr w14:val="tx1"/>
            </w14:solidFill>
          </w14:textFill>
        </w:rPr>
        <w:fldChar w:fldCharType="end"/>
      </w:r>
      <w:r>
        <w:rPr>
          <w:rFonts w:hint="eastAsia" w:ascii="宋体" w:hAnsi="宋体" w:cs="宋体"/>
          <w:b/>
          <w:bCs w:val="0"/>
          <w:color w:val="000000" w:themeColor="text1"/>
          <w:sz w:val="24"/>
          <w:szCs w:val="32"/>
          <w14:textFill>
            <w14:solidFill>
              <w14:schemeClr w14:val="tx1"/>
            </w14:solidFill>
          </w14:textFill>
        </w:rPr>
        <w:fldChar w:fldCharType="end"/>
      </w:r>
    </w:p>
    <w:p>
      <w:pPr>
        <w:pStyle w:val="12"/>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val="0"/>
          <w:color w:val="000000" w:themeColor="text1"/>
          <w:sz w:val="24"/>
          <w:szCs w:val="32"/>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3" w:name="_Toc12852"/>
      <w:r>
        <w:rPr>
          <w:rFonts w:hint="eastAsia" w:ascii="宋体" w:hAnsi="宋体" w:cs="宋体"/>
          <w:b/>
          <w:bCs/>
          <w:color w:val="000000" w:themeColor="text1"/>
          <w:sz w:val="24"/>
          <w14:textFill>
            <w14:solidFill>
              <w14:schemeClr w14:val="tx1"/>
            </w14:solidFill>
          </w14:textFill>
        </w:rPr>
        <w:t>招标邀请书（招标公告）</w:t>
      </w:r>
      <w:bookmarkEnd w:id="3"/>
    </w:p>
    <w:p>
      <w:pPr>
        <w:spacing w:line="360" w:lineRule="auto"/>
        <w:ind w:firstLine="480" w:firstLineChars="200"/>
        <w:jc w:val="right"/>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文件编码:0722-2024FE</w:t>
      </w:r>
      <w:r>
        <w:rPr>
          <w:rFonts w:hint="eastAsia" w:ascii="宋体" w:hAnsi="宋体" w:cs="宋体"/>
          <w:color w:val="000000" w:themeColor="text1"/>
          <w:sz w:val="24"/>
          <w:lang w:val="en-US" w:eastAsia="zh-CN"/>
          <w14:textFill>
            <w14:solidFill>
              <w14:schemeClr w14:val="tx1"/>
            </w14:solidFill>
          </w14:textFill>
        </w:rPr>
        <w:t>2175</w:t>
      </w:r>
      <w:r>
        <w:rPr>
          <w:rFonts w:hint="eastAsia"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前海桂湾片区规划建设运营国际化提升—前海梦工场北区5号楼建筑及公共空间提升研究</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QH2024072</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6"/>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noWrap w:val="0"/>
            <w:vAlign w:val="center"/>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QH2024072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noWrap w:val="0"/>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前海桂湾片区规划建设运营国际化提升—前海梦工场北区5号楼建筑及公共空间提升研究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noWrap w:val="0"/>
            <w:vAlign w:val="center"/>
          </w:tcPr>
          <w:p>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为深入贯彻落实党的二十届三中全会精神，落实《全面深化前海深港现代服务业合作区改革开放方案》《前海深港现代服务业合作区总体发展规划》有关任务要求，我局印发实施《桂湾片区规划建设运营国际化提升专项工作方案》（以下简称《工作方案》），聚焦港人港企所需，将桂湾片区打造成为全国独一无二的港人港企集聚区，呈现出港风港味浓郁、未来感十足的国际化新形象。《工作方案》明确要“全方位提升规划建设运营理念，多渠道开展国际化咨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海深港广场位于桂湾片区中轴线，东端衔接梦工场北区，西衔接前海石公园（桂湾段）标志性建筑前海激浪，东西长约1.2公里，定位为融汇深港创意、产业、人文、休闲等功能，汇集深港文化元素，打造城市秀场、链接空间的滨海文化公共空间，形成最活力、最前沿、最人文、最融合独具特色的前海水平地标。</w:t>
            </w:r>
          </w:p>
          <w:p>
            <w:pPr>
              <w:spacing w:line="360" w:lineRule="auto"/>
              <w:ind w:firstLine="480" w:firstLineChars="200"/>
              <w:rPr>
                <w:rFonts w:hint="default"/>
                <w:color w:val="000000" w:themeColor="text1"/>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梦工场北区5号楼及广场是前海桂湾片区城市中轴线东起点，是前海深港广场的重要组成部分。根据局工作部署，计划利用梦工场北区5号楼2~7层建筑空间引入学术交流、专业服务、创业路演、投资赋能、社群融入、文化交流、成果展示、城市名片、科技展示等功能, 将5号楼打造成为面向国际人才的地标性创新交流中心。</w:t>
            </w:r>
            <w:r>
              <w:rPr>
                <w:rFonts w:hint="eastAsia" w:ascii="宋体" w:hAnsi="宋体" w:cs="宋体"/>
                <w:color w:val="000000" w:themeColor="text1"/>
                <w:sz w:val="24"/>
                <w:lang w:val="en-US" w:eastAsia="zh-CN"/>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706</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lang w:eastAsia="zh-CN"/>
                <w14:textFill>
                  <w14:solidFill>
                    <w14:schemeClr w14:val="tx1"/>
                  </w14:solidFill>
                </w14:textFill>
              </w:rPr>
              <w:t>0.00（人民币</w:t>
            </w:r>
            <w:r>
              <w:rPr>
                <w:rFonts w:hint="eastAsia" w:ascii="宋体" w:hAnsi="宋体" w:cs="宋体"/>
                <w:color w:val="000000" w:themeColor="text1"/>
                <w:sz w:val="24"/>
                <w:lang w:val="en-US" w:eastAsia="zh-CN"/>
                <w14:textFill>
                  <w14:solidFill>
                    <w14:schemeClr w14:val="tx1"/>
                  </w14:solidFill>
                </w14:textFill>
              </w:rPr>
              <w:t>柒拾万零陆仟贰佰</w:t>
            </w:r>
            <w:r>
              <w:rPr>
                <w:rFonts w:hint="eastAsia" w:ascii="宋体" w:hAnsi="宋体" w:cs="宋体"/>
                <w:color w:val="000000" w:themeColor="text1"/>
                <w:sz w:val="24"/>
                <w:lang w:eastAsia="zh-CN"/>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noWrap w:val="0"/>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本项目所属行业</w:t>
            </w:r>
          </w:p>
        </w:tc>
        <w:tc>
          <w:tcPr>
            <w:tcW w:w="7015" w:type="dxa"/>
            <w:noWrap w:val="0"/>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noWrap w:val="0"/>
            <w:vAlign w:val="center"/>
          </w:tcPr>
          <w:p>
            <w:pPr>
              <w:adjustRightInd w:val="0"/>
              <w:snapToGrid w:val="0"/>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highlight w:val="none"/>
                <w:lang w:val="en-US" w:eastAsia="zh-CN"/>
                <w14:textFill>
                  <w14:solidFill>
                    <w14:schemeClr w14:val="tx1"/>
                  </w14:solidFill>
                </w14:textFill>
              </w:rPr>
              <w:t>9</w:t>
            </w:r>
            <w:r>
              <w:rPr>
                <w:rFonts w:hint="eastAsia" w:ascii="宋体" w:hAnsi="宋体" w:cs="宋体"/>
                <w:b/>
                <w:bCs/>
                <w:color w:val="000000" w:themeColor="text1"/>
                <w:kern w:val="0"/>
                <w:sz w:val="24"/>
                <w:highlight w:val="none"/>
                <w14:textFill>
                  <w14:solidFill>
                    <w14:schemeClr w14:val="tx1"/>
                  </w14:solidFill>
                </w14:textFill>
              </w:rPr>
              <w:t>月</w:t>
            </w:r>
            <w:r>
              <w:rPr>
                <w:rFonts w:hint="eastAsia" w:ascii="宋体" w:hAnsi="宋体" w:cs="宋体"/>
                <w:b/>
                <w:bCs/>
                <w:color w:val="000000" w:themeColor="text1"/>
                <w:kern w:val="0"/>
                <w:sz w:val="24"/>
                <w:highlight w:val="none"/>
                <w:lang w:val="en-US" w:eastAsia="zh-CN"/>
                <w14:textFill>
                  <w14:solidFill>
                    <w14:schemeClr w14:val="tx1"/>
                  </w14:solidFill>
                </w14:textFill>
              </w:rPr>
              <w:t>20</w:t>
            </w:r>
            <w:r>
              <w:rPr>
                <w:rFonts w:hint="eastAsia" w:ascii="宋体" w:hAnsi="宋体" w:cs="宋体"/>
                <w:b/>
                <w:bCs/>
                <w:color w:val="000000" w:themeColor="text1"/>
                <w:kern w:val="0"/>
                <w:sz w:val="24"/>
                <w:highlight w:val="none"/>
                <w14:textFill>
                  <w14:solidFill>
                    <w14:schemeClr w14:val="tx1"/>
                  </w14:solidFill>
                </w14:textFill>
              </w:rPr>
              <w:t>日下午</w:t>
            </w:r>
            <w:r>
              <w:rPr>
                <w:rFonts w:hint="eastAsia" w:ascii="宋体" w:hAnsi="宋体" w:cs="宋体"/>
                <w:b/>
                <w:bCs/>
                <w:color w:val="000000" w:themeColor="text1"/>
                <w:kern w:val="0"/>
                <w:sz w:val="24"/>
                <w:highlight w:val="none"/>
                <w:lang w:val="en-US" w:eastAsia="zh-CN"/>
                <w14:textFill>
                  <w14:solidFill>
                    <w14:schemeClr w14:val="tx1"/>
                  </w14:solidFill>
                </w14:textFill>
              </w:rPr>
              <w:t>14</w:t>
            </w:r>
            <w:r>
              <w:rPr>
                <w:rFonts w:hint="eastAsia" w:ascii="宋体" w:hAnsi="宋体" w:cs="宋体"/>
                <w:b/>
                <w:bCs/>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30时</w:t>
            </w:r>
            <w:r>
              <w:rPr>
                <w:rFonts w:hint="eastAsia" w:ascii="宋体" w:hAnsi="宋体" w:cs="宋体"/>
                <w:b/>
                <w:bCs/>
                <w:color w:val="000000" w:themeColor="text1"/>
                <w:kern w:val="0"/>
                <w:sz w:val="24"/>
                <w14:textFill>
                  <w14:solidFill>
                    <w14:schemeClr w14:val="tx1"/>
                  </w14:solidFill>
                </w14:textFill>
              </w:rPr>
              <w:t>（北京时间）</w:t>
            </w:r>
            <w:r>
              <w:rPr>
                <w:rFonts w:hint="eastAsia" w:ascii="宋体" w:hAnsi="宋体" w:cs="宋体"/>
                <w:color w:val="000000" w:themeColor="text1"/>
                <w:kern w:val="0"/>
                <w:sz w:val="24"/>
                <w14:textFill>
                  <w14:solidFill>
                    <w14:schemeClr w14:val="tx1"/>
                  </w14:solidFill>
                </w14:textFill>
              </w:rPr>
              <w:t>前送达（现场递交或邮寄）</w:t>
            </w:r>
            <w:r>
              <w:rPr>
                <w:rFonts w:hint="eastAsia" w:ascii="宋体" w:hAnsi="宋体" w:cs="宋体"/>
                <w:color w:val="000000" w:themeColor="text1"/>
                <w:kern w:val="0"/>
                <w:sz w:val="24"/>
                <w:u w:val="none"/>
                <w14:textFill>
                  <w14:solidFill>
                    <w14:schemeClr w14:val="tx1"/>
                  </w14:solidFill>
                </w14:textFill>
              </w:rPr>
              <w:t>至深圳市南</w:t>
            </w:r>
            <w:r>
              <w:rPr>
                <w:rFonts w:hint="eastAsia" w:ascii="宋体" w:hAnsi="宋体" w:cs="宋体"/>
                <w:color w:val="000000" w:themeColor="text1"/>
                <w:kern w:val="0"/>
                <w:sz w:val="24"/>
                <w14:textFill>
                  <w14:solidFill>
                    <w14:schemeClr w14:val="tx1"/>
                  </w14:solidFill>
                </w14:textFill>
              </w:rPr>
              <w:t>山区前海深港合作区桂湾五路123号前海管理</w:t>
            </w:r>
            <w:r>
              <w:rPr>
                <w:rFonts w:hint="eastAsia" w:ascii="宋体" w:hAnsi="宋体" w:cs="宋体"/>
                <w:color w:val="000000" w:themeColor="text1"/>
                <w:kern w:val="0"/>
                <w:sz w:val="24"/>
                <w:highlight w:val="none"/>
                <w14:textFill>
                  <w14:solidFill>
                    <w14:schemeClr w14:val="tx1"/>
                  </w14:solidFill>
                </w14:textFill>
              </w:rPr>
              <w:t>局前海大厦T1栋</w:t>
            </w:r>
            <w:r>
              <w:rPr>
                <w:rFonts w:hint="eastAsia" w:ascii="宋体" w:hAnsi="宋体" w:cs="宋体"/>
                <w:color w:val="000000" w:themeColor="text1"/>
                <w:kern w:val="0"/>
                <w:sz w:val="24"/>
                <w:highlight w:val="none"/>
                <w:lang w:val="en-US" w:eastAsia="zh-CN"/>
                <w14:textFill>
                  <w14:solidFill>
                    <w14:schemeClr w14:val="tx1"/>
                  </w14:solidFill>
                </w14:textFill>
              </w:rPr>
              <w:t>2505</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室</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蒋工</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88105470</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noWrap w:val="0"/>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w:t>
            </w:r>
            <w:r>
              <w:rPr>
                <w:rFonts w:hint="eastAsia" w:ascii="宋体" w:hAnsi="宋体" w:cs="宋体"/>
                <w:color w:val="000000" w:themeColor="text1"/>
                <w:kern w:val="0"/>
                <w:sz w:val="24"/>
                <w:lang w:val="en-US" w:eastAsia="zh-CN"/>
                <w14:textFill>
                  <w14:solidFill>
                    <w14:schemeClr w14:val="tx1"/>
                  </w14:solidFill>
                </w14:textFill>
              </w:rPr>
              <w:t>他</w:t>
            </w:r>
            <w:r>
              <w:rPr>
                <w:rFonts w:hint="eastAsia" w:ascii="宋体" w:hAnsi="宋体" w:cs="宋体"/>
                <w:color w:val="000000" w:themeColor="text1"/>
                <w:kern w:val="0"/>
                <w:sz w:val="24"/>
                <w14:textFill>
                  <w14:solidFill>
                    <w14:schemeClr w14:val="tx1"/>
                  </w14:solidFill>
                </w14:textFill>
              </w:rPr>
              <w:t>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auto"/>
                <w:kern w:val="0"/>
                <w:sz w:val="24"/>
              </w:rPr>
              <w:t>投标人必须具有建筑行业建筑工程</w:t>
            </w:r>
            <w:r>
              <w:rPr>
                <w:rFonts w:hint="eastAsia" w:ascii="宋体" w:hAnsi="宋体" w:cs="宋体"/>
                <w:b/>
                <w:bCs/>
                <w:color w:val="auto"/>
                <w:kern w:val="0"/>
                <w:sz w:val="24"/>
                <w:lang w:val="en-US" w:eastAsia="zh-CN"/>
              </w:rPr>
              <w:t>乙</w:t>
            </w:r>
            <w:r>
              <w:rPr>
                <w:rFonts w:hint="eastAsia" w:ascii="宋体" w:hAnsi="宋体" w:cs="宋体"/>
                <w:b/>
                <w:bCs/>
                <w:color w:val="auto"/>
                <w:kern w:val="0"/>
                <w:sz w:val="24"/>
              </w:rPr>
              <w:t>级或以上资质（投标人提供资质证书复印件加盖公章</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原件备查</w:t>
            </w:r>
            <w:r>
              <w:rPr>
                <w:rFonts w:hint="eastAsia" w:ascii="宋体" w:hAnsi="宋体" w:cs="宋体"/>
                <w:b/>
                <w:bCs/>
                <w:color w:val="auto"/>
                <w:kern w:val="0"/>
                <w:sz w:val="24"/>
              </w:rPr>
              <w:t>）</w:t>
            </w:r>
            <w:r>
              <w:rPr>
                <w:rFonts w:hint="eastAsia" w:ascii="宋体" w:hAnsi="宋体" w:cs="宋体"/>
                <w:b/>
                <w:bCs/>
                <w:color w:val="auto"/>
                <w:kern w:val="0"/>
                <w:sz w:val="24"/>
                <w:lang w:eastAsia="zh-CN"/>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w:t>
            </w:r>
            <w:r>
              <w:rPr>
                <w:rFonts w:ascii="宋体" w:hAnsi="宋体" w:cs="宋体"/>
                <w:color w:val="000000" w:themeColor="text1"/>
                <w:kern w:val="0"/>
                <w:sz w:val="24"/>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noWrap w:val="0"/>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w:t>
            </w:r>
            <w:r>
              <w:rPr>
                <w:rFonts w:hint="eastAsia" w:ascii="宋体" w:hAnsi="宋体" w:cs="宋体"/>
                <w:color w:val="000000" w:themeColor="text1"/>
                <w:sz w:val="24"/>
                <w:lang w:val="en-US" w:eastAsia="zh-CN"/>
                <w14:textFill>
                  <w14:solidFill>
                    <w14:schemeClr w14:val="tx1"/>
                  </w14:solidFill>
                </w14:textFill>
              </w:rPr>
              <w:t>订</w:t>
            </w:r>
            <w:r>
              <w:rPr>
                <w:rFonts w:hint="eastAsia" w:ascii="宋体" w:hAnsi="宋体" w:cs="宋体"/>
                <w:color w:val="000000" w:themeColor="text1"/>
                <w:sz w:val="24"/>
                <w14:textFill>
                  <w14:solidFill>
                    <w14:schemeClr w14:val="tx1"/>
                  </w14:solidFill>
                </w14:textFill>
              </w:rPr>
              <w:t>的合同金额。投标人的报价不可高于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w:t>
            </w:r>
            <w:r>
              <w:rPr>
                <w:rFonts w:hint="eastAsia" w:ascii="宋体" w:hAnsi="宋体" w:cs="宋体"/>
                <w:color w:val="000000" w:themeColor="text1"/>
                <w:kern w:val="0"/>
                <w:sz w:val="24"/>
                <w:lang w:eastAsia="zh-CN"/>
                <w14:textFill>
                  <w14:solidFill>
                    <w14:schemeClr w14:val="tx1"/>
                  </w14:solidFill>
                </w14:textFill>
              </w:rPr>
              <w:t>投标人的投标总价为完成项目及招标文件或合同条款所规定的工作内容的各项费用，项目服务费包括</w:t>
            </w:r>
            <w:r>
              <w:rPr>
                <w:rFonts w:hint="eastAsia" w:ascii="宋体" w:hAnsi="宋体" w:cs="宋体"/>
                <w:color w:val="000000" w:themeColor="text1"/>
                <w:kern w:val="0"/>
                <w:sz w:val="24"/>
                <w:lang w:val="en-US" w:eastAsia="zh-CN"/>
                <w14:textFill>
                  <w14:solidFill>
                    <w14:schemeClr w14:val="tx1"/>
                  </w14:solidFill>
                </w14:textFill>
              </w:rPr>
              <w:t>但不限于：</w:t>
            </w:r>
            <w:r>
              <w:rPr>
                <w:rFonts w:hint="eastAsia" w:ascii="宋体" w:hAnsi="宋体" w:cs="宋体"/>
                <w:color w:val="auto"/>
                <w:kern w:val="0"/>
                <w:sz w:val="24"/>
                <w:lang w:val="en-US" w:eastAsia="zh-CN"/>
              </w:rPr>
              <w:t>调查调研、差旅费、项目成果报告编制、印刷费、专家咨询费以及会议费等所有费用，并提供合同要求的报告、全部规划研究成果文件和全部资料，以及其它相关服务的全部费用；由企业根据招标文件所提供的资料自行测算投标报价</w:t>
            </w:r>
            <w:r>
              <w:rPr>
                <w:rFonts w:hint="eastAsia" w:ascii="宋体" w:hAnsi="宋体" w:cs="宋体"/>
                <w:color w:val="000000" w:themeColor="text1"/>
                <w:kern w:val="0"/>
                <w:sz w:val="24"/>
                <w:lang w:val="en-US" w:eastAsia="zh-CN"/>
                <w14:textFill>
                  <w14:solidFill>
                    <w14:schemeClr w14:val="tx1"/>
                  </w14:solidFill>
                </w14:textFill>
              </w:rPr>
              <w:t>；一经中标，投标报价总价作为中标单位与采购人签订的合同金额，合同期限内不做调整</w:t>
            </w:r>
            <w:r>
              <w:rPr>
                <w:rFonts w:hint="eastAsia" w:ascii="宋体" w:hAnsi="宋体" w:cs="宋体"/>
                <w:color w:val="000000" w:themeColor="text1"/>
                <w:sz w:val="24"/>
                <w14:textFill>
                  <w14:solidFill>
                    <w14:schemeClr w14:val="tx1"/>
                  </w14:solidFill>
                </w14:textFill>
              </w:rPr>
              <w:t>。</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noWrap w:val="0"/>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采购人信息：</w:t>
            </w:r>
          </w:p>
          <w:p>
            <w:pPr>
              <w:spacing w:line="360" w:lineRule="auto"/>
              <w:rPr>
                <w:rFonts w:hint="eastAsia" w:ascii="宋体" w:hAnsi="宋体" w:cs="宋体"/>
                <w:color w:val="000000" w:themeColor="text1"/>
                <w:kern w:val="0"/>
                <w:sz w:val="24"/>
                <w:u w:val="none"/>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名      称：深圳市前海深港现代服务业合作区管理局</w:t>
            </w:r>
          </w:p>
          <w:p>
            <w:pPr>
              <w:spacing w:line="360" w:lineRule="auto"/>
              <w:rPr>
                <w:rFonts w:hint="default" w:ascii="宋体" w:hAnsi="宋体" w:cs="宋体"/>
                <w:color w:val="000000" w:themeColor="text1"/>
                <w:kern w:val="0"/>
                <w:sz w:val="24"/>
                <w:u w:val="none"/>
                <w:lang w:val="en-US"/>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蒋工</w:t>
            </w:r>
          </w:p>
          <w:p>
            <w:pPr>
              <w:spacing w:line="360" w:lineRule="auto"/>
              <w:rPr>
                <w:rFonts w:hint="default" w:ascii="宋体" w:hAnsi="宋体" w:cs="宋体"/>
                <w:color w:val="000000" w:themeColor="text1"/>
                <w:kern w:val="0"/>
                <w:sz w:val="24"/>
                <w:highlight w:val="none"/>
                <w:u w:val="none"/>
                <w:lang w:val="en-US" w:eastAsia="zh-CN"/>
                <w14:textFill>
                  <w14:solidFill>
                    <w14:schemeClr w14:val="tx1"/>
                  </w14:solidFill>
                </w14:textFill>
              </w:rPr>
            </w:pPr>
            <w:r>
              <w:rPr>
                <w:rFonts w:hint="eastAsia" w:ascii="宋体" w:hAnsi="宋体" w:cs="宋体"/>
                <w:color w:val="000000" w:themeColor="text1"/>
                <w:kern w:val="0"/>
                <w:sz w:val="24"/>
                <w:u w:val="none"/>
                <w14:textFill>
                  <w14:solidFill>
                    <w14:schemeClr w14:val="tx1"/>
                  </w14:solidFill>
                </w14:textFill>
              </w:rPr>
              <w:t>电      话：0755</w:t>
            </w:r>
            <w:r>
              <w:rPr>
                <w:rFonts w:hint="eastAsia" w:ascii="宋体" w:hAnsi="宋体" w:cs="宋体"/>
                <w:color w:val="000000" w:themeColor="text1"/>
                <w:kern w:val="0"/>
                <w:sz w:val="24"/>
                <w:highlight w:val="none"/>
                <w:u w:val="none"/>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88105470</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采购代理机构信息：</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      称： 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 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 凌女士、伍先生</w:t>
            </w:r>
          </w:p>
          <w:p>
            <w:pPr>
              <w:spacing w:line="360" w:lineRule="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 0755-82078919、82077364转</w:t>
            </w:r>
            <w:r>
              <w:rPr>
                <w:rFonts w:hint="eastAsia" w:ascii="宋体" w:hAnsi="宋体" w:cs="宋体"/>
                <w:color w:val="000000" w:themeColor="text1"/>
                <w:kern w:val="0"/>
                <w:sz w:val="24"/>
                <w:lang w:val="en-US" w:eastAsia="zh-CN"/>
                <w14:textFill>
                  <w14:solidFill>
                    <w14:schemeClr w14:val="tx1"/>
                  </w14:solidFill>
                </w14:textFill>
              </w:rPr>
              <w:t>110</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日</w:t>
      </w:r>
    </w:p>
    <w:p>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2"/>
        <w:rPr>
          <w:rFonts w:hint="eastAsia"/>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4" w:name="_Toc12814"/>
      <w:r>
        <w:rPr>
          <w:rFonts w:hint="eastAsia" w:ascii="宋体" w:hAnsi="宋体" w:cs="宋体"/>
          <w:b/>
          <w:bCs/>
          <w:color w:val="000000" w:themeColor="text1"/>
          <w:sz w:val="24"/>
          <w14:textFill>
            <w14:solidFill>
              <w14:schemeClr w14:val="tx1"/>
            </w14:solidFill>
          </w14:textFill>
        </w:rPr>
        <w:t>投标须知</w:t>
      </w:r>
      <w:bookmarkEnd w:id="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前海桂湾片区规划建设运营国际化提升—前海梦工场北区5号楼建筑及公共空间提升研究</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2、本项目不属于《深圳市2023—2024年政府集中采购目录及限额标准》规定应集中采购项目，根据《中华人民共和国政府采购法》、《深圳经济特区</w:t>
      </w:r>
      <w:r>
        <w:rPr>
          <w:rFonts w:hint="eastAsia" w:ascii="宋体" w:hAnsi="宋体" w:cs="宋体"/>
          <w:color w:val="000000" w:themeColor="text1"/>
          <w:sz w:val="24"/>
          <w:lang w:val="en-US" w:eastAsia="zh-CN"/>
          <w14:textFill>
            <w14:solidFill>
              <w14:schemeClr w14:val="tx1"/>
            </w14:solidFill>
          </w14:textFill>
        </w:rPr>
        <w:t>政府</w:t>
      </w:r>
      <w:r>
        <w:rPr>
          <w:rFonts w:hint="eastAsia" w:ascii="宋体" w:hAnsi="宋体" w:cs="宋体"/>
          <w:color w:val="000000" w:themeColor="text1"/>
          <w:sz w:val="24"/>
          <w14:textFill>
            <w14:solidFill>
              <w14:schemeClr w14:val="tx1"/>
            </w14:solidFill>
          </w14:textFill>
        </w:rPr>
        <w:t>采购条例》的有关规定，中国远东国际招标有限公司受深圳市前海深港现代服务业合作区管理局委托组织采购</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本次采购公开征集供应商，报名且符合招标文件初审的供应商满足3家或3家以上的，采用综合评分法的方式进行。报名且符合招标文件初审的供应商不足3家而致招标失败的，按以下流程执行：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b.如参与投标且符合招标文件要求的供应商仅有1家，评审委员会应与投标供应商进行谈判，成交价应为最初报价的95%。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5套（1套正本，4套副本，1份电子文档）</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pStyle w:val="24"/>
        <w:snapToGrid w:val="0"/>
        <w:spacing w:line="360" w:lineRule="auto"/>
        <w:ind w:firstLine="480"/>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000000" w:themeColor="text1"/>
          <w:sz w:val="24"/>
          <w:szCs w:val="24"/>
          <w14:textFill>
            <w14:solidFill>
              <w14:schemeClr w14:val="tx1"/>
            </w14:solidFill>
          </w14:textFill>
        </w:rPr>
        <w:t>第一</w:t>
      </w:r>
      <w:r>
        <w:rPr>
          <w:rFonts w:hint="eastAsia" w:ascii="宋体" w:hAnsi="宋体" w:cs="宋体"/>
          <w:color w:val="000000" w:themeColor="text1"/>
          <w:kern w:val="2"/>
          <w:sz w:val="24"/>
          <w:szCs w:val="24"/>
          <w14:textFill>
            <w14:solidFill>
              <w14:schemeClr w14:val="tx1"/>
            </w14:solidFill>
          </w14:textFill>
        </w:rPr>
        <w:t>中标候选人。</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（2）成交价应为最初报价的95%。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6"/>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noWrap w:val="0"/>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w:t>
      </w:r>
      <w:r>
        <w:rPr>
          <w:rFonts w:hint="eastAsia" w:ascii="宋体" w:hAnsi="宋体" w:cs="宋体"/>
          <w:color w:val="000000" w:themeColor="text1"/>
          <w:sz w:val="24"/>
          <w:lang w:val="en-US" w:eastAsia="zh-CN"/>
          <w14:textFill>
            <w14:solidFill>
              <w14:schemeClr w14:val="tx1"/>
            </w14:solidFill>
          </w14:textFill>
        </w:rPr>
        <w:t>账号</w:t>
      </w:r>
      <w:r>
        <w:rPr>
          <w:rFonts w:hint="eastAsia" w:ascii="宋体" w:hAnsi="宋体" w:cs="宋体"/>
          <w:color w:val="000000" w:themeColor="text1"/>
          <w:sz w:val="24"/>
          <w14:textFill>
            <w14:solidFill>
              <w14:schemeClr w14:val="tx1"/>
            </w14:solidFill>
          </w14:textFill>
        </w:rPr>
        <w:t>：11013651025501</w:t>
      </w:r>
    </w:p>
    <w:p>
      <w:pPr>
        <w:spacing w:line="360" w:lineRule="auto"/>
        <w:rPr>
          <w:rFonts w:hint="eastAsia" w:ascii="宋体" w:hAnsi="宋体" w:cs="宋体"/>
          <w:b/>
          <w:bCs/>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5" w:name="_Toc21486"/>
      <w:r>
        <w:rPr>
          <w:rFonts w:hint="eastAsia" w:ascii="宋体" w:hAnsi="宋体" w:cs="宋体"/>
          <w:b/>
          <w:bCs/>
          <w:color w:val="000000" w:themeColor="text1"/>
          <w:sz w:val="24"/>
          <w14:textFill>
            <w14:solidFill>
              <w14:schemeClr w14:val="tx1"/>
            </w14:solidFill>
          </w14:textFill>
        </w:rPr>
        <w:t>评标程序</w:t>
      </w:r>
      <w:bookmarkEnd w:id="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w:t>
      </w:r>
      <w:bookmarkStart w:id="25" w:name="_GoBack"/>
      <w:bookmarkEnd w:id="25"/>
      <w:r>
        <w:rPr>
          <w:rFonts w:hint="eastAsia" w:ascii="宋体" w:hAnsi="宋体" w:cs="宋体"/>
          <w:color w:val="000000" w:themeColor="text1"/>
          <w:sz w:val="24"/>
          <w14:textFill>
            <w14:solidFill>
              <w14:schemeClr w14:val="tx1"/>
            </w14:solidFill>
          </w14:textFill>
        </w:rPr>
        <w:t>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日下午14:30时（北京时间）。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日下午14:30时（北京时间）由会议主持人宣布定标会议开始。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w:t>
      </w:r>
      <w:r>
        <w:rPr>
          <w:rFonts w:hint="eastAsia" w:ascii="宋体" w:hAnsi="宋体" w:cs="宋体"/>
          <w:color w:val="000000" w:themeColor="text1"/>
          <w:sz w:val="24"/>
          <w:lang w:val="en-US" w:eastAsia="zh-CN"/>
          <w14:textFill>
            <w14:solidFill>
              <w14:schemeClr w14:val="tx1"/>
            </w14:solidFill>
          </w14:textFill>
        </w:rPr>
        <w:t>有</w:t>
      </w:r>
      <w:r>
        <w:rPr>
          <w:rFonts w:hint="eastAsia" w:ascii="宋体" w:hAnsi="宋体" w:cs="宋体"/>
          <w:color w:val="000000" w:themeColor="text1"/>
          <w:sz w:val="24"/>
          <w14:textFill>
            <w14:solidFill>
              <w14:schemeClr w14:val="tx1"/>
            </w14:solidFill>
          </w14:textFill>
        </w:rPr>
        <w:t>）确认投标文件密封完整，未密封投标文件将作为投标无效处理。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numPr>
          <w:ilvl w:val="0"/>
          <w:numId w:val="6"/>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成交价应为最初报价的95%。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十、根据本次采购的结果，10个工作日内与中标供应商签订合同。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6" w:name="_Toc8184"/>
      <w:r>
        <w:rPr>
          <w:rFonts w:hint="eastAsia" w:ascii="宋体" w:hAnsi="宋体" w:cs="宋体"/>
          <w:b/>
          <w:bCs/>
          <w:color w:val="000000" w:themeColor="text1"/>
          <w:sz w:val="24"/>
          <w14:textFill>
            <w14:solidFill>
              <w14:schemeClr w14:val="tx1"/>
            </w14:solidFill>
          </w14:textFill>
        </w:rPr>
        <w:t>合同格式及合同条款</w:t>
      </w:r>
      <w:bookmarkEnd w:id="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p>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w:t>
      </w:r>
      <w:r>
        <w:rPr>
          <w:rFonts w:hint="eastAsia" w:ascii="宋体" w:hAnsi="宋体" w:cs="宋体"/>
          <w:b/>
          <w:color w:val="000000" w:themeColor="text1"/>
          <w:sz w:val="24"/>
          <w:szCs w:val="24"/>
          <w:lang w:eastAsia="zh-CN"/>
          <w14:textFill>
            <w14:solidFill>
              <w14:schemeClr w14:val="tx1"/>
            </w14:solidFill>
          </w14:textFill>
        </w:rPr>
        <w:t>甲方</w:t>
      </w:r>
      <w:r>
        <w:rPr>
          <w:rFonts w:hint="eastAsia" w:ascii="宋体" w:hAnsi="宋体" w:cs="宋体"/>
          <w:b/>
          <w:color w:val="000000" w:themeColor="text1"/>
          <w:sz w:val="24"/>
          <w:szCs w:val="24"/>
          <w14:textFill>
            <w14:solidFill>
              <w14:schemeClr w14:val="tx1"/>
            </w14:solidFill>
          </w14:textFill>
        </w:rPr>
        <w:t xml:space="preserve">）：            </w:t>
      </w:r>
    </w:p>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w:t>
      </w:r>
      <w:r>
        <w:rPr>
          <w:rFonts w:hint="eastAsia" w:ascii="宋体" w:hAnsi="宋体" w:cs="宋体"/>
          <w:b/>
          <w:color w:val="000000" w:themeColor="text1"/>
          <w:sz w:val="24"/>
          <w:szCs w:val="24"/>
          <w:lang w:eastAsia="zh-CN"/>
          <w14:textFill>
            <w14:solidFill>
              <w14:schemeClr w14:val="tx1"/>
            </w14:solidFill>
          </w14:textFill>
        </w:rPr>
        <w:t>乙方</w:t>
      </w:r>
      <w:r>
        <w:rPr>
          <w:rFonts w:hint="eastAsia" w:ascii="宋体" w:hAnsi="宋体" w:cs="宋体"/>
          <w:b/>
          <w:color w:val="000000" w:themeColor="text1"/>
          <w:sz w:val="24"/>
          <w:szCs w:val="24"/>
          <w14:textFill>
            <w14:solidFill>
              <w14:schemeClr w14:val="tx1"/>
            </w14:solidFill>
          </w14:textFill>
        </w:rPr>
        <w:t xml:space="preserve">）：            </w:t>
      </w:r>
    </w:p>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前海桂湾片区规划建设运营国际化提升—前海梦工场北区5号楼建筑及公共空间提升研究</w:t>
      </w:r>
      <w:r>
        <w:rPr>
          <w:rFonts w:hint="eastAsia" w:ascii="宋体" w:hAnsi="宋体" w:cs="宋体"/>
          <w:b/>
          <w:color w:val="000000" w:themeColor="text1"/>
          <w:sz w:val="28"/>
          <w:szCs w:val="28"/>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keepNext w:val="0"/>
        <w:keepLines w:val="0"/>
        <w:pageBreakBefore w:val="0"/>
        <w:kinsoku/>
        <w:wordWrap/>
        <w:overflowPunct/>
        <w:topLinePunct w:val="0"/>
        <w:autoSpaceDE/>
        <w:autoSpaceDN/>
        <w:bidi w:val="0"/>
        <w:spacing w:line="460" w:lineRule="exact"/>
        <w:ind w:left="0" w:leftChars="0" w:firstLine="641" w:firstLineChars="266"/>
        <w:rPr>
          <w:rFonts w:hint="eastAsia" w:ascii="华文仿宋" w:hAnsi="华文仿宋" w:eastAsia="华文仿宋" w:cs="华文仿宋"/>
          <w:b/>
          <w:bCs/>
          <w:color w:val="000000"/>
          <w:sz w:val="24"/>
          <w:szCs w:val="24"/>
        </w:rPr>
      </w:pPr>
      <w:r>
        <w:rPr>
          <w:rFonts w:hint="eastAsia" w:ascii="华文仿宋" w:hAnsi="华文仿宋" w:eastAsia="华文仿宋" w:cs="华文仿宋"/>
          <w:b/>
          <w:bCs/>
          <w:color w:val="000000"/>
          <w:sz w:val="24"/>
          <w:szCs w:val="24"/>
          <w:lang w:eastAsia="zh-CN"/>
        </w:rPr>
        <w:t>甲方</w:t>
      </w:r>
      <w:r>
        <w:rPr>
          <w:rFonts w:hint="eastAsia" w:ascii="华文仿宋" w:hAnsi="华文仿宋" w:eastAsia="华文仿宋" w:cs="华文仿宋"/>
          <w:b/>
          <w:bCs/>
          <w:color w:val="000000"/>
          <w:sz w:val="24"/>
          <w:szCs w:val="24"/>
        </w:rPr>
        <w:t xml:space="preserve">： </w:t>
      </w:r>
    </w:p>
    <w:p>
      <w:pPr>
        <w:keepNext w:val="0"/>
        <w:keepLines w:val="0"/>
        <w:pageBreakBefore w:val="0"/>
        <w:kinsoku/>
        <w:wordWrap/>
        <w:overflowPunct/>
        <w:topLinePunct w:val="0"/>
        <w:autoSpaceDE/>
        <w:autoSpaceDN/>
        <w:bidi w:val="0"/>
        <w:spacing w:line="460" w:lineRule="exact"/>
        <w:ind w:left="0" w:leftChars="0" w:firstLine="641" w:firstLineChars="266"/>
        <w:rPr>
          <w:rFonts w:hint="eastAsia" w:ascii="华文仿宋" w:hAnsi="华文仿宋" w:eastAsia="华文仿宋" w:cs="华文仿宋"/>
          <w:b/>
          <w:bCs/>
          <w:color w:val="000000"/>
          <w:sz w:val="24"/>
          <w:szCs w:val="24"/>
        </w:rPr>
      </w:pPr>
      <w:r>
        <w:rPr>
          <w:rFonts w:hint="eastAsia" w:ascii="华文仿宋" w:hAnsi="华文仿宋" w:eastAsia="华文仿宋" w:cs="华文仿宋"/>
          <w:b/>
          <w:bCs/>
          <w:color w:val="000000"/>
          <w:sz w:val="24"/>
          <w:szCs w:val="24"/>
        </w:rPr>
        <w:t xml:space="preserve">地址： </w:t>
      </w:r>
    </w:p>
    <w:p>
      <w:pPr>
        <w:keepNext w:val="0"/>
        <w:keepLines w:val="0"/>
        <w:pageBreakBefore w:val="0"/>
        <w:kinsoku/>
        <w:wordWrap/>
        <w:overflowPunct/>
        <w:topLinePunct w:val="0"/>
        <w:autoSpaceDE/>
        <w:autoSpaceDN/>
        <w:bidi w:val="0"/>
        <w:spacing w:line="460" w:lineRule="exact"/>
        <w:ind w:left="0" w:leftChars="0" w:firstLine="641" w:firstLineChars="266"/>
        <w:rPr>
          <w:rFonts w:hint="eastAsia" w:ascii="华文仿宋" w:hAnsi="华文仿宋" w:eastAsia="华文仿宋" w:cs="华文仿宋"/>
          <w:b/>
          <w:bCs/>
          <w:color w:val="000000"/>
          <w:sz w:val="24"/>
          <w:szCs w:val="24"/>
        </w:rPr>
      </w:pPr>
      <w:r>
        <w:rPr>
          <w:rFonts w:hint="eastAsia" w:ascii="华文仿宋" w:hAnsi="华文仿宋" w:eastAsia="华文仿宋" w:cs="华文仿宋"/>
          <w:b/>
          <w:bCs/>
          <w:color w:val="000000"/>
          <w:sz w:val="24"/>
          <w:szCs w:val="24"/>
        </w:rPr>
        <w:t xml:space="preserve"> </w:t>
      </w:r>
    </w:p>
    <w:p>
      <w:pPr>
        <w:keepNext w:val="0"/>
        <w:keepLines w:val="0"/>
        <w:pageBreakBefore w:val="0"/>
        <w:kinsoku/>
        <w:wordWrap/>
        <w:overflowPunct/>
        <w:topLinePunct w:val="0"/>
        <w:autoSpaceDE/>
        <w:autoSpaceDN/>
        <w:bidi w:val="0"/>
        <w:spacing w:line="460" w:lineRule="exact"/>
        <w:ind w:left="0" w:leftChars="0" w:firstLine="641" w:firstLineChars="266"/>
        <w:rPr>
          <w:rFonts w:hint="eastAsia" w:ascii="华文仿宋" w:hAnsi="华文仿宋" w:eastAsia="华文仿宋" w:cs="华文仿宋"/>
          <w:b w:val="0"/>
          <w:bCs w:val="0"/>
          <w:color w:val="000000"/>
          <w:sz w:val="24"/>
          <w:szCs w:val="24"/>
          <w:u w:val="none"/>
        </w:rPr>
      </w:pPr>
      <w:r>
        <w:rPr>
          <w:rFonts w:hint="eastAsia" w:ascii="华文仿宋" w:hAnsi="华文仿宋" w:eastAsia="华文仿宋" w:cs="华文仿宋"/>
          <w:b/>
          <w:bCs/>
          <w:color w:val="000000"/>
          <w:sz w:val="24"/>
          <w:szCs w:val="24"/>
          <w:lang w:eastAsia="zh-CN"/>
        </w:rPr>
        <w:t>乙方</w:t>
      </w:r>
      <w:r>
        <w:rPr>
          <w:rFonts w:hint="eastAsia" w:ascii="华文仿宋" w:hAnsi="华文仿宋" w:eastAsia="华文仿宋" w:cs="华文仿宋"/>
          <w:b/>
          <w:bCs/>
          <w:color w:val="000000"/>
          <w:sz w:val="24"/>
          <w:szCs w:val="24"/>
        </w:rPr>
        <w:t>：</w:t>
      </w:r>
    </w:p>
    <w:p>
      <w:pPr>
        <w:keepNext w:val="0"/>
        <w:keepLines w:val="0"/>
        <w:pageBreakBefore w:val="0"/>
        <w:kinsoku/>
        <w:wordWrap/>
        <w:overflowPunct/>
        <w:topLinePunct w:val="0"/>
        <w:autoSpaceDE/>
        <w:autoSpaceDN/>
        <w:bidi w:val="0"/>
        <w:spacing w:line="460" w:lineRule="exact"/>
        <w:ind w:left="0" w:leftChars="0" w:firstLine="641" w:firstLineChars="266"/>
        <w:rPr>
          <w:rFonts w:hint="eastAsia" w:ascii="华文仿宋" w:hAnsi="华文仿宋" w:eastAsia="华文仿宋" w:cs="华文仿宋"/>
          <w:b w:val="0"/>
          <w:bCs w:val="0"/>
          <w:color w:val="000000"/>
          <w:sz w:val="24"/>
          <w:szCs w:val="24"/>
          <w:u w:val="none"/>
        </w:rPr>
      </w:pPr>
      <w:r>
        <w:rPr>
          <w:rFonts w:hint="eastAsia" w:ascii="华文仿宋" w:hAnsi="华文仿宋" w:eastAsia="华文仿宋" w:cs="华文仿宋"/>
          <w:b/>
          <w:bCs/>
          <w:color w:val="000000"/>
          <w:sz w:val="24"/>
          <w:szCs w:val="24"/>
        </w:rPr>
        <w:t>地址：</w:t>
      </w:r>
    </w:p>
    <w:p>
      <w:pPr>
        <w:keepNext w:val="0"/>
        <w:keepLines w:val="0"/>
        <w:pageBreakBefore w:val="0"/>
        <w:kinsoku/>
        <w:wordWrap/>
        <w:overflowPunct/>
        <w:topLinePunct w:val="0"/>
        <w:autoSpaceDE/>
        <w:autoSpaceDN/>
        <w:bidi w:val="0"/>
        <w:spacing w:line="460" w:lineRule="exact"/>
        <w:rPr>
          <w:rFonts w:hint="eastAsia" w:ascii="华文仿宋" w:hAnsi="华文仿宋" w:eastAsia="华文仿宋" w:cs="华文仿宋"/>
          <w:b/>
          <w:bCs/>
          <w:color w:val="000000"/>
          <w:sz w:val="24"/>
          <w:szCs w:val="24"/>
        </w:rPr>
      </w:pPr>
      <w:r>
        <w:rPr>
          <w:rFonts w:hint="eastAsia" w:ascii="华文仿宋" w:hAnsi="华文仿宋" w:eastAsia="华文仿宋" w:cs="华文仿宋"/>
          <w:b/>
          <w:bCs/>
          <w:color w:val="000000"/>
          <w:sz w:val="24"/>
          <w:szCs w:val="24"/>
        </w:rPr>
        <w:t xml:space="preserve"> </w:t>
      </w:r>
    </w:p>
    <w:p>
      <w:pPr>
        <w:keepNext w:val="0"/>
        <w:keepLines w:val="0"/>
        <w:pageBreakBefore w:val="0"/>
        <w:kinsoku/>
        <w:wordWrap/>
        <w:overflowPunct/>
        <w:topLinePunct w:val="0"/>
        <w:autoSpaceDE/>
        <w:autoSpaceDN/>
        <w:bidi w:val="0"/>
        <w:spacing w:line="460" w:lineRule="exact"/>
        <w:ind w:firstLine="480" w:firstLineChars="200"/>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以下</w:t>
      </w:r>
      <w:r>
        <w:rPr>
          <w:rFonts w:hint="eastAsia" w:ascii="华文仿宋" w:hAnsi="华文仿宋" w:eastAsia="华文仿宋" w:cs="华文仿宋"/>
          <w:color w:val="000000"/>
          <w:sz w:val="24"/>
          <w:szCs w:val="24"/>
          <w:lang w:eastAsia="zh-CN"/>
        </w:rPr>
        <w:t>甲方</w:t>
      </w:r>
      <w:r>
        <w:rPr>
          <w:rFonts w:hint="eastAsia" w:ascii="华文仿宋" w:hAnsi="华文仿宋" w:eastAsia="华文仿宋" w:cs="华文仿宋"/>
          <w:color w:val="000000"/>
          <w:sz w:val="24"/>
          <w:szCs w:val="24"/>
        </w:rPr>
        <w:t>和</w:t>
      </w:r>
      <w:r>
        <w:rPr>
          <w:rFonts w:hint="eastAsia" w:ascii="华文仿宋" w:hAnsi="华文仿宋" w:eastAsia="华文仿宋" w:cs="华文仿宋"/>
          <w:color w:val="000000"/>
          <w:sz w:val="24"/>
          <w:szCs w:val="24"/>
          <w:lang w:eastAsia="zh-CN"/>
        </w:rPr>
        <w:t>乙方</w:t>
      </w:r>
      <w:r>
        <w:rPr>
          <w:rFonts w:hint="eastAsia" w:ascii="华文仿宋" w:hAnsi="华文仿宋" w:eastAsia="华文仿宋" w:cs="华文仿宋"/>
          <w:color w:val="000000"/>
          <w:sz w:val="24"/>
          <w:szCs w:val="24"/>
        </w:rPr>
        <w:t>合称“双方”。</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根据《中华人民共和国民法典》等法律、法规的相关规定和编号为【</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】招标项目的中标结果，由【】单位（以下简称</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）为</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。按照《中华人民共和国民法典》和《深圳经济特区政府采购条例》，经深圳市前海深港现代服务业合作区管理局（以下简称</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）和【】单位（以下简称</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）协商，就</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委托</w:t>
      </w:r>
      <w:r>
        <w:rPr>
          <w:rFonts w:hint="eastAsia" w:ascii="仿宋_GB2312" w:hAnsi="仿宋_GB2312" w:eastAsia="仿宋_GB2312" w:cs="仿宋_GB2312"/>
          <w:b/>
          <w:bCs/>
          <w:color w:val="000000"/>
          <w:sz w:val="24"/>
          <w:szCs w:val="24"/>
          <w:u w:val="single"/>
          <w:lang w:eastAsia="zh-CN"/>
        </w:rPr>
        <w:t>乙方</w:t>
      </w:r>
      <w:r>
        <w:rPr>
          <w:rFonts w:hint="eastAsia" w:ascii="仿宋_GB2312" w:hAnsi="仿宋_GB2312" w:eastAsia="仿宋_GB2312" w:cs="仿宋_GB2312"/>
          <w:color w:val="000000"/>
          <w:sz w:val="24"/>
          <w:szCs w:val="24"/>
        </w:rPr>
        <w:t>共同承担</w:t>
      </w:r>
      <w:r>
        <w:rPr>
          <w:rFonts w:hint="eastAsia" w:ascii="仿宋_GB2312" w:hAnsi="仿宋_GB2312" w:eastAsia="仿宋_GB2312" w:cs="仿宋_GB2312"/>
          <w:b/>
          <w:bCs/>
          <w:color w:val="000000"/>
          <w:kern w:val="0"/>
          <w:sz w:val="24"/>
          <w:szCs w:val="24"/>
          <w:u w:val="single"/>
        </w:rPr>
        <w:t xml:space="preserve"> </w:t>
      </w:r>
      <w:r>
        <w:rPr>
          <w:rFonts w:hint="eastAsia" w:ascii="仿宋_GB2312" w:hAnsi="仿宋_GB2312" w:eastAsia="仿宋_GB2312" w:cs="仿宋_GB2312"/>
          <w:b/>
          <w:bCs/>
          <w:color w:val="000000"/>
          <w:kern w:val="0"/>
          <w:sz w:val="24"/>
          <w:szCs w:val="24"/>
          <w:u w:val="single"/>
          <w:lang w:val="en-US" w:eastAsia="zh-CN"/>
        </w:rPr>
        <w:t>*</w:t>
      </w:r>
      <w:r>
        <w:rPr>
          <w:rFonts w:hint="eastAsia" w:ascii="仿宋_GB2312" w:hAnsi="仿宋_GB2312" w:eastAsia="仿宋_GB2312" w:cs="仿宋_GB2312"/>
          <w:b/>
          <w:bCs/>
          <w:color w:val="000000"/>
          <w:kern w:val="0"/>
          <w:sz w:val="24"/>
          <w:szCs w:val="24"/>
          <w:u w:val="single"/>
        </w:rPr>
        <w:t>（以下简称本项目）</w:t>
      </w:r>
      <w:r>
        <w:rPr>
          <w:rFonts w:hint="eastAsia" w:ascii="仿宋_GB2312" w:hAnsi="仿宋_GB2312" w:eastAsia="仿宋_GB2312" w:cs="仿宋_GB2312"/>
          <w:color w:val="000000"/>
          <w:sz w:val="24"/>
          <w:szCs w:val="24"/>
        </w:rPr>
        <w:t>，达成以下合同条款：</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highlight w:val="none"/>
          <w:shd w:val="clear" w:color="auto" w:fill="auto"/>
        </w:rPr>
        <w:t>第一条 项目内容</w:t>
      </w:r>
      <w:r>
        <w:rPr>
          <w:rFonts w:hint="eastAsia" w:ascii="仿宋_GB2312" w:hAnsi="仿宋_GB2312" w:eastAsia="仿宋_GB2312" w:cs="仿宋_GB2312"/>
          <w:b/>
          <w:bCs/>
          <w:color w:val="000000"/>
          <w:sz w:val="24"/>
          <w:szCs w:val="24"/>
          <w:highlight w:val="none"/>
          <w:shd w:val="clear" w:color="auto" w:fill="auto"/>
          <w:lang w:val="en-US" w:eastAsia="zh-CN"/>
        </w:rPr>
        <w:t>、工作进度、工作成果及验收</w:t>
      </w:r>
    </w:p>
    <w:p>
      <w:pPr>
        <w:keepNext w:val="0"/>
        <w:keepLines w:val="0"/>
        <w:pageBreakBefore w:val="0"/>
        <w:kinsoku/>
        <w:wordWrap/>
        <w:overflowPunct/>
        <w:topLinePunct w:val="0"/>
        <w:autoSpaceDE/>
        <w:autoSpaceDN/>
        <w:bidi w:val="0"/>
        <w:spacing w:line="400" w:lineRule="exact"/>
        <w:ind w:firstLine="480" w:firstLineChars="200"/>
        <w:outlineLvl w:val="2"/>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（一）工作范围</w:t>
      </w:r>
    </w:p>
    <w:p>
      <w:pPr>
        <w:spacing w:line="400" w:lineRule="exact"/>
        <w:ind w:firstLine="480" w:firstLineChars="200"/>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重点研究梦工场北区5号楼建筑及公共空间，并与桂湾片区城市中轴线、前海深港广场、梦工场北区的城市功能及城市景观一体化协调。</w:t>
      </w:r>
    </w:p>
    <w:p>
      <w:pPr>
        <w:keepNext w:val="0"/>
        <w:keepLines w:val="0"/>
        <w:pageBreakBefore w:val="0"/>
        <w:kinsoku/>
        <w:wordWrap/>
        <w:overflowPunct/>
        <w:topLinePunct w:val="0"/>
        <w:autoSpaceDE/>
        <w:autoSpaceDN/>
        <w:bidi w:val="0"/>
        <w:spacing w:line="400" w:lineRule="exact"/>
        <w:ind w:firstLine="480" w:firstLineChars="200"/>
        <w:outlineLvl w:val="2"/>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（二）项目</w:t>
      </w:r>
      <w:r>
        <w:rPr>
          <w:rFonts w:hint="eastAsia" w:ascii="仿宋_GB2312" w:hAnsi="仿宋_GB2312" w:eastAsia="仿宋_GB2312" w:cs="仿宋_GB2312"/>
          <w:b w:val="0"/>
          <w:bCs w:val="0"/>
          <w:color w:val="000000"/>
          <w:sz w:val="24"/>
          <w:szCs w:val="24"/>
        </w:rPr>
        <w:t>内容</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1.项目调研及对标案例研究。系统分析城市及片区整体风貌并开展实地调研，梳理国内外相关优秀对标案例，形成针对性调研结论；</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2.理念及愿景。根据调研分析，提出国际化提升的理念、愿景、工作思路及核心策略等；</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3.建筑功能国际化提升研究。桂湾片区规划城市功能及现状研究、5号楼与深港广场、梦工场北区的功能衔接、5号楼建筑功能、第六立面、建筑风貌、标志性、流线组织等研究。</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4.公共空间国际化提升研究。桂湾片区景观规划及现状研究</w:t>
      </w:r>
      <w:r>
        <w:rPr>
          <w:rFonts w:hint="eastAsia" w:ascii="仿宋_GB2312" w:hAnsi="仿宋_GB2312" w:eastAsia="仿宋_GB2312" w:cs="仿宋_GB2312"/>
          <w:bCs/>
          <w:color w:val="auto"/>
          <w:sz w:val="24"/>
          <w:szCs w:val="24"/>
          <w:highlight w:val="none"/>
          <w:lang w:val="en-US" w:eastAsia="zh-CN"/>
        </w:rPr>
        <w:t>、梦工场北区</w:t>
      </w:r>
      <w:r>
        <w:rPr>
          <w:rFonts w:hint="eastAsia" w:ascii="仿宋_GB2312" w:hAnsi="仿宋_GB2312" w:eastAsia="仿宋_GB2312" w:cs="仿宋_GB2312"/>
          <w:bCs/>
          <w:color w:val="auto"/>
          <w:sz w:val="24"/>
          <w:szCs w:val="24"/>
          <w:highlight w:val="none"/>
          <w:lang w:eastAsia="zh-CN"/>
        </w:rPr>
        <w:t>第六立面景观分析、5号楼与深港广场、梦工场北区及梦海大道的景观协调、5号楼室内外景观协调、5号楼公共空间（功能、城市形象、城市中轴线、景观园林、艺术装置、声光电、园区整体场景营造</w:t>
      </w:r>
      <w:r>
        <w:rPr>
          <w:rFonts w:hint="eastAsia" w:ascii="仿宋_GB2312" w:hAnsi="仿宋_GB2312" w:eastAsia="仿宋_GB2312" w:cs="仿宋_GB2312"/>
          <w:bCs/>
          <w:color w:val="auto"/>
          <w:sz w:val="24"/>
          <w:szCs w:val="24"/>
          <w:highlight w:val="none"/>
          <w:lang w:val="en-US" w:eastAsia="zh-CN"/>
        </w:rPr>
        <w:t>策略建议</w:t>
      </w:r>
      <w:r>
        <w:rPr>
          <w:rFonts w:hint="eastAsia" w:ascii="仿宋_GB2312" w:hAnsi="仿宋_GB2312" w:eastAsia="仿宋_GB2312" w:cs="仿宋_GB2312"/>
          <w:bCs/>
          <w:color w:val="auto"/>
          <w:sz w:val="24"/>
          <w:szCs w:val="24"/>
          <w:highlight w:val="none"/>
          <w:lang w:eastAsia="zh-CN"/>
        </w:rPr>
        <w:t>、园区广场与消防车道一体化设计）等研究。</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5.专项研究。结构、材料、LED展示等相关专项研究。</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6.造价估算。造价分析、提升组合建议、建筑及景观目标造价成本。</w:t>
      </w:r>
    </w:p>
    <w:p>
      <w:pPr>
        <w:pStyle w:val="2"/>
        <w:keepNext w:val="0"/>
        <w:keepLines w:val="0"/>
        <w:pageBreakBefore w:val="0"/>
        <w:numPr>
          <w:ilvl w:val="0"/>
          <w:numId w:val="0"/>
        </w:numPr>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7.运营策划建议。提出项目公共空间的运营建议，如艺术展陈、活动策划等。</w:t>
      </w:r>
    </w:p>
    <w:p>
      <w:pPr>
        <w:pStyle w:val="2"/>
        <w:keepNext w:val="0"/>
        <w:keepLines w:val="0"/>
        <w:pageBreakBefore w:val="0"/>
        <w:numPr>
          <w:ilvl w:val="0"/>
          <w:numId w:val="0"/>
        </w:numPr>
        <w:kinsoku/>
        <w:wordWrap/>
        <w:overflowPunct/>
        <w:topLinePunct w:val="0"/>
        <w:autoSpaceDE/>
        <w:autoSpaceDN/>
        <w:bidi w:val="0"/>
        <w:adjustRightInd/>
        <w:snapToGrid/>
        <w:spacing w:after="0" w:line="400" w:lineRule="exact"/>
        <w:ind w:firstLine="480" w:firstLineChars="200"/>
        <w:textAlignment w:val="auto"/>
        <w:outlineLvl w:val="2"/>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（三）工作进度</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第一阶段：完成现状调研及前期资料收集，梳理项目及周边情况。完成第一次概念设计文件编制及汇报；（1个月）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第二阶段：完成中期概念设计文件编制及汇报等，并提交成果文件；（2个月）</w:t>
      </w:r>
    </w:p>
    <w:p>
      <w:pPr>
        <w:spacing w:line="400" w:lineRule="exact"/>
        <w:ind w:firstLine="480" w:firstLineChars="200"/>
        <w:rPr>
          <w:rFonts w:hint="eastAsia"/>
          <w:lang w:val="en-US" w:eastAsia="zh-CN"/>
        </w:rPr>
      </w:pPr>
      <w:r>
        <w:rPr>
          <w:rFonts w:hint="eastAsia" w:ascii="仿宋_GB2312" w:hAnsi="仿宋_GB2312" w:eastAsia="仿宋_GB2312" w:cs="仿宋_GB2312"/>
          <w:b w:val="0"/>
          <w:bCs w:val="0"/>
          <w:color w:val="000000"/>
          <w:kern w:val="2"/>
          <w:sz w:val="24"/>
          <w:szCs w:val="24"/>
          <w:lang w:val="en-US" w:eastAsia="zh-CN" w:bidi="ar-SA"/>
        </w:rPr>
        <w:t>第三阶段：完成最终概念设计文件编制及汇报等及全部工作内容成果。（1个月）</w:t>
      </w:r>
    </w:p>
    <w:p>
      <w:pPr>
        <w:pStyle w:val="2"/>
        <w:keepNext w:val="0"/>
        <w:keepLines w:val="0"/>
        <w:pageBreakBefore w:val="0"/>
        <w:numPr>
          <w:ilvl w:val="0"/>
          <w:numId w:val="0"/>
        </w:numPr>
        <w:kinsoku/>
        <w:wordWrap/>
        <w:overflowPunct/>
        <w:topLinePunct w:val="0"/>
        <w:autoSpaceDE/>
        <w:autoSpaceDN/>
        <w:bidi w:val="0"/>
        <w:adjustRightInd/>
        <w:snapToGrid/>
        <w:spacing w:after="0" w:line="400" w:lineRule="exact"/>
        <w:textAlignment w:val="auto"/>
        <w:outlineLvl w:val="2"/>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（四）工作成果</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第一阶段：提交第一版概念设计文件，包括PDF文件，纸质版文件4份；</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第二阶段：提交中期概念设计文件，包括PDF文件，纸质版文件4份；</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第三阶段：提交最终概念设计文件及全部成果电子文件，包括电子光盘2份，纸质文件4份。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2"/>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五）验收标准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乙方</w:t>
      </w:r>
      <w:r>
        <w:rPr>
          <w:rFonts w:hint="eastAsia" w:ascii="仿宋_GB2312" w:hAnsi="仿宋_GB2312" w:eastAsia="仿宋_GB2312" w:cs="仿宋_GB2312"/>
          <w:color w:val="000000"/>
          <w:sz w:val="24"/>
          <w:szCs w:val="24"/>
        </w:rPr>
        <w:t>编制的本项目全部成果通过</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验收合格。</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1"/>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rPr>
        <w:t>第二条  服务期限</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val="en-US" w:eastAsia="zh-CN"/>
        </w:rPr>
        <w:t>地点及后续服务要求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1.服务期限：自合同签订日期起4个月内。</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2.后续服务要求：</w:t>
      </w:r>
      <w:r>
        <w:rPr>
          <w:rFonts w:hint="eastAsia" w:ascii="仿宋_GB2312" w:hAnsi="仿宋_GB2312" w:eastAsia="仿宋_GB2312" w:cs="仿宋_GB2312"/>
          <w:color w:val="000000"/>
          <w:sz w:val="24"/>
          <w:szCs w:val="24"/>
          <w:lang w:val="en-US" w:eastAsia="zh-CN"/>
        </w:rPr>
        <w:t>项目后续服务期限为最终成果通过甲方审查之日起的1年内，乙方须与甲方保持全面沟通，提供技术服务支持。</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3.服务地点：</w:t>
      </w:r>
      <w:r>
        <w:rPr>
          <w:rFonts w:hint="eastAsia" w:ascii="仿宋_GB2312" w:hAnsi="仿宋_GB2312" w:eastAsia="仿宋_GB2312" w:cs="仿宋_GB2312"/>
          <w:color w:val="000000"/>
          <w:sz w:val="24"/>
          <w:szCs w:val="24"/>
          <w:lang w:eastAsia="zh-CN"/>
        </w:rPr>
        <w:t>前海深港现代服务业合作区</w:t>
      </w:r>
      <w:r>
        <w:rPr>
          <w:rFonts w:hint="eastAsia" w:ascii="仿宋_GB2312" w:hAnsi="仿宋_GB2312" w:eastAsia="仿宋_GB2312" w:cs="仿宋_GB2312"/>
          <w:color w:val="000000"/>
          <w:sz w:val="24"/>
          <w:szCs w:val="24"/>
          <w:lang w:val="en-US" w:eastAsia="zh-CN"/>
        </w:rPr>
        <w:t>。</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第三条  项目资料归属</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所有提交给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的项目文件及相关资料的阶段性成果及最后文本，包括为履行服务范围所编制的计划和证明资料等，</w:t>
      </w:r>
      <w:r>
        <w:rPr>
          <w:rFonts w:hint="eastAsia" w:ascii="华文仿宋" w:hAnsi="华文仿宋" w:eastAsia="华文仿宋" w:cs="华文仿宋"/>
          <w:color w:val="000000"/>
          <w:sz w:val="24"/>
        </w:rPr>
        <w:t>在</w:t>
      </w:r>
      <w:r>
        <w:rPr>
          <w:rFonts w:hint="eastAsia" w:ascii="华文仿宋" w:hAnsi="华文仿宋" w:eastAsia="华文仿宋" w:cs="华文仿宋"/>
          <w:color w:val="000000"/>
          <w:sz w:val="24"/>
          <w:lang w:eastAsia="zh-CN"/>
        </w:rPr>
        <w:t>甲方</w:t>
      </w:r>
      <w:r>
        <w:rPr>
          <w:rFonts w:hint="eastAsia" w:ascii="华文仿宋" w:hAnsi="华文仿宋" w:eastAsia="华文仿宋" w:cs="华文仿宋"/>
          <w:color w:val="000000"/>
          <w:sz w:val="24"/>
        </w:rPr>
        <w:t>向</w:t>
      </w:r>
      <w:r>
        <w:rPr>
          <w:rFonts w:hint="eastAsia" w:ascii="华文仿宋" w:hAnsi="华文仿宋" w:eastAsia="华文仿宋" w:cs="华文仿宋"/>
          <w:color w:val="000000"/>
          <w:sz w:val="24"/>
          <w:lang w:eastAsia="zh-CN"/>
        </w:rPr>
        <w:t>乙方</w:t>
      </w:r>
      <w:r>
        <w:rPr>
          <w:rFonts w:hint="eastAsia" w:ascii="华文仿宋" w:hAnsi="华文仿宋" w:eastAsia="华文仿宋" w:cs="华文仿宋"/>
          <w:color w:val="000000"/>
          <w:sz w:val="24"/>
        </w:rPr>
        <w:t>付清全部服务费后，</w:t>
      </w:r>
      <w:r>
        <w:rPr>
          <w:rFonts w:hint="eastAsia" w:ascii="仿宋_GB2312" w:hAnsi="仿宋_GB2312" w:eastAsia="仿宋_GB2312" w:cs="仿宋_GB2312"/>
          <w:color w:val="000000"/>
          <w:sz w:val="24"/>
          <w:szCs w:val="24"/>
        </w:rPr>
        <w:t>都属于</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所有，</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在提交给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之前应将上述资料进行整理归类和编制索引。</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的书面同意，不得将上述资料用于与本项目之外的任何项目，也不得将其泄露或授权给第三方使用。</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第四条  双方的权利义务</w:t>
      </w:r>
    </w:p>
    <w:p>
      <w:pPr>
        <w:keepNext w:val="0"/>
        <w:keepLines w:val="0"/>
        <w:pageBreakBefore w:val="0"/>
        <w:kinsoku/>
        <w:wordWrap/>
        <w:overflowPunct/>
        <w:topLinePunct w:val="0"/>
        <w:autoSpaceDE/>
        <w:autoSpaceDN/>
        <w:bidi w:val="0"/>
        <w:spacing w:line="400" w:lineRule="exact"/>
        <w:ind w:firstLine="480" w:firstLineChars="200"/>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的权利义务</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对研究过程的决策、控制、实施等环节实行全面管理，协调和监督研究工作开展，控制研究工作过程，进行研究成果验收。</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2.检查</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研究人员到位情况，如因人力、能力不足致使研究工作不能按计划完成时，有权要求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增加或替换相应的技术人员，直至</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认可，</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不得拒绝。</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询问项目工作进展及相关情况，并要求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在指定时间内做出答复。</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有权对</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提交的阶段性成果、最终成果送审稿等相关工作文件进行审核并提出修改意见。</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对</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在委托权限范围内完成委托事项有指导、监督权利。</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全面履行合同。</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不接受部分履行，如本合同项下部分成果文件</w:t>
      </w:r>
      <w:r>
        <w:rPr>
          <w:rFonts w:hint="eastAsia" w:ascii="仿宋_GB2312" w:hAnsi="仿宋_GB2312" w:eastAsia="仿宋_GB2312" w:cs="仿宋_GB2312"/>
          <w:color w:val="000000"/>
          <w:sz w:val="24"/>
        </w:rPr>
        <w:t>因</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原因</w:t>
      </w:r>
      <w:r>
        <w:rPr>
          <w:rFonts w:hint="eastAsia" w:ascii="仿宋_GB2312" w:hAnsi="仿宋_GB2312" w:eastAsia="仿宋_GB2312" w:cs="仿宋_GB2312"/>
          <w:color w:val="000000"/>
          <w:sz w:val="24"/>
          <w:szCs w:val="24"/>
        </w:rPr>
        <w:t>未能按时交付则视为整体延误。</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所提供的项目成果不符合本合同的要求，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重新执行相应的工作服务，由此产生的全部费用由</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自行承担，同时，</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的付款时间相应顺延。</w:t>
      </w:r>
    </w:p>
    <w:p>
      <w:pPr>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应在</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提交各阶段工作成果或修改后的成果之日起十（10）个工作日内提出明确具体的书面修改要求和修改意见或审查会议纪要（以下简称“书面意见”），且该等书面意见应当合理并具有可操作性。</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逾期未提出书面意见，或</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直接通知</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开始下阶段服务工作的，或向政府相关审批部门提交了</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的设计的，视为</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认可并接受</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提交的阶段工作成果或修改后的成果。</w:t>
      </w:r>
    </w:p>
    <w:p>
      <w:pPr>
        <w:spacing w:line="400" w:lineRule="exact"/>
        <w:ind w:firstLine="480" w:firstLineChars="200"/>
        <w:rPr>
          <w:rFonts w:hint="eastAsia"/>
        </w:rPr>
      </w:pP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若因</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原因造成设计内容、要求及范围等发生重大变更（重大变更是指项目设计要求、等级、标准、项目功能、结构等发生变更，项目资料错误或缺漏等导致的成果修改或调整）或服务周期超过合同约定需要</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对设计进行重做、修改、调整或超期继续提供服务的，视为额外服务。双方需协商一致签订补充协议。</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在收到</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的书面指示后进行下一阶段工作。</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.负责与本项目有关的第三方协调，提供开展项目服务工作的外部条件。</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提供与本项目服务工作有关的资料。</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.负责组织有关会议对项目成果的评审。</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.根据合同的条款按时支付合同价款</w:t>
      </w:r>
      <w:r>
        <w:rPr>
          <w:rFonts w:hint="eastAsia" w:ascii="仿宋_GB2312" w:hAnsi="仿宋_GB2312" w:eastAsia="仿宋_GB2312" w:cs="仿宋_GB2312"/>
          <w:color w:val="000000"/>
          <w:sz w:val="24"/>
          <w:szCs w:val="24"/>
          <w:lang w:eastAsia="zh-CN"/>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指定项目联系人：</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姓名： </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联系方式： </w:t>
      </w:r>
    </w:p>
    <w:p>
      <w:pPr>
        <w:keepNext w:val="0"/>
        <w:keepLines w:val="0"/>
        <w:pageBreakBefore w:val="0"/>
        <w:kinsoku/>
        <w:wordWrap/>
        <w:overflowPunct/>
        <w:topLinePunct w:val="0"/>
        <w:autoSpaceDE/>
        <w:autoSpaceDN/>
        <w:bidi w:val="0"/>
        <w:spacing w:line="400" w:lineRule="exact"/>
        <w:ind w:firstLine="480" w:firstLineChars="200"/>
        <w:outlineLvl w:val="2"/>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的权利义务</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在本项目服务过程中，如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提供的资料不明确时可向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提出书面报告。</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在本项目服务过程中，有权对第三方提出与本咨询服务业务有关的问题进行核对或查问。</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在本项目服务过程中，有到现场勘察并要求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协调的权利。</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4.根据合同约定收取相应的合同价款。</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.应按照【】号招标文件、</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投标文件以及本合同的要求按期完成本项目服务工作。</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.在履行合同期间或合同规定期限内，不得泄露与本合同规定业务活动有关的保密资料。</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应按国家、省及深圳的有关法律法规、设计标准、技术规范以及本合同约定的工作内容、工作进度等要求提供研究服务，并对其提交的研究意见负责。对于与本项目工作内容相关的 其他相关项目，</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应进行充分了解并做好协调与衔接工作。</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应接受</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对工作进展的询问、监督和指导，严格按本合同约定的内容、标准和期限完成项目研究工作，并向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提交项目研究成果。</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9</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应采取必要措施配合</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验收人员的工作,对于评审验收过程中发现的问题，</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应在发现问题之日起</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天内进行改正，以符合</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的需要。</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.如</w:t>
      </w:r>
      <w:r>
        <w:rPr>
          <w:rFonts w:hint="eastAsia" w:ascii="仿宋_GB2312" w:hAnsi="仿宋_GB2312" w:eastAsia="仿宋_GB2312" w:cs="仿宋_GB2312"/>
          <w:color w:val="000000"/>
          <w:sz w:val="24"/>
        </w:rPr>
        <w:t>因</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原因导致</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提供的研究意见等成果文件不符合本合同要求，必须在</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提出要求后3天内无条件修改，其费用由</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自行承担。修改期间，</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付款时间相应顺延。</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11</w:t>
      </w:r>
      <w:r>
        <w:rPr>
          <w:rFonts w:hint="eastAsia" w:ascii="仿宋_GB2312" w:hAnsi="仿宋_GB2312" w:eastAsia="仿宋_GB2312" w:cs="仿宋_GB2312"/>
          <w:color w:val="000000"/>
          <w:sz w:val="24"/>
          <w:szCs w:val="24"/>
        </w:rPr>
        <w:t>.未经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书面在先同意，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不得向任何第三方全部或部分转让本项目</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rPr>
        <w:t>但其中不包括效果图、模型制作、透视图制作和动画制作等</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对其工作人员在合同履行期间的一切行为负责，期间发生的一切安全事故责任、其它人身损害及因此发生的人身损害赔偿和其他费用由</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自行承担，与</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无关。若因</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原因</w:t>
      </w:r>
      <w:r>
        <w:rPr>
          <w:rFonts w:hint="eastAsia" w:ascii="仿宋_GB2312" w:hAnsi="仿宋_GB2312" w:eastAsia="仿宋_GB2312" w:cs="仿宋_GB2312"/>
          <w:color w:val="000000"/>
          <w:sz w:val="24"/>
          <w:szCs w:val="24"/>
        </w:rPr>
        <w:t>导致</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支付赔偿及其他费用，</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应全部偿还给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13</w:t>
      </w:r>
      <w:r>
        <w:rPr>
          <w:rFonts w:hint="eastAsia" w:ascii="仿宋_GB2312" w:hAnsi="仿宋_GB2312" w:eastAsia="仿宋_GB2312" w:cs="仿宋_GB2312"/>
          <w:color w:val="000000"/>
          <w:sz w:val="24"/>
          <w:szCs w:val="24"/>
        </w:rPr>
        <w:t>.为保证项目成果的质量，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在合同履行期间，应按照服务内容要求组织专家队伍，成立专门的项目小组，并保障项目团队成员到位。</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应保证本合同的主要核心成员在项目实施期间全程参与项目实质性工作。如确需更换项目团队成员，</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应事先征得</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的同意，且接替人员的职位、资历应与原定成员相当。</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人员因离职、重病、伤残、死亡或不可抗力等原因外需要更换团队成员的，</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应当及时同意。</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14</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有维护</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声誉的义务，</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不能以</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名义从事与本项目无关的任何事务，否则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有权追究其相关责任。</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w:t>
      </w:r>
      <w:r>
        <w:rPr>
          <w:rFonts w:hint="eastAsia" w:ascii="仿宋_GB2312" w:hAnsi="仿宋_GB2312" w:eastAsia="仿宋_GB2312" w:cs="仿宋_GB2312"/>
          <w:color w:val="000000"/>
          <w:sz w:val="24"/>
          <w:szCs w:val="24"/>
        </w:rPr>
        <w:t>.本合同期满或提前解除、终止后，</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应将</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的档案资料、信息数据等交还</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，并应销毁或删除所有备份。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在完成本项目过程中，不得损害其他任何第三方的知识产权等合法权益，否则由此造成的相关责任应当由</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自行承担，与</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无关。</w:t>
      </w:r>
    </w:p>
    <w:p>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17.乙方应配合按照甲方合理意见修改直至本合同范围内成果验收通过。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指定项目联系人：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联系方式：</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条  人员要求</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以下为本项目核心领导团队。</w:t>
      </w:r>
    </w:p>
    <w:tbl>
      <w:tblPr>
        <w:tblStyle w:val="16"/>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50"/>
        <w:gridCol w:w="675"/>
        <w:gridCol w:w="513"/>
        <w:gridCol w:w="787"/>
        <w:gridCol w:w="310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序号</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5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年龄</w:t>
            </w:r>
          </w:p>
        </w:tc>
        <w:tc>
          <w:tcPr>
            <w:tcW w:w="7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学历</w:t>
            </w:r>
          </w:p>
        </w:tc>
        <w:tc>
          <w:tcPr>
            <w:tcW w:w="31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职务、职称或执业资格</w:t>
            </w:r>
          </w:p>
        </w:tc>
        <w:tc>
          <w:tcPr>
            <w:tcW w:w="151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拟任团队职务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sz w:val="24"/>
                <w:szCs w:val="24"/>
                <w:lang w:val="en-US" w:eastAsia="zh-CN"/>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p>
        </w:tc>
        <w:tc>
          <w:tcPr>
            <w:tcW w:w="5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c>
          <w:tcPr>
            <w:tcW w:w="7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c>
          <w:tcPr>
            <w:tcW w:w="31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sz w:val="24"/>
                <w:szCs w:val="24"/>
                <w:lang w:val="en-US" w:eastAsia="zh-CN"/>
              </w:rPr>
            </w:pPr>
          </w:p>
        </w:tc>
        <w:tc>
          <w:tcPr>
            <w:tcW w:w="151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95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sz w:val="24"/>
                <w:szCs w:val="24"/>
                <w:lang w:val="en-US" w:eastAsia="zh-CN"/>
              </w:rPr>
            </w:pP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c>
          <w:tcPr>
            <w:tcW w:w="51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c>
          <w:tcPr>
            <w:tcW w:w="78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rPr>
            </w:pPr>
          </w:p>
        </w:tc>
        <w:tc>
          <w:tcPr>
            <w:tcW w:w="31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val="en-US" w:eastAsia="zh-CN"/>
              </w:rPr>
            </w:pPr>
          </w:p>
        </w:tc>
        <w:tc>
          <w:tcPr>
            <w:tcW w:w="151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color w:val="000000"/>
                <w:sz w:val="24"/>
                <w:szCs w:val="24"/>
                <w:lang w:eastAsia="zh-CN"/>
              </w:rPr>
            </w:pPr>
          </w:p>
        </w:tc>
      </w:tr>
    </w:tbl>
    <w:p>
      <w:pPr>
        <w:pStyle w:val="2"/>
        <w:keepNext w:val="0"/>
        <w:keepLines w:val="0"/>
        <w:pageBreakBefore w:val="0"/>
        <w:kinsoku/>
        <w:wordWrap/>
        <w:overflowPunct/>
        <w:topLinePunct w:val="0"/>
        <w:autoSpaceDE/>
        <w:autoSpaceDN/>
        <w:bidi w:val="0"/>
        <w:spacing w:after="0" w:line="400" w:lineRule="exact"/>
        <w:rPr>
          <w:rFonts w:hint="eastAsia" w:ascii="仿宋_GB2312" w:hAnsi="仿宋_GB2312" w:eastAsia="仿宋_GB2312" w:cs="仿宋_GB2312"/>
          <w:sz w:val="24"/>
          <w:szCs w:val="24"/>
        </w:rPr>
      </w:pP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参加本项目编制的人员必须具有国家和有关部门规定的相应资质。</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参加本项目编制的人员配置必须与合同中的项目成员组成一致，若需调整需经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书面同意后，方可变更。</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必须以</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直属人员（直属人员指劳动合同、社会保险等劳动关系在</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的人员）参与本项目服务，不得使用挂靠队伍。</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六</w:t>
      </w:r>
      <w:r>
        <w:rPr>
          <w:rFonts w:hint="eastAsia" w:ascii="仿宋_GB2312" w:hAnsi="仿宋_GB2312" w:eastAsia="仿宋_GB2312" w:cs="仿宋_GB2312"/>
          <w:b/>
          <w:bCs/>
          <w:color w:val="000000"/>
          <w:sz w:val="24"/>
          <w:szCs w:val="24"/>
        </w:rPr>
        <w:t>条 成果权属与知识产权</w:t>
      </w:r>
    </w:p>
    <w:p>
      <w:pPr>
        <w:keepNext w:val="0"/>
        <w:keepLines w:val="0"/>
        <w:pageBreakBefore w:val="0"/>
        <w:widowControl/>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1.本项目最终成果（包括为后续服务范围所编制的文件）的所有权、知识产权以及与之相关的所有权利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rPr>
        <w:t>在</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向</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付清全部服务费后</w:t>
      </w:r>
      <w:r>
        <w:rPr>
          <w:rFonts w:hint="eastAsia" w:ascii="仿宋_GB2312" w:hAnsi="仿宋_GB2312" w:eastAsia="仿宋_GB2312" w:cs="仿宋_GB2312"/>
          <w:color w:val="000000"/>
          <w:sz w:val="24"/>
          <w:szCs w:val="24"/>
        </w:rPr>
        <w:t>归</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所有</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保留该成果的署名权以及使用项目形象和资料进行专业推广和出版的权利</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本合同签署前甲乙双方已经拥有的知识产权权利，仍归各自所有。</w:t>
      </w:r>
    </w:p>
    <w:p>
      <w:pPr>
        <w:keepNext w:val="0"/>
        <w:keepLines w:val="0"/>
        <w:pageBreakBefore w:val="0"/>
        <w:widowControl/>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2.双方确定，</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有权对</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按照本合同约定提供的成果进行后续改进。由此产生的具有实质性或创造性特征的新的技术成果及其权利全部由</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享有。</w:t>
      </w:r>
    </w:p>
    <w:p>
      <w:pPr>
        <w:keepNext w:val="0"/>
        <w:keepLines w:val="0"/>
        <w:pageBreakBefore w:val="0"/>
        <w:widowControl/>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所提交的最终成果文件及任何数据、资料、软件等不得侵犯任何第三方的知识产权或其他权利，由于该等文件、数据、资料、软件侵权所导致的任何索赔或责任均由</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承担。同时，</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修改成果至不侵权或解除合同，并保留要求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赔偿全部损失的权利，包括但不限于上述索赔或责任所产生的诉讼费用、合理的律师费用、鉴定评估费用、 调查费用、和解金额或生效法律文书中规定的赔偿金额。</w:t>
      </w:r>
    </w:p>
    <w:p>
      <w:pPr>
        <w:keepNext w:val="0"/>
        <w:keepLines w:val="0"/>
        <w:pageBreakBefore w:val="0"/>
        <w:widowControl/>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书面在先同意，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不得将本项目的最终成果文件及任何数据、资料、软件向任何第三方转让、授权任何第三方使用或用于本合同项目外的其他项目。如发生以上情况，</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支付本合同总价款 20%的违约金，同时，</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保留要求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赔偿全部损失的权利，包括但不限于上述索赔或责任所产生的诉讼费用、合理的律师费用、鉴定评估费用、调查费用、和解金额或生效法律文书中规定的赔偿金额。</w:t>
      </w:r>
    </w:p>
    <w:p>
      <w:pPr>
        <w:keepNext w:val="0"/>
        <w:keepLines w:val="0"/>
        <w:pageBreakBefore w:val="0"/>
        <w:widowControl/>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完成本项目的研究人员享有在有关技术成果文件上署名的权利和与</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共同获得有关荣誉证书、奖励的权利。</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七</w:t>
      </w:r>
      <w:r>
        <w:rPr>
          <w:rFonts w:hint="eastAsia" w:ascii="仿宋_GB2312" w:hAnsi="仿宋_GB2312" w:eastAsia="仿宋_GB2312" w:cs="仿宋_GB2312"/>
          <w:b/>
          <w:bCs/>
          <w:color w:val="000000"/>
          <w:sz w:val="24"/>
          <w:szCs w:val="24"/>
        </w:rPr>
        <w:t>条  保密条款</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合同项下的义务，且只能由相关的技术人员使用。</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应以保密方式处理在编制本项目成果文件过程中自</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工作人员或</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关联机 构获得的相关信息、资料、图纸、数据等，或由</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在履行合同过程中明确指明为秘密的任何信 息，以及</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因本项目工作内容所直接或间接取得、处理或接触的任何其他资料。未经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 在先同意，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不得向任何第三方透露与本项目有关的内容，或公开本项目的阶段性成果或最终 成果内容。即使向与履行合同有关的人员提供前述保密信息，也应限于履行合同的必需范围，且 这些人员应接受至少与本条款同等严格的保密条款的约束。</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实施项目的程序应符合国家安全、保密的有关规定和标准。</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4.上述保密义务不适用以下情况：</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1）获取的信息已被合法公开；</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2）获得信息拥有方书面许可并在该许可范围内披露；</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3）国家法律、法规规定的情形。</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违反上述保密条款，</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有权解除合同，</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应在合同解除通知发出之日起 10 日内向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支付合同服务费总金额 20%的违约金，如果违约金无法弥补</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损失，</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保留要求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赔偿全部</w:t>
      </w:r>
      <w:r>
        <w:rPr>
          <w:rFonts w:hint="eastAsia" w:ascii="仿宋_GB2312" w:hAnsi="仿宋_GB2312" w:eastAsia="仿宋_GB2312" w:cs="仿宋_GB2312"/>
          <w:color w:val="000000"/>
          <w:sz w:val="24"/>
          <w:szCs w:val="24"/>
          <w:lang w:val="en-US" w:eastAsia="zh-CN"/>
        </w:rPr>
        <w:t>直接</w:t>
      </w:r>
      <w:r>
        <w:rPr>
          <w:rFonts w:hint="eastAsia" w:ascii="仿宋_GB2312" w:hAnsi="仿宋_GB2312" w:eastAsia="仿宋_GB2312" w:cs="仿宋_GB2312"/>
          <w:color w:val="000000"/>
          <w:sz w:val="24"/>
          <w:szCs w:val="24"/>
        </w:rPr>
        <w:t>损失的权利，包括但不限于上述索赔或责任所产生的诉讼费用、合理的律师费用、鉴定评估费用、 调查费用、和解金额或生效法律文书中规定的赔偿金额。</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6.无论合同或合同其他条款是否有效，本保密条款始终约束双方。国家秘密的保密期限由国 家有关部门确定，工作秘密的保密期限</w:t>
      </w:r>
      <w:r>
        <w:rPr>
          <w:rFonts w:hint="eastAsia" w:ascii="仿宋_GB2312" w:hAnsi="仿宋_GB2312" w:eastAsia="仿宋_GB2312" w:cs="仿宋_GB2312"/>
          <w:color w:val="000000"/>
          <w:sz w:val="24"/>
        </w:rPr>
        <w:t>为合同各方在履行本合同过程中及本合同终止后两年</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八</w:t>
      </w:r>
      <w:r>
        <w:rPr>
          <w:rFonts w:hint="eastAsia" w:ascii="仿宋_GB2312" w:hAnsi="仿宋_GB2312" w:eastAsia="仿宋_GB2312" w:cs="仿宋_GB2312"/>
          <w:b/>
          <w:bCs/>
          <w:color w:val="000000"/>
          <w:sz w:val="24"/>
          <w:szCs w:val="24"/>
        </w:rPr>
        <w:t>条  工作计划安排</w:t>
      </w:r>
    </w:p>
    <w:p>
      <w:pPr>
        <w:keepNext w:val="0"/>
        <w:keepLines w:val="0"/>
        <w:pageBreakBefore w:val="0"/>
        <w:numPr>
          <w:ilvl w:val="0"/>
          <w:numId w:val="0"/>
        </w:numPr>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本项目计划工作时间为自合同签订之日4个月内完成该项目相关成果的编制、汇报等工作，并经甲方审议通过。具体工作划分为3个阶段：</w:t>
      </w:r>
    </w:p>
    <w:p>
      <w:pPr>
        <w:keepNext w:val="0"/>
        <w:keepLines w:val="0"/>
        <w:pageBreakBefore w:val="0"/>
        <w:numPr>
          <w:ilvl w:val="0"/>
          <w:numId w:val="0"/>
        </w:numPr>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第一阶段：提交第一版概念设计文件，包括PDF文件，纸质版文件4份；</w:t>
      </w:r>
    </w:p>
    <w:p>
      <w:pPr>
        <w:keepNext w:val="0"/>
        <w:keepLines w:val="0"/>
        <w:pageBreakBefore w:val="0"/>
        <w:numPr>
          <w:ilvl w:val="0"/>
          <w:numId w:val="0"/>
        </w:numPr>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第二阶段：提交中期概念设计文件，包括PDF文件，纸质版文件4份；</w:t>
      </w:r>
    </w:p>
    <w:p>
      <w:pPr>
        <w:keepNext w:val="0"/>
        <w:keepLines w:val="0"/>
        <w:pageBreakBefore w:val="0"/>
        <w:numPr>
          <w:ilvl w:val="0"/>
          <w:numId w:val="0"/>
        </w:numPr>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第三阶段：提交最终概念设计文件及全部成果电子文件，包括电子光盘2份，纸质文件4份。</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w:t>
      </w:r>
      <w:r>
        <w:rPr>
          <w:rFonts w:hint="eastAsia" w:ascii="仿宋_GB2312" w:hAnsi="仿宋_GB2312" w:eastAsia="仿宋_GB2312" w:cs="仿宋_GB2312"/>
          <w:b/>
          <w:bCs/>
          <w:color w:val="000000"/>
          <w:sz w:val="24"/>
          <w:szCs w:val="24"/>
          <w:lang w:val="en-US" w:eastAsia="zh-CN"/>
        </w:rPr>
        <w:t>九</w:t>
      </w:r>
      <w:r>
        <w:rPr>
          <w:rFonts w:hint="eastAsia" w:ascii="仿宋_GB2312" w:hAnsi="仿宋_GB2312" w:eastAsia="仿宋_GB2312" w:cs="仿宋_GB2312"/>
          <w:b/>
          <w:bCs/>
          <w:color w:val="000000"/>
          <w:sz w:val="24"/>
          <w:szCs w:val="24"/>
        </w:rPr>
        <w:t>条</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rPr>
        <w:t>项目服务费用及付款方式</w:t>
      </w:r>
    </w:p>
    <w:p>
      <w:pPr>
        <w:keepNext w:val="0"/>
        <w:keepLines w:val="0"/>
        <w:pageBreakBefore w:val="0"/>
        <w:numPr>
          <w:ilvl w:val="0"/>
          <w:numId w:val="0"/>
        </w:numPr>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合同价款：合同总价为</w:t>
      </w:r>
      <w:r>
        <w:rPr>
          <w:rFonts w:hint="eastAsia" w:ascii="仿宋_GB2312" w:hAnsi="仿宋_GB2312" w:eastAsia="仿宋_GB2312" w:cs="仿宋_GB2312"/>
          <w:color w:val="000000"/>
          <w:sz w:val="24"/>
          <w:szCs w:val="24"/>
          <w:lang w:val="en-US" w:eastAsia="zh-CN"/>
        </w:rPr>
        <w:t>人民币（小写）</w:t>
      </w:r>
      <w:r>
        <w:rPr>
          <w:rFonts w:hint="eastAsia" w:ascii="仿宋_GB2312" w:hAnsi="仿宋_GB2312" w:eastAsia="仿宋_GB2312" w:cs="仿宋_GB2312"/>
          <w:b/>
          <w:bCs/>
          <w:color w:val="000000"/>
          <w:sz w:val="24"/>
          <w:szCs w:val="24"/>
          <w:u w:val="single"/>
        </w:rPr>
        <w:t>￥</w:t>
      </w:r>
      <w:r>
        <w:rPr>
          <w:rFonts w:hint="eastAsia" w:ascii="仿宋_GB2312" w:hAnsi="仿宋_GB2312" w:eastAsia="仿宋_GB2312" w:cs="仿宋_GB2312"/>
          <w:b/>
          <w:bCs/>
          <w:color w:val="000000"/>
          <w:sz w:val="24"/>
          <w:szCs w:val="24"/>
          <w:u w:val="single"/>
          <w:lang w:val="en-US" w:eastAsia="zh-CN"/>
        </w:rPr>
        <w:t xml:space="preserve">   元整</w:t>
      </w:r>
      <w:r>
        <w:rPr>
          <w:rFonts w:hint="eastAsia" w:ascii="仿宋_GB2312" w:hAnsi="仿宋_GB2312" w:eastAsia="仿宋_GB2312" w:cs="仿宋_GB2312"/>
          <w:b w:val="0"/>
          <w:bCs w:val="0"/>
          <w:color w:val="000000"/>
          <w:sz w:val="24"/>
          <w:szCs w:val="24"/>
          <w:u w:val="none"/>
          <w:lang w:val="en-US" w:eastAsia="zh-CN"/>
        </w:rPr>
        <w:t>，（大写）</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color w:val="000000"/>
          <w:sz w:val="24"/>
          <w:szCs w:val="24"/>
        </w:rPr>
        <w:t>（含税）。包括</w:t>
      </w:r>
      <w:r>
        <w:rPr>
          <w:rFonts w:hint="eastAsia" w:ascii="仿宋_GB2312" w:hAnsi="仿宋_GB2312" w:eastAsia="仿宋_GB2312" w:cs="仿宋_GB2312"/>
          <w:color w:val="000000"/>
          <w:sz w:val="24"/>
          <w:szCs w:val="24"/>
          <w:lang w:val="en-US" w:eastAsia="zh-CN"/>
        </w:rPr>
        <w:t>但不限于：调查调研、差旅费、项目成果报告编制、印刷费、专家咨询费以及会议费等所有费用，并提供合同要求的报告、全部规划研究成果文件和全部资料，以及其它相关服务的全部费用</w:t>
      </w:r>
      <w:r>
        <w:rPr>
          <w:rFonts w:hint="eastAsia" w:ascii="仿宋_GB2312" w:hAnsi="仿宋_GB2312" w:eastAsia="仿宋_GB2312" w:cs="仿宋_GB2312"/>
          <w:color w:val="000000"/>
          <w:sz w:val="24"/>
          <w:szCs w:val="24"/>
          <w:u w:val="none"/>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本合同共分四期进行付款：首期款30%，第二期款</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0%，第三期款</w:t>
      </w:r>
      <w:r>
        <w:rPr>
          <w:rFonts w:hint="eastAsia" w:ascii="仿宋_GB2312" w:hAnsi="仿宋_GB2312" w:eastAsia="仿宋_GB2312" w:cs="仿宋_GB2312"/>
          <w:color w:val="000000"/>
          <w:sz w:val="24"/>
          <w:szCs w:val="24"/>
          <w:lang w:val="en-US"/>
        </w:rPr>
        <w:t>3</w:t>
      </w:r>
      <w:r>
        <w:rPr>
          <w:rFonts w:hint="eastAsia" w:ascii="仿宋_GB2312" w:hAnsi="仿宋_GB2312" w:eastAsia="仿宋_GB2312" w:cs="仿宋_GB2312"/>
          <w:color w:val="000000"/>
          <w:sz w:val="24"/>
          <w:szCs w:val="24"/>
        </w:rPr>
        <w:t>0%，第四期</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0%:</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（1）第一期：签订合同15个工作日内，支付合同总价款的30%，即人民币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小写）</w:t>
      </w:r>
      <w:r>
        <w:rPr>
          <w:rFonts w:hint="eastAsia" w:ascii="仿宋_GB2312" w:hAnsi="仿宋_GB2312" w:eastAsia="仿宋_GB2312" w:cs="仿宋_GB2312"/>
          <w:b/>
          <w:bCs/>
          <w:color w:val="000000"/>
          <w:sz w:val="24"/>
          <w:szCs w:val="24"/>
          <w:u w:val="single"/>
        </w:rPr>
        <w:t>￥</w:t>
      </w:r>
      <w:r>
        <w:rPr>
          <w:rFonts w:hint="eastAsia" w:ascii="仿宋_GB2312" w:hAnsi="仿宋_GB2312" w:eastAsia="仿宋_GB2312" w:cs="仿宋_GB2312"/>
          <w:b/>
          <w:bCs/>
          <w:color w:val="000000"/>
          <w:sz w:val="24"/>
          <w:szCs w:val="24"/>
          <w:u w:val="single"/>
          <w:lang w:val="en-US" w:eastAsia="zh-CN"/>
        </w:rPr>
        <w:t xml:space="preserve">      元</w:t>
      </w:r>
      <w:r>
        <w:rPr>
          <w:rFonts w:hint="eastAsia" w:ascii="仿宋_GB2312" w:hAnsi="仿宋_GB2312" w:eastAsia="仿宋_GB2312" w:cs="仿宋_GB2312"/>
          <w:b/>
          <w:bCs/>
          <w:color w:val="000000"/>
          <w:sz w:val="24"/>
          <w:szCs w:val="24"/>
          <w:u w:val="single"/>
        </w:rPr>
        <w:t>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b/>
          <w:bCs/>
          <w:color w:val="000000"/>
          <w:sz w:val="24"/>
          <w:szCs w:val="24"/>
          <w:u w:val="single"/>
          <w:lang w:val="en-US" w:eastAsia="zh-CN"/>
        </w:rPr>
        <w:t>元整</w:t>
      </w:r>
      <w:r>
        <w:rPr>
          <w:rFonts w:hint="eastAsia" w:ascii="仿宋_GB2312" w:hAnsi="仿宋_GB2312" w:eastAsia="仿宋_GB2312" w:cs="仿宋_GB2312"/>
          <w:color w:val="000000"/>
          <w:sz w:val="24"/>
          <w:szCs w:val="24"/>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（2）第二期：完成《中期概念设计文件编制及汇报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并</w:t>
      </w:r>
      <w:r>
        <w:rPr>
          <w:rFonts w:hint="eastAsia" w:ascii="仿宋_GB2312" w:hAnsi="仿宋_GB2312" w:eastAsia="仿宋_GB2312" w:cs="仿宋_GB2312"/>
          <w:color w:val="000000"/>
          <w:sz w:val="24"/>
          <w:szCs w:val="24"/>
        </w:rPr>
        <w:t>通过</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验收合格后，支付合同总价款的</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0%，</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小写）</w:t>
      </w:r>
      <w:r>
        <w:rPr>
          <w:rFonts w:hint="eastAsia" w:ascii="仿宋_GB2312" w:hAnsi="仿宋_GB2312" w:eastAsia="仿宋_GB2312" w:cs="仿宋_GB2312"/>
          <w:b/>
          <w:bCs/>
          <w:color w:val="000000"/>
          <w:sz w:val="24"/>
          <w:szCs w:val="24"/>
          <w:u w:val="single"/>
        </w:rPr>
        <w:t>￥</w:t>
      </w:r>
      <w:r>
        <w:rPr>
          <w:rFonts w:hint="eastAsia" w:ascii="仿宋_GB2312" w:hAnsi="仿宋_GB2312" w:eastAsia="仿宋_GB2312" w:cs="仿宋_GB2312"/>
          <w:b/>
          <w:bCs/>
          <w:color w:val="000000"/>
          <w:sz w:val="24"/>
          <w:szCs w:val="24"/>
          <w:u w:val="single"/>
          <w:lang w:val="en-US" w:eastAsia="zh-CN"/>
        </w:rPr>
        <w:t xml:space="preserve">     元</w:t>
      </w:r>
      <w:r>
        <w:rPr>
          <w:rFonts w:hint="eastAsia" w:ascii="仿宋_GB2312" w:hAnsi="仿宋_GB2312" w:eastAsia="仿宋_GB2312" w:cs="仿宋_GB2312"/>
          <w:b/>
          <w:bCs/>
          <w:color w:val="000000"/>
          <w:sz w:val="24"/>
          <w:szCs w:val="24"/>
          <w:u w:val="single"/>
        </w:rPr>
        <w:t>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大写）</w:t>
      </w:r>
      <w:r>
        <w:rPr>
          <w:rFonts w:hint="eastAsia" w:ascii="仿宋_GB2312" w:hAnsi="仿宋_GB2312" w:eastAsia="仿宋_GB2312" w:cs="仿宋_GB2312"/>
          <w:b/>
          <w:bCs/>
          <w:color w:val="000000"/>
          <w:sz w:val="24"/>
          <w:szCs w:val="24"/>
          <w:u w:val="single"/>
          <w:lang w:val="en-US" w:eastAsia="zh-CN"/>
        </w:rPr>
        <w:t xml:space="preserve">       元整</w:t>
      </w:r>
      <w:r>
        <w:rPr>
          <w:rFonts w:hint="eastAsia" w:ascii="仿宋_GB2312" w:hAnsi="仿宋_GB2312" w:eastAsia="仿宋_GB2312" w:cs="仿宋_GB2312"/>
          <w:color w:val="000000"/>
          <w:sz w:val="24"/>
          <w:szCs w:val="24"/>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（3）第三期：完成《最终概念设计</w:t>
      </w:r>
      <w:r>
        <w:rPr>
          <w:rFonts w:hint="eastAsia" w:ascii="仿宋_GB2312" w:hAnsi="仿宋_GB2312" w:eastAsia="仿宋_GB2312" w:cs="仿宋_GB2312"/>
          <w:color w:val="000000"/>
          <w:sz w:val="24"/>
          <w:szCs w:val="24"/>
          <w:lang w:val="en-US" w:eastAsia="zh-CN"/>
        </w:rPr>
        <w:t>文件编制及汇报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经甲方局领导专题会审议通过后</w:t>
      </w:r>
      <w:r>
        <w:rPr>
          <w:rFonts w:hint="eastAsia" w:ascii="仿宋_GB2312" w:hAnsi="仿宋_GB2312" w:eastAsia="仿宋_GB2312" w:cs="仿宋_GB2312"/>
          <w:color w:val="000000"/>
          <w:sz w:val="24"/>
          <w:szCs w:val="24"/>
        </w:rPr>
        <w:t>，支付合同总价款的</w:t>
      </w:r>
      <w:r>
        <w:rPr>
          <w:rFonts w:hint="eastAsia" w:ascii="仿宋_GB2312" w:hAnsi="仿宋_GB2312" w:eastAsia="仿宋_GB2312" w:cs="仿宋_GB2312"/>
          <w:color w:val="000000"/>
          <w:sz w:val="24"/>
          <w:szCs w:val="24"/>
          <w:lang w:val="en-US"/>
        </w:rPr>
        <w:t>3</w:t>
      </w:r>
      <w:r>
        <w:rPr>
          <w:rFonts w:hint="eastAsia" w:ascii="仿宋_GB2312" w:hAnsi="仿宋_GB2312" w:eastAsia="仿宋_GB2312" w:cs="仿宋_GB2312"/>
          <w:color w:val="000000"/>
          <w:sz w:val="24"/>
          <w:szCs w:val="24"/>
        </w:rPr>
        <w:t>0%，即人民币</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小写）</w:t>
      </w:r>
      <w:r>
        <w:rPr>
          <w:rFonts w:hint="eastAsia" w:ascii="仿宋_GB2312" w:hAnsi="仿宋_GB2312" w:eastAsia="仿宋_GB2312" w:cs="仿宋_GB2312"/>
          <w:b/>
          <w:bCs/>
          <w:color w:val="000000"/>
          <w:sz w:val="24"/>
          <w:szCs w:val="24"/>
          <w:u w:val="single"/>
        </w:rPr>
        <w:t>￥</w:t>
      </w:r>
      <w:r>
        <w:rPr>
          <w:rFonts w:hint="eastAsia" w:ascii="仿宋_GB2312" w:hAnsi="仿宋_GB2312" w:eastAsia="仿宋_GB2312" w:cs="仿宋_GB2312"/>
          <w:b/>
          <w:bCs/>
          <w:color w:val="000000"/>
          <w:sz w:val="24"/>
          <w:szCs w:val="24"/>
          <w:u w:val="single"/>
          <w:lang w:val="en-US" w:eastAsia="zh-CN"/>
        </w:rPr>
        <w:t xml:space="preserve">     元</w:t>
      </w:r>
      <w:r>
        <w:rPr>
          <w:rFonts w:hint="eastAsia" w:ascii="仿宋_GB2312" w:hAnsi="仿宋_GB2312" w:eastAsia="仿宋_GB2312" w:cs="仿宋_GB2312"/>
          <w:b/>
          <w:bCs/>
          <w:color w:val="000000"/>
          <w:sz w:val="24"/>
          <w:szCs w:val="24"/>
          <w:u w:val="single"/>
        </w:rPr>
        <w:t>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大写）</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b/>
          <w:bCs/>
          <w:color w:val="000000"/>
          <w:sz w:val="24"/>
          <w:szCs w:val="24"/>
          <w:u w:val="single"/>
          <w:lang w:val="en-US" w:eastAsia="zh-CN"/>
        </w:rPr>
        <w:t>元整</w:t>
      </w:r>
      <w:r>
        <w:rPr>
          <w:rFonts w:hint="eastAsia" w:ascii="仿宋_GB2312" w:hAnsi="仿宋_GB2312" w:eastAsia="仿宋_GB2312" w:cs="仿宋_GB2312"/>
          <w:color w:val="000000"/>
          <w:sz w:val="24"/>
          <w:szCs w:val="24"/>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（4）第四期：完成全部</w:t>
      </w:r>
      <w:r>
        <w:rPr>
          <w:rFonts w:hint="eastAsia" w:ascii="仿宋_GB2312" w:hAnsi="仿宋_GB2312" w:eastAsia="仿宋_GB2312" w:cs="仿宋_GB2312"/>
          <w:color w:val="000000"/>
          <w:sz w:val="24"/>
          <w:szCs w:val="24"/>
          <w:lang w:val="en-US" w:eastAsia="zh-CN"/>
        </w:rPr>
        <w:t>最终成果</w:t>
      </w:r>
      <w:r>
        <w:rPr>
          <w:rFonts w:hint="eastAsia" w:ascii="仿宋_GB2312" w:hAnsi="仿宋_GB2312" w:eastAsia="仿宋_GB2312" w:cs="仿宋_GB2312"/>
          <w:color w:val="000000"/>
          <w:sz w:val="24"/>
          <w:szCs w:val="24"/>
        </w:rPr>
        <w:t>内容</w:t>
      </w:r>
      <w:r>
        <w:rPr>
          <w:rFonts w:hint="eastAsia" w:ascii="仿宋_GB2312" w:hAnsi="仿宋_GB2312" w:eastAsia="仿宋_GB2312" w:cs="仿宋_GB2312"/>
          <w:color w:val="000000"/>
          <w:sz w:val="24"/>
          <w:szCs w:val="24"/>
          <w:lang w:val="en-US" w:eastAsia="zh-CN"/>
        </w:rPr>
        <w:t>和</w:t>
      </w:r>
      <w:r>
        <w:rPr>
          <w:rFonts w:hint="eastAsia" w:ascii="仿宋_GB2312" w:hAnsi="仿宋_GB2312" w:eastAsia="仿宋_GB2312" w:cs="仿宋_GB2312"/>
          <w:color w:val="000000"/>
          <w:sz w:val="24"/>
          <w:szCs w:val="24"/>
        </w:rPr>
        <w:t>提交全部成果文件，并通过</w:t>
      </w:r>
      <w:r>
        <w:rPr>
          <w:rFonts w:hint="eastAsia" w:ascii="仿宋_GB2312" w:hAnsi="仿宋_GB2312" w:eastAsia="仿宋_GB2312" w:cs="仿宋_GB2312"/>
          <w:color w:val="000000"/>
          <w:sz w:val="24"/>
          <w:szCs w:val="24"/>
          <w:lang w:val="en-US" w:eastAsia="zh-CN"/>
        </w:rPr>
        <w:t>甲方</w:t>
      </w:r>
      <w:r>
        <w:rPr>
          <w:rFonts w:hint="eastAsia" w:ascii="仿宋_GB2312" w:hAnsi="仿宋_GB2312" w:eastAsia="仿宋_GB2312" w:cs="仿宋_GB2312"/>
          <w:color w:val="000000"/>
          <w:sz w:val="24"/>
          <w:szCs w:val="24"/>
        </w:rPr>
        <w:t>验收合格后，支付合同总价款的</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0%，即人民币</w:t>
      </w:r>
      <w:r>
        <w:rPr>
          <w:rFonts w:hint="eastAsia" w:ascii="仿宋_GB2312" w:hAnsi="仿宋_GB2312" w:eastAsia="仿宋_GB2312" w:cs="仿宋_GB2312"/>
          <w:b/>
          <w:bCs/>
          <w:color w:val="000000"/>
          <w:sz w:val="24"/>
          <w:szCs w:val="24"/>
          <w:u w:val="single"/>
        </w:rPr>
        <w:t>￥</w:t>
      </w:r>
      <w:r>
        <w:rPr>
          <w:rFonts w:hint="eastAsia" w:ascii="仿宋_GB2312" w:hAnsi="仿宋_GB2312" w:eastAsia="仿宋_GB2312" w:cs="仿宋_GB2312"/>
          <w:b/>
          <w:bCs/>
          <w:color w:val="000000"/>
          <w:sz w:val="24"/>
          <w:szCs w:val="24"/>
          <w:u w:val="single"/>
          <w:lang w:val="en-US" w:eastAsia="zh-CN"/>
        </w:rPr>
        <w:t xml:space="preserve">     元</w:t>
      </w:r>
      <w:r>
        <w:rPr>
          <w:rFonts w:hint="eastAsia" w:ascii="仿宋_GB2312" w:hAnsi="仿宋_GB2312" w:eastAsia="仿宋_GB2312" w:cs="仿宋_GB2312"/>
          <w:b/>
          <w:bCs/>
          <w:color w:val="000000"/>
          <w:sz w:val="24"/>
          <w:szCs w:val="24"/>
          <w:u w:val="single"/>
        </w:rPr>
        <w:t>整</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大写）</w:t>
      </w:r>
      <w:r>
        <w:rPr>
          <w:rFonts w:hint="eastAsia" w:ascii="仿宋_GB2312" w:hAnsi="仿宋_GB2312" w:eastAsia="仿宋_GB2312" w:cs="仿宋_GB2312"/>
          <w:b/>
          <w:bCs/>
          <w:color w:val="000000"/>
          <w:sz w:val="24"/>
          <w:szCs w:val="24"/>
          <w:u w:val="single"/>
          <w:lang w:val="en-US" w:eastAsia="zh-CN"/>
        </w:rPr>
        <w:t xml:space="preserve">    元整</w:t>
      </w:r>
      <w:r>
        <w:rPr>
          <w:rFonts w:hint="eastAsia" w:ascii="仿宋_GB2312" w:hAnsi="仿宋_GB2312" w:eastAsia="仿宋_GB2312" w:cs="仿宋_GB2312"/>
          <w:color w:val="000000"/>
          <w:sz w:val="24"/>
          <w:szCs w:val="24"/>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上述每期款项均在满足付款条件，且</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收到</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开具的载明相应金额的合格发票后15个工作日内付至</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指定银行账户。如未及时收到发票，则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相应付款时间顺延。若因</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付款审批影响支付进度，请</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予以谅解，并不得就此向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索赔。</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银行账户信息：</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开户银行： </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开</w:t>
      </w:r>
      <w:r>
        <w:rPr>
          <w:rFonts w:hint="eastAsia" w:ascii="仿宋_GB2312" w:hAnsi="仿宋_GB2312" w:eastAsia="仿宋_GB2312" w:cs="仿宋_GB2312"/>
          <w:color w:val="000000"/>
          <w:sz w:val="24"/>
          <w:szCs w:val="24"/>
        </w:rPr>
        <w:t>户名</w:t>
      </w:r>
      <w:r>
        <w:rPr>
          <w:rFonts w:hint="eastAsia" w:ascii="仿宋_GB2312" w:hAnsi="仿宋_GB2312" w:eastAsia="仿宋_GB2312" w:cs="仿宋_GB2312"/>
          <w:color w:val="000000"/>
          <w:sz w:val="24"/>
          <w:szCs w:val="24"/>
          <w:lang w:val="en-US" w:eastAsia="zh-CN"/>
        </w:rPr>
        <w:t>称</w:t>
      </w:r>
      <w:r>
        <w:rPr>
          <w:rFonts w:hint="eastAsia" w:ascii="仿宋_GB2312" w:hAnsi="仿宋_GB2312" w:eastAsia="仿宋_GB2312" w:cs="仿宋_GB2312"/>
          <w:color w:val="000000"/>
          <w:sz w:val="24"/>
          <w:szCs w:val="24"/>
        </w:rPr>
        <w:t>：</w:t>
      </w:r>
    </w:p>
    <w:p>
      <w:pPr>
        <w:pStyle w:val="2"/>
        <w:keepNext w:val="0"/>
        <w:keepLines w:val="0"/>
        <w:pageBreakBefore w:val="0"/>
        <w:kinsoku/>
        <w:wordWrap/>
        <w:overflowPunct/>
        <w:topLinePunct w:val="0"/>
        <w:autoSpaceDE/>
        <w:autoSpaceDN/>
        <w:bidi w:val="0"/>
        <w:spacing w:after="0"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银行</w:t>
      </w:r>
      <w:r>
        <w:rPr>
          <w:rFonts w:hint="eastAsia" w:ascii="仿宋_GB2312" w:hAnsi="仿宋_GB2312" w:eastAsia="仿宋_GB2312" w:cs="仿宋_GB2312"/>
          <w:color w:val="000000"/>
          <w:sz w:val="24"/>
          <w:szCs w:val="24"/>
        </w:rPr>
        <w:t>账号：</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第十条 合同提前终止</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双方协商同意提前终止本合同的，按双方协商约定的方式进行清算执行。</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如果一方发生破产、解散、被依法关闭、撤销或已进入清算阶段等情形，发生上述情形的一方有义务在事由发生后15个工作日内以书面方式通知对方，对方有权解除合同。在该等情形下，</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已向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支付的款项不退还，并且</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应根据</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已进行的实际工作量支付相应阶段服务费用，同时</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提交在合同终止日前完成的所有项目文件和相关资料。</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有下列情形之一的，本合同自</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发出书面通知之日起终止：</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的职能发生转变，不再具有委托职能。</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本合同签订时适用的法律法规或政策发生变化，且对本合同的继续履行造成重大影响。</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发生以上情形，</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已向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支付的款项不退还，并且</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应根据</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已进行的实际工作量支付相应阶段服务费用，同时</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提交在合同终止日前完成的所有项目文件和相关资料。</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如发生不可抗力或其他超出合同双方控制的事件，致使一方无法履行合同，本合同解除。</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发生不可抗力，甲乙双方承担各自的损失。由于其中一方迟延履行合同义务后发生不可抗力的，其违约责任不能免除。</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不可抗力事件导致一方无法履行合同义务或继续履行已无意义，由双方协商终止本合同并进行清算，</w:t>
      </w:r>
      <w:r>
        <w:rPr>
          <w:rFonts w:hint="eastAsia" w:ascii="仿宋_GB2312" w:hAnsi="仿宋_GB2312" w:eastAsia="仿宋_GB2312" w:cs="仿宋_GB2312"/>
          <w:color w:val="000000"/>
          <w:sz w:val="24"/>
          <w:szCs w:val="24"/>
          <w:lang w:eastAsia="zh-CN"/>
        </w:rPr>
        <w:t>甲方</w:t>
      </w:r>
      <w:r>
        <w:rPr>
          <w:rFonts w:hint="eastAsia" w:ascii="华文仿宋" w:hAnsi="华文仿宋" w:eastAsia="华文仿宋" w:cs="华文仿宋"/>
          <w:color w:val="000000"/>
          <w:sz w:val="24"/>
          <w:szCs w:val="24"/>
        </w:rPr>
        <w:t>已向</w:t>
      </w:r>
      <w:r>
        <w:rPr>
          <w:rFonts w:hint="eastAsia" w:ascii="华文仿宋" w:hAnsi="华文仿宋" w:eastAsia="华文仿宋" w:cs="华文仿宋"/>
          <w:color w:val="000000"/>
          <w:sz w:val="24"/>
          <w:szCs w:val="24"/>
          <w:lang w:eastAsia="zh-CN"/>
        </w:rPr>
        <w:t>乙方</w:t>
      </w:r>
      <w:r>
        <w:rPr>
          <w:rFonts w:hint="eastAsia" w:ascii="华文仿宋" w:hAnsi="华文仿宋" w:eastAsia="华文仿宋" w:cs="华文仿宋"/>
          <w:color w:val="000000"/>
          <w:sz w:val="24"/>
          <w:szCs w:val="24"/>
        </w:rPr>
        <w:t>支付的款项不退还，并且</w:t>
      </w:r>
      <w:r>
        <w:rPr>
          <w:rFonts w:hint="eastAsia" w:ascii="华文仿宋" w:hAnsi="华文仿宋" w:eastAsia="华文仿宋" w:cs="华文仿宋"/>
          <w:color w:val="000000"/>
          <w:sz w:val="24"/>
          <w:szCs w:val="24"/>
          <w:lang w:eastAsia="zh-CN"/>
        </w:rPr>
        <w:t>甲方</w:t>
      </w:r>
      <w:r>
        <w:rPr>
          <w:rFonts w:hint="eastAsia" w:ascii="仿宋_GB2312" w:hAnsi="仿宋_GB2312" w:eastAsia="仿宋_GB2312" w:cs="仿宋_GB2312"/>
          <w:color w:val="000000"/>
          <w:sz w:val="24"/>
          <w:szCs w:val="24"/>
        </w:rPr>
        <w:t>应按照</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已完成的工作量支付</w:t>
      </w:r>
      <w:r>
        <w:rPr>
          <w:rFonts w:hint="eastAsia" w:ascii="仿宋_GB2312" w:hAnsi="仿宋_GB2312" w:eastAsia="仿宋_GB2312" w:cs="仿宋_GB2312"/>
          <w:color w:val="000000"/>
          <w:sz w:val="24"/>
          <w:szCs w:val="24"/>
          <w:lang w:val="en-US" w:eastAsia="zh-CN"/>
        </w:rPr>
        <w:t>相应阶段</w:t>
      </w:r>
      <w:r>
        <w:rPr>
          <w:rFonts w:hint="eastAsia" w:ascii="仿宋_GB2312" w:hAnsi="仿宋_GB2312" w:eastAsia="仿宋_GB2312" w:cs="仿宋_GB2312"/>
          <w:color w:val="000000"/>
          <w:sz w:val="24"/>
          <w:szCs w:val="24"/>
        </w:rPr>
        <w:t>款项，同时</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提交在合同终止日前完成的所有项目文件和相关资料。</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5．在合同签订后，非因</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原因导致合同终止或解除的，不退还</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在本合同下已经支付的任何费用，并且</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应根据</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已进行的实际工作量支付相应阶段服务费用，不足一半时，按该阶段设计咨询服务费的一半支付；超过一半时，按该阶段设计咨询服务费的全部支付。</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w:t>
      </w:r>
      <w:r>
        <w:rPr>
          <w:rFonts w:hint="eastAsia" w:ascii="仿宋_GB2312" w:hAnsi="仿宋_GB2312" w:eastAsia="仿宋_GB2312" w:cs="仿宋_GB2312"/>
          <w:b/>
          <w:bCs/>
          <w:color w:val="000000"/>
          <w:sz w:val="24"/>
          <w:szCs w:val="24"/>
          <w:lang w:val="en-US" w:eastAsia="zh-CN"/>
        </w:rPr>
        <w:t>一</w:t>
      </w:r>
      <w:r>
        <w:rPr>
          <w:rFonts w:hint="eastAsia" w:ascii="仿宋_GB2312" w:hAnsi="仿宋_GB2312" w:eastAsia="仿宋_GB2312" w:cs="仿宋_GB2312"/>
          <w:b/>
          <w:bCs/>
          <w:color w:val="000000"/>
          <w:sz w:val="24"/>
          <w:szCs w:val="24"/>
        </w:rPr>
        <w:t>条  争议解决办法</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因本合同的履行发生的或与本合同有关的争议或纠纷，由甲乙双方协商解决。协商不成的，</w:t>
      </w:r>
      <w:r>
        <w:rPr>
          <w:rFonts w:hint="eastAsia" w:ascii="仿宋_GB2312" w:hAnsi="仿宋_GB2312" w:eastAsia="仿宋_GB2312" w:cs="仿宋_GB2312"/>
          <w:color w:val="000000"/>
          <w:sz w:val="24"/>
          <w:szCs w:val="24"/>
          <w:lang w:eastAsia="zh-CN"/>
        </w:rPr>
        <w:t>双方同意将争议提交</w:t>
      </w:r>
      <w:r>
        <w:rPr>
          <w:rFonts w:hint="eastAsia" w:ascii="仿宋_GB2312" w:hAnsi="仿宋_GB2312" w:eastAsia="仿宋_GB2312" w:cs="仿宋_GB2312"/>
          <w:color w:val="000000"/>
          <w:sz w:val="24"/>
          <w:szCs w:val="24"/>
        </w:rPr>
        <w:t>深圳前海合作区人民法院</w:t>
      </w:r>
      <w:r>
        <w:rPr>
          <w:rFonts w:hint="eastAsia" w:ascii="仿宋_GB2312" w:hAnsi="仿宋_GB2312" w:eastAsia="仿宋_GB2312" w:cs="仿宋_GB2312"/>
          <w:color w:val="000000"/>
          <w:sz w:val="24"/>
          <w:szCs w:val="24"/>
          <w:lang w:eastAsia="zh-CN"/>
        </w:rPr>
        <w:t>通过</w:t>
      </w:r>
      <w:r>
        <w:rPr>
          <w:rFonts w:hint="eastAsia" w:ascii="仿宋_GB2312" w:hAnsi="仿宋_GB2312" w:eastAsia="仿宋_GB2312" w:cs="仿宋_GB2312"/>
          <w:color w:val="000000"/>
          <w:sz w:val="24"/>
          <w:szCs w:val="24"/>
        </w:rPr>
        <w:t>诉讼</w:t>
      </w:r>
      <w:r>
        <w:rPr>
          <w:rFonts w:hint="eastAsia" w:ascii="仿宋_GB2312" w:hAnsi="仿宋_GB2312" w:eastAsia="仿宋_GB2312" w:cs="仿宋_GB2312"/>
          <w:color w:val="000000"/>
          <w:sz w:val="24"/>
          <w:szCs w:val="24"/>
          <w:lang w:eastAsia="zh-CN"/>
        </w:rPr>
        <w:t>解决</w:t>
      </w:r>
      <w:r>
        <w:rPr>
          <w:rFonts w:hint="eastAsia" w:ascii="仿宋_GB2312" w:hAnsi="仿宋_GB2312" w:eastAsia="仿宋_GB2312" w:cs="仿宋_GB2312"/>
          <w:color w:val="000000"/>
          <w:sz w:val="24"/>
        </w:rPr>
        <w:t>，包括律师费、鉴定费、翻译费、诉讼费在内的各项费用应当由败诉方承担</w:t>
      </w:r>
      <w:r>
        <w:rPr>
          <w:rFonts w:hint="eastAsia" w:ascii="仿宋_GB2312" w:hAnsi="仿宋_GB2312" w:eastAsia="仿宋_GB2312" w:cs="仿宋_GB2312"/>
          <w:color w:val="000000"/>
          <w:sz w:val="24"/>
          <w:szCs w:val="24"/>
        </w:rPr>
        <w:t>。</w:t>
      </w:r>
    </w:p>
    <w:p>
      <w:pPr>
        <w:keepNext w:val="0"/>
        <w:keepLines w:val="0"/>
        <w:pageBreakBefore w:val="0"/>
        <w:numPr>
          <w:ilvl w:val="0"/>
          <w:numId w:val="0"/>
        </w:numPr>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w:t>
      </w:r>
      <w:r>
        <w:rPr>
          <w:rFonts w:hint="eastAsia" w:ascii="仿宋_GB2312" w:hAnsi="仿宋_GB2312" w:eastAsia="仿宋_GB2312" w:cs="仿宋_GB2312"/>
          <w:b/>
          <w:bCs/>
          <w:color w:val="000000"/>
          <w:sz w:val="24"/>
          <w:szCs w:val="24"/>
          <w:lang w:val="en-US" w:eastAsia="zh-CN"/>
        </w:rPr>
        <w:t>二</w:t>
      </w:r>
      <w:r>
        <w:rPr>
          <w:rFonts w:hint="eastAsia" w:ascii="仿宋_GB2312" w:hAnsi="仿宋_GB2312" w:eastAsia="仿宋_GB2312" w:cs="仿宋_GB2312"/>
          <w:b/>
          <w:bCs/>
          <w:color w:val="000000"/>
          <w:sz w:val="24"/>
          <w:szCs w:val="24"/>
        </w:rPr>
        <w:t>条</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rPr>
        <w:t>项目变更</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本合同履行过程中的需求变更和进度调整，以甲乙双方达成一致的书面文件为准。</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遇到不能按时交货或按期完工的情况，应及时以书面形式将不能按时完工的理由、延误时间通知</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在收到</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通知后，根据情况决定是否延长完成时间。如同意延长，则</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责任期也相应延长。</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因非</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责任造成项目进度推迟或延误，无法按照合同约定的日期完成相应的项目，双方经过协商可以进一步约定完成的日期，</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的责任期也随之顺延。</w:t>
      </w:r>
    </w:p>
    <w:p>
      <w:pPr>
        <w:keepNext w:val="0"/>
        <w:keepLines w:val="0"/>
        <w:pageBreakBefore w:val="0"/>
        <w:kinsoku/>
        <w:wordWrap/>
        <w:overflowPunct/>
        <w:topLinePunct w:val="0"/>
        <w:autoSpaceDE/>
        <w:autoSpaceDN/>
        <w:bidi w:val="0"/>
        <w:snapToGrid w:val="0"/>
        <w:spacing w:line="400" w:lineRule="exact"/>
        <w:ind w:firstLine="480" w:firstLineChars="200"/>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在合同所约定的工作范畴内的服务，本合同价格不予变更</w:t>
      </w:r>
      <w:r>
        <w:rPr>
          <w:rFonts w:hint="eastAsia" w:ascii="仿宋_GB2312" w:hAnsi="仿宋_GB2312" w:eastAsia="仿宋_GB2312" w:cs="仿宋_GB2312"/>
          <w:color w:val="000000"/>
          <w:sz w:val="24"/>
          <w:szCs w:val="24"/>
          <w:lang w:eastAsia="zh-CN"/>
        </w:rPr>
        <w:t>。</w:t>
      </w:r>
    </w:p>
    <w:p>
      <w:pPr>
        <w:keepNext w:val="0"/>
        <w:keepLines w:val="0"/>
        <w:pageBreakBefore w:val="0"/>
        <w:numPr>
          <w:ilvl w:val="0"/>
          <w:numId w:val="0"/>
        </w:numPr>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w:t>
      </w:r>
      <w:r>
        <w:rPr>
          <w:rFonts w:hint="eastAsia" w:ascii="仿宋_GB2312" w:hAnsi="仿宋_GB2312" w:eastAsia="仿宋_GB2312" w:cs="仿宋_GB2312"/>
          <w:b/>
          <w:bCs/>
          <w:color w:val="000000"/>
          <w:sz w:val="24"/>
          <w:szCs w:val="24"/>
          <w:lang w:val="en-US" w:eastAsia="zh-CN"/>
        </w:rPr>
        <w:t>三</w:t>
      </w:r>
      <w:r>
        <w:rPr>
          <w:rFonts w:hint="eastAsia" w:ascii="仿宋_GB2312" w:hAnsi="仿宋_GB2312" w:eastAsia="仿宋_GB2312" w:cs="仿宋_GB2312"/>
          <w:b/>
          <w:bCs/>
          <w:color w:val="000000"/>
          <w:sz w:val="24"/>
          <w:szCs w:val="24"/>
        </w:rPr>
        <w:t>条</w:t>
      </w:r>
      <w:r>
        <w:rPr>
          <w:rFonts w:hint="eastAsia" w:ascii="仿宋_GB2312" w:hAnsi="仿宋_GB2312" w:eastAsia="仿宋_GB2312" w:cs="仿宋_GB2312"/>
          <w:b/>
          <w:bCs/>
          <w:color w:val="000000"/>
          <w:sz w:val="24"/>
          <w:szCs w:val="24"/>
          <w:lang w:val="en-US" w:eastAsia="zh-CN"/>
        </w:rPr>
        <w:t xml:space="preserve">  </w:t>
      </w:r>
      <w:r>
        <w:rPr>
          <w:rFonts w:hint="eastAsia" w:ascii="仿宋_GB2312" w:hAnsi="仿宋_GB2312" w:eastAsia="仿宋_GB2312" w:cs="仿宋_GB2312"/>
          <w:b/>
          <w:bCs/>
          <w:color w:val="000000"/>
          <w:sz w:val="24"/>
          <w:szCs w:val="24"/>
        </w:rPr>
        <w:t>风险责任</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应完全地按照【】号招标文件的要求和</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投标文件的承诺完成本项目，出于自身财务、技术、人力等原因导致项目失败的，应承担全部责任。</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w:t>
      </w:r>
      <w:r>
        <w:rPr>
          <w:rFonts w:hint="eastAsia" w:ascii="仿宋_GB2312" w:hAnsi="仿宋_GB2312" w:eastAsia="仿宋_GB2312" w:cs="仿宋_GB2312"/>
          <w:b/>
          <w:bCs/>
          <w:color w:val="000000"/>
          <w:sz w:val="24"/>
          <w:szCs w:val="24"/>
          <w:lang w:val="en-US" w:eastAsia="zh-CN"/>
        </w:rPr>
        <w:t>四</w:t>
      </w:r>
      <w:r>
        <w:rPr>
          <w:rFonts w:hint="eastAsia" w:ascii="仿宋_GB2312" w:hAnsi="仿宋_GB2312" w:eastAsia="仿宋_GB2312" w:cs="仿宋_GB2312"/>
          <w:b/>
          <w:bCs/>
          <w:color w:val="000000"/>
          <w:sz w:val="24"/>
          <w:szCs w:val="24"/>
        </w:rPr>
        <w:t>条  违约责任</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1.如</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未按照合同约定的时间完成本项目各阶段工作，且未经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书面同意延长服务成果完成期限的，每迟延一日，</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有权自尚未支付的合同款项中扣除</w:t>
      </w:r>
      <w:r>
        <w:rPr>
          <w:rFonts w:hint="eastAsia" w:ascii="仿宋_GB2312" w:hAnsi="仿宋_GB2312" w:eastAsia="仿宋_GB2312" w:cs="仿宋_GB2312"/>
          <w:color w:val="000000"/>
          <w:sz w:val="24"/>
          <w:szCs w:val="24"/>
          <w:lang w:val="en-US" w:eastAsia="zh-CN"/>
        </w:rPr>
        <w:t>本阶段</w:t>
      </w:r>
      <w:r>
        <w:rPr>
          <w:rFonts w:hint="eastAsia" w:ascii="仿宋_GB2312" w:hAnsi="仿宋_GB2312" w:eastAsia="仿宋_GB2312" w:cs="仿宋_GB2312"/>
          <w:color w:val="000000"/>
          <w:sz w:val="24"/>
          <w:szCs w:val="24"/>
        </w:rPr>
        <w:t>合同服务费总金额的1‰的逾期违约金</w:t>
      </w:r>
      <w:r>
        <w:rPr>
          <w:rFonts w:hint="eastAsia" w:ascii="仿宋_GB2312" w:hAnsi="仿宋_GB2312" w:eastAsia="仿宋_GB2312" w:cs="仿宋_GB2312"/>
          <w:color w:val="000000"/>
          <w:sz w:val="24"/>
        </w:rPr>
        <w:t>，违约金累计以本阶段服务费的 10% 为上限</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2.合同项下的工作内容不可分割，任一文件的迟延交付均视为整个项目的迟延交付。</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3.合同履行期间，发生下述情形时，</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有权解除合同，</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除应退还</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已支付的全部款项外, 还应在合同解除通知发出之日起 10 日内向</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支付合同总价款</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0%的违约金。</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应同时将已完成的项目成果移交给</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，并将全部有关资料退还</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未能按合同约定的日期(含协商延缓的日期)提交成果，</w:t>
      </w:r>
      <w:r>
        <w:rPr>
          <w:rFonts w:hint="eastAsia" w:ascii="华文仿宋" w:hAnsi="华文仿宋" w:eastAsia="华文仿宋" w:cs="华文仿宋"/>
          <w:color w:val="000000"/>
          <w:sz w:val="24"/>
        </w:rPr>
        <w:t>经催告后仍</w:t>
      </w:r>
      <w:r>
        <w:rPr>
          <w:rFonts w:hint="eastAsia" w:ascii="仿宋_GB2312" w:hAnsi="仿宋_GB2312" w:eastAsia="仿宋_GB2312" w:cs="仿宋_GB2312"/>
          <w:color w:val="000000"/>
          <w:sz w:val="24"/>
          <w:szCs w:val="24"/>
        </w:rPr>
        <w:t>延误时间超过 15 个工作日；</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2）因</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工作的错误或遗漏造成成果质量不符合合同要求，且</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未按</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要求采取及时有效的补救措施的；</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书面在先同意，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擅自将合同项目与任何第三方合作，或将合同标的全部或部分擅自转包或分包给任何第三方，且未按</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的要求终止与第三方的协议的；</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）项目负责人未承担合同项目实质性工作，或未经</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书面在先同意，</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擅自更换项目负责人的</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人员因离职、重病、伤残、死亡或不可抗力等原因外需要更换团队成员的除外）</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）发现</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或</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工作人员出现全部或部分丧失履行委托服务能力的情况，</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有权通知</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限期整改或更换工作人员，期限届满</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并未进行改善的；</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明确表示或者以自己的行为表明不履行合同的。</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未按照合同约定的时间支付服务费，</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交付工作成果的时间应予顺延，</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书面催告</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并给予不少于30 个工作日的履行期限后</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仍未支付的，</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有权自该期限届满之日起要求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支付该阶段应付而未付合同价款每日 1‰的逾期违约金</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有权暂停履行下阶段工作，并书面通知</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不得要求保留原设计</w:t>
      </w:r>
      <w:r>
        <w:rPr>
          <w:rFonts w:hint="eastAsia" w:ascii="仿宋_GB2312" w:hAnsi="仿宋_GB2312" w:eastAsia="仿宋_GB2312" w:cs="仿宋_GB2312"/>
          <w:color w:val="000000"/>
          <w:sz w:val="24"/>
          <w:lang w:val="en-US" w:eastAsia="zh-CN"/>
        </w:rPr>
        <w:t>团队</w:t>
      </w:r>
      <w:r>
        <w:rPr>
          <w:rFonts w:hint="eastAsia" w:ascii="仿宋_GB2312" w:hAnsi="仿宋_GB2312" w:eastAsia="仿宋_GB2312" w:cs="仿宋_GB2312"/>
          <w:color w:val="000000"/>
          <w:sz w:val="24"/>
          <w:szCs w:val="24"/>
        </w:rPr>
        <w:t>。如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无正当理由拒绝接受服务，到期明确表示拒付服务款项，</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有权要求</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支付合同项下服务费总金额 5%的违约金</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提交各阶段成果2个月内，非</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原因的情况下</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未提交</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上级或相关部门审批、相关部门不审批或未报批通过，或本合同项目停缓建的，均不应构成</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延迟支付该阶段费用的理由，上述期限届满后</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仍应按约定支付服务费。</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逾期付款超过六十（60）日时，</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有权解除合同且不承担解除合同的违约责任。</w:t>
      </w:r>
      <w:r>
        <w:rPr>
          <w:rFonts w:hint="eastAsia" w:ascii="仿宋_GB2312" w:hAnsi="仿宋_GB2312" w:eastAsia="仿宋_GB2312" w:cs="仿宋_GB2312"/>
          <w:color w:val="000000"/>
          <w:sz w:val="24"/>
          <w:szCs w:val="24"/>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rPr>
        <w:t>合同一方不履行合同义务或者履行合同义务不符合约定，给其他方造成损失的，损失赔偿额应当相当于因违约所造成的损失</w:t>
      </w:r>
      <w:r>
        <w:rPr>
          <w:rFonts w:hint="eastAsia" w:ascii="仿宋_GB2312" w:hAnsi="仿宋_GB2312" w:eastAsia="仿宋_GB2312" w:cs="仿宋_GB2312"/>
          <w:color w:val="000000"/>
          <w:sz w:val="24"/>
          <w:szCs w:val="24"/>
        </w:rPr>
        <w:t>。如合同所约定的违约金无法弥补因违约行为所造成的损失，违约方应补偿上述不足部分的损失，包括但不限于上述索赔或责任所产生的诉讼费用、合理的律师费用、鉴定评估费用、 调查费用、和解金额或生效法律文书中规定的赔偿金额。</w:t>
      </w:r>
      <w:r>
        <w:rPr>
          <w:rFonts w:hint="eastAsia" w:ascii="仿宋_GB2312" w:hAnsi="仿宋_GB2312" w:eastAsia="仿宋_GB2312" w:cs="仿宋_GB2312"/>
          <w:color w:val="000000"/>
          <w:sz w:val="24"/>
        </w:rPr>
        <w:t>但是违约金及损失赔偿金额总额以</w:t>
      </w:r>
      <w:r>
        <w:rPr>
          <w:rFonts w:hint="eastAsia" w:ascii="仿宋_GB2312" w:hAnsi="仿宋_GB2312" w:eastAsia="仿宋_GB2312" w:cs="仿宋_GB2312"/>
          <w:color w:val="000000"/>
          <w:sz w:val="24"/>
          <w:lang w:eastAsia="zh-CN"/>
        </w:rPr>
        <w:t>甲方</w:t>
      </w:r>
      <w:r>
        <w:rPr>
          <w:rFonts w:hint="eastAsia" w:ascii="仿宋_GB2312" w:hAnsi="仿宋_GB2312" w:eastAsia="仿宋_GB2312" w:cs="仿宋_GB2312"/>
          <w:color w:val="000000"/>
          <w:sz w:val="24"/>
        </w:rPr>
        <w:t>已向</w:t>
      </w:r>
      <w:r>
        <w:rPr>
          <w:rFonts w:hint="eastAsia" w:ascii="仿宋_GB2312" w:hAnsi="仿宋_GB2312" w:eastAsia="仿宋_GB2312" w:cs="仿宋_GB2312"/>
          <w:color w:val="000000"/>
          <w:sz w:val="24"/>
          <w:lang w:eastAsia="zh-CN"/>
        </w:rPr>
        <w:t>乙方</w:t>
      </w:r>
      <w:r>
        <w:rPr>
          <w:rFonts w:hint="eastAsia" w:ascii="仿宋_GB2312" w:hAnsi="仿宋_GB2312" w:eastAsia="仿宋_GB2312" w:cs="仿宋_GB2312"/>
          <w:color w:val="000000"/>
          <w:sz w:val="24"/>
        </w:rPr>
        <w:t>支付的服务费为限，在任何情况下累计赔偿金额不超过本合同约定的服务费总额。且双方互不承担间接损失赔偿责任。</w:t>
      </w:r>
    </w:p>
    <w:p>
      <w:pPr>
        <w:keepNext w:val="0"/>
        <w:keepLines w:val="0"/>
        <w:pageBreakBefore w:val="0"/>
        <w:kinsoku/>
        <w:wordWrap/>
        <w:overflowPunct/>
        <w:topLinePunct w:val="0"/>
        <w:autoSpaceDE/>
        <w:autoSpaceDN/>
        <w:bidi w:val="0"/>
        <w:spacing w:line="400" w:lineRule="exact"/>
        <w:ind w:firstLine="482" w:firstLineChars="200"/>
        <w:outlineLvl w:val="1"/>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第十</w:t>
      </w:r>
      <w:r>
        <w:rPr>
          <w:rFonts w:hint="eastAsia" w:ascii="仿宋_GB2312" w:hAnsi="仿宋_GB2312" w:eastAsia="仿宋_GB2312" w:cs="仿宋_GB2312"/>
          <w:b/>
          <w:bCs/>
          <w:color w:val="000000"/>
          <w:sz w:val="24"/>
          <w:szCs w:val="24"/>
          <w:lang w:val="en-US" w:eastAsia="zh-CN"/>
        </w:rPr>
        <w:t>五</w:t>
      </w:r>
      <w:r>
        <w:rPr>
          <w:rFonts w:hint="eastAsia" w:ascii="仿宋_GB2312" w:hAnsi="仿宋_GB2312" w:eastAsia="仿宋_GB2312" w:cs="仿宋_GB2312"/>
          <w:b/>
          <w:bCs/>
          <w:color w:val="000000"/>
          <w:sz w:val="24"/>
          <w:szCs w:val="24"/>
        </w:rPr>
        <w:t>条  其他</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（1）合同书及补充协议；</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（2）中标通知书；</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（3）招标文件（编号：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）及其澄清、补正公告；</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（4）投标书。</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本合同附件（如有）为合同不可分割的组成部分，与本合同一并加盖骑缝章后具有同等法律效力。若附件与合同正文有任何冲突，以合同正文为准。</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本合同各条标题仅为提示之用，应以条文内容确定各方的权利义务。</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本合同未尽事宜，由双方协商签订补充协议进行约定。补充协议应以书面形式作成，经双方盖章后与本合同具有同等法律效力。</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本合同约定的权利和义务不因合同双方发生收购、兼并、重组、分立而发生变化。如果发生上述情形，则本合同约定的权利和义务随之转移至收购、兼并、重组或分立后成立的单位。</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本合同在国家法律、法规和规章规定的范围内执行。当国家法律、法规和规章发生变化导致本合同有关条款与之抵触时，双方协商变更或废止该条款，在此情况下，双方互不承担责任。</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如果本合同的任何条款在任何时候变成不合法、无效或不可强制执行而不从根本上影响本合同的效力时，本合同的其他条款不受影响。</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任何一方未经另一方同意不得向任何第三方透露本合同的签订及其内容。</w:t>
      </w:r>
      <w:r>
        <w:rPr>
          <w:rFonts w:hint="eastAsia" w:ascii="仿宋_GB2312" w:hAnsi="仿宋_GB2312" w:eastAsia="仿宋_GB2312" w:cs="仿宋_GB2312"/>
          <w:color w:val="000000"/>
          <w:sz w:val="24"/>
          <w:szCs w:val="24"/>
          <w:lang w:eastAsia="zh-CN"/>
        </w:rPr>
        <w:t>甲方</w:t>
      </w:r>
      <w:r>
        <w:rPr>
          <w:rFonts w:hint="eastAsia" w:ascii="仿宋_GB2312" w:hAnsi="仿宋_GB2312" w:eastAsia="仿宋_GB2312" w:cs="仿宋_GB2312"/>
          <w:color w:val="000000"/>
          <w:sz w:val="24"/>
          <w:szCs w:val="24"/>
        </w:rPr>
        <w:t>向其关联公司透露前述内容的，不受此限。</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val="en-US" w:eastAsia="zh-CN"/>
        </w:rPr>
        <w:t>.本合同自双方签字盖章之日起生效，有效期至后续服务期满之日止</w:t>
      </w:r>
      <w:r>
        <w:rPr>
          <w:rFonts w:hint="eastAsia" w:ascii="仿宋_GB2312" w:hAnsi="仿宋_GB2312" w:eastAsia="仿宋_GB2312" w:cs="仿宋_GB2312"/>
          <w:color w:val="000000"/>
          <w:sz w:val="24"/>
          <w:szCs w:val="24"/>
        </w:rPr>
        <w:t>或</w:t>
      </w:r>
      <w:r>
        <w:rPr>
          <w:rFonts w:hint="eastAsia" w:ascii="仿宋_GB2312" w:hAnsi="仿宋_GB2312" w:eastAsia="仿宋_GB2312" w:cs="仿宋_GB2312"/>
          <w:color w:val="000000"/>
          <w:sz w:val="24"/>
          <w:szCs w:val="24"/>
          <w:lang w:val="en-US" w:eastAsia="zh-CN"/>
        </w:rPr>
        <w:t>双</w:t>
      </w:r>
      <w:r>
        <w:rPr>
          <w:rFonts w:hint="eastAsia" w:ascii="仿宋_GB2312" w:hAnsi="仿宋_GB2312" w:eastAsia="仿宋_GB2312" w:cs="仿宋_GB2312"/>
          <w:color w:val="000000"/>
          <w:sz w:val="24"/>
          <w:szCs w:val="24"/>
        </w:rPr>
        <w:t>方履行完合同规定的义务后或本合同解除/终止（以时间较早者为准），本合同终止。</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本合同一式</w:t>
      </w:r>
      <w:r>
        <w:rPr>
          <w:rFonts w:hint="eastAsia" w:ascii="仿宋_GB2312" w:hAnsi="仿宋_GB2312" w:eastAsia="仿宋_GB2312" w:cs="仿宋_GB2312"/>
          <w:color w:val="000000"/>
          <w:sz w:val="24"/>
          <w:szCs w:val="24"/>
          <w:lang w:val="en-US" w:eastAsia="zh-CN"/>
        </w:rPr>
        <w:t>四</w:t>
      </w:r>
      <w:r>
        <w:rPr>
          <w:rFonts w:hint="eastAsia" w:ascii="仿宋_GB2312" w:hAnsi="仿宋_GB2312" w:eastAsia="仿宋_GB2312" w:cs="仿宋_GB2312"/>
          <w:color w:val="000000"/>
          <w:sz w:val="24"/>
          <w:szCs w:val="24"/>
        </w:rPr>
        <w:t>份，甲、</w:t>
      </w:r>
      <w:r>
        <w:rPr>
          <w:rFonts w:hint="eastAsia" w:ascii="仿宋_GB2312" w:hAnsi="仿宋_GB2312" w:eastAsia="仿宋_GB2312" w:cs="仿宋_GB2312"/>
          <w:color w:val="000000"/>
          <w:sz w:val="24"/>
          <w:szCs w:val="24"/>
          <w:lang w:eastAsia="zh-CN"/>
        </w:rPr>
        <w:t>乙方</w:t>
      </w:r>
      <w:r>
        <w:rPr>
          <w:rFonts w:hint="eastAsia" w:ascii="仿宋_GB2312" w:hAnsi="仿宋_GB2312" w:eastAsia="仿宋_GB2312" w:cs="仿宋_GB2312"/>
          <w:color w:val="000000"/>
          <w:sz w:val="24"/>
          <w:szCs w:val="24"/>
        </w:rPr>
        <w:t>各执</w:t>
      </w:r>
      <w:r>
        <w:rPr>
          <w:rFonts w:hint="eastAsia" w:ascii="仿宋_GB2312" w:hAnsi="仿宋_GB2312" w:eastAsia="仿宋_GB2312" w:cs="仿宋_GB2312"/>
          <w:color w:val="000000"/>
          <w:sz w:val="24"/>
          <w:szCs w:val="24"/>
          <w:lang w:val="en-US" w:eastAsia="zh-CN"/>
        </w:rPr>
        <w:t>两</w:t>
      </w:r>
      <w:r>
        <w:rPr>
          <w:rFonts w:hint="eastAsia" w:ascii="仿宋_GB2312" w:hAnsi="仿宋_GB2312" w:eastAsia="仿宋_GB2312" w:cs="仿宋_GB2312"/>
          <w:color w:val="000000"/>
          <w:sz w:val="24"/>
          <w:szCs w:val="24"/>
        </w:rPr>
        <w:t>份，均具有同等法律效力。</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（以下无正文，为签章</w:t>
      </w:r>
      <w:r>
        <w:rPr>
          <w:rFonts w:hint="eastAsia" w:ascii="仿宋_GB2312" w:hAnsi="仿宋_GB2312" w:eastAsia="仿宋_GB2312" w:cs="仿宋_GB2312"/>
          <w:color w:val="000000"/>
          <w:sz w:val="24"/>
          <w:szCs w:val="24"/>
          <w:lang w:val="en-US" w:eastAsia="zh-CN"/>
        </w:rPr>
        <w:t>页</w:t>
      </w:r>
      <w:r>
        <w:rPr>
          <w:rFonts w:hint="eastAsia" w:ascii="仿宋_GB2312" w:hAnsi="仿宋_GB2312" w:eastAsia="仿宋_GB2312" w:cs="仿宋_GB2312"/>
          <w:color w:val="000000"/>
          <w:sz w:val="24"/>
          <w:szCs w:val="24"/>
        </w:rPr>
        <w:t>）</w:t>
      </w:r>
    </w:p>
    <w:p>
      <w:pPr>
        <w:pStyle w:val="24"/>
        <w:keepNext w:val="0"/>
        <w:keepLines w:val="0"/>
        <w:pageBreakBefore w:val="0"/>
        <w:kinsoku/>
        <w:wordWrap/>
        <w:overflowPunct/>
        <w:topLinePunct w:val="0"/>
        <w:autoSpaceDE/>
        <w:autoSpaceDN/>
        <w:bidi w:val="0"/>
        <w:spacing w:line="400" w:lineRule="exact"/>
        <w:ind w:firstLine="480"/>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adjustRightInd w:val="0"/>
        <w:snapToGrid w:val="0"/>
        <w:spacing w:line="400" w:lineRule="exact"/>
        <w:ind w:firstLine="0"/>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lang w:eastAsia="zh-CN"/>
        </w:rPr>
        <w:t>甲方</w:t>
      </w:r>
      <w:r>
        <w:rPr>
          <w:rFonts w:hint="eastAsia" w:ascii="仿宋_GB2312" w:hAnsi="仿宋_GB2312" w:eastAsia="仿宋_GB2312" w:cs="仿宋_GB2312"/>
          <w:b/>
          <w:color w:val="000000"/>
          <w:sz w:val="24"/>
          <w:szCs w:val="24"/>
        </w:rPr>
        <w:t>名称</w:t>
      </w:r>
      <w:r>
        <w:rPr>
          <w:rFonts w:hint="eastAsia" w:ascii="仿宋_GB2312" w:hAnsi="仿宋_GB2312" w:eastAsia="仿宋_GB2312" w:cs="仿宋_GB2312"/>
          <w:color w:val="000000"/>
          <w:sz w:val="24"/>
          <w:szCs w:val="24"/>
        </w:rPr>
        <w:t>（盖章）</w:t>
      </w:r>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深圳市前海深港现代服务业合作区管理局</w:t>
      </w:r>
      <w:r>
        <w:rPr>
          <w:rFonts w:hint="eastAsia" w:ascii="仿宋_GB2312" w:hAnsi="仿宋_GB2312" w:eastAsia="仿宋_GB2312" w:cs="仿宋_GB2312"/>
          <w:color w:val="000000"/>
          <w:sz w:val="24"/>
          <w:szCs w:val="24"/>
        </w:rPr>
        <w:tab/>
      </w:r>
      <w:r>
        <w:rPr>
          <w:rFonts w:hint="eastAsia" w:ascii="仿宋_GB2312" w:hAnsi="仿宋_GB2312" w:eastAsia="仿宋_GB2312" w:cs="仿宋_GB2312"/>
          <w:color w:val="000000"/>
          <w:sz w:val="24"/>
          <w:szCs w:val="24"/>
        </w:rPr>
        <w:t xml:space="preserve">     </w:t>
      </w:r>
    </w:p>
    <w:p>
      <w:pPr>
        <w:keepNext w:val="0"/>
        <w:keepLines w:val="0"/>
        <w:pageBreakBefore w:val="0"/>
        <w:kinsoku/>
        <w:wordWrap/>
        <w:overflowPunct/>
        <w:topLinePunct w:val="0"/>
        <w:autoSpaceDE/>
        <w:autoSpaceDN/>
        <w:bidi w:val="0"/>
        <w:adjustRightInd w:val="0"/>
        <w:snapToGrid w:val="0"/>
        <w:spacing w:line="400" w:lineRule="exact"/>
        <w:ind w:firstLine="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p>
    <w:p>
      <w:pPr>
        <w:pStyle w:val="2"/>
        <w:keepNext w:val="0"/>
        <w:keepLines w:val="0"/>
        <w:pageBreakBefore w:val="0"/>
        <w:kinsoku/>
        <w:wordWrap/>
        <w:overflowPunct/>
        <w:topLinePunct w:val="0"/>
        <w:autoSpaceDE/>
        <w:autoSpaceDN/>
        <w:bidi w:val="0"/>
        <w:spacing w:after="0" w:line="400" w:lineRule="exact"/>
        <w:rPr>
          <w:rFonts w:hint="eastAsia" w:ascii="仿宋_GB2312" w:hAnsi="仿宋_GB2312" w:eastAsia="仿宋_GB2312" w:cs="仿宋_GB2312"/>
          <w:color w:val="000000"/>
          <w:sz w:val="24"/>
          <w:szCs w:val="24"/>
        </w:rPr>
      </w:pPr>
    </w:p>
    <w:p>
      <w:pPr>
        <w:keepNext w:val="0"/>
        <w:keepLines w:val="0"/>
        <w:pageBreakBefore w:val="0"/>
        <w:kinsoku/>
        <w:wordWrap/>
        <w:overflowPunct/>
        <w:topLinePunct w:val="0"/>
        <w:autoSpaceDE/>
        <w:autoSpaceDN/>
        <w:bidi w:val="0"/>
        <w:adjustRightInd w:val="0"/>
        <w:snapToGrid w:val="0"/>
        <w:spacing w:line="400" w:lineRule="exact"/>
        <w:ind w:left="0" w:firstLine="0" w:firstLineChars="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eastAsia="zh-CN"/>
        </w:rPr>
        <w:t>乙方</w:t>
      </w:r>
      <w:r>
        <w:rPr>
          <w:rFonts w:hint="eastAsia" w:ascii="仿宋_GB2312" w:hAnsi="仿宋_GB2312" w:eastAsia="仿宋_GB2312" w:cs="仿宋_GB2312"/>
          <w:b/>
          <w:color w:val="000000"/>
          <w:sz w:val="24"/>
          <w:szCs w:val="24"/>
        </w:rPr>
        <w:t>名称</w:t>
      </w:r>
      <w:r>
        <w:rPr>
          <w:rFonts w:hint="eastAsia" w:ascii="仿宋_GB2312" w:hAnsi="仿宋_GB2312" w:eastAsia="仿宋_GB2312" w:cs="仿宋_GB2312"/>
          <w:color w:val="000000"/>
          <w:sz w:val="24"/>
          <w:szCs w:val="24"/>
        </w:rPr>
        <w:t>（盖章）</w:t>
      </w:r>
      <w:r>
        <w:rPr>
          <w:rFonts w:hint="eastAsia" w:ascii="仿宋_GB2312" w:hAnsi="仿宋_GB2312" w:eastAsia="仿宋_GB2312" w:cs="仿宋_GB2312"/>
          <w:b/>
          <w:color w:val="000000"/>
          <w:sz w:val="24"/>
          <w:szCs w:val="24"/>
        </w:rPr>
        <w:t>：</w:t>
      </w:r>
    </w:p>
    <w:p>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日期：    </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r>
        <w:rPr>
          <w:rFonts w:hint="eastAsia" w:ascii="宋体" w:hAnsi="宋体" w:cs="宋体"/>
          <w:color w:val="000000" w:themeColor="text1"/>
          <w:sz w:val="24"/>
          <w14:textFill>
            <w14:solidFill>
              <w14:schemeClr w14:val="tx1"/>
            </w14:solidFill>
          </w14:textFill>
        </w:rPr>
        <w:t>注：本合同样本仅供参考，非实质性条款内容可由</w:t>
      </w:r>
      <w:r>
        <w:rPr>
          <w:rFonts w:hint="eastAsia" w:ascii="宋体" w:hAnsi="宋体" w:cs="宋体"/>
          <w:color w:val="000000" w:themeColor="text1"/>
          <w:sz w:val="24"/>
          <w:lang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和</w:t>
      </w:r>
      <w:r>
        <w:rPr>
          <w:rFonts w:hint="eastAsia" w:ascii="宋体" w:hAnsi="宋体" w:cs="宋体"/>
          <w:color w:val="000000" w:themeColor="text1"/>
          <w:sz w:val="24"/>
          <w:lang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协商确定。</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FF0000"/>
          <w:sz w:val="24"/>
        </w:rPr>
        <w:br w:type="page"/>
      </w:r>
      <w:r>
        <w:rPr>
          <w:rFonts w:hint="eastAsia" w:ascii="宋体" w:hAnsi="宋体" w:cs="宋体"/>
          <w:b/>
          <w:bCs/>
          <w:color w:val="FF0000"/>
          <w:sz w:val="24"/>
        </w:rPr>
        <w:t xml:space="preserve"> </w:t>
      </w:r>
      <w:bookmarkStart w:id="7" w:name="_Toc9484"/>
      <w:r>
        <w:rPr>
          <w:rFonts w:hint="eastAsia" w:ascii="宋体" w:hAnsi="宋体" w:cs="宋体"/>
          <w:b/>
          <w:bCs/>
          <w:color w:val="auto"/>
          <w:sz w:val="24"/>
        </w:rPr>
        <w:t>用户需求书</w:t>
      </w:r>
      <w:bookmarkEnd w:id="7"/>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8" w:name="_Toc11045"/>
      <w:bookmarkStart w:id="9" w:name="_Toc23726"/>
      <w:r>
        <w:rPr>
          <w:rFonts w:hint="eastAsia" w:ascii="宋体" w:hAnsi="宋体" w:cs="宋体"/>
          <w:b/>
          <w:color w:val="auto"/>
          <w:sz w:val="24"/>
        </w:rPr>
        <w:t>一、</w:t>
      </w:r>
      <w:bookmarkEnd w:id="8"/>
      <w:bookmarkEnd w:id="9"/>
      <w:bookmarkStart w:id="10" w:name="_Toc51746099"/>
      <w:r>
        <w:rPr>
          <w:rFonts w:hint="eastAsia" w:ascii="宋体" w:hAnsi="宋体" w:cs="宋体"/>
          <w:b/>
          <w:color w:val="auto"/>
          <w:sz w:val="24"/>
          <w:lang w:val="zh-CN"/>
        </w:rPr>
        <w:t>项目概况</w:t>
      </w:r>
    </w:p>
    <w:bookmarkEnd w:id="10"/>
    <w:p>
      <w:pPr>
        <w:pStyle w:val="2"/>
        <w:keepNext w:val="0"/>
        <w:keepLines w:val="0"/>
        <w:pageBreakBefore w:val="0"/>
        <w:widowControl w:val="0"/>
        <w:numPr>
          <w:ilvl w:val="255"/>
          <w:numId w:val="0"/>
        </w:numPr>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bCs w:val="0"/>
          <w:color w:val="auto"/>
          <w:sz w:val="24"/>
          <w:szCs w:val="24"/>
          <w:lang w:eastAsia="zh-CN"/>
        </w:rPr>
      </w:pPr>
      <w:r>
        <w:rPr>
          <w:rFonts w:hint="eastAsia" w:ascii="宋体" w:hAnsi="宋体" w:eastAsia="宋体" w:cs="宋体"/>
          <w:bCs w:val="0"/>
          <w:color w:val="auto"/>
          <w:sz w:val="24"/>
          <w:szCs w:val="24"/>
          <w:lang w:eastAsia="zh-CN"/>
        </w:rPr>
        <w:t>（一）项目背景：为深入贯彻落实党的二十届三中全会精神，落实《全面深化前海深港现代服务业合作区改革开放方案》《前海深港现代服务业合作区总体发展规划》有关任务要求，我局印发实施《桂湾片区规划建设运营国际化提升专项工作方案》（以下简称《工作方案》），聚焦港人港企所需，将桂湾片区打造成为全国独一无二的港人港企集聚区，呈现出港风港味浓郁、未来感十足的国际化新形象。《工作方案》明确要“全方位提升规划建设运营理念，多渠道开展国际化咨询”。前海深港广场位于桂湾片区中轴线，东端衔接梦工场北区，西衔接前海石公园（桂湾段）标志性建筑前海激浪，东西长约1.2公里，定位为融汇深港创意、产业、人文、休闲等功能，汇集深港文化元素，打造城市秀场、链接空间的滨海文化公共空间，形成最活力、最前沿、最人文、最融合独具特色的前海水平地标。梦工场北区5号楼及广场是前海桂湾片区城市中轴线东起点，是前海深港广场的重要组成部分。根据局工作部署，计划利用梦工场北区5号楼2~7层建筑空间引入学术交流、专业服务、创业路演、投资赋能、社群融入、文化交流、成果展示、城市名片、科技展示等功能, 将5号楼打造成为面向国际人才的地标性创新交流中心。</w:t>
      </w:r>
    </w:p>
    <w:p>
      <w:pPr>
        <w:pStyle w:val="2"/>
        <w:keepNext w:val="0"/>
        <w:keepLines w:val="0"/>
        <w:pageBreakBefore w:val="0"/>
        <w:widowControl w:val="0"/>
        <w:numPr>
          <w:ilvl w:val="255"/>
          <w:numId w:val="0"/>
        </w:numPr>
        <w:kinsoku/>
        <w:wordWrap/>
        <w:overflowPunct/>
        <w:topLinePunct w:val="0"/>
        <w:autoSpaceDE/>
        <w:autoSpaceDN/>
        <w:bidi w:val="0"/>
        <w:adjustRightInd/>
        <w:snapToGrid/>
        <w:spacing w:beforeLines="0" w:after="0" w:line="360" w:lineRule="auto"/>
        <w:ind w:firstLine="480" w:firstLineChars="200"/>
        <w:textAlignment w:val="auto"/>
        <w:rPr>
          <w:rFonts w:hint="eastAsia" w:ascii="宋体" w:hAnsi="宋体" w:eastAsia="宋体" w:cs="宋体"/>
          <w:bCs w:val="0"/>
          <w:color w:val="auto"/>
          <w:sz w:val="24"/>
          <w:szCs w:val="24"/>
          <w:lang w:eastAsia="zh-CN"/>
        </w:rPr>
      </w:pPr>
      <w:r>
        <w:rPr>
          <w:rFonts w:hint="eastAsia" w:ascii="宋体" w:hAnsi="宋体" w:eastAsia="宋体" w:cs="宋体"/>
          <w:bCs w:val="0"/>
          <w:color w:val="auto"/>
          <w:sz w:val="24"/>
          <w:szCs w:val="24"/>
          <w:lang w:eastAsia="zh-CN"/>
        </w:rPr>
        <w:t>（二）开展依据：根据7月8日国际人才创新交流中心专题会精神，国际人才交流中心要与国际化街区统筹考虑，一体化打造具有功能性、景观性的地标建筑。为全面做好桂湾片区国际化街区提升工作，拟开展前海梦工场北区5号楼建筑及公共空间提升研究采购相关工作。</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、工作范围</w:t>
      </w:r>
    </w:p>
    <w:p>
      <w:pPr>
        <w:pStyle w:val="2"/>
        <w:numPr>
          <w:ilvl w:val="255"/>
          <w:numId w:val="0"/>
        </w:numPr>
        <w:spacing w:beforeLines="0" w:line="360" w:lineRule="auto"/>
        <w:ind w:firstLine="480" w:firstLineChars="200"/>
        <w:rPr>
          <w:rFonts w:hint="eastAsia" w:ascii="宋体" w:hAnsi="宋体" w:eastAsia="宋体" w:cs="宋体"/>
          <w:bCs w:val="0"/>
          <w:color w:val="auto"/>
          <w:sz w:val="24"/>
          <w:szCs w:val="24"/>
          <w:lang w:eastAsia="zh-CN"/>
        </w:rPr>
      </w:pPr>
      <w:r>
        <w:rPr>
          <w:rFonts w:hint="eastAsia" w:ascii="宋体" w:hAnsi="宋体" w:cs="宋体"/>
          <w:bCs w:val="0"/>
          <w:color w:val="auto"/>
          <w:sz w:val="24"/>
          <w:szCs w:val="24"/>
          <w:lang w:eastAsia="zh-CN"/>
        </w:rPr>
        <w:t>根据7月8日国际人才创新交流中心专题会精神，国际人才交流中心要与国际化街区统筹考虑，一体化打造具有功能性、景观性的地标建筑。为全面做好桂湾片区国际化街区提升工作，拟开展前海梦工场北区5号楼建筑及公共空间提升研究采购相关工作。</w:t>
      </w:r>
    </w:p>
    <w:p>
      <w:pPr>
        <w:pStyle w:val="25"/>
        <w:tabs>
          <w:tab w:val="left" w:pos="720"/>
        </w:tabs>
        <w:autoSpaceDE w:val="0"/>
        <w:autoSpaceDN w:val="0"/>
        <w:adjustRightInd w:val="0"/>
        <w:spacing w:line="360" w:lineRule="auto"/>
        <w:ind w:right="17" w:firstLine="482"/>
        <w:jc w:val="left"/>
        <w:outlineLvl w:val="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四、工作内容</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1.项目调研及对标案例研究。系统分析城市及片区整体风貌并开展实地调研，梳理国内外相关优秀对标案例，形成针对性调研结论；</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2.理念及愿景。根据调研分析，提出国际化提升的理念、愿景、工作思路及核心策略等；</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3.建筑功能国际化提升研究。桂湾片区规划城市功能及现状研究、5号楼与深港广场、梦工场北区的功能衔接、5号楼建筑功能、第六立面、建筑风貌、标志性、流线组织等研究。</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公共空间国际化提升研究。桂湾片区景观规划及现状研究、梦工场北区第六立面景观分析、5号楼与深港广场、梦工场北区及梦海大道的景观协调、5号楼室内外景观协调、5号楼公共空间（功能、城市形象、城市中轴线、景观园林、艺术装置、声光电、园区整体场景营造策略建议、园区广场与消防车道一体化设计）等研究。</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5.专项研究。结构、材料、LED展示等相关专项研究。</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6.造价估算。造价分析、提升组合建议、建筑及景观目标造价成本。</w:t>
      </w:r>
    </w:p>
    <w:p>
      <w:pPr>
        <w:pStyle w:val="25"/>
        <w:tabs>
          <w:tab w:val="left" w:pos="720"/>
          <w:tab w:val="left" w:pos="3265"/>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7.运营策划建议。提出项目公共空间的运营建议，如艺术展陈、活动策划等。</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五、工作进度及成果要求</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（一）工作进度计划</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本项目计划工作时间为自合同签订之日起4个月内完成该项目相关成果的编制、汇报等工作，并经采购人审议通过。具体工作划分为3个阶段：</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第一阶段：完成现状调研及前期资料收集，梳理项目及周边情况。完成第一次概念设计文件编制及汇报；（1个月）</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第二阶段：完成中期概念设计文件编制及汇报等，并提交成果文件；（2个月）</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第三阶段：完成最终概念设计文件编制及汇报等及全部工作内容成果。（1个月）</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（二）成果要求</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第一阶段：提交第一版概念设计文件，包括PDF文件，纸质版文件4份；</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第二阶段：提交中期概念设计文件，包括PDF文件，纸质版文件4份；</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第三阶段：提交最终概念设计文件及全部成果电子文件，包括电子光盘2份，纸质文件4份。</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验收标准</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highlight w:val="none"/>
        </w:rPr>
      </w:pPr>
      <w:r>
        <w:rPr>
          <w:rFonts w:hint="eastAsia" w:ascii="宋体" w:hAnsi="宋体" w:cs="宋体"/>
          <w:bCs/>
          <w:color w:val="auto"/>
          <w:sz w:val="24"/>
          <w:highlight w:val="none"/>
        </w:rPr>
        <w:t>中标人编制的本项目全部成果通过采购人验收合格。</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rPr>
      </w:pPr>
      <w:r>
        <w:rPr>
          <w:rFonts w:hint="eastAsia" w:ascii="宋体" w:hAnsi="宋体" w:cs="宋体"/>
          <w:b/>
          <w:bCs/>
          <w:color w:val="auto"/>
          <w:kern w:val="0"/>
          <w:sz w:val="24"/>
        </w:rPr>
        <w:t>（一）服务期限</w:t>
      </w:r>
    </w:p>
    <w:p>
      <w:pPr>
        <w:spacing w:after="156" w:afterLines="50" w:line="360" w:lineRule="auto"/>
        <w:ind w:firstLine="480" w:firstLineChars="200"/>
        <w:rPr>
          <w:rFonts w:hint="eastAsia"/>
          <w:color w:val="auto"/>
        </w:rPr>
      </w:pPr>
      <w:r>
        <w:rPr>
          <w:rFonts w:hint="eastAsia" w:ascii="宋体" w:hAnsi="宋体" w:cs="宋体"/>
          <w:color w:val="auto"/>
          <w:sz w:val="24"/>
          <w:lang w:eastAsia="zh-CN"/>
        </w:rPr>
        <w:t>自合同签订日期起</w:t>
      </w:r>
      <w:r>
        <w:rPr>
          <w:rFonts w:hint="eastAsia" w:ascii="宋体" w:hAnsi="宋体" w:cs="宋体"/>
          <w:color w:val="auto"/>
          <w:sz w:val="24"/>
          <w:lang w:val="en-US" w:eastAsia="zh-CN"/>
        </w:rPr>
        <w:t>4个月内</w:t>
      </w:r>
      <w:r>
        <w:rPr>
          <w:rFonts w:hint="eastAsia" w:ascii="宋体" w:hAnsi="宋体" w:cs="宋体"/>
          <w:color w:val="auto"/>
          <w:sz w:val="24"/>
        </w:rPr>
        <w:t>。</w:t>
      </w:r>
    </w:p>
    <w:p>
      <w:pPr>
        <w:tabs>
          <w:tab w:val="left" w:pos="720"/>
        </w:tabs>
        <w:autoSpaceDE w:val="0"/>
        <w:autoSpaceDN w:val="0"/>
        <w:adjustRightInd w:val="0"/>
        <w:spacing w:line="360" w:lineRule="auto"/>
        <w:ind w:right="17" w:firstLine="482" w:firstLineChars="200"/>
        <w:outlineLvl w:val="2"/>
        <w:rPr>
          <w:rFonts w:hint="default" w:ascii="宋体" w:hAnsi="宋体" w:eastAsia="宋体" w:cs="宋体"/>
          <w:b/>
          <w:bCs/>
          <w:color w:val="auto"/>
          <w:kern w:val="0"/>
          <w:sz w:val="24"/>
          <w:lang w:val="en-US" w:eastAsia="zh-CN"/>
        </w:rPr>
      </w:pP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二</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后续服务要求</w:t>
      </w:r>
    </w:p>
    <w:p>
      <w:pPr>
        <w:spacing w:after="156" w:afterLines="5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项目后续服务期限为最终成果通过采购人审查之日起的1年内，中标人须与采购人保持全面沟通，提供技术服务支持。</w:t>
      </w:r>
    </w:p>
    <w:p>
      <w:pPr>
        <w:tabs>
          <w:tab w:val="left" w:pos="720"/>
        </w:tabs>
        <w:autoSpaceDE w:val="0"/>
        <w:autoSpaceDN w:val="0"/>
        <w:adjustRightInd w:val="0"/>
        <w:spacing w:line="360" w:lineRule="auto"/>
        <w:ind w:right="17" w:firstLine="482" w:firstLineChars="200"/>
        <w:outlineLvl w:val="2"/>
        <w:rPr>
          <w:rFonts w:hint="default" w:ascii="宋体" w:hAnsi="宋体" w:eastAsia="宋体" w:cs="宋体"/>
          <w:b/>
          <w:bCs/>
          <w:color w:val="auto"/>
          <w:kern w:val="0"/>
          <w:sz w:val="24"/>
          <w:lang w:val="en-US" w:eastAsia="zh-CN"/>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三</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服务地点</w:t>
      </w:r>
    </w:p>
    <w:p>
      <w:pPr>
        <w:spacing w:after="156" w:afterLines="50"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）报价要求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1.本次投标为总价包干，投标报价总价作为中标人与采购人签定的合同金额。投标人的报价不可高于预算（限价），否则投标人的投标文件视同无效。</w:t>
      </w:r>
      <w:r>
        <w:rPr>
          <w:rFonts w:hint="eastAsia" w:ascii="宋体" w:hAnsi="宋体" w:cs="宋体"/>
          <w:color w:val="auto"/>
          <w:sz w:val="24"/>
          <w:lang w:eastAsia="zh-CN"/>
        </w:rPr>
        <w:t>投标人的投标总价为完成项目及招标文件或合同条款所规定的工作内容的各项费用，项目服务费包括</w:t>
      </w:r>
      <w:r>
        <w:rPr>
          <w:rFonts w:hint="eastAsia" w:ascii="宋体" w:hAnsi="宋体" w:cs="宋体"/>
          <w:color w:val="auto"/>
          <w:sz w:val="24"/>
          <w:lang w:val="en-US" w:eastAsia="zh-CN"/>
        </w:rPr>
        <w:t>但不限于：</w:t>
      </w:r>
      <w:r>
        <w:rPr>
          <w:rFonts w:hint="eastAsia" w:ascii="宋体" w:hAnsi="宋体" w:cs="宋体"/>
          <w:color w:val="auto"/>
          <w:kern w:val="0"/>
          <w:sz w:val="24"/>
          <w:lang w:val="en-US" w:eastAsia="zh-CN"/>
        </w:rPr>
        <w:t>调查调研、差旅费、项目成果报告编制、印刷费、专家咨询费以及会议费等所有费用，并提供合同要求的报告、全部规划研究成果文件和全部资料，以及其它相关服务的全部费用；由企业根据招标文件所提供的资料自行测算投标报价；一经中标，投标报价总价作为中标单位与采购人签定的合同金额，合同期限内不做调整</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五</w:t>
      </w:r>
      <w:r>
        <w:rPr>
          <w:rFonts w:hint="eastAsia" w:ascii="宋体" w:hAnsi="宋体" w:cs="宋体"/>
          <w:b/>
          <w:bCs/>
          <w:color w:val="auto"/>
          <w:kern w:val="0"/>
          <w:sz w:val="24"/>
          <w:highlight w:val="none"/>
        </w:rPr>
        <w:t>）付款方式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本合同共分四期进行付款：首期款30%，第二期款30%，第三期款30%，第四期10%；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1.1.第一期：签订合同15个工作日内，支付合同总价款的30%；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1.2.第二期：完成《中期概念设计文件编制及汇报》并通过</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验收合格后，支付合同总价款的30%；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1.3.第三期：完成《最终概念设计文件编制及汇报》，经采购人局领导专题会审议通过后，支付合同总价款的30%；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1.4.第四期：</w:t>
      </w:r>
      <w:r>
        <w:rPr>
          <w:rFonts w:hint="eastAsia" w:ascii="宋体" w:hAnsi="宋体" w:eastAsia="宋体" w:cs="宋体"/>
          <w:color w:val="000000"/>
          <w:sz w:val="24"/>
          <w:szCs w:val="24"/>
        </w:rPr>
        <w:t>完成全部</w:t>
      </w:r>
      <w:r>
        <w:rPr>
          <w:rFonts w:hint="eastAsia" w:ascii="宋体" w:hAnsi="宋体" w:eastAsia="宋体" w:cs="宋体"/>
          <w:color w:val="000000"/>
          <w:sz w:val="24"/>
          <w:szCs w:val="24"/>
          <w:lang w:val="en-US" w:eastAsia="zh-CN"/>
        </w:rPr>
        <w:t>最终成果</w:t>
      </w:r>
      <w:r>
        <w:rPr>
          <w:rFonts w:hint="eastAsia" w:ascii="宋体" w:hAnsi="宋体" w:eastAsia="宋体" w:cs="宋体"/>
          <w:color w:val="000000"/>
          <w:sz w:val="24"/>
          <w:szCs w:val="24"/>
        </w:rPr>
        <w:t>内容</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rPr>
        <w:t>提交全部成果文件</w:t>
      </w:r>
      <w:r>
        <w:rPr>
          <w:rFonts w:hint="eastAsia" w:ascii="仿宋_GB2312" w:hAnsi="仿宋_GB2312" w:eastAsia="仿宋_GB2312" w:cs="仿宋_GB2312"/>
          <w:color w:val="000000"/>
          <w:sz w:val="24"/>
          <w:szCs w:val="24"/>
        </w:rPr>
        <w:t>，</w:t>
      </w:r>
      <w:r>
        <w:rPr>
          <w:rFonts w:hint="eastAsia" w:ascii="宋体" w:hAnsi="宋体" w:cs="宋体"/>
          <w:color w:val="auto"/>
          <w:sz w:val="24"/>
          <w:highlight w:val="none"/>
        </w:rPr>
        <w:t>并通过采购人验收合格后，支付合同总价款的10%。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rPr>
        <w:t>采购人</w:t>
      </w:r>
      <w:r>
        <w:rPr>
          <w:rFonts w:hint="eastAsia" w:ascii="宋体" w:hAnsi="宋体" w:cs="宋体"/>
          <w:color w:val="auto"/>
          <w:sz w:val="24"/>
        </w:rPr>
        <w:t>付款审批影响支付进度，请</w:t>
      </w:r>
      <w:r>
        <w:rPr>
          <w:rFonts w:ascii="宋体" w:hAnsi="宋体" w:cs="宋体"/>
          <w:color w:val="auto"/>
          <w:sz w:val="24"/>
        </w:rPr>
        <w:t>中标人</w:t>
      </w:r>
      <w:r>
        <w:rPr>
          <w:rFonts w:hint="eastAsia" w:ascii="宋体" w:hAnsi="宋体" w:cs="宋体"/>
          <w:color w:val="auto"/>
          <w:sz w:val="24"/>
        </w:rPr>
        <w:t>予以谅解，并不得就此向</w:t>
      </w:r>
      <w:r>
        <w:rPr>
          <w:rFonts w:ascii="宋体" w:hAnsi="宋体" w:cs="宋体"/>
          <w:color w:val="auto"/>
          <w:sz w:val="24"/>
        </w:rPr>
        <w:t>采购人</w:t>
      </w:r>
      <w:r>
        <w:rPr>
          <w:rFonts w:hint="eastAsia" w:ascii="宋体" w:hAnsi="宋体" w:cs="宋体"/>
          <w:color w:val="auto"/>
          <w:sz w:val="24"/>
        </w:rPr>
        <w:t>索赔</w:t>
      </w:r>
      <w:r>
        <w:rPr>
          <w:rFonts w:hint="eastAsia" w:ascii="宋体" w:hAnsi="宋体" w:cs="宋体"/>
          <w:color w:val="auto"/>
          <w:sz w:val="24"/>
          <w:highlight w:val="none"/>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六</w:t>
      </w:r>
      <w:r>
        <w:rPr>
          <w:rFonts w:hint="eastAsia" w:ascii="宋体" w:hAnsi="宋体" w:cs="宋体"/>
          <w:b/>
          <w:bCs/>
          <w:color w:val="auto"/>
          <w:kern w:val="0"/>
          <w:sz w:val="24"/>
        </w:rPr>
        <w:t>）成果权属与知识产权</w:t>
      </w:r>
    </w:p>
    <w:p>
      <w:pPr>
        <w:widowControl/>
        <w:spacing w:line="360" w:lineRule="auto"/>
        <w:ind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1.本项目最终成果（包括为后续服务范围所编制的文件）的所有权、知识产权以及与之相关的所有权利，在</w:t>
      </w:r>
      <w:r>
        <w:rPr>
          <w:rFonts w:hint="eastAsia" w:ascii="宋体" w:hAnsi="宋体" w:cs="宋体"/>
          <w:b w:val="0"/>
          <w:bCs w:val="0"/>
          <w:color w:val="000000" w:themeColor="text1"/>
          <w:kern w:val="0"/>
          <w:sz w:val="24"/>
          <w:lang w:val="en-US"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向</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付清全部服务费后归</w:t>
      </w:r>
      <w:r>
        <w:rPr>
          <w:rFonts w:hint="eastAsia" w:ascii="宋体" w:hAnsi="宋体" w:cs="宋体"/>
          <w:b w:val="0"/>
          <w:bCs w:val="0"/>
          <w:color w:val="000000" w:themeColor="text1"/>
          <w:kern w:val="0"/>
          <w:sz w:val="24"/>
          <w:lang w:val="en-US"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所有，</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保留该成果的署名权以及使用项目形象和资料进行专业推广和出版的权利，本合同签署前</w:t>
      </w:r>
      <w:r>
        <w:rPr>
          <w:rFonts w:hint="eastAsia" w:ascii="宋体" w:hAnsi="宋体" w:cs="宋体"/>
          <w:b w:val="0"/>
          <w:bCs w:val="0"/>
          <w:color w:val="000000" w:themeColor="text1"/>
          <w:kern w:val="0"/>
          <w:sz w:val="24"/>
          <w:lang w:val="en-US" w:eastAsia="zh-CN"/>
          <w14:textFill>
            <w14:solidFill>
              <w14:schemeClr w14:val="tx1"/>
            </w14:solidFill>
          </w14:textFill>
        </w:rPr>
        <w:t>采购人和中标人</w:t>
      </w:r>
      <w:r>
        <w:rPr>
          <w:rFonts w:hint="eastAsia" w:ascii="宋体" w:hAnsi="宋体" w:cs="宋体"/>
          <w:b w:val="0"/>
          <w:bCs w:val="0"/>
          <w:color w:val="000000" w:themeColor="text1"/>
          <w:kern w:val="0"/>
          <w:sz w:val="24"/>
          <w14:textFill>
            <w14:solidFill>
              <w14:schemeClr w14:val="tx1"/>
            </w14:solidFill>
          </w14:textFill>
        </w:rPr>
        <w:t>双方已经拥有的知识产权权利，仍归各自所有。</w:t>
      </w:r>
    </w:p>
    <w:p>
      <w:pPr>
        <w:widowControl/>
        <w:spacing w:line="360" w:lineRule="auto"/>
        <w:ind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2.双方确定，</w:t>
      </w:r>
      <w:r>
        <w:rPr>
          <w:rFonts w:hint="eastAsia" w:ascii="宋体" w:hAnsi="宋体" w:cs="宋体"/>
          <w:b w:val="0"/>
          <w:bCs w:val="0"/>
          <w:color w:val="000000" w:themeColor="text1"/>
          <w:kern w:val="0"/>
          <w:sz w:val="24"/>
          <w:lang w:val="en-US"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有权对</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按照本合同约定提供的成果进行后续改进。由此产生的具有实质性或创造性特征的新的技术成果及其权利全部由</w:t>
      </w:r>
      <w:r>
        <w:rPr>
          <w:rFonts w:hint="eastAsia" w:ascii="宋体" w:hAnsi="宋体" w:cs="宋体"/>
          <w:b w:val="0"/>
          <w:bCs w:val="0"/>
          <w:color w:val="000000" w:themeColor="text1"/>
          <w:kern w:val="0"/>
          <w:sz w:val="24"/>
          <w:lang w:val="en-US"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享有。</w:t>
      </w:r>
    </w:p>
    <w:p>
      <w:pPr>
        <w:widowControl/>
        <w:spacing w:line="360" w:lineRule="auto"/>
        <w:ind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3.</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所提交的最终成果文件及任何数据、资料、软件等不得侵犯任何第三方的知识产权或其他权利，由于该等文件、数据、资料、软件侵权所导致的任何索赔或责任均由</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承担。同时，</w:t>
      </w:r>
      <w:r>
        <w:rPr>
          <w:rFonts w:hint="eastAsia" w:ascii="宋体" w:hAnsi="宋体" w:cs="宋体"/>
          <w:b w:val="0"/>
          <w:bCs w:val="0"/>
          <w:color w:val="000000" w:themeColor="text1"/>
          <w:kern w:val="0"/>
          <w:sz w:val="24"/>
          <w:lang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有权要求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修改成果至不侵权或解除合同，并保留要求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赔偿全部损失的权利，包括但不限于上述索赔或责任所产生的诉讼费用、合理的律师费用、鉴定评估费用、 调查费用、和解金额或生效法律文书中规定的赔偿金额。</w:t>
      </w:r>
    </w:p>
    <w:p>
      <w:pPr>
        <w:widowControl/>
        <w:spacing w:line="360" w:lineRule="auto"/>
        <w:ind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4.未经</w:t>
      </w:r>
      <w:r>
        <w:rPr>
          <w:rFonts w:hint="eastAsia" w:ascii="宋体" w:hAnsi="宋体" w:cs="宋体"/>
          <w:b w:val="0"/>
          <w:bCs w:val="0"/>
          <w:color w:val="000000" w:themeColor="text1"/>
          <w:kern w:val="0"/>
          <w:sz w:val="24"/>
          <w:lang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书面在先同意，</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不得将本项目的最终成果文件及任何数据、资料、软件向任何第三方转让、授权任何第三方使用或用于本合同项目外的其他项目。如发生以上情况，</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应向</w:t>
      </w:r>
      <w:r>
        <w:rPr>
          <w:rFonts w:hint="eastAsia" w:ascii="宋体" w:hAnsi="宋体" w:cs="宋体"/>
          <w:b w:val="0"/>
          <w:bCs w:val="0"/>
          <w:color w:val="000000" w:themeColor="text1"/>
          <w:kern w:val="0"/>
          <w:sz w:val="24"/>
          <w:lang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支付本合同总价款 20%的违约金，同时，</w:t>
      </w:r>
      <w:r>
        <w:rPr>
          <w:rFonts w:hint="eastAsia" w:ascii="宋体" w:hAnsi="宋体" w:cs="宋体"/>
          <w:b w:val="0"/>
          <w:bCs w:val="0"/>
          <w:color w:val="000000" w:themeColor="text1"/>
          <w:kern w:val="0"/>
          <w:sz w:val="24"/>
          <w:lang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保留要求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outlineLvl w:val="2"/>
        <w:rPr>
          <w:rFonts w:hint="eastAsia" w:ascii="宋体" w:hAnsi="宋体" w:cs="宋体"/>
          <w:b w:val="0"/>
          <w:bCs w:val="0"/>
          <w:color w:val="000000" w:themeColor="text1"/>
          <w:kern w:val="0"/>
          <w:sz w:val="24"/>
          <w14:textFill>
            <w14:solidFill>
              <w14:schemeClr w14:val="tx1"/>
            </w14:solidFill>
          </w14:textFill>
        </w:rPr>
      </w:pPr>
      <w:r>
        <w:rPr>
          <w:rFonts w:hint="eastAsia" w:ascii="宋体" w:hAnsi="宋体" w:cs="宋体"/>
          <w:b w:val="0"/>
          <w:bCs w:val="0"/>
          <w:color w:val="000000" w:themeColor="text1"/>
          <w:kern w:val="0"/>
          <w:sz w:val="24"/>
          <w14:textFill>
            <w14:solidFill>
              <w14:schemeClr w14:val="tx1"/>
            </w14:solidFill>
          </w14:textFill>
        </w:rPr>
        <w:t>5.</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b w:val="0"/>
          <w:bCs w:val="0"/>
          <w:color w:val="000000" w:themeColor="text1"/>
          <w:kern w:val="0"/>
          <w:sz w:val="24"/>
          <w14:textFill>
            <w14:solidFill>
              <w14:schemeClr w14:val="tx1"/>
            </w14:solidFill>
          </w14:textFill>
        </w:rPr>
        <w:t>完成本项目的研究人员享有在有关技术成果文件上署名的权利和与</w:t>
      </w:r>
      <w:r>
        <w:rPr>
          <w:rFonts w:hint="eastAsia" w:ascii="宋体" w:hAnsi="宋体" w:cs="宋体"/>
          <w:b w:val="0"/>
          <w:bCs w:val="0"/>
          <w:color w:val="000000" w:themeColor="text1"/>
          <w:kern w:val="0"/>
          <w:sz w:val="24"/>
          <w:lang w:eastAsia="zh-CN"/>
          <w14:textFill>
            <w14:solidFill>
              <w14:schemeClr w14:val="tx1"/>
            </w14:solidFill>
          </w14:textFill>
        </w:rPr>
        <w:t>采购人</w:t>
      </w:r>
      <w:r>
        <w:rPr>
          <w:rFonts w:hint="eastAsia" w:ascii="宋体" w:hAnsi="宋体" w:cs="宋体"/>
          <w:b w:val="0"/>
          <w:bCs w:val="0"/>
          <w:color w:val="000000" w:themeColor="text1"/>
          <w:kern w:val="0"/>
          <w:sz w:val="24"/>
          <w14:textFill>
            <w14:solidFill>
              <w14:schemeClr w14:val="tx1"/>
            </w14:solidFill>
          </w14:textFill>
        </w:rPr>
        <w:t>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七</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应以保密方式处理在编制本项目成果文件过程中自</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工作人员或</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关联机 构获得的相关信息、资料、图纸、数据等，或由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在履行合同过程中明确指明为秘密的任何信 息，以及</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因本项目工作内容所直接或间接取得、处理或接触的任何其他资料。未经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 在先同意，</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不得向任何第三方透露与本项目有关的内容，或公开本项目的阶段性成果或最终 成果内容。即使向与履行合同有关的人员提供前述保密信息，也应限于履行合同的必需范围，且 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违反上述保密条款，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有权解除合同，</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应在合同解除通知发出之日起 10 日内向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支付合同服务费总金额 20%的违约金，如果违约金无法弥补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损失，</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保留要求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赔偿全部直接损失的权利，包括但不限于上述索赔或责任所产生的诉讼费用、合理的律师费用、鉴定评估费用、 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6.无论合同或合同其他条款是否有效，本保密条款始终约束双方。国家秘密的保密期限由国 家有关部门确定，工作秘密的保密期限为合同各方在履行本合同过程中及本合同终止后两年。</w:t>
      </w:r>
    </w:p>
    <w:p>
      <w:pPr>
        <w:widowControl/>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kern w:val="0"/>
          <w:sz w:val="24"/>
          <w:highlight w:val="none"/>
          <w:lang w:val="en-US" w:eastAsia="zh-CN"/>
          <w14:textFill>
            <w14:solidFill>
              <w14:schemeClr w14:val="tx1"/>
            </w14:solidFill>
          </w14:textFill>
        </w:rPr>
        <w:t>八</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未按照合同约定的时间完成本项目各阶段工作，且未经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书面同意延长服务成果完成期限的，每迟延一日，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有权自尚未支付的合同款项中扣除本阶段合同服务费总金额的1‰的逾期违约金，违约金累计以本阶段服务费的 10% 为上限。</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2.合同项下的工作内容不可分割，任一文件的迟延交付均视为整个项目的迟延交付。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3.合同履行期间，发生下述情形时，</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有权解除合同，</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除应退还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已支付的全部款项外, 还应在合同解除通知发出之日起 10 日内向</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支付合同总价款10%的违约金。</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应同时将已完成的项目成果移交给</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，并将全部有关资料退还</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未能按合同约定的日期(含协商延缓的日期)提交成果，经催告后仍延误时间超过 15 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工作的错误或遗漏造成成果质量不符合合同要求，且</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擅自将合同项目与任何第三方合作，或将合同标的全部或部分擅自转包或分包给任何第三方，且未按</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4）项目负责人未承担合同项目实质性工作，或未经</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书面在先同意，</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擅自更换项目负责人的（</w:t>
      </w:r>
      <w:r>
        <w:rPr>
          <w:rFonts w:hint="eastAsia" w:ascii="宋体" w:hAnsi="宋体" w:cs="宋体"/>
          <w:b w:val="0"/>
          <w:bCs w:val="0"/>
          <w:color w:val="000000" w:themeColor="text1"/>
          <w:kern w:val="0"/>
          <w:sz w:val="24"/>
          <w:lang w:val="en-US"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人员因离职、重病、伤残、死亡或不可抗力等原因外需要更换团队成员的除外）；</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工作人员出现全部或部分丧失履行委托服务能力的情况，</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有权通知</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限期整改或更换工作人员，期限届满</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明确表示或者以自己的行为表明不履行合同的。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未按照合同约定的时间支付服务费，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交付工作成果的时间应予顺延，</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书面催告</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并给予不少于30 个工作日的履行期限后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仍未支付的，</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有权自该期限届满之日起要求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支付该阶段应付而未付合同价款每日 1‰的逾期违约金，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有权暂停履行下阶段工作，并书面通知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不得要求保留原设计团队。如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无正当理由拒绝接受服务，到期明确表示拒付服务款项，</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有权要求</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支付合同项下服务费总金额 5%的违约金。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提交各阶段成果2个月内，非</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原因的情况下</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未提交</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上级或相关部门审批、相关部门不审批或未报批通过，或本合同项目停缓建的，均不应构成</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延迟支付该阶段费用的理由，上述期限届满后</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仍应按约定支付服务费。</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逾期付款超过六十（60）日时，</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有权解除合同且不承担解除合同的违约责任。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一方不履行合同义务或者履行合同义务不符合约定，给其他方造成损失的，损失赔偿额应当相当于因违约所造成的损失。如合同所约定的违约金无法弥补因违约行为所造成的损失，违约方应补偿上述不足部分的损失，包括但不限于上述索赔或责任所产生的诉讼费用、合理的律师费用、鉴定评估费用、 调查费用、和解金额或生效法律文书中规定的赔偿金额。但是违约金及损失赔偿金额总额以</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已向</w:t>
      </w:r>
      <w:r>
        <w:rPr>
          <w:rFonts w:hint="eastAsia" w:ascii="宋体" w:hAnsi="宋体" w:cs="宋体"/>
          <w:color w:val="000000" w:themeColor="text1"/>
          <w:sz w:val="24"/>
          <w:lang w:eastAsia="zh-CN"/>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支付的服务费为限，在任何情况下累计赔偿金额不超过本合同约定的服务费总额。且双方互不承担间接损失赔偿责任。</w:t>
      </w:r>
    </w:p>
    <w:p>
      <w:pPr>
        <w:widowControl/>
        <w:spacing w:line="360" w:lineRule="auto"/>
        <w:ind w:firstLine="480" w:firstLineChars="200"/>
        <w:jc w:val="center"/>
        <w:outlineLvl w:val="0"/>
        <w:rPr>
          <w:rFonts w:hint="eastAsia" w:asci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11" w:name="_Toc8103"/>
      <w:r>
        <w:rPr>
          <w:rFonts w:hint="eastAsia" w:ascii="宋体" w:cs="宋体"/>
          <w:b/>
          <w:bCs/>
          <w:color w:val="000000" w:themeColor="text1"/>
          <w:sz w:val="24"/>
          <w14:textFill>
            <w14:solidFill>
              <w14:schemeClr w14:val="tx1"/>
            </w14:solidFill>
          </w14:textFill>
        </w:rPr>
        <w:t>第六章 投标文件初审及招标项目评分表</w:t>
      </w:r>
      <w:bookmarkEnd w:id="11"/>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6"/>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16"/>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w:t>
            </w:r>
            <w:r>
              <w:rPr>
                <w:rFonts w:hint="eastAsia" w:ascii="宋体" w:hAnsi="宋体" w:cs="宋体"/>
                <w:b/>
                <w:color w:val="000000" w:themeColor="text1"/>
                <w:sz w:val="24"/>
                <w:lang w:val="en-US" w:eastAsia="zh-CN"/>
                <w14:textFill>
                  <w14:solidFill>
                    <w14:schemeClr w14:val="tx1"/>
                  </w14:solidFill>
                </w14:textFill>
              </w:rPr>
              <w:t>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noWrap w:val="0"/>
            <w:vAlign w:val="center"/>
          </w:tcPr>
          <w:p>
            <w:pPr>
              <w:pStyle w:val="6"/>
              <w:spacing w:line="360" w:lineRule="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spacing w:line="360" w:lineRule="auto"/>
              <w:rPr>
                <w:rFonts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投标报价得分=(评标基准价／投标报价)×10</w:t>
            </w:r>
          </w:p>
          <w:p>
            <w:pPr>
              <w:numPr>
                <w:ilvl w:val="0"/>
                <w:numId w:val="7"/>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7"/>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pStyle w:val="6"/>
              <w:spacing w:line="360" w:lineRule="auto"/>
              <w:ind w:left="216" w:leftChars="103"/>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bCs/>
                <w:color w:val="000000" w:themeColor="text1"/>
                <w:kern w:val="2"/>
                <w:sz w:val="24"/>
                <w:lang w:val="en-US" w:eastAsia="zh-CN"/>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投标人编制经验</w:t>
            </w:r>
          </w:p>
        </w:tc>
        <w:tc>
          <w:tcPr>
            <w:tcW w:w="5907" w:type="dxa"/>
            <w:shd w:val="clear" w:color="auto" w:fill="auto"/>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根据投标供应商的相关经验进行打分：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从2021年1月至投标截止日止（以合同签订日期为准，若合同签订日期无法体现，则以服务期限的起始日期为准），投标人具有</w:t>
            </w:r>
            <w:r>
              <w:rPr>
                <w:rFonts w:hint="eastAsia" w:ascii="宋体" w:hAnsi="宋体" w:cs="宋体"/>
                <w:color w:val="000000" w:themeColor="text1"/>
                <w:sz w:val="24"/>
                <w:lang w:val="en-US" w:eastAsia="zh-CN"/>
                <w14:textFill>
                  <w14:solidFill>
                    <w14:schemeClr w14:val="tx1"/>
                  </w14:solidFill>
                </w14:textFill>
              </w:rPr>
              <w:t>建筑或</w:t>
            </w:r>
            <w:r>
              <w:rPr>
                <w:rFonts w:hint="eastAsia" w:ascii="宋体" w:hAnsi="宋体" w:cs="宋体"/>
                <w:color w:val="000000" w:themeColor="text1"/>
                <w:sz w:val="24"/>
                <w14:textFill>
                  <w14:solidFill>
                    <w14:schemeClr w14:val="tx1"/>
                  </w14:solidFill>
                </w14:textFill>
              </w:rPr>
              <w:t>公共空间</w:t>
            </w:r>
            <w:r>
              <w:rPr>
                <w:rFonts w:hint="eastAsia" w:ascii="宋体" w:hAnsi="宋体" w:cs="宋体"/>
                <w:color w:val="000000" w:themeColor="text1"/>
                <w:sz w:val="24"/>
                <w:lang w:val="en-US" w:eastAsia="zh-CN"/>
                <w14:textFill>
                  <w14:solidFill>
                    <w14:schemeClr w14:val="tx1"/>
                  </w14:solidFill>
                </w14:textFill>
              </w:rPr>
              <w:t>优化提升</w:t>
            </w:r>
            <w:r>
              <w:rPr>
                <w:rFonts w:hint="eastAsia" w:ascii="宋体" w:hAnsi="宋体" w:cs="宋体"/>
                <w:color w:val="000000" w:themeColor="text1"/>
                <w:sz w:val="24"/>
                <w14:textFill>
                  <w14:solidFill>
                    <w14:schemeClr w14:val="tx1"/>
                  </w14:solidFill>
                </w14:textFill>
              </w:rPr>
              <w:t>项目经验的，每项</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满分14</w:t>
            </w:r>
            <w:r>
              <w:rPr>
                <w:rFonts w:hint="eastAsia" w:ascii="宋体" w:hAnsi="宋体" w:cs="宋体"/>
                <w:color w:val="000000" w:themeColor="text1"/>
                <w:sz w:val="24"/>
                <w14:textFill>
                  <w14:solidFill>
                    <w14:schemeClr w14:val="tx1"/>
                  </w14:solidFill>
                </w14:textFill>
              </w:rPr>
              <w:t>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1.须提供业绩合同(或委托合同)关键页扫描件（关键信息包含不限于合同合作双方盖章页、合作时间页、合作内容页等）作为得分依据。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2.通过合同关键页相关证明材料无法判断是否得分的，还须同时提供能证明得分的其它证明资料。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3.以上资料均要求提供扫描件</w:t>
            </w:r>
            <w:r>
              <w:rPr>
                <w:rFonts w:hint="eastAsia" w:ascii="宋体" w:hAnsi="宋体" w:cs="宋体"/>
                <w:color w:val="000000" w:themeColor="text1"/>
                <w:sz w:val="24"/>
                <w:lang w:val="en-US" w:eastAsia="zh-CN"/>
                <w14:textFill>
                  <w14:solidFill>
                    <w14:schemeClr w14:val="tx1"/>
                  </w14:solidFill>
                </w14:textFill>
              </w:rPr>
              <w:t>加盖公章</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原件备查，</w:t>
            </w:r>
            <w:r>
              <w:rPr>
                <w:rFonts w:hint="eastAsia" w:ascii="宋体" w:hAnsi="宋体" w:cs="宋体"/>
                <w:color w:val="000000" w:themeColor="text1"/>
                <w:sz w:val="24"/>
                <w14:textFill>
                  <w14:solidFill>
                    <w14:schemeClr w14:val="tx1"/>
                  </w14:solidFill>
                </w14:textFill>
              </w:rPr>
              <w:t>评分中出现无证明资料或专家无法凭所提供资料判断是否得分的情况，一律作不得分处理。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4.投标人提供虚假材料的，将做无效投标处理，涉嫌存在违法违规行为的，依法报主管部门处理处罚；</w:t>
            </w:r>
          </w:p>
        </w:tc>
        <w:tc>
          <w:tcPr>
            <w:tcW w:w="901" w:type="dxa"/>
            <w:noWrap w:val="0"/>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14</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项目负责人要求（1人）</w:t>
            </w:r>
          </w:p>
        </w:tc>
        <w:tc>
          <w:tcPr>
            <w:tcW w:w="5907" w:type="dxa"/>
            <w:shd w:val="clear" w:color="auto" w:fill="auto"/>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根据拟投入的项目负责人情况进行打分：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项目负责人具有正高级工程师职称（</w:t>
            </w:r>
            <w:r>
              <w:rPr>
                <w:rFonts w:hint="eastAsia" w:ascii="宋体" w:hAnsi="宋体" w:cs="宋体"/>
                <w:color w:val="000000" w:themeColor="text1"/>
                <w:sz w:val="24"/>
                <w:lang w:val="en-US" w:eastAsia="zh-CN"/>
                <w14:textFill>
                  <w14:solidFill>
                    <w14:schemeClr w14:val="tx1"/>
                  </w14:solidFill>
                </w14:textFill>
              </w:rPr>
              <w:t>建筑类）</w:t>
            </w:r>
            <w:r>
              <w:rPr>
                <w:rFonts w:hint="eastAsia" w:ascii="宋体" w:hAnsi="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分；本小项</w:t>
            </w:r>
            <w:r>
              <w:rPr>
                <w:rFonts w:hint="eastAsia" w:ascii="宋体" w:hAnsi="宋体" w:cs="宋体"/>
                <w:color w:val="000000" w:themeColor="text1"/>
                <w:sz w:val="24"/>
                <w:lang w:val="en-US" w:eastAsia="zh-CN"/>
                <w14:textFill>
                  <w14:solidFill>
                    <w14:schemeClr w14:val="tx1"/>
                  </w14:solidFill>
                </w14:textFill>
              </w:rPr>
              <w:t>满分2.5</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val="zh-CN"/>
                <w14:textFill>
                  <w14:solidFill>
                    <w14:schemeClr w14:val="tx1"/>
                  </w14:solidFill>
                </w14:textFill>
              </w:rPr>
              <w:t>。</w:t>
            </w:r>
          </w:p>
          <w:p>
            <w:pPr>
              <w:spacing w:line="360" w:lineRule="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2.从2021年1月至投标截止日止（以合同签订日期为准）担任过</w:t>
            </w:r>
            <w:r>
              <w:rPr>
                <w:rFonts w:hint="eastAsia" w:ascii="宋体" w:hAnsi="宋体" w:cs="宋体"/>
                <w:color w:val="000000" w:themeColor="text1"/>
                <w:sz w:val="24"/>
                <w:lang w:val="en-US" w:eastAsia="zh-CN"/>
                <w14:textFill>
                  <w14:solidFill>
                    <w14:schemeClr w14:val="tx1"/>
                  </w14:solidFill>
                </w14:textFill>
              </w:rPr>
              <w:t>建筑或</w:t>
            </w:r>
            <w:r>
              <w:rPr>
                <w:rFonts w:hint="eastAsia" w:ascii="宋体" w:hAnsi="宋体" w:cs="宋体"/>
                <w:color w:val="000000" w:themeColor="text1"/>
                <w:sz w:val="24"/>
                <w14:textFill>
                  <w14:solidFill>
                    <w14:schemeClr w14:val="tx1"/>
                  </w14:solidFill>
                </w14:textFill>
              </w:rPr>
              <w:t>公共空间</w:t>
            </w:r>
            <w:r>
              <w:rPr>
                <w:rFonts w:hint="eastAsia" w:ascii="宋体" w:hAnsi="宋体" w:cs="宋体"/>
                <w:color w:val="000000" w:themeColor="text1"/>
                <w:sz w:val="24"/>
                <w:lang w:val="en-US" w:eastAsia="zh-CN"/>
                <w14:textFill>
                  <w14:solidFill>
                    <w14:schemeClr w14:val="tx1"/>
                  </w14:solidFill>
                </w14:textFill>
              </w:rPr>
              <w:t>优化提升</w:t>
            </w:r>
            <w:r>
              <w:rPr>
                <w:rFonts w:hint="eastAsia" w:ascii="宋体" w:hAnsi="宋体" w:cs="宋体"/>
                <w:color w:val="000000" w:themeColor="text1"/>
                <w:sz w:val="24"/>
                <w14:textFill>
                  <w14:solidFill>
                    <w14:schemeClr w14:val="tx1"/>
                  </w14:solidFill>
                </w14:textFill>
              </w:rPr>
              <w:t>项目经验的项目负责人的，</w:t>
            </w:r>
            <w:r>
              <w:rPr>
                <w:rFonts w:hint="eastAsia" w:ascii="宋体" w:hAnsi="宋体" w:cs="宋体"/>
                <w:color w:val="000000" w:themeColor="text1"/>
                <w:sz w:val="24"/>
                <w:lang w:val="en-US" w:eastAsia="zh-CN"/>
                <w14:textFill>
                  <w14:solidFill>
                    <w14:schemeClr w14:val="tx1"/>
                  </w14:solidFill>
                </w14:textFill>
              </w:rPr>
              <w:t>每项2.5分，本小项满分7.5分</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1.提供拟派项目负责人身份证、职称证书（如有）等。</w:t>
            </w:r>
          </w:p>
          <w:p>
            <w:pPr>
              <w:spacing w:line="360" w:lineRule="auto"/>
              <w:rPr>
                <w:rFonts w:hint="default" w:ascii="宋体" w:hAnsi="宋体" w:cs="宋体"/>
                <w:color w:val="000000" w:themeColor="text1"/>
                <w:sz w:val="24"/>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2.要求提供通过投标人购买的项目负责人截标前近</w:t>
            </w:r>
            <w:r>
              <w:rPr>
                <w:rFonts w:hint="eastAsia" w:ascii="宋体" w:hAnsi="宋体" w:cs="宋体"/>
                <w:color w:val="000000" w:themeColor="text1"/>
                <w:sz w:val="24"/>
                <w:lang w:val="en-US" w:eastAsia="zh-CN"/>
                <w14:textFill>
                  <w14:solidFill>
                    <w14:schemeClr w14:val="tx1"/>
                  </w14:solidFill>
                </w14:textFill>
              </w:rPr>
              <w:t>三个月</w:t>
            </w:r>
            <w:r>
              <w:rPr>
                <w:rFonts w:hint="eastAsia" w:ascii="宋体" w:hAnsi="宋体" w:cs="宋体"/>
                <w:color w:val="000000" w:themeColor="text1"/>
                <w:sz w:val="24"/>
                <w14:textFill>
                  <w14:solidFill>
                    <w14:schemeClr w14:val="tx1"/>
                  </w14:solidFill>
                </w14:textFill>
              </w:rPr>
              <w:t>任意一个月的社保证明及相关证明资料作为得分依据。社保证明资料可为社保收缴部门盖章证明资料、社保窗口打印资料或社保官网截图。如供应商为新成立企业且成立时间不足一个月可提供加盖公章的情况说明或者证明材料亦视为符合。如项目负责人为港澳台籍等非大陆籍区域无社保资料，可提供提供有效劳动合同页面页等证明材料亦视为符合</w:t>
            </w:r>
            <w:r>
              <w:rPr>
                <w:rFonts w:hint="eastAsia" w:ascii="宋体" w:hAnsi="宋体" w:cs="宋体"/>
                <w:color w:val="000000" w:themeColor="text1"/>
                <w:sz w:val="24"/>
                <w:lang w:eastAsia="zh-CN"/>
                <w14:textFill>
                  <w14:solidFill>
                    <w14:schemeClr w14:val="tx1"/>
                  </w14:solidFill>
                </w14:textFill>
              </w:rPr>
              <w:t>，</w:t>
            </w:r>
            <w:r>
              <w:rPr>
                <w:rFonts w:hint="default" w:ascii="宋体" w:hAnsi="宋体" w:eastAsia="宋体" w:cs="宋体"/>
                <w:color w:val="auto"/>
                <w:sz w:val="24"/>
                <w:szCs w:val="24"/>
                <w:lang w:val="en-US" w:eastAsia="zh-CN"/>
              </w:rPr>
              <w:t>如为退休返聘人员提供退休证明和聘用合同</w:t>
            </w:r>
            <w:r>
              <w:rPr>
                <w:rFonts w:hint="eastAsia" w:ascii="宋体" w:hAnsi="宋体" w:cs="宋体"/>
                <w:color w:val="000000" w:themeColor="text1"/>
                <w:sz w:val="24"/>
                <w14:textFill>
                  <w14:solidFill>
                    <w14:schemeClr w14:val="tx1"/>
                  </w14:solidFill>
                </w14:textFill>
              </w:rPr>
              <w:t>亦视为符合</w:t>
            </w:r>
            <w:r>
              <w:rPr>
                <w:rFonts w:hint="eastAsia" w:ascii="宋体" w:hAnsi="宋体" w:cs="宋体"/>
                <w:color w:val="00B050"/>
                <w:sz w:val="24"/>
                <w:szCs w:val="24"/>
                <w:lang w:val="en-US" w:eastAsia="zh-CN"/>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3.须提供业绩合同(或委托合同)关键页复印件（关键信息包含不限于合同合作双方盖章页、合作时间页、合作内容页、项目负责人</w:t>
            </w:r>
            <w:r>
              <w:rPr>
                <w:rFonts w:hint="eastAsia" w:ascii="宋体" w:hAnsi="宋体" w:cs="宋体"/>
                <w:color w:val="000000" w:themeColor="text1"/>
                <w:sz w:val="24"/>
                <w:lang w:eastAsia="zh-CN"/>
                <w14:textFill>
                  <w14:solidFill>
                    <w14:schemeClr w14:val="tx1"/>
                  </w14:solidFill>
                </w14:textFill>
              </w:rPr>
              <w:t>信息页</w:t>
            </w:r>
            <w:r>
              <w:rPr>
                <w:rFonts w:hint="eastAsia" w:ascii="宋体" w:hAnsi="宋体" w:cs="宋体"/>
                <w:color w:val="000000" w:themeColor="text1"/>
                <w:sz w:val="24"/>
                <w14:textFill>
                  <w14:solidFill>
                    <w14:schemeClr w14:val="tx1"/>
                  </w14:solidFill>
                </w14:textFill>
              </w:rPr>
              <w:t>等）作为得分依据。通过合同关键页相关证明材料无法判断是否得分的，还须同时提供能证明得分的其它证明资料。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4.以上资料均要求提供扫描件</w:t>
            </w:r>
            <w:r>
              <w:rPr>
                <w:rFonts w:hint="eastAsia" w:ascii="宋体" w:hAnsi="宋体" w:cs="宋体"/>
                <w:color w:val="000000" w:themeColor="text1"/>
                <w:sz w:val="24"/>
                <w:lang w:val="en-US" w:eastAsia="zh-CN"/>
                <w14:textFill>
                  <w14:solidFill>
                    <w14:schemeClr w14:val="tx1"/>
                  </w14:solidFill>
                </w14:textFill>
              </w:rPr>
              <w:t>加盖公章</w:t>
            </w:r>
            <w:r>
              <w:rPr>
                <w:rFonts w:hint="eastAsia" w:ascii="宋体" w:hAnsi="宋体" w:cs="宋体"/>
                <w:color w:val="000000" w:themeColor="text1"/>
                <w:sz w:val="24"/>
                <w14:textFill>
                  <w14:solidFill>
                    <w14:schemeClr w14:val="tx1"/>
                  </w14:solidFill>
                </w14:textFill>
              </w:rPr>
              <w:t>，原件备查。评分中出现无证明资料或专家无法凭所提供资料判断是否得分的情况，一律作不得分处理。</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项目团队成员（项目负责人除外）</w:t>
            </w:r>
          </w:p>
        </w:tc>
        <w:tc>
          <w:tcPr>
            <w:tcW w:w="5907" w:type="dxa"/>
            <w:shd w:val="clear" w:color="auto" w:fill="auto"/>
            <w:noWrap w:val="0"/>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（一）评审标准：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根据投标人拟投入的项目团队成员情况进行打分：项目团队成员（不含项目总负责人）不少于</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人，否则本项不得分。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技术团队均为本科及以上学历，学历或职称专业需为以下类别：建筑</w:t>
            </w:r>
            <w:r>
              <w:rPr>
                <w:rFonts w:hint="eastAsia" w:ascii="宋体" w:hAnsi="宋体" w:cs="宋体"/>
                <w:color w:val="000000" w:themeColor="text1"/>
                <w:sz w:val="24"/>
                <w:lang w:val="en-US" w:eastAsia="zh-CN"/>
                <w14:textFill>
                  <w14:solidFill>
                    <w14:schemeClr w14:val="tx1"/>
                  </w14:solidFill>
                </w14:textFill>
              </w:rPr>
              <w:t>学</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建筑</w:t>
            </w:r>
            <w:r>
              <w:rPr>
                <w:rFonts w:hint="eastAsia" w:ascii="宋体" w:hAnsi="宋体" w:cs="宋体"/>
                <w:color w:val="000000" w:themeColor="text1"/>
                <w:sz w:val="24"/>
                <w14:textFill>
                  <w14:solidFill>
                    <w14:schemeClr w14:val="tx1"/>
                  </w14:solidFill>
                </w14:textFill>
              </w:rPr>
              <w:t>结构、</w:t>
            </w:r>
            <w:r>
              <w:rPr>
                <w:rFonts w:hint="eastAsia" w:ascii="宋体" w:hAnsi="宋体" w:cs="宋体"/>
                <w:color w:val="000000" w:themeColor="text1"/>
                <w:sz w:val="24"/>
                <w:lang w:val="en-US" w:eastAsia="zh-CN"/>
                <w14:textFill>
                  <w14:solidFill>
                    <w14:schemeClr w14:val="tx1"/>
                  </w14:solidFill>
                </w14:textFill>
              </w:rPr>
              <w:t>建筑</w:t>
            </w:r>
            <w:r>
              <w:rPr>
                <w:rFonts w:hint="eastAsia" w:ascii="宋体" w:hAnsi="宋体" w:cs="宋体"/>
                <w:color w:val="000000" w:themeColor="text1"/>
                <w:sz w:val="24"/>
                <w14:textFill>
                  <w14:solidFill>
                    <w14:schemeClr w14:val="tx1"/>
                  </w14:solidFill>
                </w14:textFill>
              </w:rPr>
              <w:t>电</w:t>
            </w:r>
            <w:r>
              <w:rPr>
                <w:rFonts w:hint="eastAsia" w:ascii="宋体" w:hAnsi="宋体" w:cs="宋体"/>
                <w:color w:val="000000" w:themeColor="text1"/>
                <w:sz w:val="24"/>
                <w:lang w:val="en-US" w:eastAsia="zh-CN"/>
                <w14:textFill>
                  <w14:solidFill>
                    <w14:schemeClr w14:val="tx1"/>
                  </w14:solidFill>
                </w14:textFill>
              </w:rPr>
              <w:t>气</w:t>
            </w:r>
            <w:r>
              <w:rPr>
                <w:rFonts w:hint="eastAsia" w:ascii="宋体" w:hAnsi="宋体" w:cs="宋体"/>
                <w:color w:val="000000" w:themeColor="text1"/>
                <w:sz w:val="24"/>
                <w14:textFill>
                  <w14:solidFill>
                    <w14:schemeClr w14:val="tx1"/>
                  </w14:solidFill>
                </w14:textFill>
              </w:rPr>
              <w:t>、景观、</w:t>
            </w:r>
            <w:r>
              <w:rPr>
                <w:rFonts w:hint="eastAsia" w:ascii="宋体" w:hAnsi="宋体" w:cs="宋体"/>
                <w:color w:val="000000" w:themeColor="text1"/>
                <w:sz w:val="24"/>
                <w:lang w:val="en-US" w:eastAsia="zh-CN"/>
                <w14:textFill>
                  <w14:solidFill>
                    <w14:schemeClr w14:val="tx1"/>
                  </w14:solidFill>
                </w14:textFill>
              </w:rPr>
              <w:t>城市</w:t>
            </w:r>
            <w:r>
              <w:rPr>
                <w:rFonts w:hint="eastAsia" w:ascii="宋体" w:hAnsi="宋体" w:cs="宋体"/>
                <w:color w:val="000000" w:themeColor="text1"/>
                <w:sz w:val="24"/>
                <w14:textFill>
                  <w14:solidFill>
                    <w14:schemeClr w14:val="tx1"/>
                  </w14:solidFill>
                </w14:textFill>
              </w:rPr>
              <w:t>规划、经济策划等关专业的人员，</w:t>
            </w:r>
            <w:r>
              <w:rPr>
                <w:rFonts w:hint="eastAsia" w:ascii="宋体" w:hAnsi="宋体" w:cs="宋体"/>
                <w:color w:val="000000" w:themeColor="text1"/>
                <w:sz w:val="24"/>
                <w:lang w:val="en-US" w:eastAsia="zh-CN"/>
                <w14:textFill>
                  <w14:solidFill>
                    <w14:schemeClr w14:val="tx1"/>
                  </w14:solidFill>
                </w14:textFill>
              </w:rPr>
              <w:t>其中建筑学、景观各专业不少于5人，</w:t>
            </w:r>
            <w:r>
              <w:rPr>
                <w:rFonts w:hint="eastAsia" w:ascii="宋体" w:hAnsi="宋体" w:cs="宋体"/>
                <w:color w:val="000000" w:themeColor="text1"/>
                <w:sz w:val="24"/>
                <w14:textFill>
                  <w14:solidFill>
                    <w14:schemeClr w14:val="tx1"/>
                  </w14:solidFill>
                </w14:textFill>
              </w:rPr>
              <w:t>满足以上要求得</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否则0分</w:t>
            </w:r>
            <w:r>
              <w:rPr>
                <w:rFonts w:hint="eastAsia" w:ascii="宋体" w:hAnsi="宋体" w:cs="宋体"/>
                <w:color w:val="000000" w:themeColor="text1"/>
                <w:sz w:val="24"/>
                <w:lang w:val="en-US"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en-US" w:eastAsia="zh-CN"/>
                <w14:textFill>
                  <w14:solidFill>
                    <w14:schemeClr w14:val="tx1"/>
                  </w14:solidFill>
                </w14:textFill>
              </w:rPr>
              <w:t>中具</w:t>
            </w:r>
            <w:r>
              <w:rPr>
                <w:rFonts w:hint="eastAsia" w:ascii="宋体" w:hAnsi="宋体" w:cs="宋体"/>
                <w:color w:val="000000" w:themeColor="text1"/>
                <w:sz w:val="24"/>
                <w14:textFill>
                  <w14:solidFill>
                    <w14:schemeClr w14:val="tx1"/>
                  </w14:solidFill>
                </w14:textFill>
              </w:rPr>
              <w:t>有</w:t>
            </w:r>
            <w:r>
              <w:rPr>
                <w:rFonts w:hint="eastAsia" w:ascii="宋体" w:hAnsi="宋体" w:cs="宋体"/>
                <w:color w:val="000000" w:themeColor="text1"/>
                <w:sz w:val="24"/>
                <w:lang w:val="en-US" w:eastAsia="zh-CN"/>
                <w14:textFill>
                  <w14:solidFill>
                    <w14:schemeClr w14:val="tx1"/>
                  </w14:solidFill>
                </w14:textFill>
              </w:rPr>
              <w:t>建筑或</w:t>
            </w:r>
            <w:r>
              <w:rPr>
                <w:rFonts w:hint="eastAsia" w:ascii="宋体" w:hAnsi="宋体" w:cs="宋体"/>
                <w:color w:val="000000" w:themeColor="text1"/>
                <w:sz w:val="24"/>
                <w14:textFill>
                  <w14:solidFill>
                    <w14:schemeClr w14:val="tx1"/>
                  </w14:solidFill>
                </w14:textFill>
              </w:rPr>
              <w:t>公共空间</w:t>
            </w:r>
            <w:r>
              <w:rPr>
                <w:rFonts w:hint="eastAsia" w:ascii="宋体" w:hAnsi="宋体" w:cs="宋体"/>
                <w:color w:val="000000" w:themeColor="text1"/>
                <w:sz w:val="24"/>
                <w:lang w:val="en-US" w:eastAsia="zh-CN"/>
                <w14:textFill>
                  <w14:solidFill>
                    <w14:schemeClr w14:val="tx1"/>
                  </w14:solidFill>
                </w14:textFill>
              </w:rPr>
              <w:t>优化提升</w:t>
            </w:r>
            <w:r>
              <w:rPr>
                <w:rFonts w:hint="eastAsia" w:ascii="宋体" w:hAnsi="宋体" w:cs="宋体"/>
                <w:color w:val="000000" w:themeColor="text1"/>
                <w:sz w:val="24"/>
                <w14:textFill>
                  <w14:solidFill>
                    <w14:schemeClr w14:val="tx1"/>
                  </w14:solidFill>
                </w14:textFill>
              </w:rPr>
              <w:t>项目经验的（每人加1分</w:t>
            </w:r>
            <w:r>
              <w:rPr>
                <w:rFonts w:hint="eastAsia" w:ascii="宋体" w:hAnsi="宋体" w:cs="宋体"/>
                <w:color w:val="000000" w:themeColor="text1"/>
                <w:sz w:val="24"/>
                <w:lang w:val="en-US" w:eastAsia="zh-CN"/>
                <w14:textFill>
                  <w14:solidFill>
                    <w14:schemeClr w14:val="tx1"/>
                  </w14:solidFill>
                </w14:textFill>
              </w:rPr>
              <w:t>,每人最高得1分</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满</w:t>
            </w:r>
            <w:r>
              <w:rPr>
                <w:rFonts w:hint="eastAsia" w:ascii="宋体" w:hAnsi="宋体" w:cs="宋体"/>
                <w:color w:val="000000" w:themeColor="text1"/>
                <w:sz w:val="24"/>
                <w14:textFill>
                  <w14:solidFill>
                    <w14:schemeClr w14:val="tx1"/>
                  </w14:solidFill>
                </w14:textFill>
              </w:rPr>
              <w:t>分6分。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拟派项目团队成员清单、职称证书（如有）、学历证明材料等。（学历证明材料须提供毕业证书复印件以及学信网查询截图，原件备查。如学历证明颁发较早，学信网无法查询，可提供毕业院校、人社部门等颁发机构或监管机构等单位出具的证明，若为境外留学学历，无需提供学信网查询记录，需提供教育部留学服务中心出具的学历学位认证书。）</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2.要求提供通过投标人或其同一法人的分公司购买的项目团队成员截标前近</w:t>
            </w:r>
            <w:r>
              <w:rPr>
                <w:rFonts w:hint="eastAsia" w:ascii="宋体" w:hAnsi="宋体" w:cs="宋体"/>
                <w:color w:val="000000" w:themeColor="text1"/>
                <w:sz w:val="24"/>
                <w:lang w:val="en-US" w:eastAsia="zh-CN"/>
                <w14:textFill>
                  <w14:solidFill>
                    <w14:schemeClr w14:val="tx1"/>
                  </w14:solidFill>
                </w14:textFill>
              </w:rPr>
              <w:t>三个月</w:t>
            </w:r>
            <w:r>
              <w:rPr>
                <w:rFonts w:hint="eastAsia" w:ascii="宋体" w:hAnsi="宋体" w:cs="宋体"/>
                <w:color w:val="000000" w:themeColor="text1"/>
                <w:sz w:val="24"/>
                <w14:textFill>
                  <w14:solidFill>
                    <w14:schemeClr w14:val="tx1"/>
                  </w14:solidFill>
                </w14:textFill>
              </w:rPr>
              <w:t>任意一个月的社保证明及相关证明资料作为得分依据。社保证明资料可为社保收缴部门盖章证明资料、社保窗口打印资料或社保官网截图。如供应商为新成立企业且成立时间不足一个月可提供加盖公章的情况说明或者证明材料亦视为符合。如团队成员为港澳台籍等非大陆籍区域无社保资料，可提供提供有效劳动合同页面页等证明材料亦视为符合。</w:t>
            </w:r>
            <w:r>
              <w:rPr>
                <w:rFonts w:hint="default" w:ascii="宋体" w:hAnsi="宋体" w:eastAsia="宋体" w:cs="宋体"/>
                <w:color w:val="auto"/>
                <w:sz w:val="24"/>
                <w:szCs w:val="24"/>
                <w:lang w:val="en-US" w:eastAsia="zh-CN"/>
              </w:rPr>
              <w:t>如为退休返聘人员提供退休证明和聘用合同</w:t>
            </w:r>
            <w:r>
              <w:rPr>
                <w:rFonts w:hint="eastAsia" w:ascii="宋体" w:hAnsi="宋体" w:cs="宋体"/>
                <w:color w:val="000000" w:themeColor="text1"/>
                <w:sz w:val="24"/>
                <w14:textFill>
                  <w14:solidFill>
                    <w14:schemeClr w14:val="tx1"/>
                  </w14:solidFill>
                </w14:textFill>
              </w:rPr>
              <w:t>亦视为符合</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须提供业绩合同(或委托合同)关键页复印件（关键信息包含不限于合同合作双方盖章页、合作时间页、合作内容页、项目团队名单等）作为得分依据。通过合同关键页相关证明材料无法判断是否得分的，还须同时提供能证明得分的其它证明资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4.以上资料均要求提供扫描件</w:t>
            </w:r>
            <w:r>
              <w:rPr>
                <w:rFonts w:hint="eastAsia" w:ascii="宋体" w:hAnsi="宋体" w:cs="宋体"/>
                <w:color w:val="000000" w:themeColor="text1"/>
                <w:sz w:val="24"/>
                <w:lang w:val="en-US" w:eastAsia="zh-CN"/>
                <w14:textFill>
                  <w14:solidFill>
                    <w14:schemeClr w14:val="tx1"/>
                  </w14:solidFill>
                </w14:textFill>
              </w:rPr>
              <w:t>加盖公章</w:t>
            </w:r>
            <w:r>
              <w:rPr>
                <w:rFonts w:hint="eastAsia" w:ascii="宋体" w:hAnsi="宋体" w:cs="宋体"/>
                <w:color w:val="000000" w:themeColor="text1"/>
                <w:sz w:val="24"/>
                <w14:textFill>
                  <w14:solidFill>
                    <w14:schemeClr w14:val="tx1"/>
                  </w14:solidFill>
                </w14:textFill>
              </w:rPr>
              <w:t>，原件备查。评分中出现无证明资料或专家无法凭所提供资料判断是否得分的情况，一律作不得分处理。</w:t>
            </w:r>
          </w:p>
        </w:tc>
        <w:tc>
          <w:tcPr>
            <w:tcW w:w="901" w:type="dxa"/>
            <w:noWrap w:val="0"/>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noWrap w:val="0"/>
            <w:vAlign w:val="center"/>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noWrap w:val="0"/>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项目背景理解分析</w:t>
            </w:r>
          </w:p>
        </w:tc>
        <w:tc>
          <w:tcPr>
            <w:tcW w:w="5907" w:type="dxa"/>
            <w:noWrap w:val="0"/>
            <w:vAlign w:val="center"/>
          </w:tcPr>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1.对项目总体的理解认识；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工作目标</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工作内容；</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场地条件的梳理、理解；</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满足以上</w:t>
            </w:r>
            <w:r>
              <w:rPr>
                <w:rFonts w:hint="eastAsia" w:ascii="宋体" w:hAnsi="宋体" w:cs="宋体"/>
                <w:color w:val="000000" w:themeColor="text1"/>
                <w:sz w:val="24"/>
                <w:lang w:val="en-US" w:eastAsia="zh-CN"/>
                <w14:textFill>
                  <w14:solidFill>
                    <w14:schemeClr w14:val="tx1"/>
                  </w14:solidFill>
                </w14:textFill>
              </w:rPr>
              <w:t>任意1</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最高得8分，</w:t>
            </w:r>
            <w:r>
              <w:rPr>
                <w:rFonts w:hint="eastAsia" w:ascii="宋体" w:hAnsi="宋体" w:cs="宋体"/>
                <w:color w:val="000000" w:themeColor="text1"/>
                <w:sz w:val="24"/>
                <w:lang w:val="zh-CN"/>
                <w14:textFill>
                  <w14:solidFill>
                    <w14:schemeClr w14:val="tx1"/>
                  </w14:solidFill>
                </w14:textFill>
              </w:rPr>
              <w:t>未满足不得分。</w:t>
            </w:r>
          </w:p>
          <w:p>
            <w:pPr>
              <w:autoSpaceDE w:val="0"/>
              <w:autoSpaceDN w:val="0"/>
              <w:adjustRightInd w:val="0"/>
              <w:spacing w:line="360" w:lineRule="auto"/>
              <w:jc w:val="left"/>
              <w:rPr>
                <w:rFonts w:hint="eastAsia" w:ascii="宋体" w:hAnsi="宋体" w:cs="宋体"/>
                <w:color w:val="000000" w:themeColor="text1"/>
                <w:sz w:val="24"/>
                <w:lang w:val="zh-CN"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优：工作背景理解深入、现状情况掌握全面，得</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良：工作背景理解较为深入、现状情况掌握较为全面，得</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中：工作背景理解一般、现状情况掌握一般，得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差：工作背景理解较差、现状情况掌握较差，不得分。</w:t>
            </w:r>
          </w:p>
        </w:tc>
        <w:tc>
          <w:tcPr>
            <w:tcW w:w="901" w:type="dxa"/>
            <w:noWrap w:val="0"/>
            <w:vAlign w:val="center"/>
          </w:tcPr>
          <w:p>
            <w:pPr>
              <w:autoSpaceDE w:val="0"/>
              <w:autoSpaceDN w:val="0"/>
              <w:adjustRightInd w:val="0"/>
              <w:spacing w:line="360" w:lineRule="auto"/>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p>
        </w:tc>
        <w:tc>
          <w:tcPr>
            <w:tcW w:w="1168" w:type="dxa"/>
            <w:noWrap w:val="0"/>
            <w:vAlign w:val="center"/>
          </w:tcPr>
          <w:p>
            <w:pPr>
              <w:autoSpaceDE w:val="0"/>
              <w:autoSpaceDN w:val="0"/>
              <w:adjustRightInd w:val="0"/>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设计</w:t>
            </w:r>
            <w:r>
              <w:rPr>
                <w:rFonts w:hint="eastAsia" w:ascii="宋体" w:hAnsi="宋体" w:cs="宋体"/>
                <w:color w:val="000000" w:themeColor="text1"/>
                <w:sz w:val="24"/>
                <w:lang w:val="en-US" w:eastAsia="zh-CN"/>
                <w14:textFill>
                  <w14:solidFill>
                    <w14:schemeClr w14:val="tx1"/>
                  </w14:solidFill>
                </w14:textFill>
              </w:rPr>
              <w:t>思路及理念</w:t>
            </w:r>
          </w:p>
        </w:tc>
        <w:tc>
          <w:tcPr>
            <w:tcW w:w="5907" w:type="dxa"/>
            <w:noWrap w:val="0"/>
            <w:vAlign w:val="center"/>
          </w:tcPr>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 针对项目的理解与认识，设计工作有针对性技术；</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 合理化建议及策略。</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（二）评审标准： </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满足以上2点得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分，满足1点得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分，未满足不得分。</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优：对于项目的提升思路、策略与合理性把握准确，设计亮点突出，得</w:t>
            </w:r>
            <w:r>
              <w:rPr>
                <w:rFonts w:hint="eastAsia" w:ascii="宋体" w:hAnsi="宋体" w:cs="宋体"/>
                <w:color w:val="000000" w:themeColor="text1"/>
                <w:sz w:val="24"/>
                <w:lang w:val="en-US" w:eastAsia="zh-CN"/>
                <w14:textFill>
                  <w14:solidFill>
                    <w14:schemeClr w14:val="tx1"/>
                  </w14:solidFill>
                </w14:textFill>
              </w:rPr>
              <w:t>16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良：对于项目的提升思路、策略与合理性把握较为准确，设计亮点较为突出，得</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中：对于项目的提升思路、策略与合理性把握一般，设计亮点一般，得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差：对于项目的提升思路、策略与合理性把握较差，设计亮点较差，不得分。</w:t>
            </w:r>
          </w:p>
        </w:tc>
        <w:tc>
          <w:tcPr>
            <w:tcW w:w="901" w:type="dxa"/>
            <w:noWrap w:val="0"/>
            <w:vAlign w:val="center"/>
          </w:tcPr>
          <w:p>
            <w:pPr>
              <w:autoSpaceDE w:val="0"/>
              <w:autoSpaceDN w:val="0"/>
              <w:adjustRightInd w:val="0"/>
              <w:spacing w:line="360" w:lineRule="auto"/>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20</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工作进度及质量保障措施</w:t>
            </w:r>
          </w:p>
        </w:tc>
        <w:tc>
          <w:tcPr>
            <w:tcW w:w="5907" w:type="dxa"/>
            <w:noWrap w:val="0"/>
            <w:vAlign w:val="center"/>
          </w:tcPr>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1.工作组织与进度安排情况</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2.质量保障措施</w:t>
            </w:r>
            <w:r>
              <w:rPr>
                <w:rFonts w:hint="eastAsia" w:ascii="宋体" w:hAnsi="宋体" w:cs="宋体"/>
                <w:color w:val="000000" w:themeColor="text1"/>
                <w:sz w:val="24"/>
                <w:lang w:val="zh-CN"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满足以上2点得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分，满足1点得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分，未满足不得分。</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优：对于项目工作组织与进度安排情况</w:t>
            </w:r>
            <w:r>
              <w:rPr>
                <w:rFonts w:hint="eastAsia" w:ascii="宋体" w:hAnsi="宋体" w:cs="宋体"/>
                <w:color w:val="000000" w:themeColor="text1"/>
                <w:sz w:val="24"/>
                <w:lang w:val="en-US" w:eastAsia="zh-CN"/>
                <w14:textFill>
                  <w14:solidFill>
                    <w14:schemeClr w14:val="tx1"/>
                  </w14:solidFill>
                </w14:textFill>
              </w:rPr>
              <w:t>及保障措施合理可行的</w:t>
            </w:r>
            <w:r>
              <w:rPr>
                <w:rFonts w:hint="eastAsia" w:ascii="宋体" w:hAnsi="宋体" w:cs="宋体"/>
                <w:color w:val="000000" w:themeColor="text1"/>
                <w:sz w:val="24"/>
                <w:lang w:val="zh-CN"/>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良：对于项目工作组织与进度安排情况</w:t>
            </w:r>
            <w:r>
              <w:rPr>
                <w:rFonts w:hint="eastAsia" w:ascii="宋体" w:hAnsi="宋体" w:cs="宋体"/>
                <w:color w:val="000000" w:themeColor="text1"/>
                <w:sz w:val="24"/>
                <w:lang w:val="en-US" w:eastAsia="zh-CN"/>
                <w14:textFill>
                  <w14:solidFill>
                    <w14:schemeClr w14:val="tx1"/>
                  </w14:solidFill>
                </w14:textFill>
              </w:rPr>
              <w:t>及保障措施较为合理可行的</w:t>
            </w:r>
            <w:r>
              <w:rPr>
                <w:rFonts w:hint="eastAsia" w:ascii="宋体" w:hAnsi="宋体" w:cs="宋体"/>
                <w:color w:val="000000" w:themeColor="text1"/>
                <w:sz w:val="24"/>
                <w:lang w:val="zh-CN"/>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中：对于项目工作组织与进度安排情况</w:t>
            </w:r>
            <w:r>
              <w:rPr>
                <w:rFonts w:hint="eastAsia" w:ascii="宋体" w:hAnsi="宋体" w:cs="宋体"/>
                <w:color w:val="000000" w:themeColor="text1"/>
                <w:sz w:val="24"/>
                <w:lang w:val="en-US" w:eastAsia="zh-CN"/>
                <w14:textFill>
                  <w14:solidFill>
                    <w14:schemeClr w14:val="tx1"/>
                  </w14:solidFill>
                </w14:textFill>
              </w:rPr>
              <w:t>及保障措施基本合理可行的</w:t>
            </w:r>
            <w:r>
              <w:rPr>
                <w:rFonts w:hint="eastAsia" w:ascii="宋体" w:hAnsi="宋体" w:cs="宋体"/>
                <w:color w:val="000000" w:themeColor="text1"/>
                <w:sz w:val="24"/>
                <w:lang w:val="zh-CN"/>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lang w:val="en-US" w:eastAsia="zh-CN"/>
                <w14:textFill>
                  <w14:solidFill>
                    <w14:schemeClr w14:val="tx1"/>
                  </w14:solidFill>
                </w14:textFill>
              </w:rPr>
              <w:t>；</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差：对于项目工作组织与进度安排情况</w:t>
            </w:r>
            <w:r>
              <w:rPr>
                <w:rFonts w:hint="eastAsia" w:ascii="宋体" w:hAnsi="宋体" w:cs="宋体"/>
                <w:color w:val="000000" w:themeColor="text1"/>
                <w:sz w:val="24"/>
                <w:lang w:val="en-US" w:eastAsia="zh-CN"/>
                <w14:textFill>
                  <w14:solidFill>
                    <w14:schemeClr w14:val="tx1"/>
                  </w14:solidFill>
                </w14:textFill>
              </w:rPr>
              <w:t>及保障措施基本不合理的</w:t>
            </w:r>
            <w:r>
              <w:rPr>
                <w:rFonts w:hint="eastAsia" w:ascii="宋体" w:hAnsi="宋体" w:cs="宋体"/>
                <w:color w:val="000000" w:themeColor="text1"/>
                <w:sz w:val="24"/>
                <w:lang w:val="zh-CN"/>
                <w14:textFill>
                  <w14:solidFill>
                    <w14:schemeClr w14:val="tx1"/>
                  </w14:solidFill>
                </w14:textFill>
              </w:rPr>
              <w:t>，不得分。</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168"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后续服务</w:t>
            </w:r>
          </w:p>
        </w:tc>
        <w:tc>
          <w:tcPr>
            <w:tcW w:w="5907" w:type="dxa"/>
            <w:noWrap w:val="0"/>
            <w:vAlign w:val="center"/>
          </w:tcPr>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（一）评审标准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投标人承诺最终成果通过采购人审查之日起的1年内，与采购人保持全面沟通，提供技术服务支持，否则本项不得分；在此基础上：</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投标人承诺对业主服务的响应时间为48小时（含）内，得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分，对业主服务的响应时间为</w:t>
            </w:r>
            <w:r>
              <w:rPr>
                <w:rFonts w:hint="eastAsia" w:ascii="宋体" w:hAnsi="宋体" w:cs="宋体"/>
                <w:color w:val="000000" w:themeColor="text1"/>
                <w:sz w:val="24"/>
                <w:lang w:val="en-US" w:eastAsia="zh-CN"/>
                <w14:textFill>
                  <w14:solidFill>
                    <w14:schemeClr w14:val="tx1"/>
                  </w14:solidFill>
                </w14:textFill>
              </w:rPr>
              <w:t>48小时（不含）以上</w:t>
            </w:r>
            <w:r>
              <w:rPr>
                <w:rFonts w:hint="eastAsia" w:ascii="宋体" w:hAnsi="宋体" w:cs="宋体"/>
                <w:color w:val="000000" w:themeColor="text1"/>
                <w:sz w:val="24"/>
                <w:lang w:val="zh-CN"/>
                <w14:textFill>
                  <w14:solidFill>
                    <w14:schemeClr w14:val="tx1"/>
                  </w14:solidFill>
                </w14:textFill>
              </w:rPr>
              <w:t>72小时（含）内，得</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分，对业主服务的响应时间为72小时以上，不得分。</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（二）证明文件</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提供后续服务承诺函（格式自拟）。投标人提供虚假材料的，将做无效投标处理，涉嫌存在违法违规行为的，依法报主管部门处理处罚。</w:t>
            </w:r>
          </w:p>
          <w:p>
            <w:pPr>
              <w:autoSpaceDE w:val="0"/>
              <w:autoSpaceDN w:val="0"/>
              <w:adjustRightInd w:val="0"/>
              <w:spacing w:line="360" w:lineRule="auto"/>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（根据投标人提供的后续服务承诺函进行评审。）</w:t>
            </w:r>
          </w:p>
        </w:tc>
        <w:tc>
          <w:tcPr>
            <w:tcW w:w="901"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w:t>
            </w:r>
          </w:p>
        </w:tc>
        <w:tc>
          <w:tcPr>
            <w:tcW w:w="1079" w:type="dxa"/>
            <w:noWrap w:val="0"/>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2" w:name="_Toc510"/>
      <w:bookmarkStart w:id="13" w:name="_Hlk28269117"/>
      <w:r>
        <w:rPr>
          <w:rFonts w:hint="eastAsia" w:ascii="宋体" w:hAnsi="宋体" w:cs="宋体"/>
          <w:b/>
          <w:bCs/>
          <w:color w:val="000000" w:themeColor="text1"/>
          <w:sz w:val="24"/>
          <w14:textFill>
            <w14:solidFill>
              <w14:schemeClr w14:val="tx1"/>
            </w14:solidFill>
          </w14:textFill>
        </w:rPr>
        <w:t>第七章 附件（投标文件格式）</w:t>
      </w:r>
      <w:bookmarkEnd w:id="12"/>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14" w:name="_Toc6548"/>
      <w:bookmarkStart w:id="15" w:name="_Toc19494"/>
      <w:bookmarkStart w:id="16" w:name="_Toc31827"/>
      <w:bookmarkStart w:id="17" w:name="_Toc5116"/>
      <w:r>
        <w:rPr>
          <w:rFonts w:hint="eastAsia" w:ascii="宋体" w:hAnsi="宋体" w:cs="宋体"/>
          <w:b/>
          <w:bCs/>
          <w:color w:val="000000" w:themeColor="text1"/>
          <w:sz w:val="24"/>
          <w14:textFill>
            <w14:solidFill>
              <w14:schemeClr w14:val="tx1"/>
            </w14:solidFill>
          </w14:textFill>
        </w:rPr>
        <w:t>1、投标文件密封袋/封面参考</w:t>
      </w:r>
      <w:bookmarkEnd w:id="14"/>
      <w:bookmarkEnd w:id="15"/>
      <w:bookmarkEnd w:id="16"/>
      <w:bookmarkEnd w:id="17"/>
    </w:p>
    <w:tbl>
      <w:tblPr>
        <w:tblStyle w:val="16"/>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2"/>
              <w:tabs>
                <w:tab w:val="left" w:pos="562"/>
                <w:tab w:val="left" w:pos="3372"/>
                <w:tab w:val="left" w:pos="3653"/>
              </w:tabs>
              <w:spacing w:line="360" w:lineRule="auto"/>
              <w:rPr>
                <w:rFonts w:hint="eastAsia" w:ascii="仿宋_GB2312" w:eastAsia="仿宋_GB2312"/>
                <w:b/>
                <w:color w:val="000000" w:themeColor="text1"/>
                <w:sz w:val="32"/>
                <w:lang w:val="en-US" w:eastAsia="zh-CN"/>
                <w14:textFill>
                  <w14:solidFill>
                    <w14:schemeClr w14:val="tx1"/>
                  </w14:solidFill>
                </w14:textFill>
              </w:rPr>
            </w:pPr>
          </w:p>
          <w:p>
            <w:pPr>
              <w:pStyle w:val="2"/>
              <w:tabs>
                <w:tab w:val="left" w:pos="562"/>
                <w:tab w:val="left" w:pos="3372"/>
                <w:tab w:val="left" w:pos="3653"/>
              </w:tabs>
              <w:spacing w:line="360" w:lineRule="auto"/>
              <w:jc w:val="center"/>
              <w:rPr>
                <w:rFonts w:hint="eastAsia" w:ascii="黑体" w:eastAsia="黑体"/>
                <w:b/>
                <w:color w:val="000000" w:themeColor="text1"/>
                <w:sz w:val="72"/>
                <w:szCs w:val="72"/>
                <w:lang w:val="en-US" w:eastAsia="zh-CN"/>
                <w14:textFill>
                  <w14:solidFill>
                    <w14:schemeClr w14:val="tx1"/>
                  </w14:solidFill>
                </w14:textFill>
              </w:rPr>
            </w:pPr>
          </w:p>
          <w:p>
            <w:pPr>
              <w:pStyle w:val="2"/>
              <w:tabs>
                <w:tab w:val="left" w:pos="562"/>
                <w:tab w:val="left" w:pos="3372"/>
                <w:tab w:val="left" w:pos="3653"/>
              </w:tabs>
              <w:spacing w:line="360" w:lineRule="auto"/>
              <w:jc w:val="center"/>
              <w:rPr>
                <w:rFonts w:hint="eastAsia" w:ascii="黑体" w:eastAsia="黑体"/>
                <w:b/>
                <w:color w:val="000000" w:themeColor="text1"/>
                <w:sz w:val="72"/>
                <w:szCs w:val="72"/>
                <w:lang w:val="en-US" w:eastAsia="zh-CN"/>
                <w14:textFill>
                  <w14:solidFill>
                    <w14:schemeClr w14:val="tx1"/>
                  </w14:solidFill>
                </w14:textFill>
              </w:rPr>
            </w:pPr>
            <w:r>
              <w:rPr>
                <w:rFonts w:hint="eastAsia" w:ascii="黑体" w:eastAsia="黑体"/>
                <w:b/>
                <w:color w:val="000000" w:themeColor="text1"/>
                <w:sz w:val="72"/>
                <w:szCs w:val="72"/>
                <w:lang w:val="en-US" w:eastAsia="zh-CN"/>
                <w14:textFill>
                  <w14:solidFill>
                    <w14:schemeClr w14:val="tx1"/>
                  </w14:solidFill>
                </w14:textFill>
              </w:rPr>
              <w:t>投 标 文 件</w:t>
            </w:r>
          </w:p>
          <w:p>
            <w:pPr>
              <w:pStyle w:val="2"/>
              <w:tabs>
                <w:tab w:val="left" w:pos="562"/>
                <w:tab w:val="left" w:pos="3372"/>
                <w:tab w:val="left" w:pos="3653"/>
              </w:tabs>
              <w:spacing w:line="360" w:lineRule="auto"/>
              <w:jc w:val="center"/>
              <w:rPr>
                <w:rFonts w:hint="eastAsia" w:ascii="黑体" w:eastAsia="黑体"/>
                <w:b/>
                <w:strike/>
                <w:color w:val="000000" w:themeColor="text1"/>
                <w:sz w:val="32"/>
                <w:lang w:val="en-US" w:eastAsia="zh-CN"/>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hint="eastAsia" w:ascii="仿宋_GB2312" w:eastAsia="仿宋_GB2312"/>
                <w:b/>
                <w:color w:val="000000" w:themeColor="text1"/>
                <w:sz w:val="32"/>
                <w:lang w:val="en-US" w:eastAsia="zh-CN"/>
                <w14:textFill>
                  <w14:solidFill>
                    <w14:schemeClr w14:val="tx1"/>
                  </w14:solidFill>
                </w14:textFill>
              </w:rPr>
            </w:pPr>
          </w:p>
          <w:p>
            <w:pPr>
              <w:rPr>
                <w:rFonts w:hint="eastAsia"/>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仿宋_GB2312" w:eastAsia="仿宋_GB2312"/>
                <w:b/>
                <w:color w:val="000000" w:themeColor="text1"/>
                <w:sz w:val="28"/>
                <w:szCs w:val="28"/>
                <w:lang w:val="en-US" w:eastAsia="zh-CN"/>
                <w14:textFill>
                  <w14:solidFill>
                    <w14:schemeClr w14:val="tx1"/>
                  </w14:solidFill>
                </w14:textFill>
              </w:rPr>
            </w:pPr>
          </w:p>
          <w:p>
            <w:pPr>
              <w:pStyle w:val="2"/>
              <w:tabs>
                <w:tab w:val="left" w:pos="562"/>
                <w:tab w:val="left" w:pos="3372"/>
                <w:tab w:val="left" w:pos="3653"/>
              </w:tabs>
              <w:spacing w:line="400" w:lineRule="exact"/>
              <w:ind w:firstLine="900" w:firstLineChars="320"/>
              <w:rPr>
                <w:rFonts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项目编号：</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项目名称：</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投标人名称：</w:t>
            </w:r>
            <w:r>
              <w:rPr>
                <w:rFonts w:hint="eastAsia" w:ascii="宋体" w:hAnsi="宋体" w:cs="Arial"/>
                <w:b/>
                <w:bCs/>
                <w:color w:val="000000" w:themeColor="text1"/>
                <w:sz w:val="28"/>
                <w:szCs w:val="28"/>
                <w:u w:val="single"/>
                <w:lang w:val="en-US" w:eastAsia="zh-CN"/>
                <w14:textFill>
                  <w14:solidFill>
                    <w14:schemeClr w14:val="tx1"/>
                  </w14:solidFill>
                </w14:textFill>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投标人地址：</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ascii="宋体" w:hAnsi="宋体" w:cs="Arial"/>
                <w:b/>
                <w:bCs/>
                <w:color w:val="000000" w:themeColor="text1"/>
                <w:sz w:val="28"/>
                <w:szCs w:val="28"/>
                <w:u w:val="single"/>
                <w:lang w:val="en-US" w:eastAsia="zh-CN"/>
                <w14:textFill>
                  <w14:solidFill>
                    <w14:schemeClr w14:val="tx1"/>
                  </w14:solidFill>
                </w14:textFill>
              </w:rPr>
            </w:pPr>
            <w:r>
              <w:rPr>
                <w:rFonts w:hint="eastAsia" w:ascii="宋体" w:hAnsi="宋体" w:cs="Arial"/>
                <w:b/>
                <w:bCs/>
                <w:color w:val="000000" w:themeColor="text1"/>
                <w:sz w:val="28"/>
                <w:szCs w:val="28"/>
                <w:lang w:val="en-US" w:eastAsia="zh-CN"/>
                <w14:textFill>
                  <w14:solidFill>
                    <w14:schemeClr w14:val="tx1"/>
                  </w14:solidFill>
                </w14:textFill>
              </w:rPr>
              <w:t>法定代表人/被授权人：</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Arial"/>
                <w:b/>
                <w:bCs/>
                <w:color w:val="000000" w:themeColor="text1"/>
                <w:sz w:val="28"/>
                <w:szCs w:val="28"/>
                <w:lang w:val="en-US" w:eastAsia="zh-CN"/>
                <w14:textFill>
                  <w14:solidFill>
                    <w14:schemeClr w14:val="tx1"/>
                  </w14:solidFill>
                </w14:textFill>
              </w:rPr>
              <w:t>联系电话：</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18" w:name="_Toc16724"/>
      <w:r>
        <w:rPr>
          <w:rFonts w:hint="eastAsia" w:ascii="宋体" w:hAnsi="宋体" w:cs="宋体"/>
          <w:b/>
          <w:color w:val="000000" w:themeColor="text1"/>
          <w:sz w:val="24"/>
          <w14:textFill>
            <w14:solidFill>
              <w14:schemeClr w14:val="tx1"/>
            </w14:solidFill>
          </w14:textFill>
        </w:rPr>
        <w:t>2、投标文件—目录</w:t>
      </w:r>
      <w:bookmarkEnd w:id="18"/>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投标人编制经验；</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项目负责人要求（1人）；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项目团队成员（项目负责人除外）；</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项目背景理解分析；</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000000" w:themeColor="text1"/>
          <w:sz w:val="24"/>
          <w:lang w:val="zh-CN"/>
          <w14:textFill>
            <w14:solidFill>
              <w14:schemeClr w14:val="tx1"/>
            </w14:solidFill>
          </w14:textFill>
        </w:rPr>
        <w:t>设计</w:t>
      </w:r>
      <w:r>
        <w:rPr>
          <w:rFonts w:hint="eastAsia" w:ascii="宋体" w:hAnsi="宋体" w:cs="宋体"/>
          <w:color w:val="000000" w:themeColor="text1"/>
          <w:sz w:val="24"/>
          <w:lang w:val="en-US" w:eastAsia="zh-CN"/>
          <w14:textFill>
            <w14:solidFill>
              <w14:schemeClr w14:val="tx1"/>
            </w14:solidFill>
          </w14:textFill>
        </w:rPr>
        <w:t>思路及理念</w:t>
      </w:r>
      <w:r>
        <w:rPr>
          <w:rFonts w:hint="eastAsia" w:ascii="宋体" w:hAnsi="宋体" w:cs="宋体"/>
          <w:color w:val="auto"/>
          <w:sz w:val="24"/>
          <w:lang w:val="fr-CH"/>
        </w:rPr>
        <w:t>；</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工作进度及质量保障措施；</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后续服务；</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noWrap w:val="0"/>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53" w:hRule="atLeast"/>
        </w:trPr>
        <w:tc>
          <w:tcPr>
            <w:tcW w:w="3484"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noWrap w:val="0"/>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rFonts w:hint="eastAsia"/>
          <w:color w:val="000000" w:themeColor="text1"/>
          <w14:textFill>
            <w14:solidFill>
              <w14:schemeClr w14:val="tx1"/>
            </w14:solidFill>
          </w14:textFill>
        </w:rPr>
      </w:pP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序号</w:t>
            </w:r>
          </w:p>
        </w:tc>
        <w:tc>
          <w:tcPr>
            <w:tcW w:w="2212"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项目名称、内容</w:t>
            </w: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单位</w:t>
            </w: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数量（工作量）</w:t>
            </w: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单价</w:t>
            </w: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1</w:t>
            </w:r>
          </w:p>
        </w:tc>
        <w:tc>
          <w:tcPr>
            <w:tcW w:w="2212"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w:t>
            </w:r>
          </w:p>
        </w:tc>
        <w:tc>
          <w:tcPr>
            <w:tcW w:w="2212"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w:t>
            </w:r>
          </w:p>
        </w:tc>
        <w:tc>
          <w:tcPr>
            <w:tcW w:w="7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80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c>
          <w:tcPr>
            <w:tcW w:w="1620" w:type="dxa"/>
            <w:noWrap w:val="0"/>
            <w:vAlign w:val="center"/>
          </w:tcPr>
          <w:p>
            <w:pPr>
              <w:pStyle w:val="8"/>
              <w:spacing w:line="360" w:lineRule="auto"/>
              <w:jc w:val="center"/>
              <w:rPr>
                <w:rFonts w:hint="eastAsia" w:hAnsi="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8"/>
              <w:spacing w:line="360" w:lineRule="auto"/>
              <w:rPr>
                <w:rFonts w:hint="eastAsia"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lang w:val="en-US" w:eastAsia="zh-CN"/>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rFonts w:hint="eastAsia"/>
          <w:color w:val="000000" w:themeColor="text1"/>
          <w14:textFill>
            <w14:solidFill>
              <w14:schemeClr w14:val="tx1"/>
            </w14:solidFill>
          </w14:textFill>
        </w:rPr>
      </w:pP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投标人必须具有建筑行业建筑工程乙级或以上资质（投标人提供资质证书复印件加盖公章</w:t>
      </w:r>
      <w:r>
        <w:rPr>
          <w:rFonts w:hint="eastAsia" w:ascii="宋体" w:hAnsi="宋体" w:cs="宋体"/>
          <w:color w:val="000000" w:themeColor="text1"/>
          <w:sz w:val="24"/>
          <w:lang w:val="fr-CH"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原件备查</w:t>
      </w:r>
      <w:r>
        <w:rPr>
          <w:rFonts w:hint="eastAsia" w:ascii="宋体" w:hAnsi="宋体" w:cs="宋体"/>
          <w:color w:val="000000" w:themeColor="text1"/>
          <w:sz w:val="24"/>
          <w:lang w:val="fr-CH"/>
          <w14:textFill>
            <w14:solidFill>
              <w14:schemeClr w14:val="tx1"/>
            </w14:solidFill>
          </w14:textFill>
        </w:rPr>
        <w:t>）</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至投标截止时间，我单位未有在“信用中国”网（www.creditchina.gov.cn）、中国政府采购网（www.ccgp.gov.cn）、深圳市政府采购监督管理网（zfcg.sz.gov.cn）和“国家企业信用信息公示系统（www.gsxt.gov.cn）等</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eastAsia="宋体" w:cs="宋体"/>
          <w:color w:val="000000" w:themeColor="text1"/>
          <w:sz w:val="24"/>
          <w14:textFill>
            <w14:solidFill>
              <w14:schemeClr w14:val="tx1"/>
            </w14:solidFill>
          </w14:textFill>
        </w:rPr>
        <w:t>承诺</w:t>
      </w:r>
      <w:r>
        <w:rPr>
          <w:rFonts w:hint="eastAsia" w:ascii="宋体" w:hAnsi="宋体" w:cs="宋体"/>
          <w:color w:val="000000" w:themeColor="text1"/>
          <w:sz w:val="24"/>
          <w14:textFill>
            <w14:solidFill>
              <w14:schemeClr w14:val="tx1"/>
            </w14:solidFill>
          </w14:textFill>
        </w:rPr>
        <w:t>“本单位（公司）不存在《深圳市财政局政府采购供应商信用信息管理办法》（深财规〔2023〕3号）列明的严重违法失信行为。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w:t>
      </w:r>
      <w:r>
        <w:rPr>
          <w:rFonts w:ascii="宋体" w:hAnsi="宋体" w:cs="宋体"/>
          <w:color w:val="000000" w:themeColor="text1"/>
          <w:sz w:val="24"/>
          <w14:textFill>
            <w14:solidFill>
              <w14:schemeClr w14:val="tx1"/>
            </w14:solidFill>
          </w14:textFill>
        </w:rPr>
        <w:t>定代表</w:t>
      </w:r>
      <w:r>
        <w:rPr>
          <w:rFonts w:hint="eastAsia" w:ascii="宋体" w:hAnsi="宋体" w:cs="宋体"/>
          <w:color w:val="000000" w:themeColor="text1"/>
          <w:sz w:val="24"/>
          <w:lang w:val="fr-CH"/>
          <w14:textFill>
            <w14:solidFill>
              <w14:schemeClr w14:val="tx1"/>
            </w14:solidFill>
          </w14:textFill>
        </w:rPr>
        <w:t>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8"/>
              <w:spacing w:line="360" w:lineRule="auto"/>
              <w:rPr>
                <w:rFonts w:ascii="Arial Narrow" w:hAnsi="Arial Narrow"/>
                <w:b/>
                <w:bCs/>
                <w:color w:val="000000" w:themeColor="text1"/>
                <w:szCs w:val="21"/>
                <w:lang w:val="en-US" w:eastAsia="zh-CN"/>
                <w14:textFill>
                  <w14:solidFill>
                    <w14:schemeClr w14:val="tx1"/>
                  </w14:solidFill>
                </w14:textFill>
              </w:rPr>
            </w:pPr>
          </w:p>
        </w:tc>
        <w:tc>
          <w:tcPr>
            <w:tcW w:w="4240" w:type="dxa"/>
            <w:noWrap w:val="0"/>
            <w:vAlign w:val="top"/>
          </w:tcPr>
          <w:p>
            <w:pPr>
              <w:pStyle w:val="8"/>
              <w:spacing w:line="360" w:lineRule="auto"/>
              <w:rPr>
                <w:rFonts w:ascii="Arial Narrow" w:hAnsi="Arial Narrow"/>
                <w:b/>
                <w:bCs/>
                <w:color w:val="000000" w:themeColor="text1"/>
                <w:szCs w:val="21"/>
                <w:lang w:val="en-US" w:eastAsia="zh-CN"/>
                <w14:textFill>
                  <w14:solidFill>
                    <w14:schemeClr w14:val="tx1"/>
                  </w14:solidFill>
                </w14:textFill>
              </w:rPr>
            </w:pPr>
          </w:p>
        </w:tc>
      </w:tr>
    </w:tbl>
    <w:p>
      <w:pPr>
        <w:pStyle w:val="2"/>
        <w:rPr>
          <w:rFonts w:hint="eastAsia"/>
          <w:color w:val="000000" w:themeColor="text1"/>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8"/>
        <w:spacing w:line="360" w:lineRule="auto"/>
        <w:jc w:val="center"/>
        <w:rPr>
          <w:rFonts w:hint="eastAsia" w:hAnsi="宋体" w:cs="宋体"/>
          <w:b/>
          <w:color w:val="000000" w:themeColor="text1"/>
          <w:sz w:val="24"/>
          <w14:textFill>
            <w14:solidFill>
              <w14:schemeClr w14:val="tx1"/>
            </w14:solidFill>
          </w14:textFill>
        </w:rPr>
      </w:pPr>
    </w:p>
    <w:p>
      <w:pPr>
        <w:pStyle w:val="8"/>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8"/>
        <w:spacing w:line="360" w:lineRule="auto"/>
        <w:rPr>
          <w:rFonts w:hint="eastAsia" w:hAnsi="宋体" w:cs="宋体"/>
          <w:color w:val="000000" w:themeColor="text1"/>
          <w:sz w:val="24"/>
          <w14:textFill>
            <w14:solidFill>
              <w14:schemeClr w14:val="tx1"/>
            </w14:solidFill>
          </w14:textFill>
        </w:rPr>
      </w:pPr>
    </w:p>
    <w:p>
      <w:pPr>
        <w:pStyle w:val="8"/>
        <w:spacing w:line="360" w:lineRule="auto"/>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8"/>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8"/>
              <w:spacing w:line="360" w:lineRule="auto"/>
              <w:rPr>
                <w:rFonts w:ascii="Arial Narrow" w:hAnsi="Arial Narrow"/>
                <w:b/>
                <w:bCs/>
                <w:color w:val="000000" w:themeColor="text1"/>
                <w:szCs w:val="21"/>
                <w:lang w:val="en-US" w:eastAsia="zh-CN"/>
                <w14:textFill>
                  <w14:solidFill>
                    <w14:schemeClr w14:val="tx1"/>
                  </w14:solidFill>
                </w14:textFill>
              </w:rPr>
            </w:pPr>
          </w:p>
        </w:tc>
        <w:tc>
          <w:tcPr>
            <w:tcW w:w="4677" w:type="dxa"/>
            <w:noWrap w:val="0"/>
            <w:vAlign w:val="top"/>
          </w:tcPr>
          <w:p>
            <w:pPr>
              <w:pStyle w:val="8"/>
              <w:spacing w:line="360" w:lineRule="auto"/>
              <w:rPr>
                <w:rFonts w:ascii="Arial Narrow" w:hAnsi="Arial Narrow"/>
                <w:b/>
                <w:bCs/>
                <w:color w:val="000000" w:themeColor="text1"/>
                <w:szCs w:val="21"/>
                <w:lang w:val="en-US" w:eastAsia="zh-CN"/>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rFonts w:hint="eastAsia"/>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8"/>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8"/>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（6）开户帐号：___________________________________________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rFonts w:hint="eastAsia"/>
          <w:color w:val="000000" w:themeColor="text1"/>
          <w:lang w:val="fr-CH"/>
          <w14:textFill>
            <w14:solidFill>
              <w14:schemeClr w14:val="tx1"/>
            </w14:solidFill>
          </w14:textFill>
        </w:rPr>
      </w:pPr>
    </w:p>
    <w:p>
      <w:pPr>
        <w:numPr>
          <w:ilvl w:val="0"/>
          <w:numId w:val="12"/>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投标人编制经验</w:t>
      </w:r>
      <w:r>
        <w:rPr>
          <w:rFonts w:hint="eastAsia" w:ascii="宋体" w:hAnsi="宋体" w:cs="宋体"/>
          <w:color w:val="000000" w:themeColor="text1"/>
          <w:sz w:val="24"/>
          <w14:textFill>
            <w14:solidFill>
              <w14:schemeClr w14:val="tx1"/>
            </w14:solidFill>
          </w14:textFill>
        </w:rPr>
        <w:t>；</w:t>
      </w:r>
    </w:p>
    <w:p>
      <w:pPr>
        <w:numPr>
          <w:ilvl w:val="0"/>
          <w:numId w:val="12"/>
        </w:numPr>
        <w:tabs>
          <w:tab w:val="left" w:pos="640"/>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项目负责人要求（1人）</w:t>
      </w:r>
      <w:r>
        <w:rPr>
          <w:rFonts w:hint="eastAsia" w:ascii="宋体" w:hAnsi="宋体" w:cs="宋体"/>
          <w:color w:val="000000" w:themeColor="text1"/>
          <w:sz w:val="24"/>
          <w14:textFill>
            <w14:solidFill>
              <w14:schemeClr w14:val="tx1"/>
            </w14:solidFill>
          </w14:textFill>
        </w:rPr>
        <w:t>；</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项目团队成员（项目负责人除外）</w:t>
      </w:r>
      <w:r>
        <w:rPr>
          <w:rFonts w:hint="eastAsia" w:ascii="宋体" w:hAnsi="宋体" w:cs="宋体"/>
          <w:color w:val="000000" w:themeColor="text1"/>
          <w:sz w:val="24"/>
          <w14:textFill>
            <w14:solidFill>
              <w14:schemeClr w14:val="tx1"/>
            </w14:solidFill>
          </w14:textFill>
        </w:rPr>
        <w:t>；</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我公司（单位）参与贵代理机构组织的项目（项目编号：）投标，现就诚信作如下声明与承诺：</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spacing w:line="360" w:lineRule="auto"/>
        <w:jc w:val="left"/>
        <w:rPr>
          <w:rFonts w:hint="eastAsia" w:hAnsi="宋体" w:cs="宋体"/>
          <w:color w:val="000000" w:themeColor="text1"/>
          <w:sz w:val="24"/>
          <w14:textFill>
            <w14:solidFill>
              <w14:schemeClr w14:val="tx1"/>
            </w14:solidFill>
          </w14:textFill>
        </w:rPr>
      </w:pPr>
    </w:p>
    <w:p>
      <w:pPr>
        <w:pStyle w:val="8"/>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rFonts w:hint="eastAsia"/>
          <w:color w:val="000000" w:themeColor="text1"/>
          <w:lang w:val="fr-CH"/>
          <w14:textFill>
            <w14:solidFill>
              <w14:schemeClr w14:val="tx1"/>
            </w14:solidFill>
          </w14:textFill>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6"/>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241"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191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noWrap w:val="0"/>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1917" w:type="dxa"/>
            <w:noWrap w:val="0"/>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rFonts w:hint="eastAsia"/>
          <w:color w:val="000000" w:themeColor="text1"/>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auto"/>
          <w:sz w:val="24"/>
          <w:lang w:val="sq-AL"/>
        </w:rPr>
        <w:t>项目背景理解分析；</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000000" w:themeColor="text1"/>
          <w:sz w:val="24"/>
          <w:lang w:val="zh-CN"/>
          <w14:textFill>
            <w14:solidFill>
              <w14:schemeClr w14:val="tx1"/>
            </w14:solidFill>
          </w14:textFill>
        </w:rPr>
        <w:t>设计</w:t>
      </w:r>
      <w:r>
        <w:rPr>
          <w:rFonts w:hint="eastAsia" w:ascii="宋体" w:hAnsi="宋体" w:cs="宋体"/>
          <w:color w:val="000000" w:themeColor="text1"/>
          <w:sz w:val="24"/>
          <w:lang w:val="en-US" w:eastAsia="zh-CN"/>
          <w14:textFill>
            <w14:solidFill>
              <w14:schemeClr w14:val="tx1"/>
            </w14:solidFill>
          </w14:textFill>
        </w:rPr>
        <w:t>思路及理念</w:t>
      </w:r>
      <w:r>
        <w:rPr>
          <w:rFonts w:hint="eastAsia" w:ascii="宋体" w:hAnsi="宋体" w:cs="宋体"/>
          <w:color w:val="auto"/>
          <w:sz w:val="24"/>
          <w:lang w:val="sq-AL"/>
        </w:rPr>
        <w:t>；</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工作进度及质量保障措施；</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后续服务；</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13"/>
      <w:r>
        <w:rPr>
          <w:rFonts w:hint="eastAsia" w:ascii="宋体" w:hAnsi="宋体" w:cs="宋体"/>
          <w:color w:val="000000" w:themeColor="text1"/>
          <w:sz w:val="24"/>
          <w:lang w:val="fr-CH"/>
          <w14:textFill>
            <w14:solidFill>
              <w14:schemeClr w14:val="tx1"/>
            </w14:solidFill>
          </w14:textFill>
        </w:rPr>
        <w:t>（投标人可根据实际情况按照附件的格式提供中小微企业声明函）</w:t>
      </w:r>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19" w:name="_Toc21876"/>
      <w:bookmarkStart w:id="20" w:name="_Toc6251"/>
      <w:r>
        <w:rPr>
          <w:rFonts w:hint="eastAsia" w:ascii="宋体" w:hAnsi="宋体" w:cs="宋体"/>
          <w:b/>
          <w:bCs/>
          <w:color w:val="000000" w:themeColor="text1"/>
          <w:sz w:val="24"/>
          <w14:textFill>
            <w14:solidFill>
              <w14:schemeClr w14:val="tx1"/>
            </w14:solidFill>
          </w14:textFill>
        </w:rPr>
        <w:t>附件：相关政策</w:t>
      </w:r>
      <w:bookmarkEnd w:id="19"/>
      <w:bookmarkEnd w:id="20"/>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bookmarkStart w:id="21" w:name="_Toc22740"/>
      <w:r>
        <w:rPr>
          <w:rFonts w:hint="eastAsia" w:ascii="宋体" w:hAnsi="宋体" w:cs="宋体"/>
          <w:color w:val="000000" w:themeColor="text1"/>
          <w:kern w:val="0"/>
          <w14:textFill>
            <w14:solidFill>
              <w14:schemeClr w14:val="tx1"/>
            </w14:solidFill>
          </w14:textFill>
        </w:rPr>
        <w:t>附：1.中小企业声明函</w:t>
      </w:r>
      <w:bookmarkEnd w:id="21"/>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bookmarkStart w:id="22" w:name="_Toc19930"/>
      <w:r>
        <w:rPr>
          <w:rFonts w:hint="eastAsia" w:ascii="宋体" w:hAnsi="宋体" w:cs="宋体"/>
          <w:b/>
          <w:bCs/>
          <w:color w:val="000000" w:themeColor="text1"/>
          <w14:textFill>
            <w14:solidFill>
              <w14:schemeClr w14:val="tx1"/>
            </w14:solidFill>
          </w14:textFill>
        </w:rPr>
        <w:t>附 1</w:t>
      </w:r>
      <w:bookmarkEnd w:id="22"/>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6"/>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noWrap w:val="0"/>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noWrap w:val="0"/>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noWrap w:val="0"/>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noWrap w:val="0"/>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27"/>
              <w:jc w:val="center"/>
              <w:rPr>
                <w:rFonts w:hint="eastAsia"/>
                <w:color w:val="000000" w:themeColor="text1"/>
                <w:sz w:val="24"/>
                <w:szCs w:val="24"/>
                <w14:textFill>
                  <w14:solidFill>
                    <w14:schemeClr w14:val="tx1"/>
                  </w14:solidFill>
                </w14:textFill>
              </w:rPr>
            </w:pPr>
          </w:p>
        </w:tc>
        <w:tc>
          <w:tcPr>
            <w:tcW w:w="1866" w:type="dxa"/>
            <w:tcBorders>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restart"/>
            <w:noWrap w:val="0"/>
            <w:vAlign w:val="center"/>
          </w:tcPr>
          <w:p>
            <w:pPr>
              <w:pStyle w:val="27"/>
              <w:jc w:val="center"/>
              <w:rPr>
                <w:rFonts w:hint="eastAsia"/>
                <w:color w:val="000000" w:themeColor="text1"/>
                <w:sz w:val="24"/>
                <w:szCs w:val="24"/>
                <w14:textFill>
                  <w14:solidFill>
                    <w14:schemeClr w14:val="tx1"/>
                  </w14:solidFill>
                </w14:textFill>
              </w:rPr>
            </w:pPr>
          </w:p>
          <w:p>
            <w:pPr>
              <w:pStyle w:val="27"/>
              <w:jc w:val="center"/>
              <w:rPr>
                <w:rFonts w:hint="eastAsia"/>
                <w:color w:val="000000" w:themeColor="text1"/>
                <w:sz w:val="24"/>
                <w:szCs w:val="24"/>
                <w14:textFill>
                  <w14:solidFill>
                    <w14:schemeClr w14:val="tx1"/>
                  </w14:solidFill>
                </w14:textFill>
              </w:rPr>
            </w:pPr>
          </w:p>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tcBorders>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noWrap w:val="0"/>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noWrap w:val="0"/>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noWrap w:val="0"/>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6"/>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noWrap w:val="0"/>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noWrap w:val="0"/>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4"/>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23" w:name="sendNo"/>
      <w:r>
        <w:rPr>
          <w:rFonts w:hint="eastAsia"/>
          <w:color w:val="000000" w:themeColor="text1"/>
          <w14:textFill>
            <w14:solidFill>
              <w14:schemeClr w14:val="tx1"/>
            </w14:solidFill>
          </w14:textFill>
        </w:rPr>
        <w:t>财库〔</w:t>
      </w:r>
      <w:bookmarkEnd w:id="23"/>
      <w:r>
        <w:rPr>
          <w:rFonts w:hint="eastAsia"/>
          <w:color w:val="000000" w:themeColor="text1"/>
          <w14:textFill>
            <w14:solidFill>
              <w14:schemeClr w14:val="tx1"/>
            </w14:solidFill>
          </w14:textFill>
        </w:rPr>
        <w:t>2017〕141号</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24"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4"/>
      <w:r>
        <w:rPr>
          <w:rFonts w:hint="eastAsia"/>
          <w:color w:val="000000" w:themeColor="text1"/>
          <w14:textFill>
            <w14:solidFill>
              <w14:schemeClr w14:val="tx1"/>
            </w14:solidFill>
          </w14:textFill>
        </w:rPr>
        <w:t>：</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8"/>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8"/>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29"/>
          <w:rFonts w:hint="eastAsia"/>
          <w:b/>
          <w:bCs/>
          <w:color w:val="000000" w:themeColor="text1"/>
          <w14:textFill>
            <w14:solidFill>
              <w14:schemeClr w14:val="tx1"/>
            </w14:solidFill>
          </w14:textFill>
        </w:rPr>
        <w:t>残疾人福利性单位声明函</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本单位对上述声明的真实性负责。如有虚假，将依法承担相应责任。</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8"/>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单位名称（盖章）：</w:t>
      </w:r>
    </w:p>
    <w:p>
      <w:pPr>
        <w:pStyle w:val="28"/>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29"/>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pStyle w:val="23"/>
        <w:rPr>
          <w:rFonts w:hint="eastAsia"/>
          <w:color w:val="000000" w:themeColor="text1"/>
          <w:lang w:val="fr-CH"/>
          <w14:textFill>
            <w14:solidFill>
              <w14:schemeClr w14:val="tx1"/>
            </w14:solidFill>
          </w14:textFill>
        </w:rPr>
      </w:pPr>
    </w:p>
    <w:p>
      <w:pPr>
        <w:rPr>
          <w:color w:val="000000" w:themeColor="text1"/>
          <w14:textFill>
            <w14:solidFill>
              <w14:schemeClr w14:val="tx1"/>
            </w14:solidFill>
          </w14:textFill>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9"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BFFEB4E7"/>
    <w:multiLevelType w:val="singleLevel"/>
    <w:tmpl w:val="BFFEB4E7"/>
    <w:lvl w:ilvl="0" w:tentative="0">
      <w:start w:val="1"/>
      <w:numFmt w:val="decimal"/>
      <w:suff w:val="nothing"/>
      <w:lvlText w:val="（%1）"/>
      <w:lvlJc w:val="left"/>
      <w:pPr>
        <w:ind w:left="480" w:firstLine="0"/>
      </w:pPr>
    </w:lvl>
  </w:abstractNum>
  <w:abstractNum w:abstractNumId="6">
    <w:nsid w:val="CBCC1AFC"/>
    <w:multiLevelType w:val="singleLevel"/>
    <w:tmpl w:val="CBCC1AFC"/>
    <w:lvl w:ilvl="0" w:tentative="0">
      <w:start w:val="5"/>
      <w:numFmt w:val="decimal"/>
      <w:suff w:val="nothing"/>
      <w:lvlText w:val="%1、"/>
      <w:lvlJc w:val="left"/>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9"/>
  </w:num>
  <w:num w:numId="5">
    <w:abstractNumId w:val="5"/>
  </w:num>
  <w:num w:numId="6">
    <w:abstractNumId w:val="6"/>
  </w:num>
  <w:num w:numId="7">
    <w:abstractNumId w:val="10"/>
  </w:num>
  <w:num w:numId="8">
    <w:abstractNumId w:val="3"/>
  </w:num>
  <w:num w:numId="9">
    <w:abstractNumId w:val="7"/>
  </w:num>
  <w:num w:numId="10">
    <w:abstractNumId w:val="1"/>
  </w:num>
  <w:num w:numId="11">
    <w:abstractNumId w:val="0"/>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g1MzhlNzBjNjZlOTRmNDM3N2Q5YjFjYTUzMjQifQ=="/>
    <w:docVar w:name="KSO_WPS_MARK_KEY" w:val="6c52a594-fa24-4eda-8bdf-1df5baad3362"/>
  </w:docVars>
  <w:rsids>
    <w:rsidRoot w:val="6F152D9A"/>
    <w:rsid w:val="00160C9E"/>
    <w:rsid w:val="00225B4F"/>
    <w:rsid w:val="0043659A"/>
    <w:rsid w:val="009E70F5"/>
    <w:rsid w:val="00A641FB"/>
    <w:rsid w:val="00D977C1"/>
    <w:rsid w:val="00DE5743"/>
    <w:rsid w:val="01115867"/>
    <w:rsid w:val="01211AD4"/>
    <w:rsid w:val="0159301C"/>
    <w:rsid w:val="016F283F"/>
    <w:rsid w:val="01AA3877"/>
    <w:rsid w:val="01BF5575"/>
    <w:rsid w:val="01E44FDB"/>
    <w:rsid w:val="02025461"/>
    <w:rsid w:val="022618D2"/>
    <w:rsid w:val="02274EC8"/>
    <w:rsid w:val="023B0973"/>
    <w:rsid w:val="028777DE"/>
    <w:rsid w:val="02881E0B"/>
    <w:rsid w:val="02B823D3"/>
    <w:rsid w:val="031134B4"/>
    <w:rsid w:val="0341645D"/>
    <w:rsid w:val="03990047"/>
    <w:rsid w:val="03E219EE"/>
    <w:rsid w:val="04180E5A"/>
    <w:rsid w:val="042277B0"/>
    <w:rsid w:val="044602CC"/>
    <w:rsid w:val="04A005CC"/>
    <w:rsid w:val="04AE0329"/>
    <w:rsid w:val="04B50EB1"/>
    <w:rsid w:val="04C63705"/>
    <w:rsid w:val="04CD61FB"/>
    <w:rsid w:val="04EB73BD"/>
    <w:rsid w:val="04F419D9"/>
    <w:rsid w:val="04FF037E"/>
    <w:rsid w:val="05094D59"/>
    <w:rsid w:val="05B67B5F"/>
    <w:rsid w:val="05C27B11"/>
    <w:rsid w:val="05F6352F"/>
    <w:rsid w:val="06336033"/>
    <w:rsid w:val="06625E2E"/>
    <w:rsid w:val="069E458D"/>
    <w:rsid w:val="06BE2A9A"/>
    <w:rsid w:val="06C44D16"/>
    <w:rsid w:val="06ED5932"/>
    <w:rsid w:val="070D6D82"/>
    <w:rsid w:val="07234BC7"/>
    <w:rsid w:val="072F63A4"/>
    <w:rsid w:val="0744651C"/>
    <w:rsid w:val="07787DB5"/>
    <w:rsid w:val="077961C6"/>
    <w:rsid w:val="07AC659B"/>
    <w:rsid w:val="07FD54F6"/>
    <w:rsid w:val="081447CD"/>
    <w:rsid w:val="087C541A"/>
    <w:rsid w:val="08876895"/>
    <w:rsid w:val="088C3CD7"/>
    <w:rsid w:val="08950582"/>
    <w:rsid w:val="08B60D54"/>
    <w:rsid w:val="08E57A87"/>
    <w:rsid w:val="08F43C68"/>
    <w:rsid w:val="08F70DBA"/>
    <w:rsid w:val="09300B06"/>
    <w:rsid w:val="09491BC8"/>
    <w:rsid w:val="09644C54"/>
    <w:rsid w:val="09823515"/>
    <w:rsid w:val="09F77876"/>
    <w:rsid w:val="0A0032E9"/>
    <w:rsid w:val="0A5E16A3"/>
    <w:rsid w:val="0A602146"/>
    <w:rsid w:val="0A825391"/>
    <w:rsid w:val="0A8351D4"/>
    <w:rsid w:val="0A8A693C"/>
    <w:rsid w:val="0AA72E75"/>
    <w:rsid w:val="0AB56E5C"/>
    <w:rsid w:val="0AB85257"/>
    <w:rsid w:val="0B4A1826"/>
    <w:rsid w:val="0B7B37EB"/>
    <w:rsid w:val="0B9510F4"/>
    <w:rsid w:val="0BB91DF1"/>
    <w:rsid w:val="0BC81E68"/>
    <w:rsid w:val="0BCB4B16"/>
    <w:rsid w:val="0BE62205"/>
    <w:rsid w:val="0C2B0B3A"/>
    <w:rsid w:val="0C2D1E06"/>
    <w:rsid w:val="0C39309A"/>
    <w:rsid w:val="0C396D85"/>
    <w:rsid w:val="0C45359F"/>
    <w:rsid w:val="0C4E4424"/>
    <w:rsid w:val="0C6706F1"/>
    <w:rsid w:val="0C822ACA"/>
    <w:rsid w:val="0C877654"/>
    <w:rsid w:val="0CB70393"/>
    <w:rsid w:val="0CBB2DDD"/>
    <w:rsid w:val="0CE560AB"/>
    <w:rsid w:val="0D046532"/>
    <w:rsid w:val="0D3F1CF7"/>
    <w:rsid w:val="0D5C54A5"/>
    <w:rsid w:val="0D883A97"/>
    <w:rsid w:val="0D9F3011"/>
    <w:rsid w:val="0DC34AA9"/>
    <w:rsid w:val="0DFD3BE1"/>
    <w:rsid w:val="0E303356"/>
    <w:rsid w:val="0E430BBB"/>
    <w:rsid w:val="0E4B0853"/>
    <w:rsid w:val="0E4D63ED"/>
    <w:rsid w:val="0E59465B"/>
    <w:rsid w:val="0EA904C1"/>
    <w:rsid w:val="0EAD11D9"/>
    <w:rsid w:val="0EB977F0"/>
    <w:rsid w:val="0EBF36D0"/>
    <w:rsid w:val="0EC73CBB"/>
    <w:rsid w:val="0EDC703A"/>
    <w:rsid w:val="0F136F00"/>
    <w:rsid w:val="0F2A5DFB"/>
    <w:rsid w:val="0F58030C"/>
    <w:rsid w:val="0F670FFA"/>
    <w:rsid w:val="0F6B3571"/>
    <w:rsid w:val="0F73793D"/>
    <w:rsid w:val="0F8D684D"/>
    <w:rsid w:val="0F8D6C9D"/>
    <w:rsid w:val="0FA67D74"/>
    <w:rsid w:val="0FAC4C5F"/>
    <w:rsid w:val="0FB9666D"/>
    <w:rsid w:val="0FC81379"/>
    <w:rsid w:val="0FE96BFE"/>
    <w:rsid w:val="104906FF"/>
    <w:rsid w:val="10634BF3"/>
    <w:rsid w:val="10815354"/>
    <w:rsid w:val="109776BD"/>
    <w:rsid w:val="10B40C48"/>
    <w:rsid w:val="10BA0E9A"/>
    <w:rsid w:val="10F55830"/>
    <w:rsid w:val="11474F4C"/>
    <w:rsid w:val="115979CD"/>
    <w:rsid w:val="11800151"/>
    <w:rsid w:val="11BD32AB"/>
    <w:rsid w:val="123631FC"/>
    <w:rsid w:val="12431D83"/>
    <w:rsid w:val="124949E7"/>
    <w:rsid w:val="12D149BF"/>
    <w:rsid w:val="12E5255D"/>
    <w:rsid w:val="12F85352"/>
    <w:rsid w:val="13160D6D"/>
    <w:rsid w:val="13242E4C"/>
    <w:rsid w:val="13372307"/>
    <w:rsid w:val="134578A4"/>
    <w:rsid w:val="1373154F"/>
    <w:rsid w:val="137F7A39"/>
    <w:rsid w:val="138A5087"/>
    <w:rsid w:val="139B74C4"/>
    <w:rsid w:val="13A1291C"/>
    <w:rsid w:val="13B00583"/>
    <w:rsid w:val="13BB36C2"/>
    <w:rsid w:val="13F57F6C"/>
    <w:rsid w:val="13FB6C2B"/>
    <w:rsid w:val="140E7C96"/>
    <w:rsid w:val="141554C8"/>
    <w:rsid w:val="144E5BAF"/>
    <w:rsid w:val="145B077C"/>
    <w:rsid w:val="146E27F8"/>
    <w:rsid w:val="148F7029"/>
    <w:rsid w:val="14C64A14"/>
    <w:rsid w:val="14F1250B"/>
    <w:rsid w:val="14FE7D0A"/>
    <w:rsid w:val="152C0D1B"/>
    <w:rsid w:val="15347304"/>
    <w:rsid w:val="15397746"/>
    <w:rsid w:val="153B4ABB"/>
    <w:rsid w:val="15567B46"/>
    <w:rsid w:val="15FC2B6A"/>
    <w:rsid w:val="16027A14"/>
    <w:rsid w:val="16322361"/>
    <w:rsid w:val="163C4267"/>
    <w:rsid w:val="164B3423"/>
    <w:rsid w:val="165B2F3A"/>
    <w:rsid w:val="16A768E1"/>
    <w:rsid w:val="16CF7BB0"/>
    <w:rsid w:val="17033CFE"/>
    <w:rsid w:val="178006A3"/>
    <w:rsid w:val="1791130A"/>
    <w:rsid w:val="181F6915"/>
    <w:rsid w:val="1823030D"/>
    <w:rsid w:val="18267CA4"/>
    <w:rsid w:val="18C538AA"/>
    <w:rsid w:val="18E667DE"/>
    <w:rsid w:val="190B1AB7"/>
    <w:rsid w:val="190E1E92"/>
    <w:rsid w:val="19305011"/>
    <w:rsid w:val="193E2DCB"/>
    <w:rsid w:val="194B4539"/>
    <w:rsid w:val="19677F5C"/>
    <w:rsid w:val="19AA0461"/>
    <w:rsid w:val="19EF3664"/>
    <w:rsid w:val="1A43546A"/>
    <w:rsid w:val="1A446E0F"/>
    <w:rsid w:val="1A7F2B74"/>
    <w:rsid w:val="1A8E78C8"/>
    <w:rsid w:val="1A914D5C"/>
    <w:rsid w:val="1A9B5FFB"/>
    <w:rsid w:val="1AED6666"/>
    <w:rsid w:val="1BB9498B"/>
    <w:rsid w:val="1BD96DDB"/>
    <w:rsid w:val="1BDC68CC"/>
    <w:rsid w:val="1C2529FF"/>
    <w:rsid w:val="1C3A70A2"/>
    <w:rsid w:val="1C427076"/>
    <w:rsid w:val="1C522596"/>
    <w:rsid w:val="1C6963B1"/>
    <w:rsid w:val="1C6F14EE"/>
    <w:rsid w:val="1CE47D23"/>
    <w:rsid w:val="1CFB1A9D"/>
    <w:rsid w:val="1D2B18B9"/>
    <w:rsid w:val="1D7414B2"/>
    <w:rsid w:val="1D815FCC"/>
    <w:rsid w:val="1D927B8A"/>
    <w:rsid w:val="1D9A07EC"/>
    <w:rsid w:val="1DCA2E80"/>
    <w:rsid w:val="1DDA3C59"/>
    <w:rsid w:val="1DF857DA"/>
    <w:rsid w:val="1E206F43"/>
    <w:rsid w:val="1E340C41"/>
    <w:rsid w:val="1E366767"/>
    <w:rsid w:val="1E37428D"/>
    <w:rsid w:val="1E403142"/>
    <w:rsid w:val="1E4C5FEA"/>
    <w:rsid w:val="1E570090"/>
    <w:rsid w:val="1E781388"/>
    <w:rsid w:val="1EA47B74"/>
    <w:rsid w:val="1EAE454F"/>
    <w:rsid w:val="1EB678A8"/>
    <w:rsid w:val="1EC51899"/>
    <w:rsid w:val="1EEF7754"/>
    <w:rsid w:val="1EF2003F"/>
    <w:rsid w:val="1F207216"/>
    <w:rsid w:val="1F27593E"/>
    <w:rsid w:val="1F394761"/>
    <w:rsid w:val="1F3DD75D"/>
    <w:rsid w:val="1F516240"/>
    <w:rsid w:val="1F9BB067"/>
    <w:rsid w:val="1FF67AA1"/>
    <w:rsid w:val="1FFE32B4"/>
    <w:rsid w:val="200655C0"/>
    <w:rsid w:val="207417C9"/>
    <w:rsid w:val="20AA3CDC"/>
    <w:rsid w:val="20B23D8A"/>
    <w:rsid w:val="20FD531A"/>
    <w:rsid w:val="21244F9D"/>
    <w:rsid w:val="218B0B78"/>
    <w:rsid w:val="21A734D8"/>
    <w:rsid w:val="21F030D1"/>
    <w:rsid w:val="2210107D"/>
    <w:rsid w:val="2221328A"/>
    <w:rsid w:val="22462A8A"/>
    <w:rsid w:val="224E2C18"/>
    <w:rsid w:val="22574EFE"/>
    <w:rsid w:val="22696FF6"/>
    <w:rsid w:val="227855A0"/>
    <w:rsid w:val="229F2035"/>
    <w:rsid w:val="22E021B4"/>
    <w:rsid w:val="22E83DA8"/>
    <w:rsid w:val="23006025"/>
    <w:rsid w:val="230C1C0F"/>
    <w:rsid w:val="23531B69"/>
    <w:rsid w:val="23664217"/>
    <w:rsid w:val="23A5639B"/>
    <w:rsid w:val="23A67435"/>
    <w:rsid w:val="23CE0A96"/>
    <w:rsid w:val="240F5A90"/>
    <w:rsid w:val="241308D1"/>
    <w:rsid w:val="243A63CC"/>
    <w:rsid w:val="245E2574"/>
    <w:rsid w:val="246C10ED"/>
    <w:rsid w:val="246E0F7F"/>
    <w:rsid w:val="24825F40"/>
    <w:rsid w:val="249F3FA9"/>
    <w:rsid w:val="24C745BD"/>
    <w:rsid w:val="25B82157"/>
    <w:rsid w:val="25FC2044"/>
    <w:rsid w:val="260F2A28"/>
    <w:rsid w:val="26176E7E"/>
    <w:rsid w:val="269626A1"/>
    <w:rsid w:val="26976211"/>
    <w:rsid w:val="26BE19EF"/>
    <w:rsid w:val="26D22DA5"/>
    <w:rsid w:val="26E24FAE"/>
    <w:rsid w:val="27096777"/>
    <w:rsid w:val="27734588"/>
    <w:rsid w:val="27A128DB"/>
    <w:rsid w:val="27DA0163"/>
    <w:rsid w:val="28150C75"/>
    <w:rsid w:val="28322D6E"/>
    <w:rsid w:val="286F3F95"/>
    <w:rsid w:val="28741B8A"/>
    <w:rsid w:val="287B7F79"/>
    <w:rsid w:val="288B3B53"/>
    <w:rsid w:val="28BE5CD7"/>
    <w:rsid w:val="28D40A96"/>
    <w:rsid w:val="28D92B11"/>
    <w:rsid w:val="28F90ABD"/>
    <w:rsid w:val="290A2CCA"/>
    <w:rsid w:val="29383812"/>
    <w:rsid w:val="29387837"/>
    <w:rsid w:val="294F6300"/>
    <w:rsid w:val="296F0D7F"/>
    <w:rsid w:val="2983492F"/>
    <w:rsid w:val="29CD4DD1"/>
    <w:rsid w:val="29E901A5"/>
    <w:rsid w:val="2A0119E5"/>
    <w:rsid w:val="2A213AD3"/>
    <w:rsid w:val="2A445BEE"/>
    <w:rsid w:val="2A5A1A2F"/>
    <w:rsid w:val="2A9C2048"/>
    <w:rsid w:val="2AEE10A0"/>
    <w:rsid w:val="2B0674C1"/>
    <w:rsid w:val="2B1B3AE9"/>
    <w:rsid w:val="2B353322"/>
    <w:rsid w:val="2B3774CB"/>
    <w:rsid w:val="2B3D7387"/>
    <w:rsid w:val="2B9D7E25"/>
    <w:rsid w:val="2BB9468C"/>
    <w:rsid w:val="2BC2163A"/>
    <w:rsid w:val="2BD73CFD"/>
    <w:rsid w:val="2C003075"/>
    <w:rsid w:val="2C2422F5"/>
    <w:rsid w:val="2C29790B"/>
    <w:rsid w:val="2C41042A"/>
    <w:rsid w:val="2C790882"/>
    <w:rsid w:val="2CB45702"/>
    <w:rsid w:val="2D2158C8"/>
    <w:rsid w:val="2D546C0A"/>
    <w:rsid w:val="2D5B7F98"/>
    <w:rsid w:val="2D614E83"/>
    <w:rsid w:val="2DD077B2"/>
    <w:rsid w:val="2DF301D1"/>
    <w:rsid w:val="2E3836D4"/>
    <w:rsid w:val="2E615CCD"/>
    <w:rsid w:val="2EAB4607"/>
    <w:rsid w:val="2ECD53B0"/>
    <w:rsid w:val="2ED675F2"/>
    <w:rsid w:val="2F0D44F3"/>
    <w:rsid w:val="2F3445FD"/>
    <w:rsid w:val="2F37730B"/>
    <w:rsid w:val="2F4623AD"/>
    <w:rsid w:val="2FA6164C"/>
    <w:rsid w:val="2FBB2449"/>
    <w:rsid w:val="2FF11F73"/>
    <w:rsid w:val="302610FC"/>
    <w:rsid w:val="302D08F0"/>
    <w:rsid w:val="3043586B"/>
    <w:rsid w:val="3058256D"/>
    <w:rsid w:val="30766E97"/>
    <w:rsid w:val="30B71989"/>
    <w:rsid w:val="30BA6D84"/>
    <w:rsid w:val="30CF7407"/>
    <w:rsid w:val="30E33504"/>
    <w:rsid w:val="310B6BF3"/>
    <w:rsid w:val="315F016B"/>
    <w:rsid w:val="316F63A7"/>
    <w:rsid w:val="31A627B9"/>
    <w:rsid w:val="31F60A7B"/>
    <w:rsid w:val="32236C2E"/>
    <w:rsid w:val="323D4C19"/>
    <w:rsid w:val="32714935"/>
    <w:rsid w:val="32751DD2"/>
    <w:rsid w:val="32931105"/>
    <w:rsid w:val="33154745"/>
    <w:rsid w:val="335D7410"/>
    <w:rsid w:val="336D3EA4"/>
    <w:rsid w:val="33C64EB5"/>
    <w:rsid w:val="343E641F"/>
    <w:rsid w:val="344A041F"/>
    <w:rsid w:val="344A55B1"/>
    <w:rsid w:val="34A61710"/>
    <w:rsid w:val="34C74165"/>
    <w:rsid w:val="34C940D3"/>
    <w:rsid w:val="34E751DD"/>
    <w:rsid w:val="35260FC4"/>
    <w:rsid w:val="352F64C7"/>
    <w:rsid w:val="35924EBB"/>
    <w:rsid w:val="35B73FB6"/>
    <w:rsid w:val="35C012AA"/>
    <w:rsid w:val="35C249F4"/>
    <w:rsid w:val="3619454C"/>
    <w:rsid w:val="363D6170"/>
    <w:rsid w:val="36525CB0"/>
    <w:rsid w:val="36BE21E4"/>
    <w:rsid w:val="36C546D4"/>
    <w:rsid w:val="36F31241"/>
    <w:rsid w:val="37205FF6"/>
    <w:rsid w:val="37865C12"/>
    <w:rsid w:val="37C60704"/>
    <w:rsid w:val="37D67851"/>
    <w:rsid w:val="37EE448F"/>
    <w:rsid w:val="3810372D"/>
    <w:rsid w:val="38514471"/>
    <w:rsid w:val="38624A88"/>
    <w:rsid w:val="388F4F9A"/>
    <w:rsid w:val="389E6F8B"/>
    <w:rsid w:val="38A56B9D"/>
    <w:rsid w:val="38AB2342"/>
    <w:rsid w:val="38DC3EDC"/>
    <w:rsid w:val="38FA68B7"/>
    <w:rsid w:val="391B4A7F"/>
    <w:rsid w:val="39202096"/>
    <w:rsid w:val="39394B01"/>
    <w:rsid w:val="39693A3D"/>
    <w:rsid w:val="396E2E01"/>
    <w:rsid w:val="39F50E2C"/>
    <w:rsid w:val="3A33061D"/>
    <w:rsid w:val="3A3B7187"/>
    <w:rsid w:val="3A400E50"/>
    <w:rsid w:val="3A79181B"/>
    <w:rsid w:val="3A950543"/>
    <w:rsid w:val="3A9E7716"/>
    <w:rsid w:val="3AB14702"/>
    <w:rsid w:val="3ADA56C8"/>
    <w:rsid w:val="3B00217F"/>
    <w:rsid w:val="3B787F67"/>
    <w:rsid w:val="3B855DC3"/>
    <w:rsid w:val="3B974891"/>
    <w:rsid w:val="3BD17677"/>
    <w:rsid w:val="3BD21711"/>
    <w:rsid w:val="3BD80F0D"/>
    <w:rsid w:val="3BDB6D1E"/>
    <w:rsid w:val="3C1C4D96"/>
    <w:rsid w:val="3C1E2D40"/>
    <w:rsid w:val="3C215F09"/>
    <w:rsid w:val="3C31001D"/>
    <w:rsid w:val="3C4B11D8"/>
    <w:rsid w:val="3CDD2778"/>
    <w:rsid w:val="3D5F13DF"/>
    <w:rsid w:val="3D7F382F"/>
    <w:rsid w:val="3D9B4E64"/>
    <w:rsid w:val="3DC54FBA"/>
    <w:rsid w:val="3E6B3DB3"/>
    <w:rsid w:val="3E90273A"/>
    <w:rsid w:val="3EA352FB"/>
    <w:rsid w:val="3EBE3EE3"/>
    <w:rsid w:val="3EE33949"/>
    <w:rsid w:val="3EF97772"/>
    <w:rsid w:val="3F2859A4"/>
    <w:rsid w:val="3F3C7CCF"/>
    <w:rsid w:val="3F4468FD"/>
    <w:rsid w:val="3F52646C"/>
    <w:rsid w:val="3F8C5D8F"/>
    <w:rsid w:val="3FD00372"/>
    <w:rsid w:val="3FDD483D"/>
    <w:rsid w:val="3FE07E89"/>
    <w:rsid w:val="402204A1"/>
    <w:rsid w:val="40564282"/>
    <w:rsid w:val="407D110C"/>
    <w:rsid w:val="40B437EF"/>
    <w:rsid w:val="40E1210B"/>
    <w:rsid w:val="40E12670"/>
    <w:rsid w:val="41061B71"/>
    <w:rsid w:val="411B561D"/>
    <w:rsid w:val="41326E0A"/>
    <w:rsid w:val="41361B95"/>
    <w:rsid w:val="41744D2D"/>
    <w:rsid w:val="41A35612"/>
    <w:rsid w:val="41DF672F"/>
    <w:rsid w:val="421C7965"/>
    <w:rsid w:val="424566C9"/>
    <w:rsid w:val="4249466E"/>
    <w:rsid w:val="426F78F9"/>
    <w:rsid w:val="427F1BDB"/>
    <w:rsid w:val="428B67D2"/>
    <w:rsid w:val="428F6994"/>
    <w:rsid w:val="42A15FF5"/>
    <w:rsid w:val="42A258CA"/>
    <w:rsid w:val="42D55690"/>
    <w:rsid w:val="42DE3E28"/>
    <w:rsid w:val="431C567C"/>
    <w:rsid w:val="432D6A17"/>
    <w:rsid w:val="4335673E"/>
    <w:rsid w:val="433B2D6F"/>
    <w:rsid w:val="434C7124"/>
    <w:rsid w:val="435B378F"/>
    <w:rsid w:val="43741014"/>
    <w:rsid w:val="439971FA"/>
    <w:rsid w:val="43A833B4"/>
    <w:rsid w:val="43BD6E5F"/>
    <w:rsid w:val="43F41FD8"/>
    <w:rsid w:val="440209A9"/>
    <w:rsid w:val="44421112"/>
    <w:rsid w:val="4455528C"/>
    <w:rsid w:val="44B57B36"/>
    <w:rsid w:val="44D65FFB"/>
    <w:rsid w:val="45237196"/>
    <w:rsid w:val="45554E75"/>
    <w:rsid w:val="457271D8"/>
    <w:rsid w:val="45786F67"/>
    <w:rsid w:val="457E36C4"/>
    <w:rsid w:val="45A73923"/>
    <w:rsid w:val="45CC032A"/>
    <w:rsid w:val="461A0599"/>
    <w:rsid w:val="461B60BF"/>
    <w:rsid w:val="46353199"/>
    <w:rsid w:val="4649255C"/>
    <w:rsid w:val="464C6278"/>
    <w:rsid w:val="467F151A"/>
    <w:rsid w:val="4690433A"/>
    <w:rsid w:val="469C746C"/>
    <w:rsid w:val="46BB51AC"/>
    <w:rsid w:val="472015A9"/>
    <w:rsid w:val="4747148A"/>
    <w:rsid w:val="47867568"/>
    <w:rsid w:val="479B008D"/>
    <w:rsid w:val="47A36F53"/>
    <w:rsid w:val="47A9196E"/>
    <w:rsid w:val="48180B08"/>
    <w:rsid w:val="48B545A9"/>
    <w:rsid w:val="48E770D8"/>
    <w:rsid w:val="490168B9"/>
    <w:rsid w:val="49997A26"/>
    <w:rsid w:val="499D5A48"/>
    <w:rsid w:val="49C44670"/>
    <w:rsid w:val="4A12532C"/>
    <w:rsid w:val="4A7364C9"/>
    <w:rsid w:val="4A9106FD"/>
    <w:rsid w:val="4AA04DE4"/>
    <w:rsid w:val="4ABD14F2"/>
    <w:rsid w:val="4ACC3E2B"/>
    <w:rsid w:val="4AF313B8"/>
    <w:rsid w:val="4B0B51BA"/>
    <w:rsid w:val="4B0B6A0B"/>
    <w:rsid w:val="4B223A4B"/>
    <w:rsid w:val="4B4A7644"/>
    <w:rsid w:val="4BA021F2"/>
    <w:rsid w:val="4BA60AB1"/>
    <w:rsid w:val="4BAF1783"/>
    <w:rsid w:val="4BC114B6"/>
    <w:rsid w:val="4BC81CB6"/>
    <w:rsid w:val="4BE34546"/>
    <w:rsid w:val="4BF94C2F"/>
    <w:rsid w:val="4C067384"/>
    <w:rsid w:val="4C1E6321"/>
    <w:rsid w:val="4C906769"/>
    <w:rsid w:val="4CCE3E8B"/>
    <w:rsid w:val="4CE74F4D"/>
    <w:rsid w:val="4D1473C4"/>
    <w:rsid w:val="4D1A2C2C"/>
    <w:rsid w:val="4D9D385D"/>
    <w:rsid w:val="4DBC600B"/>
    <w:rsid w:val="4DBF3EEB"/>
    <w:rsid w:val="4DDF102B"/>
    <w:rsid w:val="4DE33966"/>
    <w:rsid w:val="4DFA0CB0"/>
    <w:rsid w:val="4DFF0074"/>
    <w:rsid w:val="4E1844A1"/>
    <w:rsid w:val="4E3B5B69"/>
    <w:rsid w:val="4E5E1120"/>
    <w:rsid w:val="4E6A31EF"/>
    <w:rsid w:val="4E6D7DFB"/>
    <w:rsid w:val="4E8B6814"/>
    <w:rsid w:val="4E9208C3"/>
    <w:rsid w:val="4EDE6657"/>
    <w:rsid w:val="4F226DC8"/>
    <w:rsid w:val="4F234ACC"/>
    <w:rsid w:val="4F2A7373"/>
    <w:rsid w:val="4F3E697A"/>
    <w:rsid w:val="4F6351A5"/>
    <w:rsid w:val="4F7F44DF"/>
    <w:rsid w:val="4FA71C3F"/>
    <w:rsid w:val="4FBA3692"/>
    <w:rsid w:val="4FDA66A3"/>
    <w:rsid w:val="501C6CBB"/>
    <w:rsid w:val="50366741"/>
    <w:rsid w:val="50484EDB"/>
    <w:rsid w:val="505C668F"/>
    <w:rsid w:val="50601F36"/>
    <w:rsid w:val="50964CC0"/>
    <w:rsid w:val="50972D85"/>
    <w:rsid w:val="509C5006"/>
    <w:rsid w:val="50C62063"/>
    <w:rsid w:val="50C744A8"/>
    <w:rsid w:val="50FE0AB7"/>
    <w:rsid w:val="51025EB1"/>
    <w:rsid w:val="511E5422"/>
    <w:rsid w:val="512978E2"/>
    <w:rsid w:val="51346847"/>
    <w:rsid w:val="515D758B"/>
    <w:rsid w:val="51675946"/>
    <w:rsid w:val="516C5CF7"/>
    <w:rsid w:val="51867B3E"/>
    <w:rsid w:val="519D3E2C"/>
    <w:rsid w:val="51A575B0"/>
    <w:rsid w:val="51C54808"/>
    <w:rsid w:val="51CB59A5"/>
    <w:rsid w:val="51FF4AE6"/>
    <w:rsid w:val="52075749"/>
    <w:rsid w:val="520774F7"/>
    <w:rsid w:val="52171E30"/>
    <w:rsid w:val="522409B0"/>
    <w:rsid w:val="52490058"/>
    <w:rsid w:val="5255106F"/>
    <w:rsid w:val="525B75EF"/>
    <w:rsid w:val="52666914"/>
    <w:rsid w:val="5267529D"/>
    <w:rsid w:val="52DB2E5E"/>
    <w:rsid w:val="53135B7C"/>
    <w:rsid w:val="53206AC2"/>
    <w:rsid w:val="533F4FD2"/>
    <w:rsid w:val="53A6051D"/>
    <w:rsid w:val="53AF2171"/>
    <w:rsid w:val="53B60FA0"/>
    <w:rsid w:val="53B92BD0"/>
    <w:rsid w:val="53BF6B9A"/>
    <w:rsid w:val="53C27B7A"/>
    <w:rsid w:val="53DD49B3"/>
    <w:rsid w:val="53E61F03"/>
    <w:rsid w:val="54136D7C"/>
    <w:rsid w:val="543F741C"/>
    <w:rsid w:val="548C2EFE"/>
    <w:rsid w:val="548F6278"/>
    <w:rsid w:val="54A069DD"/>
    <w:rsid w:val="54BE5581"/>
    <w:rsid w:val="54C343AC"/>
    <w:rsid w:val="54E00BD1"/>
    <w:rsid w:val="54E67898"/>
    <w:rsid w:val="550C37A2"/>
    <w:rsid w:val="551219C0"/>
    <w:rsid w:val="55124B31"/>
    <w:rsid w:val="552D54C7"/>
    <w:rsid w:val="553757FC"/>
    <w:rsid w:val="554D7917"/>
    <w:rsid w:val="557841D3"/>
    <w:rsid w:val="558404F4"/>
    <w:rsid w:val="561D001E"/>
    <w:rsid w:val="56397104"/>
    <w:rsid w:val="566D64C3"/>
    <w:rsid w:val="56BF65F2"/>
    <w:rsid w:val="571006E4"/>
    <w:rsid w:val="5712706A"/>
    <w:rsid w:val="574C6A81"/>
    <w:rsid w:val="576A0FE7"/>
    <w:rsid w:val="576E1B52"/>
    <w:rsid w:val="579969A2"/>
    <w:rsid w:val="57A23F4A"/>
    <w:rsid w:val="57DB48EC"/>
    <w:rsid w:val="58003366"/>
    <w:rsid w:val="583D01CF"/>
    <w:rsid w:val="586C6306"/>
    <w:rsid w:val="589418E4"/>
    <w:rsid w:val="58C63C68"/>
    <w:rsid w:val="58D50A2B"/>
    <w:rsid w:val="598C6DF6"/>
    <w:rsid w:val="59C44D07"/>
    <w:rsid w:val="59C94A5C"/>
    <w:rsid w:val="59F111B9"/>
    <w:rsid w:val="5A0013FC"/>
    <w:rsid w:val="5A2E0476"/>
    <w:rsid w:val="5A407A4A"/>
    <w:rsid w:val="5A4E09B0"/>
    <w:rsid w:val="5A7B0A82"/>
    <w:rsid w:val="5AA44386"/>
    <w:rsid w:val="5ABA15AB"/>
    <w:rsid w:val="5AE26D53"/>
    <w:rsid w:val="5B1834F7"/>
    <w:rsid w:val="5B4018B2"/>
    <w:rsid w:val="5B624280"/>
    <w:rsid w:val="5BD743DE"/>
    <w:rsid w:val="5BF11C55"/>
    <w:rsid w:val="5BF60D08"/>
    <w:rsid w:val="5BF73950"/>
    <w:rsid w:val="5C0C052C"/>
    <w:rsid w:val="5C4D4754"/>
    <w:rsid w:val="5C6F429B"/>
    <w:rsid w:val="5C700ABB"/>
    <w:rsid w:val="5C9C6B0B"/>
    <w:rsid w:val="5CC650C2"/>
    <w:rsid w:val="5CCE6402"/>
    <w:rsid w:val="5D1578AA"/>
    <w:rsid w:val="5D1A517B"/>
    <w:rsid w:val="5D287095"/>
    <w:rsid w:val="5D8D3DD4"/>
    <w:rsid w:val="5E343D6A"/>
    <w:rsid w:val="5E370EEC"/>
    <w:rsid w:val="5E436EA1"/>
    <w:rsid w:val="5E6737F7"/>
    <w:rsid w:val="5EB729BA"/>
    <w:rsid w:val="5EC93D19"/>
    <w:rsid w:val="5EF07C91"/>
    <w:rsid w:val="5F132FF0"/>
    <w:rsid w:val="5F1E0A25"/>
    <w:rsid w:val="5F950CC7"/>
    <w:rsid w:val="5FD01870"/>
    <w:rsid w:val="5FE77D07"/>
    <w:rsid w:val="60211516"/>
    <w:rsid w:val="602F2A3B"/>
    <w:rsid w:val="60382473"/>
    <w:rsid w:val="603B26DF"/>
    <w:rsid w:val="605E3790"/>
    <w:rsid w:val="607E751E"/>
    <w:rsid w:val="609B1E7E"/>
    <w:rsid w:val="60E212E0"/>
    <w:rsid w:val="60E45417"/>
    <w:rsid w:val="60E77880"/>
    <w:rsid w:val="61050FC1"/>
    <w:rsid w:val="61161505"/>
    <w:rsid w:val="613876CD"/>
    <w:rsid w:val="6151078F"/>
    <w:rsid w:val="616A6E87"/>
    <w:rsid w:val="618F2C11"/>
    <w:rsid w:val="61B956A8"/>
    <w:rsid w:val="61D357CA"/>
    <w:rsid w:val="61E45BE1"/>
    <w:rsid w:val="61F25ACE"/>
    <w:rsid w:val="61FA38FE"/>
    <w:rsid w:val="61FC06FB"/>
    <w:rsid w:val="62375BD7"/>
    <w:rsid w:val="623B56C7"/>
    <w:rsid w:val="62606EDB"/>
    <w:rsid w:val="62E9395E"/>
    <w:rsid w:val="62F44BFF"/>
    <w:rsid w:val="630B32EB"/>
    <w:rsid w:val="6341070D"/>
    <w:rsid w:val="634C00E2"/>
    <w:rsid w:val="634C56B2"/>
    <w:rsid w:val="637901FC"/>
    <w:rsid w:val="638C3E3F"/>
    <w:rsid w:val="63A075C4"/>
    <w:rsid w:val="63C048AE"/>
    <w:rsid w:val="63E94CAF"/>
    <w:rsid w:val="64245EF5"/>
    <w:rsid w:val="64283A29"/>
    <w:rsid w:val="64391F0D"/>
    <w:rsid w:val="64427DEE"/>
    <w:rsid w:val="6443035D"/>
    <w:rsid w:val="64C64FF0"/>
    <w:rsid w:val="64E421D7"/>
    <w:rsid w:val="64EF4F26"/>
    <w:rsid w:val="65000502"/>
    <w:rsid w:val="652C12F7"/>
    <w:rsid w:val="657F58CB"/>
    <w:rsid w:val="658E3D60"/>
    <w:rsid w:val="65975ABE"/>
    <w:rsid w:val="65E358B9"/>
    <w:rsid w:val="65FC3B45"/>
    <w:rsid w:val="660553DE"/>
    <w:rsid w:val="665363CB"/>
    <w:rsid w:val="66903B07"/>
    <w:rsid w:val="66CA53B2"/>
    <w:rsid w:val="670267B3"/>
    <w:rsid w:val="6721001D"/>
    <w:rsid w:val="67334BBF"/>
    <w:rsid w:val="6739419F"/>
    <w:rsid w:val="674768BC"/>
    <w:rsid w:val="676B52E3"/>
    <w:rsid w:val="678629DB"/>
    <w:rsid w:val="679F2254"/>
    <w:rsid w:val="67C47140"/>
    <w:rsid w:val="67E57E6B"/>
    <w:rsid w:val="682E5386"/>
    <w:rsid w:val="68616011"/>
    <w:rsid w:val="686F41A0"/>
    <w:rsid w:val="687E455F"/>
    <w:rsid w:val="68BA4E6C"/>
    <w:rsid w:val="68CA77A4"/>
    <w:rsid w:val="68D12617"/>
    <w:rsid w:val="68D4417F"/>
    <w:rsid w:val="69117181"/>
    <w:rsid w:val="691B590A"/>
    <w:rsid w:val="69252C2D"/>
    <w:rsid w:val="69345A96"/>
    <w:rsid w:val="69401815"/>
    <w:rsid w:val="6944742F"/>
    <w:rsid w:val="699527B5"/>
    <w:rsid w:val="69D00DEB"/>
    <w:rsid w:val="69E00902"/>
    <w:rsid w:val="69F85C4B"/>
    <w:rsid w:val="6A010FA4"/>
    <w:rsid w:val="6A20747A"/>
    <w:rsid w:val="6A7C062B"/>
    <w:rsid w:val="6AE20185"/>
    <w:rsid w:val="6AE85CC0"/>
    <w:rsid w:val="6B0A3E88"/>
    <w:rsid w:val="6B0B007F"/>
    <w:rsid w:val="6B480F2F"/>
    <w:rsid w:val="6B737C7F"/>
    <w:rsid w:val="6B90122B"/>
    <w:rsid w:val="6B975E2B"/>
    <w:rsid w:val="6BB6110A"/>
    <w:rsid w:val="6C134FBF"/>
    <w:rsid w:val="6C136D6D"/>
    <w:rsid w:val="6C147FA4"/>
    <w:rsid w:val="6C643B3D"/>
    <w:rsid w:val="6C7218C1"/>
    <w:rsid w:val="6C7C7008"/>
    <w:rsid w:val="6C831C60"/>
    <w:rsid w:val="6CC369E5"/>
    <w:rsid w:val="6CE4124B"/>
    <w:rsid w:val="6D152C7A"/>
    <w:rsid w:val="6D401DE3"/>
    <w:rsid w:val="6D463AF2"/>
    <w:rsid w:val="6D5835D1"/>
    <w:rsid w:val="6D632B13"/>
    <w:rsid w:val="6D6D6950"/>
    <w:rsid w:val="6D8A305E"/>
    <w:rsid w:val="6D8C6AB1"/>
    <w:rsid w:val="6D8D7575"/>
    <w:rsid w:val="6D9B170F"/>
    <w:rsid w:val="6E330AE6"/>
    <w:rsid w:val="6E3A5918"/>
    <w:rsid w:val="6E5278B1"/>
    <w:rsid w:val="6E5518BE"/>
    <w:rsid w:val="6E9835C9"/>
    <w:rsid w:val="6E9D0F19"/>
    <w:rsid w:val="6EA463A2"/>
    <w:rsid w:val="6EEA46FD"/>
    <w:rsid w:val="6F0D7498"/>
    <w:rsid w:val="6F101C89"/>
    <w:rsid w:val="6F152D9A"/>
    <w:rsid w:val="6F23376B"/>
    <w:rsid w:val="6F5B1156"/>
    <w:rsid w:val="6F600666"/>
    <w:rsid w:val="6FA64098"/>
    <w:rsid w:val="6FB865A9"/>
    <w:rsid w:val="6FC97E4C"/>
    <w:rsid w:val="6FF70194"/>
    <w:rsid w:val="6FFF7C0E"/>
    <w:rsid w:val="7073599E"/>
    <w:rsid w:val="70736AC3"/>
    <w:rsid w:val="70A42689"/>
    <w:rsid w:val="714F6A99"/>
    <w:rsid w:val="71685DAD"/>
    <w:rsid w:val="71A566B9"/>
    <w:rsid w:val="71DB20DB"/>
    <w:rsid w:val="71F061CA"/>
    <w:rsid w:val="7224387D"/>
    <w:rsid w:val="72273572"/>
    <w:rsid w:val="722C6DDA"/>
    <w:rsid w:val="72583E79"/>
    <w:rsid w:val="725A654C"/>
    <w:rsid w:val="7296062D"/>
    <w:rsid w:val="72E46850"/>
    <w:rsid w:val="72FA2DC3"/>
    <w:rsid w:val="731C29AB"/>
    <w:rsid w:val="73400AE2"/>
    <w:rsid w:val="735E0EFB"/>
    <w:rsid w:val="73941CCC"/>
    <w:rsid w:val="73993FFB"/>
    <w:rsid w:val="73D019E7"/>
    <w:rsid w:val="7400051E"/>
    <w:rsid w:val="741E09A4"/>
    <w:rsid w:val="744A1799"/>
    <w:rsid w:val="748A0EC8"/>
    <w:rsid w:val="748A7DE8"/>
    <w:rsid w:val="74BB4445"/>
    <w:rsid w:val="74D86DA5"/>
    <w:rsid w:val="74DB6895"/>
    <w:rsid w:val="75680129"/>
    <w:rsid w:val="756E3323"/>
    <w:rsid w:val="757F36C5"/>
    <w:rsid w:val="75D27C98"/>
    <w:rsid w:val="75E35E0E"/>
    <w:rsid w:val="75E850A3"/>
    <w:rsid w:val="75F47C0F"/>
    <w:rsid w:val="76051E1C"/>
    <w:rsid w:val="760925E8"/>
    <w:rsid w:val="76487F5B"/>
    <w:rsid w:val="76537D16"/>
    <w:rsid w:val="767A7B3A"/>
    <w:rsid w:val="76934ECB"/>
    <w:rsid w:val="7696746C"/>
    <w:rsid w:val="76A1622D"/>
    <w:rsid w:val="76EF4B9C"/>
    <w:rsid w:val="76F157CC"/>
    <w:rsid w:val="77107490"/>
    <w:rsid w:val="771A0441"/>
    <w:rsid w:val="77566CEB"/>
    <w:rsid w:val="776F07C8"/>
    <w:rsid w:val="77B227F5"/>
    <w:rsid w:val="77C56C4E"/>
    <w:rsid w:val="77C61FA0"/>
    <w:rsid w:val="77D17A45"/>
    <w:rsid w:val="77FC0D3A"/>
    <w:rsid w:val="77FE2FC7"/>
    <w:rsid w:val="78055809"/>
    <w:rsid w:val="78125870"/>
    <w:rsid w:val="78623556"/>
    <w:rsid w:val="78A0407E"/>
    <w:rsid w:val="78BA71D9"/>
    <w:rsid w:val="78C95383"/>
    <w:rsid w:val="79061938"/>
    <w:rsid w:val="790D117C"/>
    <w:rsid w:val="791B1604"/>
    <w:rsid w:val="79294073"/>
    <w:rsid w:val="792B7DEB"/>
    <w:rsid w:val="793364C5"/>
    <w:rsid w:val="797572B9"/>
    <w:rsid w:val="79A90D10"/>
    <w:rsid w:val="79B0209F"/>
    <w:rsid w:val="79BB48AD"/>
    <w:rsid w:val="79BF480D"/>
    <w:rsid w:val="79CE4C1B"/>
    <w:rsid w:val="7A2C3BC4"/>
    <w:rsid w:val="7A344A7E"/>
    <w:rsid w:val="7A5F5873"/>
    <w:rsid w:val="7A886B78"/>
    <w:rsid w:val="7ACA3F5F"/>
    <w:rsid w:val="7AE53941"/>
    <w:rsid w:val="7B42766E"/>
    <w:rsid w:val="7B8437E3"/>
    <w:rsid w:val="7BA615A2"/>
    <w:rsid w:val="7BB8348D"/>
    <w:rsid w:val="7BBA5457"/>
    <w:rsid w:val="7BF546E1"/>
    <w:rsid w:val="7BFF585B"/>
    <w:rsid w:val="7C300245"/>
    <w:rsid w:val="7C32185B"/>
    <w:rsid w:val="7C4A39BD"/>
    <w:rsid w:val="7C8921A8"/>
    <w:rsid w:val="7CB83C1B"/>
    <w:rsid w:val="7D337C34"/>
    <w:rsid w:val="7D40373A"/>
    <w:rsid w:val="7D4A0A5C"/>
    <w:rsid w:val="7D4C20DE"/>
    <w:rsid w:val="7D511680"/>
    <w:rsid w:val="7D580E3B"/>
    <w:rsid w:val="7D733B0F"/>
    <w:rsid w:val="7D7E6B8B"/>
    <w:rsid w:val="7DEB3451"/>
    <w:rsid w:val="7DF859FB"/>
    <w:rsid w:val="7E2D352C"/>
    <w:rsid w:val="7E43252C"/>
    <w:rsid w:val="7E4E1E86"/>
    <w:rsid w:val="7E5971A9"/>
    <w:rsid w:val="7EA277A1"/>
    <w:rsid w:val="7EC91358"/>
    <w:rsid w:val="7F141322"/>
    <w:rsid w:val="7F341DFF"/>
    <w:rsid w:val="7F581C77"/>
    <w:rsid w:val="7FA77AA0"/>
    <w:rsid w:val="7FDC3989"/>
    <w:rsid w:val="7FEA09E2"/>
    <w:rsid w:val="7FEC1957"/>
    <w:rsid w:val="7FF37189"/>
    <w:rsid w:val="AE5AD153"/>
    <w:rsid w:val="B5FF2DC1"/>
    <w:rsid w:val="B9BB88A8"/>
    <w:rsid w:val="BC936312"/>
    <w:rsid w:val="CDEEC8AF"/>
    <w:rsid w:val="E75F9682"/>
    <w:rsid w:val="EA0B12A9"/>
    <w:rsid w:val="ECFB3E9C"/>
    <w:rsid w:val="EEFF5F8E"/>
    <w:rsid w:val="F7DB2196"/>
    <w:rsid w:val="FADDB4F8"/>
    <w:rsid w:val="FAE9CD5D"/>
    <w:rsid w:val="FB692196"/>
    <w:rsid w:val="FBFE42C8"/>
    <w:rsid w:val="FFDF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unhideWhenUsed/>
    <w:qFormat/>
    <w:uiPriority w:val="9"/>
    <w:pPr>
      <w:keepNext/>
      <w:keepLines/>
      <w:ind w:firstLine="643"/>
      <w:outlineLvl w:val="3"/>
    </w:pPr>
    <w:rPr>
      <w:rFonts w:ascii="仿宋" w:eastAsia="仿宋" w:cstheme="majorBidi"/>
      <w:b/>
      <w:bCs/>
      <w:sz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5">
    <w:name w:val="Normal Indent"/>
    <w:basedOn w:val="1"/>
    <w:qFormat/>
    <w:uiPriority w:val="0"/>
    <w:pPr>
      <w:ind w:firstLine="420" w:firstLineChars="200"/>
    </w:pPr>
    <w:rPr>
      <w:szCs w:val="20"/>
    </w:rPr>
  </w:style>
  <w:style w:type="paragraph" w:styleId="6">
    <w:name w:val="annotation text"/>
    <w:basedOn w:val="1"/>
    <w:unhideWhenUsed/>
    <w:qFormat/>
    <w:uiPriority w:val="0"/>
    <w:pPr>
      <w:jc w:val="left"/>
    </w:pPr>
    <w:rPr>
      <w:kern w:val="0"/>
      <w:sz w:val="20"/>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next w:val="9"/>
    <w:qFormat/>
    <w:uiPriority w:val="0"/>
    <w:rPr>
      <w:rFonts w:ascii="宋体" w:hAnsi="Courier New"/>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2"/>
    <w:basedOn w:val="1"/>
    <w:next w:val="1"/>
    <w:qFormat/>
    <w:uiPriority w:val="0"/>
    <w:pPr>
      <w:spacing w:line="600" w:lineRule="exact"/>
      <w:ind w:firstLine="880" w:firstLineChars="200"/>
    </w:pPr>
    <w:rPr>
      <w:rFonts w:eastAsia="仿宋_GB2312"/>
      <w:sz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qFormat/>
    <w:uiPriority w:val="0"/>
  </w:style>
  <w:style w:type="character" w:styleId="21">
    <w:name w:val="annotation reference"/>
    <w:qFormat/>
    <w:uiPriority w:val="0"/>
    <w:rPr>
      <w:sz w:val="21"/>
      <w:szCs w:val="21"/>
    </w:rPr>
  </w:style>
  <w:style w:type="paragraph" w:styleId="22">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3">
    <w:name w:val="正文格式"/>
    <w:basedOn w:val="7"/>
    <w:qFormat/>
    <w:uiPriority w:val="99"/>
    <w:pPr>
      <w:spacing w:after="0" w:line="360" w:lineRule="auto"/>
      <w:ind w:left="0" w:leftChars="0" w:firstLine="600"/>
    </w:pPr>
    <w:rPr>
      <w:rFonts w:eastAsia="仿宋_GB2312"/>
      <w:sz w:val="30"/>
      <w:szCs w:val="30"/>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5">
    <w:name w:val="List Paragraph"/>
    <w:basedOn w:val="1"/>
    <w:qFormat/>
    <w:uiPriority w:val="34"/>
    <w:pPr>
      <w:ind w:firstLine="420" w:firstLineChars="200"/>
    </w:pPr>
  </w:style>
  <w:style w:type="paragraph" w:customStyle="1" w:styleId="26">
    <w:name w:val="（）列表模式"/>
    <w:basedOn w:val="1"/>
    <w:qFormat/>
    <w:uiPriority w:val="0"/>
    <w:pPr>
      <w:tabs>
        <w:tab w:val="left" w:pos="960"/>
        <w:tab w:val="left" w:pos="1470"/>
      </w:tabs>
      <w:spacing w:line="360" w:lineRule="auto"/>
      <w:ind w:left="1470" w:hanging="420"/>
    </w:pPr>
    <w:rPr>
      <w:sz w:val="24"/>
      <w:szCs w:val="20"/>
    </w:rPr>
  </w:style>
  <w:style w:type="paragraph" w:customStyle="1" w:styleId="27">
    <w:name w:val="Table Paragraph"/>
    <w:basedOn w:val="1"/>
    <w:qFormat/>
    <w:uiPriority w:val="0"/>
    <w:pPr>
      <w:autoSpaceDE w:val="0"/>
      <w:autoSpaceDN w:val="0"/>
      <w:jc w:val="left"/>
    </w:pPr>
    <w:rPr>
      <w:rFonts w:ascii="宋体" w:hAnsi="宋体" w:cs="宋体"/>
      <w:kern w:val="0"/>
      <w:sz w:val="22"/>
      <w:szCs w:val="22"/>
    </w:rPr>
  </w:style>
  <w:style w:type="paragraph" w:customStyle="1" w:styleId="28">
    <w:name w:val="x-scop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qowt-font5-gb2312"/>
    <w:qFormat/>
    <w:uiPriority w:val="0"/>
  </w:style>
  <w:style w:type="paragraph" w:customStyle="1" w:styleId="30">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3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40521</Words>
  <Characters>43093</Characters>
  <Lines>0</Lines>
  <Paragraphs>0</Paragraphs>
  <TotalTime>62</TotalTime>
  <ScaleCrop>false</ScaleCrop>
  <LinksUpToDate>false</LinksUpToDate>
  <CharactersWithSpaces>44967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2023-11-11T20:59:00Z</dcterms:created>
  <dc:creator>姬崽</dc:creator>
  <cp:lastModifiedBy>陈可欣</cp:lastModifiedBy>
  <dcterms:modified xsi:type="dcterms:W3CDTF">2024-09-14T04:44:23Z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8224269737DF4D17B0D6DFE97BC9763F</vt:lpwstr>
  </property>
</Properties>
</file>