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numPr>
          <w:ilvl w:val="0"/>
          <w:numId w:val="0"/>
        </w:numPr>
        <w:rPr>
          <w:rFonts w:hint="default" w:ascii="CESI黑体-GB2312" w:hAnsi="CESI黑体-GB2312" w:eastAsia="CESI黑体-GB2312" w:cs="CESI黑体-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附件2</w:t>
      </w:r>
    </w:p>
    <w:p>
      <w:pPr>
        <w:pStyle w:val="3"/>
        <w:numPr>
          <w:ilvl w:val="0"/>
          <w:numId w:val="0"/>
        </w:numPr>
        <w:snapToGrid w:val="0"/>
        <w:spacing w:afterLines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  <w:t>深圳市2024年度深化知识产权代理行业</w:t>
      </w:r>
    </w:p>
    <w:p>
      <w:pPr>
        <w:pStyle w:val="3"/>
        <w:numPr>
          <w:ilvl w:val="0"/>
          <w:numId w:val="0"/>
        </w:numPr>
        <w:snapToGrid w:val="0"/>
        <w:spacing w:after="0" w:afterLines="0"/>
        <w:jc w:val="center"/>
        <w:rPr>
          <w:rFonts w:hint="default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  <w:t>“蓝天”专项行动工作联系人汇总表</w:t>
      </w:r>
      <w:bookmarkEnd w:id="0"/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545"/>
        <w:gridCol w:w="2502"/>
        <w:gridCol w:w="2261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atLeast"/>
          <w:tblHeader/>
        </w:trPr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分管领导</w:t>
            </w:r>
          </w:p>
        </w:tc>
        <w:tc>
          <w:tcPr>
            <w:tcW w:w="7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3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2" w:hRule="atLeast"/>
          <w:tblHeader/>
        </w:trPr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2" w:hRule="atLeast"/>
          <w:tblHeader/>
        </w:trPr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2" w:hRule="atLeast"/>
          <w:tblHeader/>
        </w:trPr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9C3BA"/>
    <w:rsid w:val="63F9C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next w:val="4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2024-08-09T17:00:00Z</dcterms:created>
  <dc:creator>WANGQW</dc:creator>
  <cp:lastModifiedBy>WANGQW</cp:lastModifiedBy>
  <dcterms:modified xsi:type="dcterms:W3CDTF">2024-08-09T17:01:02Z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139C8710BE65731FB3DAB566FCE5A0C9</vt:lpwstr>
  </property>
</Properties>
</file>