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lang w:val="en-US" w:eastAsia="zh-CN"/>
        </w:rPr>
        <w:t>相关法律法规及红黄牌警示规定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2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（一）根据《深圳经济特区城市燃气管理条例》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第五十七条第二款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前款行为的，建设单位应当会同施工、监理等相关单位，与管道管道燃气企业签订安全保护协议，现场人工探明燃气设施具体位置，制定燃气管道及设施安全保护方案，采取安全保护措施。在实施动土作业前，建设单位应当按照规定程序组织签定动土作业确认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第八十五条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违反本条例第五十七条第二款规定的，由主管部门责令限期改正，对建设单位处二十万元以上五十万元以下罚款。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2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（二）“红牌”警示情形。涉燃气管道第三方施工项目出现下列情形之一的，对施工单位予以红色警示，红色警示期 2 个月。1.现场发生险情：发生第三方施工损坏燃气管道事故；2.虽未损坏燃气管道，但对公共安全构成严重威胁或者社会影响恶劣的，具体判定情形如下：（1）未完成《涉动土作业确认表》签订就擅自组织动土作业的；（2）未落实燃气管道保护“6 个100%”措施的情况下，被要求停工而拒不停工或者在停工期间擅自施工的；（3）现场作业人员未经燃气管道安全保护知识培训，或不了解施工范围内燃气管道分布情况或相关保护知识的情况下，被要求停工而拒不停工或者在停工期间擅自施工的。相关涉事单位受到红色警示的其项目负责人、项目经理、项目总监理工程师等责任人员应一并给予红色警示，警示期与所属单位的警示期相同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200"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（三）对于监理单位及相关人员予以“黄牌”警示的情形：未组织对应在开工前实施的临时设施、安全文明措施、地下管线保护进行开工条件验收的。</w:t>
      </w:r>
    </w:p>
    <w:sectPr>
      <w:pgSz w:w="11906" w:h="16838"/>
      <w:pgMar w:top="2098" w:right="1474" w:bottom="1984" w:left="1587" w:header="851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73436"/>
    <w:rsid w:val="6B9E3E11"/>
    <w:rsid w:val="6FF8F538"/>
    <w:rsid w:val="76E734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cs="Courier New"/>
      <w:szCs w:val="21"/>
    </w:rPr>
  </w:style>
  <w:style w:type="paragraph" w:styleId="3">
    <w:name w:val="index 8"/>
    <w:basedOn w:val="1"/>
    <w:next w:val="1"/>
    <w:unhideWhenUsed/>
    <w:qFormat/>
    <w:uiPriority w:val="99"/>
    <w:pPr>
      <w:spacing w:line="240" w:lineRule="auto"/>
      <w:ind w:left="1400" w:leftChars="1400" w:firstLine="0" w:firstLineChars="0"/>
    </w:pPr>
    <w:rPr>
      <w:rFonts w:ascii="Times New Roman" w:hAnsi="Times New Roman" w:eastAsia="仿宋"/>
      <w:snapToGrid w:val="0"/>
      <w:sz w:val="28"/>
      <w:szCs w:val="28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2024-07-13T08:35:00Z</dcterms:created>
  <dc:creator>liuyihui</dc:creator>
  <cp:lastModifiedBy>gongcheng</cp:lastModifiedBy>
  <dcterms:modified xsi:type="dcterms:W3CDTF">2024-07-22T11:09:01Z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A4A7F6CE9E52E2B54DCD9D665E9B38D6</vt:lpwstr>
  </property>
</Properties>
</file>