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附件1：</w:t>
      </w:r>
    </w:p>
    <w:p>
      <w:pPr>
        <w:jc w:val="center"/>
        <w:rPr>
          <w:rFonts w:ascii="宋体" w:hAnsi="宋体" w:eastAsia="宋体" w:cs="宋体"/>
          <w:b/>
          <w:bCs/>
          <w:color w:val="000000"/>
          <w:kern w:val="0"/>
          <w:sz w:val="36"/>
          <w:szCs w:val="36"/>
          <w:lang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bidi="ar"/>
        </w:rPr>
        <w:t>2024年第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val="en-US" w:eastAsia="zh-CN" w:bidi="ar"/>
        </w:rPr>
        <w:t>十四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bidi="ar"/>
        </w:rPr>
        <w:t>批面向香港人才常态化配租</w:t>
      </w:r>
    </w:p>
    <w:p>
      <w:pPr>
        <w:jc w:val="center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bidi="ar"/>
        </w:rPr>
        <w:t>审核通过企业名单</w:t>
      </w:r>
    </w:p>
    <w:tbl>
      <w:tblPr>
        <w:tblStyle w:val="3"/>
        <w:tblpPr w:leftFromText="180" w:rightFromText="180" w:vertAnchor="text" w:horzAnchor="page" w:tblpX="251" w:tblpY="582"/>
        <w:tblOverlap w:val="never"/>
        <w:tblW w:w="104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0"/>
        <w:gridCol w:w="5820"/>
        <w:gridCol w:w="1035"/>
        <w:gridCol w:w="945"/>
        <w:gridCol w:w="9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635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DE9D9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企业信息</w:t>
            </w: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E9D9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最终配额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E9D9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企业申报类别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E9D9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企业名称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E9D9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本次申请套数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E9D9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合计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E9D9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VI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齐齐努力（深圳）文化科技有限公司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VI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深圳市千蜂文化传媒有限公司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</w:tbl>
    <w:p>
      <w:pPr>
        <w:pStyle w:val="2"/>
        <w:widowControl/>
        <w:spacing w:beforeAutospacing="0" w:afterAutospacing="0"/>
        <w:jc w:val="both"/>
        <w:rPr>
          <w:rFonts w:ascii="仿宋_GB2312" w:hAnsi="仿宋_GB2312" w:eastAsia="仿宋_GB2312" w:cs="仿宋_GB2312"/>
          <w:kern w:val="2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5873C2"/>
    <w:rsid w:val="37587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2024-07-12T06:21:00Z</dcterms:created>
  <dc:creator>陈可欣</dc:creator>
  <cp:lastModifiedBy>陈可欣</cp:lastModifiedBy>
  <dcterms:modified xsi:type="dcterms:W3CDTF">2024-07-12T06:21:55Z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