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hint="default" w:ascii="方正小标宋_GBK" w:hAnsi="方正小标宋_GBK" w:eastAsia="方正小标宋_GBK" w:cs="方正小标宋_GBK"/>
          <w:b w:val="0"/>
          <w:bCs w:val="0"/>
          <w:kern w:val="2"/>
          <w:sz w:val="44"/>
          <w:szCs w:val="44"/>
        </w:rPr>
      </w:pPr>
      <w:r>
        <w:rPr>
          <w:rFonts w:ascii="方正小标宋_GBK" w:hAnsi="方正小标宋_GBK" w:eastAsia="方正小标宋_GBK" w:cs="方正小标宋_GBK"/>
          <w:b w:val="0"/>
          <w:bCs w:val="0"/>
          <w:kern w:val="2"/>
          <w:sz w:val="44"/>
          <w:szCs w:val="44"/>
        </w:rPr>
        <w:t>粤助企系列之粤海街道2024年“数据绘</w:t>
      </w:r>
    </w:p>
    <w:p>
      <w:pPr>
        <w:pStyle w:val="2"/>
        <w:widowControl/>
        <w:spacing w:beforeAutospacing="0" w:afterAutospacing="0" w:line="560" w:lineRule="exact"/>
        <w:jc w:val="center"/>
        <w:rPr>
          <w:rFonts w:hint="default" w:ascii="方正小标宋_GBK" w:hAnsi="方正小标宋_GBK" w:eastAsia="方正小标宋_GBK" w:cs="方正小标宋_GBK"/>
          <w:b w:val="0"/>
          <w:bCs w:val="0"/>
          <w:kern w:val="2"/>
          <w:sz w:val="44"/>
          <w:szCs w:val="44"/>
        </w:rPr>
      </w:pPr>
      <w:r>
        <w:rPr>
          <w:rFonts w:ascii="方正小标宋_GBK" w:hAnsi="方正小标宋_GBK" w:eastAsia="方正小标宋_GBK" w:cs="方正小标宋_GBK"/>
          <w:b w:val="0"/>
          <w:bCs w:val="0"/>
          <w:kern w:val="2"/>
          <w:sz w:val="44"/>
          <w:szCs w:val="44"/>
        </w:rPr>
        <w:t>发展，统计筑基石”--粤海街道企业统计员之家系列活动项目</w:t>
      </w:r>
      <w:r>
        <w:rPr>
          <w:rFonts w:ascii="方正小标宋_GBK" w:hAnsi="方正小标宋_GBK" w:eastAsia="方正小标宋_GBK" w:cs="方正小标宋_GBK"/>
          <w:b w:val="0"/>
          <w:bCs w:val="0"/>
          <w:kern w:val="2"/>
          <w:sz w:val="44"/>
          <w:szCs w:val="44"/>
          <w:lang w:val="en"/>
        </w:rPr>
        <w:t>招标文件</w:t>
      </w:r>
      <w:r>
        <w:fldChar w:fldCharType="begin"/>
      </w:r>
      <w:r>
        <w:instrText xml:space="preserve"> HYPERLINK "https://service.weibo.com/share/share.php?url=http://www.szns.gov.cn/xxgk/qzfxxgkml/tzgg/content/post_10724510.html&amp;title=%E5%8D%97%E5%B1%B1%E5%8C%BA%E6%8B%9B%E5%95%86%E8%A1%97%E9%81%93%E5%8D%8A%E5%B2%9B%E8%8A%B1%E5%9B%ADA%E5%8C%BA%E8%80%81%E6%97%A7%E5%B0%8F%E5%8C%BA%E6%94%B9%E9%80%A0%E5%B7%A5%E7%A8%8B%E8%AE%BE%E8%AE%A1%E6%8B%9B%E6%A0%87%E5%85%AC%E5%91%8A&amp;pic=http://www.szns.gov.cn/header/n_guohui.png&amp;appkey=" \t "http://www.szns.gov.cn/xxgk/qzfxxgkml/tzgg/content/_blank" </w:instrText>
      </w:r>
      <w:r>
        <w:fldChar w:fldCharType="separate"/>
      </w:r>
      <w:r>
        <w:fldChar w:fldCharType="end"/>
      </w:r>
      <w:r>
        <w:fldChar w:fldCharType="begin"/>
      </w:r>
      <w:r>
        <w:instrText xml:space="preserve"> HYPERLINK "http://connect.qq.com/widget/shareqq/index.html?url=http://www.szns.gov.cn/xxgk/qzfxxgkml/tzgg/content/post_10724510.html&amp;title=%E5%8D%97%E5%B1%B1%E5%8C%BA%E6%8B%9B%E5%95%86%E8%A1%97%E9%81%93%E5%8D%8A%E5%B2%9B%E8%8A%B1%E5%9B%ADA%E5%8C%BA%E8%80%81%E6%97%A7%E5%B0%8F%E5%8C%BA%E6%94%B9%E9%80%A0%E5%B7%A5%E7%A8%8B%E8%AE%BE%E8%AE%A1%E6%8B%9B%E6%A0%87%E5%85%AC%E5%91%8A&amp;source=%E5%8D%97%E5%B1%B1%E5%8C%BA%E6%8B%9B%E5%95%86%E8%A1%97%E9%81%93%E5%8D%8A%E5%B2%9B%E8%8A%B1%E5%9B%ADA%E5%8C%BA%E8%80%81%E6%97%A7%E5%B0%8F%E5%8C%BA%E6%94%B9%E9%80%A0%E5%B7%A5%E7%A8%8B%E8%AE%BE%E8%AE%A1%E6%8B%9B%E6%A0%87%E5%85%AC%E5%91%8A&amp;desc=%E6%B7%B1%E5%9C%B3%E5%B8%82%E5%8D%97%E5%B1%B1%E5%8C%BA%E4%BA%BA%E6%B0%91%E6%94%BF%E5%BA%9C%E7%BD%91%E7%AB%99&amp;pics=http://www.szns.gov.cn/header/n_guohui.png" \t "http://www.szns.gov.cn/xxgk/qzfxxgkml/tzgg/content/_blank" </w:instrText>
      </w:r>
      <w:r>
        <w:fldChar w:fldCharType="separate"/>
      </w:r>
      <w:r>
        <w:fldChar w:fldCharType="end"/>
      </w:r>
      <w:r>
        <w:fldChar w:fldCharType="begin"/>
      </w:r>
      <w:r>
        <w:instrText xml:space="preserve"> HYPERLINK "http://sns.qzone.qq.com/cgi-bin/qzshare/cgi_qzshare_onekey?url=http://www.szns.gov.cn/xxgk/qzfxxgkml/tzgg/content/post_10724510.html&amp;title=%E5%8D%97%E5%B1%B1%E5%8C%BA%E6%8B%9B%E5%95%86%E8%A1%97%E9%81%93%E5%8D%8A%E5%B2%9B%E8%8A%B1%E5%9B%ADA%E5%8C%BA%E8%80%81%E6%97%A7%E5%B0%8F%E5%8C%BA%E6%94%B9%E9%80%A0%E5%B7%A5%E7%A8%8B%E8%AE%BE%E8%AE%A1%E6%8B%9B%E6%A0%87%E5%85%AC%E5%91%8A&amp;desc=%E6%B7%B1%E5%9C%B3%E5%B8%82%E5%8D%97%E5%B1%B1%E5%8C%BA%E4%BA%BA%E6%B0%91%E6%94%BF%E5%BA%9C%E7%BD%91%E7%AB%99&amp;summary=%E6%B7%B1%E5%9C%B3%E5%B8%82%E5%8D%97%E5%B1%B1%E5%8C%BA%E4%BA%BA%E6%B0%91%E6%94%BF%E5%BA%9C%E7%BD%91%E7%AB%99&amp;site=%E5%8D%97%E5%B1%B1%E5%8C%BA%E6%8B%9B%E5%95%86%E8%A1%97%E9%81%93%E5%8D%8A%E5%B2%9B%E8%8A%B1%E5%9B%ADA%E5%8C%BA%E8%80%81%E6%97%A7%E5%B0%8F%E5%8C%BA%E6%94%B9%E9%80%A0%E5%B7%A5%E7%A8%8B%E8%AE%BE%E8%AE%A1%E6%8B%9B%E6%A0%87%E5%85%AC%E5%91%8A&amp;pics=http://www.szns.gov.cn/header/n_guohui.png" \t "http://www.szns.gov.cn/xxgk/qzfxxgkml/tzgg/content/_blank" </w:instrText>
      </w:r>
      <w:r>
        <w:fldChar w:fldCharType="separate"/>
      </w:r>
      <w:r>
        <w:fldChar w:fldCharType="end"/>
      </w:r>
    </w:p>
    <w:p>
      <w:pPr>
        <w:pStyle w:val="13"/>
        <w:widowControl/>
        <w:spacing w:before="120" w:beforeAutospacing="0" w:after="120" w:afterAutospacing="0" w:line="240" w:lineRule="atLeast"/>
        <w:ind w:right="105" w:rightChars="50"/>
        <w:jc w:val="both"/>
        <w:rPr>
          <w:shd w:val="clear" w:color="auto" w:fill="FFFFFF"/>
        </w:rPr>
      </w:pPr>
    </w:p>
    <w:p>
      <w:pPr>
        <w:spacing w:line="560" w:lineRule="exact"/>
        <w:ind w:firstLine="640" w:firstLineChars="200"/>
        <w:rPr>
          <w:rFonts w:ascii="仿宋_GB2312" w:hAnsi="Times New Roman" w:eastAsia="仿宋_GB2312" w:cs="Times New Roman"/>
          <w:sz w:val="32"/>
          <w:szCs w:val="32"/>
        </w:rPr>
      </w:pPr>
      <w:r>
        <w:rPr>
          <w:rFonts w:hint="eastAsia" w:ascii="SimHei" w:hAnsi="SimHei" w:eastAsia="SimHei" w:cs="宋体"/>
          <w:bCs/>
          <w:sz w:val="32"/>
          <w:szCs w:val="32"/>
        </w:rPr>
        <w:t>一、采购项目概况</w:t>
      </w:r>
    </w:p>
    <w:p>
      <w:pPr>
        <w:pStyle w:val="13"/>
        <w:widowControl/>
        <w:spacing w:beforeAutospacing="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为进一步提高粤海街道企业统计员的专业素养、理论水平及综合素质，更加深入理解国家战略，提升统计预测预警能力，推动统计事业高质量发展，更好地服务统计发展改革大局，粤海街道探索开展“统计员之家”品牌系列服务，营造统计员“家文化”，一是以服务促凝聚，让辖区企业统计员进一步融入粤海统计大家庭，二是以服务促发展，提高企业统计员数据统计能力，确保统计数据真实准确，为推动粤海街道高质量发展提供有力的经济统计支撑。</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Times New Roman" w:eastAsia="仿宋_GB2312"/>
          <w:kern w:val="2"/>
          <w:sz w:val="32"/>
          <w:szCs w:val="32"/>
        </w:rPr>
        <w:t>项目名称：</w:t>
      </w:r>
      <w:r>
        <w:rPr>
          <w:rFonts w:hint="eastAsia" w:ascii="仿宋_GB2312" w:hAnsi="仿宋_GB2312" w:eastAsia="仿宋_GB2312" w:cs="仿宋_GB2312"/>
          <w:kern w:val="2"/>
          <w:sz w:val="32"/>
          <w:szCs w:val="32"/>
        </w:rPr>
        <w:t>粤助企系列之粤海街道2024年“数据绘发展，统计筑基石”--粤海街道企业统计员之家系列活动</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项目预算：4</w:t>
      </w:r>
      <w:r>
        <w:rPr>
          <w:rFonts w:hint="default" w:ascii="仿宋_GB2312" w:hAnsi="仿宋_GB2312" w:eastAsia="仿宋_GB2312" w:cs="仿宋_GB2312"/>
          <w:kern w:val="2"/>
          <w:sz w:val="32"/>
          <w:szCs w:val="32"/>
          <w:lang w:val="en-US"/>
        </w:rPr>
        <w:t>8</w:t>
      </w:r>
      <w:r>
        <w:rPr>
          <w:rFonts w:hint="eastAsia" w:ascii="仿宋_GB2312" w:hAnsi="仿宋_GB2312" w:eastAsia="仿宋_GB2312" w:cs="仿宋_GB2312"/>
          <w:kern w:val="2"/>
          <w:sz w:val="32"/>
          <w:szCs w:val="32"/>
          <w:lang w:val="en-US" w:eastAsia="zh-CN"/>
        </w:rPr>
        <w:t>万</w:t>
      </w:r>
      <w:r>
        <w:rPr>
          <w:rFonts w:hint="eastAsia" w:ascii="仿宋_GB2312" w:hAnsi="仿宋_GB2312" w:eastAsia="仿宋_GB2312" w:cs="仿宋_GB2312"/>
          <w:kern w:val="2"/>
          <w:sz w:val="32"/>
          <w:szCs w:val="32"/>
        </w:rPr>
        <w:t>元</w:t>
      </w:r>
    </w:p>
    <w:p>
      <w:pPr>
        <w:pStyle w:val="13"/>
        <w:widowControl/>
        <w:spacing w:beforeAutospacing="0" w:afterAutospacing="0" w:line="560" w:lineRule="exact"/>
        <w:ind w:firstLine="800" w:firstLineChars="250"/>
        <w:jc w:val="both"/>
        <w:rPr>
          <w:rFonts w:ascii="仿宋_GB2312" w:hAnsi="仿宋_GB2312" w:eastAsia="仿宋_GB2312" w:cs="仿宋_GB2312"/>
          <w:kern w:val="2"/>
          <w:sz w:val="32"/>
          <w:szCs w:val="32"/>
        </w:rPr>
      </w:pPr>
      <w:r>
        <w:rPr>
          <w:rFonts w:hint="eastAsia" w:ascii="SimHei" w:hAnsi="SimHei" w:eastAsia="SimHei" w:cs="宋体"/>
          <w:bCs/>
          <w:kern w:val="2"/>
          <w:sz w:val="32"/>
          <w:szCs w:val="32"/>
        </w:rPr>
        <w:t>二、项目需求</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具体工作内容包含但不限于：</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（一）开展以业务强化为导向的“知识风暴营”系列，每场30-100人，共计13场，预计服务460人次。</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（二）开展以职场人心理减压为导向的“妙趣创造营”系列，每场25人，共计4场，预计服务100人次。 </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（三）开展以脑力劳动者运动健康为导向的“多巴胺能量营”系列，每场20人，共计6场，预计服务120人次。</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（四）开展以职场“四点半”服务文化为导向的“聚光青年营”系列，每场25人，共计4场，预计服务100人次。</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（五）开展以队伍凝练为导向的“热汗追风营”系列，每场30人，共计2场，预计服务60人次。</w:t>
      </w:r>
    </w:p>
    <w:p>
      <w:pPr>
        <w:pStyle w:val="13"/>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（六）开展以街道统计员社群活跃为导向的“荟聚观影营”系列，每场190人，共计6场，预计服务1140人次。</w:t>
      </w:r>
    </w:p>
    <w:p>
      <w:pPr>
        <w:pStyle w:val="13"/>
        <w:widowControl/>
        <w:spacing w:beforeAutospacing="0" w:afterAutospacing="0" w:line="560" w:lineRule="exact"/>
        <w:ind w:firstLine="640" w:firstLineChars="200"/>
        <w:jc w:val="both"/>
        <w:rPr>
          <w:rFonts w:ascii="SimHei" w:hAnsi="SimHei" w:eastAsia="SimHei" w:cs="宋体"/>
          <w:bCs/>
          <w:kern w:val="2"/>
          <w:sz w:val="32"/>
          <w:szCs w:val="32"/>
        </w:rPr>
      </w:pPr>
      <w:r>
        <w:rPr>
          <w:rFonts w:hint="eastAsia" w:ascii="SimHei" w:hAnsi="SimHei" w:eastAsia="SimHei" w:cs="宋体"/>
          <w:bCs/>
          <w:kern w:val="2"/>
          <w:sz w:val="32"/>
          <w:szCs w:val="32"/>
        </w:rPr>
        <w:t>三、供应商资格要求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（一）应是依法注册或登记成立的法人企业、社会组织；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（二）应具有独立承担民事责任能力；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（三）应具有良好的商业信誉和健全的财务管理制度；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（四）实际运营社会服务机构或社会组织，具有开展统计员活动必需的方案设计和服务开展的专业服务人员；</w:t>
      </w:r>
    </w:p>
    <w:p>
      <w:pPr>
        <w:pStyle w:val="2"/>
        <w:adjustRightInd w:val="0"/>
        <w:snapToGrid w:val="0"/>
        <w:spacing w:beforeAutospacing="0" w:afterAutospacing="0" w:line="560" w:lineRule="exact"/>
        <w:ind w:firstLine="640" w:firstLineChars="200"/>
        <w:rPr>
          <w:rFonts w:hint="default" w:ascii="仿宋_GB2312" w:hAnsi="仿宋_GB2312" w:eastAsia="仿宋_GB2312" w:cs="仿宋_GB2312"/>
          <w:b w:val="0"/>
          <w:bCs w:val="0"/>
          <w:kern w:val="2"/>
          <w:sz w:val="32"/>
          <w:szCs w:val="32"/>
        </w:rPr>
      </w:pPr>
      <w:r>
        <w:rPr>
          <w:rFonts w:ascii="仿宋_GB2312" w:hAnsi="仿宋_GB2312" w:eastAsia="仿宋_GB2312" w:cs="仿宋_GB2312"/>
          <w:b w:val="0"/>
          <w:bCs w:val="0"/>
          <w:kern w:val="2"/>
          <w:sz w:val="32"/>
          <w:szCs w:val="32"/>
        </w:rPr>
        <w:t>（五）两年内未纳入社会失信名单、未发生重大安全事故或群众信访事件。</w:t>
      </w:r>
    </w:p>
    <w:p>
      <w:pPr>
        <w:spacing w:line="560" w:lineRule="exact"/>
        <w:ind w:firstLine="640" w:firstLineChars="200"/>
        <w:rPr>
          <w:rFonts w:ascii="SimHei" w:hAnsi="SimHei" w:eastAsia="SimHei" w:cs="宋体"/>
          <w:bCs/>
          <w:sz w:val="32"/>
          <w:szCs w:val="32"/>
        </w:rPr>
      </w:pPr>
      <w:r>
        <w:rPr>
          <w:rFonts w:hint="eastAsia" w:ascii="SimHei" w:hAnsi="SimHei" w:eastAsia="SimHei" w:cs="宋体"/>
          <w:bCs/>
          <w:sz w:val="32"/>
          <w:szCs w:val="32"/>
        </w:rPr>
        <w:t>五、评标定标方法</w:t>
      </w:r>
    </w:p>
    <w:p>
      <w:pPr>
        <w:spacing w:line="560" w:lineRule="exact"/>
        <w:ind w:firstLine="640" w:firstLineChars="200"/>
      </w:pPr>
      <w:r>
        <w:rPr>
          <w:rFonts w:hint="eastAsia" w:ascii="仿宋_GB2312" w:hAnsi="Times New Roman" w:eastAsia="仿宋_GB2312" w:cs="Times New Roman"/>
          <w:sz w:val="32"/>
          <w:szCs w:val="32"/>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1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644"/>
        <w:gridCol w:w="1440"/>
        <w:gridCol w:w="1290"/>
        <w:gridCol w:w="52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序号</w:t>
            </w:r>
          </w:p>
        </w:tc>
        <w:tc>
          <w:tcPr>
            <w:tcW w:w="337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评分项</w:t>
            </w:r>
          </w:p>
        </w:tc>
        <w:tc>
          <w:tcPr>
            <w:tcW w:w="5263"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权重</w:t>
            </w:r>
            <w:r>
              <w:rPr>
                <w:rFonts w:hint="eastAsia" w:asciiTheme="minorEastAsia" w:hAnsiTheme="minorEastAsia"/>
                <w:b/>
                <w:bCs/>
                <w:color w:val="000000" w:themeColor="text1"/>
                <w14:textFill>
                  <w14:solidFill>
                    <w14:schemeClr w14:val="tx1"/>
                  </w14:solidFill>
                </w14:textFill>
              </w:rPr>
              <w:t>（</w:t>
            </w:r>
            <w:r>
              <w:rPr>
                <w:rFonts w:asciiTheme="minorEastAsia" w:hAnsiTheme="minorEastAsia"/>
                <w:b/>
                <w:bCs/>
                <w:color w:val="000000" w:themeColor="text1"/>
                <w14:textFill>
                  <w14:solidFill>
                    <w14:schemeClr w14:val="tx1"/>
                  </w14:solidFill>
                </w14:textFill>
              </w:rPr>
              <w:t>2</w:t>
            </w:r>
            <w:r>
              <w:rPr>
                <w:rFonts w:hint="eastAsia" w:asciiTheme="minorEastAsia" w:hAnsiTheme="minorEastAsia"/>
                <w:b/>
                <w:bCs/>
                <w:color w:val="000000" w:themeColor="text1"/>
                <w14:textFill>
                  <w14:solidFill>
                    <w14:schemeClr w14:val="tx1"/>
                  </w14:solidFill>
                </w14:textFill>
              </w:rPr>
              <w:t>0</w:t>
            </w:r>
            <w:r>
              <w:rPr>
                <w:rFonts w:asciiTheme="minorEastAsia" w:hAnsiTheme="minorEastAsia"/>
                <w:b/>
                <w:bCs/>
                <w:color w:val="000000" w:themeColor="text1"/>
                <w14:textFill>
                  <w14:solidFill>
                    <w14:schemeClr w14:val="tx1"/>
                  </w14:solidFill>
                </w14:textFill>
              </w:rPr>
              <w:t>%</w:t>
            </w:r>
            <w:r>
              <w:rPr>
                <w:rFonts w:hint="eastAsia" w:asciiTheme="minorEastAsia" w:hAnsiTheme="minorEastAsia"/>
                <w:b/>
                <w:bCs/>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1</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价格</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eastAsia="宋体"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5"/>
            <w:tcBorders>
              <w:top w:val="single" w:color="000000" w:sz="8" w:space="0"/>
              <w:left w:val="single" w:color="000000" w:sz="8" w:space="0"/>
              <w:bottom w:val="single" w:color="000000" w:sz="8" w:space="0"/>
              <w:right w:val="single" w:color="000000" w:sz="8" w:space="0"/>
            </w:tcBorders>
          </w:tcPr>
          <w:p>
            <w:pPr>
              <w:tabs>
                <w:tab w:val="left" w:pos="1361"/>
              </w:tabs>
              <w:wordWrap w:val="0"/>
              <w:spacing w:line="276" w:lineRule="auto"/>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1.本项目投标报价金额为所有服务内容的全部“单项服务报价（元）”的合计金额；</w:t>
            </w:r>
          </w:p>
          <w:p>
            <w:pPr>
              <w:tabs>
                <w:tab w:val="left" w:pos="1361"/>
              </w:tabs>
              <w:wordWrap w:val="0"/>
              <w:spacing w:line="276" w:lineRule="auto"/>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2.采用低价优先法计算，即满足招标文件要求且投标价格最低的投标报价为评标基准价，其价格分为20分。其他投标人的价格分统一按照下列公式计算： </w:t>
            </w:r>
          </w:p>
          <w:p>
            <w:pPr>
              <w:tabs>
                <w:tab w:val="left" w:pos="1361"/>
              </w:tabs>
              <w:wordWrap w:val="0"/>
              <w:spacing w:line="276" w:lineRule="auto"/>
              <w:jc w:val="left"/>
              <w:rPr>
                <w:rFonts w:asciiTheme="minorEastAsia" w:hAnsiTheme="minorEastAsia"/>
                <w:b/>
                <w:bCs/>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投标报价得分=(评标基准价／投标报价)×20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bottom w:val="single" w:color="000000" w:sz="8" w:space="0"/>
              <w:right w:val="single" w:color="000000" w:sz="8" w:space="0"/>
            </w:tcBorders>
          </w:tcPr>
          <w:p>
            <w:pPr>
              <w:wordWrap w:val="0"/>
              <w:spacing w:line="276" w:lineRule="auto"/>
            </w:pPr>
          </w:p>
          <w:p>
            <w:pPr>
              <w:pStyle w:val="2"/>
              <w:rPr>
                <w:rFonts w:hint="default"/>
              </w:rPr>
            </w:pPr>
          </w:p>
          <w:p/>
          <w:p>
            <w:pPr>
              <w:jc w:val="center"/>
              <w:rPr>
                <w:rFonts w:cs="宋体" w:asciiTheme="minorEastAsia" w:hAnsiTheme="minorEastAsia"/>
                <w:b/>
                <w:bCs/>
                <w:color w:val="000000" w:themeColor="text1"/>
                <w14:textFill>
                  <w14:solidFill>
                    <w14:schemeClr w14:val="tx1"/>
                  </w14:solidFill>
                </w14:textFill>
              </w:rPr>
            </w:pPr>
          </w:p>
          <w:p>
            <w:pPr>
              <w:jc w:val="center"/>
              <w:rPr>
                <w:rFonts w:cs="宋体" w:asciiTheme="minorEastAsia" w:hAnsiTheme="minorEastAsia"/>
                <w:b/>
                <w:bCs/>
                <w:color w:val="000000" w:themeColor="text1"/>
                <w14:textFill>
                  <w14:solidFill>
                    <w14:schemeClr w14:val="tx1"/>
                  </w14:solidFill>
                </w14:textFill>
              </w:rPr>
            </w:pPr>
          </w:p>
          <w:p>
            <w:pPr>
              <w:jc w:val="center"/>
            </w:pPr>
            <w:r>
              <w:rPr>
                <w:rFonts w:hint="eastAsia" w:cs="宋体" w:asciiTheme="minorEastAsia" w:hAnsiTheme="minorEastAsia"/>
                <w:b/>
                <w:bCs/>
                <w:color w:val="000000" w:themeColor="text1"/>
                <w14:textFill>
                  <w14:solidFill>
                    <w14:schemeClr w14:val="tx1"/>
                  </w14:solidFill>
                </w14:textFill>
              </w:rPr>
              <w:t>2</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技术部分</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default" w:asciiTheme="minorEastAsia" w:hAnsiTheme="minorEastAsia"/>
                <w:b/>
                <w:bCs/>
                <w:color w:val="000000" w:themeColor="text1"/>
                <w:lang w:val="en-US"/>
                <w14:textFill>
                  <w14:solidFill>
                    <w14:schemeClr w14:val="tx1"/>
                  </w14:solidFill>
                </w14:textFill>
              </w:rPr>
            </w:pPr>
            <w:r>
              <w:rPr>
                <w:rFonts w:hint="default" w:asciiTheme="minorEastAsia" w:hAnsiTheme="minorEastAsia"/>
                <w:b/>
                <w:bCs/>
                <w:color w:val="000000" w:themeColor="text1"/>
                <w:lang w:val="en-US"/>
                <w14:textFill>
                  <w14:solidFill>
                    <w14:schemeClr w14:val="tx1"/>
                  </w14:solidFill>
                </w14:textFill>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line="276" w:lineRule="auto"/>
              <w:jc w:val="center"/>
              <w:rPr>
                <w:rFonts w:cs="宋体" w:asciiTheme="minorEastAsia" w:hAnsiTheme="minorEastAsia"/>
                <w:b/>
                <w:bCs/>
                <w:color w:val="000000" w:themeColor="text1"/>
                <w14:textFill>
                  <w14:solidFill>
                    <w14:schemeClr w14:val="tx1"/>
                  </w14:solidFill>
                </w14:textFill>
              </w:rPr>
            </w:pPr>
          </w:p>
        </w:tc>
        <w:tc>
          <w:tcPr>
            <w:tcW w:w="64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cs="宋体"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44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评分因素</w:t>
            </w:r>
          </w:p>
        </w:tc>
        <w:tc>
          <w:tcPr>
            <w:tcW w:w="12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权重</w:t>
            </w:r>
            <w:r>
              <w:rPr>
                <w:rFonts w:hint="eastAsia" w:asciiTheme="minorEastAsia" w:hAnsiTheme="minorEastAsia"/>
                <w:color w:val="000000" w:themeColor="text1"/>
                <w14:textFill>
                  <w14:solidFill>
                    <w14:schemeClr w14:val="tx1"/>
                  </w14:solidFill>
                </w14:textFill>
              </w:rPr>
              <w:t>（</w:t>
            </w:r>
            <w:r>
              <w:rPr>
                <w:rFonts w:hint="default" w:asciiTheme="minorEastAsia" w:hAnsiTheme="minorEastAsia"/>
                <w:color w:val="000000" w:themeColor="text1"/>
                <w:lang w:val="en-US"/>
                <w14:textFill>
                  <w14:solidFill>
                    <w14:schemeClr w14:val="tx1"/>
                  </w14:solidFill>
                </w14:textFill>
              </w:rPr>
              <w:t>25</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w:t>
            </w:r>
          </w:p>
        </w:tc>
        <w:tc>
          <w:tcPr>
            <w:tcW w:w="52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top w:val="single" w:color="000000" w:sz="8" w:space="0"/>
              <w:left w:val="single" w:color="000000" w:sz="8" w:space="0"/>
              <w:bottom w:val="single" w:color="000000" w:sz="8" w:space="0"/>
              <w:right w:val="single" w:color="000000" w:sz="8" w:space="0"/>
            </w:tcBorders>
          </w:tcPr>
          <w:p>
            <w:pPr>
              <w:wordWrap w:val="0"/>
              <w:spacing w:line="276" w:lineRule="auto"/>
              <w:rPr>
                <w:rFonts w:cs="宋体" w:asciiTheme="minorEastAsia" w:hAnsiTheme="minorEastAsia"/>
                <w:b/>
                <w:bCs/>
                <w:color w:val="000000" w:themeColor="text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44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eastAsia="宋体" w:cs="宋体"/>
                <w:color w:val="000000"/>
                <w:sz w:val="24"/>
              </w:rPr>
            </w:pPr>
            <w:r>
              <w:rPr>
                <w:rFonts w:hint="eastAsia" w:asciiTheme="minorEastAsia" w:hAnsiTheme="minorEastAsia"/>
                <w:color w:val="000000" w:themeColor="text1"/>
                <w14:textFill>
                  <w14:solidFill>
                    <w14:schemeClr w14:val="tx1"/>
                  </w14:solidFill>
                </w14:textFill>
              </w:rPr>
              <w:t>服务方案</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color w:val="000000" w:themeColor="text1"/>
                <w:szCs w:val="21"/>
                <w:lang w:val="en-US"/>
                <w14:textFill>
                  <w14:solidFill>
                    <w14:schemeClr w14:val="tx1"/>
                  </w14:solidFill>
                </w14:textFill>
              </w:rPr>
            </w:pPr>
            <w:r>
              <w:rPr>
                <w:rFonts w:hint="default" w:ascii="宋体" w:hAnsi="宋体" w:eastAsia="宋体" w:cs="宋体"/>
                <w:color w:val="000000" w:themeColor="text1"/>
                <w:szCs w:val="21"/>
                <w:lang w:val="en-US"/>
                <w14:textFill>
                  <w14:solidFill>
                    <w14:schemeClr w14:val="tx1"/>
                  </w14:solidFill>
                </w14:textFill>
              </w:rPr>
              <w:t>25</w:t>
            </w:r>
          </w:p>
        </w:tc>
        <w:tc>
          <w:tcPr>
            <w:tcW w:w="5263" w:type="dxa"/>
            <w:tcBorders>
              <w:top w:val="single" w:color="000000" w:sz="8" w:space="0"/>
              <w:left w:val="single" w:color="000000" w:sz="8" w:space="0"/>
              <w:bottom w:val="single" w:color="000000" w:sz="8" w:space="0"/>
              <w:right w:val="single" w:color="000000" w:sz="8" w:space="0"/>
            </w:tcBorders>
            <w:vAlign w:val="center"/>
          </w:tcPr>
          <w:p>
            <w:r>
              <w:rPr>
                <w:rFonts w:hint="eastAsia"/>
              </w:rPr>
              <w:t>1.投标人结合本项目的实际提供服务方案，内容包括但不限于：①统计员之家系列活动方案；②服务团队工作方案。</w:t>
            </w:r>
          </w:p>
          <w:p>
            <w:pPr>
              <w:widowControl/>
              <w:wordWrap w:val="0"/>
            </w:pPr>
            <w:r>
              <w:rPr>
                <w:rFonts w:hint="eastAsia"/>
              </w:rPr>
              <w:t>投标人提供的项目服务方案每满足以上1点要求的得5分，最高得1</w:t>
            </w:r>
            <w:r>
              <w:rPr>
                <w:rFonts w:hint="default"/>
                <w:lang w:val="en-US"/>
              </w:rPr>
              <w:t>0</w:t>
            </w:r>
            <w:r>
              <w:rPr>
                <w:rFonts w:hint="eastAsia"/>
              </w:rPr>
              <w:t>分。</w:t>
            </w:r>
          </w:p>
          <w:p>
            <w:pPr>
              <w:widowControl/>
              <w:wordWrap w:val="0"/>
              <w:jc w:val="left"/>
            </w:pPr>
            <w:r>
              <w:rPr>
                <w:rFonts w:hint="eastAsia"/>
              </w:rPr>
              <w:t>2.在第1项得分基础上，评审委员会按照以下标准进一步评审：</w:t>
            </w:r>
          </w:p>
          <w:p>
            <w:pPr>
              <w:widowControl/>
              <w:wordWrap w:val="0"/>
              <w:jc w:val="left"/>
            </w:pPr>
            <w:r>
              <w:rPr>
                <w:rFonts w:hint="eastAsia"/>
              </w:rPr>
              <w:t>（1）优：方案全面完善，设计目标清晰明确，充分满足客户的应用需求，酌情得1</w:t>
            </w:r>
            <w:r>
              <w:rPr>
                <w:rFonts w:hint="default"/>
                <w:lang w:val="en-US"/>
              </w:rPr>
              <w:t>1</w:t>
            </w:r>
            <w:r>
              <w:rPr>
                <w:rFonts w:hint="eastAsia"/>
              </w:rPr>
              <w:t>-</w:t>
            </w:r>
            <w:r>
              <w:rPr>
                <w:rFonts w:hint="default"/>
                <w:lang w:val="en-US"/>
              </w:rPr>
              <w:t>15</w:t>
            </w:r>
            <w:r>
              <w:rPr>
                <w:rFonts w:hint="eastAsia"/>
              </w:rPr>
              <w:t>分；</w:t>
            </w:r>
          </w:p>
          <w:p>
            <w:pPr>
              <w:widowControl/>
              <w:wordWrap w:val="0"/>
              <w:jc w:val="left"/>
            </w:pPr>
            <w:r>
              <w:rPr>
                <w:rFonts w:hint="eastAsia"/>
              </w:rPr>
              <w:t>（2）良：方案比较全面完善，设计目标比较清晰明确，比较满足客户的应用需求的，酌情得</w:t>
            </w:r>
            <w:r>
              <w:rPr>
                <w:rFonts w:hint="default"/>
                <w:lang w:val="en-US"/>
              </w:rPr>
              <w:t>6</w:t>
            </w:r>
            <w:r>
              <w:rPr>
                <w:rFonts w:hint="eastAsia"/>
              </w:rPr>
              <w:t>-1</w:t>
            </w:r>
            <w:r>
              <w:rPr>
                <w:rFonts w:hint="default"/>
                <w:lang w:val="en-US"/>
              </w:rPr>
              <w:t>0</w:t>
            </w:r>
            <w:r>
              <w:rPr>
                <w:rFonts w:hint="eastAsia"/>
              </w:rPr>
              <w:t>分；</w:t>
            </w:r>
          </w:p>
          <w:p>
            <w:pPr>
              <w:widowControl/>
              <w:wordWrap w:val="0"/>
              <w:jc w:val="left"/>
            </w:pPr>
            <w:r>
              <w:rPr>
                <w:rFonts w:hint="eastAsia"/>
              </w:rPr>
              <w:t>（3）中：方案基本完善，设计目标基本清晰明确，基本满足客户的应用需求的，酌情得1-</w:t>
            </w:r>
            <w:r>
              <w:rPr>
                <w:rFonts w:hint="default"/>
                <w:lang w:val="en-US"/>
              </w:rPr>
              <w:t>5</w:t>
            </w:r>
            <w:r>
              <w:rPr>
                <w:rFonts w:hint="eastAsia"/>
              </w:rPr>
              <w:t>分；</w:t>
            </w:r>
          </w:p>
          <w:p>
            <w:pPr>
              <w:widowControl/>
              <w:wordWrap w:val="0"/>
              <w:jc w:val="left"/>
            </w:pPr>
            <w:r>
              <w:rPr>
                <w:rFonts w:hint="eastAsia"/>
              </w:rPr>
              <w:t>（4）差：方案内容简单，不满足客户的应用需求或未提供的，得0分。</w:t>
            </w:r>
          </w:p>
          <w:p>
            <w:r>
              <w:rPr>
                <w:rFonts w:hint="eastAsia"/>
              </w:rPr>
              <w:t>以上2项累计得分，满分</w:t>
            </w:r>
            <w:r>
              <w:rPr>
                <w:rFonts w:hint="default"/>
                <w:lang w:val="en-US"/>
              </w:rPr>
              <w:t>25</w:t>
            </w:r>
            <w:r>
              <w:rPr>
                <w:rFonts w:hint="eastAsi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5" w:hRule="atLeast"/>
          <w:jc w:val="center"/>
        </w:trPr>
        <w:tc>
          <w:tcPr>
            <w:tcW w:w="435" w:type="dxa"/>
            <w:vMerge w:val="restart"/>
            <w:tcBorders>
              <w:top w:val="single" w:color="000000" w:sz="8" w:space="0"/>
              <w:left w:val="single" w:color="000000" w:sz="8" w:space="0"/>
              <w:right w:val="single" w:color="000000" w:sz="8" w:space="0"/>
            </w:tcBorders>
          </w:tcPr>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3</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综合实力</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5</w:t>
            </w:r>
            <w:r>
              <w:rPr>
                <w:rFonts w:hint="default" w:asciiTheme="minorEastAsia" w:hAnsiTheme="minorEastAsia"/>
                <w:b/>
                <w:bCs/>
                <w:color w:val="000000" w:themeColor="text1"/>
                <w:lang w:val="en-US"/>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right w:val="single" w:color="000000" w:sz="8" w:space="0"/>
            </w:tcBorders>
            <w:shd w:val="clear" w:color="auto" w:fill="E6EFFA"/>
            <w:vAlign w:val="center"/>
          </w:tcPr>
          <w:p>
            <w:pPr>
              <w:wordWrap w:val="0"/>
              <w:spacing w:line="276" w:lineRule="auto"/>
              <w:jc w:val="center"/>
              <w:rPr>
                <w:rFonts w:cs="宋体" w:asciiTheme="minorEastAsia" w:hAnsiTheme="minorEastAsia"/>
                <w:b/>
                <w:bCs/>
                <w:color w:val="000000" w:themeColor="text1"/>
                <w14:textFill>
                  <w14:solidFill>
                    <w14:schemeClr w14:val="tx1"/>
                  </w14:solidFill>
                </w14:textFill>
              </w:rPr>
            </w:pPr>
          </w:p>
        </w:tc>
        <w:tc>
          <w:tcPr>
            <w:tcW w:w="64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cs="宋体"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44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评分因素</w:t>
            </w:r>
          </w:p>
        </w:tc>
        <w:tc>
          <w:tcPr>
            <w:tcW w:w="129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权重</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5</w:t>
            </w:r>
            <w:r>
              <w:rPr>
                <w:rFonts w:hint="default" w:asciiTheme="minorEastAsia" w:hAnsiTheme="minorEastAsia"/>
                <w:color w:val="000000" w:themeColor="text1"/>
                <w:lang w:val="en-US"/>
                <w14:textFill>
                  <w14:solidFill>
                    <w14:schemeClr w14:val="tx1"/>
                  </w14:solidFill>
                </w14:textFill>
              </w:rPr>
              <w:t>5</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w:t>
            </w:r>
          </w:p>
        </w:tc>
        <w:tc>
          <w:tcPr>
            <w:tcW w:w="5263" w:type="dxa"/>
            <w:tcBorders>
              <w:top w:val="outset" w:color="000000" w:sz="6" w:space="0"/>
              <w:left w:val="outset" w:color="000000" w:sz="6" w:space="0"/>
              <w:bottom w:val="outset" w:color="000000" w:sz="6" w:space="0"/>
              <w:right w:val="outset" w:color="000000" w:sz="6" w:space="0"/>
            </w:tcBorders>
            <w:shd w:val="clear" w:color="auto" w:fill="E6EFFA"/>
            <w:vAlign w:val="center"/>
          </w:tcPr>
          <w:p>
            <w:r>
              <w:rPr>
                <w:rFonts w:hint="eastAsia"/>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right w:val="single" w:color="000000" w:sz="8" w:space="0"/>
            </w:tcBorders>
          </w:tcPr>
          <w:p>
            <w:pPr>
              <w:wordWrap w:val="0"/>
              <w:spacing w:line="276" w:lineRule="auto"/>
              <w:rPr>
                <w:rFonts w:cs="宋体" w:asciiTheme="minorEastAsia" w:hAnsiTheme="minorEastAsia"/>
                <w:b/>
                <w:bCs/>
                <w:color w:val="000000" w:themeColor="text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1</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民生微</w:t>
            </w:r>
            <w:r>
              <w:rPr>
                <w:rFonts w:hint="eastAsia" w:asciiTheme="minorEastAsia" w:hAnsiTheme="minorEastAsia"/>
                <w:color w:val="000000" w:themeColor="text1"/>
                <w:lang w:eastAsia="zh-CN"/>
                <w14:textFill>
                  <w14:solidFill>
                    <w14:schemeClr w14:val="tx1"/>
                  </w14:solidFill>
                </w14:textFill>
              </w:rPr>
              <w:t>实事</w:t>
            </w:r>
            <w:r>
              <w:rPr>
                <w:rFonts w:hint="eastAsia" w:ascii="宋体" w:hAnsi="宋体" w:cs="宋体"/>
                <w:color w:val="000000" w:themeColor="text1"/>
                <w:szCs w:val="21"/>
                <w14:textFill>
                  <w14:solidFill>
                    <w14:schemeClr w14:val="tx1"/>
                  </w14:solidFill>
                </w14:textFill>
              </w:rPr>
              <w:t>类似项目</w:t>
            </w:r>
          </w:p>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default" w:ascii="宋体" w:hAnsi="宋体" w:cs="宋体"/>
                <w:color w:val="000000" w:themeColor="text1"/>
                <w:szCs w:val="21"/>
                <w:lang w:val="en-US"/>
                <w14:textFill>
                  <w14:solidFill>
                    <w14:schemeClr w14:val="tx1"/>
                  </w14:solidFill>
                </w14:textFill>
              </w:rPr>
              <w:t>5</w:t>
            </w:r>
          </w:p>
        </w:tc>
        <w:tc>
          <w:tcPr>
            <w:tcW w:w="5263" w:type="dxa"/>
            <w:tcBorders>
              <w:top w:val="single" w:color="000000" w:sz="8" w:space="0"/>
              <w:left w:val="single" w:color="000000" w:sz="8" w:space="0"/>
              <w:bottom w:val="single" w:color="000000" w:sz="8" w:space="0"/>
              <w:right w:val="single" w:color="000000" w:sz="8" w:space="0"/>
            </w:tcBorders>
            <w:vAlign w:val="center"/>
          </w:tcPr>
          <w:p>
            <w:pPr>
              <w:tabs>
                <w:tab w:val="left" w:pos="1361"/>
              </w:tabs>
              <w:wordWrap w:val="0"/>
              <w:spacing w:line="276" w:lineRule="auto"/>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自报价时间截止，有</w:t>
            </w:r>
            <w:r>
              <w:rPr>
                <w:rFonts w:hint="eastAsia" w:asciiTheme="minorEastAsia" w:hAnsiTheme="minorEastAsia"/>
                <w:color w:val="000000" w:themeColor="text1"/>
                <w:lang w:eastAsia="zh-CN"/>
                <w14:textFill>
                  <w14:solidFill>
                    <w14:schemeClr w14:val="tx1"/>
                  </w14:solidFill>
                </w14:textFill>
              </w:rPr>
              <w:t>民生微实事相关承接经验或</w:t>
            </w:r>
            <w:r>
              <w:rPr>
                <w:rFonts w:hint="eastAsia" w:asciiTheme="minorEastAsia" w:hAnsiTheme="minorEastAsia"/>
                <w:color w:val="000000" w:themeColor="text1"/>
                <w14:textFill>
                  <w14:solidFill>
                    <w14:schemeClr w14:val="tx1"/>
                  </w14:solidFill>
                </w14:textFill>
              </w:rPr>
              <w:t>同类项目案例，.提供一个得5分，此项可累计得分，总分不超过2</w:t>
            </w:r>
            <w:r>
              <w:rPr>
                <w:rFonts w:hint="default" w:asciiTheme="minorEastAsia" w:hAnsiTheme="minorEastAsia"/>
                <w:color w:val="000000" w:themeColor="text1"/>
                <w:lang w:val="en-US"/>
                <w14:textFill>
                  <w14:solidFill>
                    <w14:schemeClr w14:val="tx1"/>
                  </w14:solidFill>
                </w14:textFill>
              </w:rPr>
              <w:t>5</w:t>
            </w:r>
            <w:r>
              <w:rPr>
                <w:rFonts w:hint="eastAsia" w:asciiTheme="minorEastAsia" w:hAnsiTheme="minorEastAsia"/>
                <w:color w:val="000000" w:themeColor="text1"/>
                <w14:textFill>
                  <w14:solidFill>
                    <w14:schemeClr w14:val="tx1"/>
                  </w14:solidFill>
                </w14:textFill>
              </w:rPr>
              <w:t>分；</w:t>
            </w:r>
          </w:p>
          <w:p>
            <w:pPr>
              <w:tabs>
                <w:tab w:val="left" w:pos="1361"/>
              </w:tabs>
              <w:wordWrap w:val="0"/>
              <w:spacing w:line="276" w:lineRule="auto"/>
              <w:jc w:val="left"/>
            </w:pPr>
            <w:r>
              <w:rPr>
                <w:rFonts w:hint="eastAsia" w:asciiTheme="minorEastAsia" w:hAnsiTheme="minorEastAsia"/>
                <w:color w:val="000000" w:themeColor="text1"/>
                <w14:textFill>
                  <w14:solidFill>
                    <w14:schemeClr w14:val="tx1"/>
                  </w14:solidFill>
                </w14:textFill>
              </w:rPr>
              <w:t>（需提供与得分一致的合同关键页扫描件备查）。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tcBorders>
              <w:left w:val="single" w:color="000000" w:sz="8" w:space="0"/>
              <w:right w:val="single" w:color="000000" w:sz="8" w:space="0"/>
            </w:tcBorders>
          </w:tcPr>
          <w:p>
            <w:pPr>
              <w:wordWrap w:val="0"/>
              <w:spacing w:line="276" w:lineRule="auto"/>
              <w:rPr>
                <w:rFonts w:cs="宋体" w:asciiTheme="minorEastAsia" w:hAnsiTheme="minorEastAsia"/>
                <w:b/>
                <w:bCs/>
                <w:color w:val="000000" w:themeColor="text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NSimSun" w:hAnsi="NSimSun" w:eastAsia="NSimSun" w:cs="NSimSun"/>
                <w:color w:val="000000"/>
                <w:kern w:val="0"/>
                <w:szCs w:val="21"/>
                <w:lang w:bidi="ar"/>
              </w:rPr>
              <w:t>拟安排的项目团队主要人员</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0</w:t>
            </w:r>
          </w:p>
        </w:tc>
        <w:tc>
          <w:tcPr>
            <w:tcW w:w="5263" w:type="dxa"/>
            <w:tcBorders>
              <w:top w:val="single" w:color="000000" w:sz="8" w:space="0"/>
              <w:left w:val="single" w:color="000000" w:sz="8" w:space="0"/>
              <w:bottom w:val="single" w:color="000000" w:sz="8" w:space="0"/>
              <w:right w:val="single" w:color="000000" w:sz="8" w:space="0"/>
            </w:tcBorders>
          </w:tcPr>
          <w:p>
            <w:pPr>
              <w:tabs>
                <w:tab w:val="left" w:pos="1361"/>
              </w:tabs>
              <w:wordWrap w:val="0"/>
              <w:spacing w:line="276" w:lineRule="auto"/>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拟安排的项目团队成员均须为投标人自有员工【提供投标人近期月份为拟投入的项目团队主要成员缴交的社保证明，必须含投标前最近一个月缴纳记录,如投标人注册成立时间不足3个月的，可提供承诺函证明拟投入的项目团队主要成员为其自有员工（格式自拟），否则投入的该人员作不得分处理】，在此基础上，每提供一个：</w:t>
            </w:r>
          </w:p>
          <w:p>
            <w:pPr>
              <w:tabs>
                <w:tab w:val="left" w:pos="1361"/>
              </w:tabs>
              <w:wordWrap w:val="0"/>
              <w:spacing w:line="276" w:lineRule="auto"/>
              <w:jc w:val="left"/>
            </w:pPr>
            <w:r>
              <w:rPr>
                <w:rFonts w:hint="eastAsia" w:asciiTheme="minorEastAsia" w:hAnsiTheme="minorEastAsia"/>
                <w:color w:val="000000" w:themeColor="text1"/>
                <w14:textFill>
                  <w14:solidFill>
                    <w14:schemeClr w14:val="tx1"/>
                  </w14:solidFill>
                </w14:textFill>
              </w:rPr>
              <w:t>具有社工相关证书【如社会工作、心理咨询等】或专业主持资质【如播音主持专业、主持人相关证书等】的得5分，最高得</w:t>
            </w:r>
            <w:r>
              <w:rPr>
                <w:rFonts w:asciiTheme="minorEastAsia" w:hAnsiTheme="minorEastAsia"/>
                <w:color w:val="000000" w:themeColor="text1"/>
                <w14:textFill>
                  <w14:solidFill>
                    <w14:schemeClr w14:val="tx1"/>
                  </w14:solidFill>
                </w14:textFill>
              </w:rPr>
              <w:t>3</w:t>
            </w:r>
            <w:r>
              <w:rPr>
                <w:rFonts w:hint="eastAsia" w:asciiTheme="minorEastAsia" w:hAnsiTheme="minorEastAsia"/>
                <w:color w:val="000000" w:themeColor="text1"/>
                <w14:textFill>
                  <w14:solidFill>
                    <w14:schemeClr w14:val="tx1"/>
                  </w14:solidFill>
                </w14:textFill>
              </w:rPr>
              <w:t>0分。</w:t>
            </w:r>
          </w:p>
        </w:tc>
      </w:tr>
    </w:tbl>
    <w:p>
      <w:pPr>
        <w:spacing w:line="560" w:lineRule="exact"/>
        <w:ind w:firstLine="640" w:firstLineChars="200"/>
        <w:rPr>
          <w:rFonts w:ascii="SimHei" w:hAnsi="SimHei" w:eastAsia="SimHei" w:cs="宋体"/>
          <w:bCs/>
          <w:sz w:val="32"/>
          <w:szCs w:val="32"/>
        </w:rPr>
      </w:pPr>
      <w:r>
        <w:rPr>
          <w:rFonts w:hint="eastAsia" w:ascii="SimHei" w:hAnsi="SimHei" w:eastAsia="SimHei" w:cs="宋体"/>
          <w:bCs/>
          <w:sz w:val="32"/>
          <w:szCs w:val="32"/>
        </w:rPr>
        <w:t>六、商务需求</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（一）服务期：自合同签订之日起</w:t>
      </w:r>
      <w:r>
        <w:rPr>
          <w:rFonts w:hint="eastAsia" w:ascii="FangSong" w:hAnsi="FangSong" w:eastAsia="FangSong" w:cs="FangSong"/>
          <w:sz w:val="30"/>
          <w:szCs w:val="30"/>
          <w:lang w:eastAsia="zh-CN"/>
        </w:rPr>
        <w:t>至验收合格之日止</w:t>
      </w:r>
      <w:bookmarkStart w:id="0" w:name="_GoBack"/>
      <w:bookmarkEnd w:id="0"/>
      <w:r>
        <w:rPr>
          <w:rFonts w:hint="eastAsia" w:ascii="FangSong" w:hAnsi="FangSong" w:eastAsia="FangSong" w:cs="FangSong"/>
          <w:sz w:val="30"/>
          <w:szCs w:val="30"/>
        </w:rPr>
        <w:t>。</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（二）服务地点：粤海街道。</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（三）报价要求</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1.本项目服务费采用包干制，应包括服务成本、法定税费和服务机构利润等综合费用。由投标供应商根据采购文件所提供的资料自行测算投标报价；一经中标，报价总价作为中标供应商与采购人签订的合同金额，合同期限内不作调整。</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2.投标供应商的报价不得超过项目预算金额。</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3.投标供应商的报价，应当是本项目采购范围和采购文件及合同条款上所列的各项内容中所述的全部，不得以任何理由予以重复。</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4.投标供应商不得期望通过索赔等方式获取补偿，否则，除可能遭到拒绝外，还可能将被作为不良行为记录在案，并可能影响其以后参加政府采购的项目投标。各投标供应商在报价时，应充分考虑报价的风险。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（四）付款方式</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1.分两次付款。签订合同后30个工作日内支付合同总价的50%，尾款为验收合格经核算后支付剩余的费用。</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2.按照区财政局的支付要求和采购人内部管理制度进行支付，具体以合同签订为准。</w:t>
      </w:r>
    </w:p>
    <w:p>
      <w:pPr>
        <w:spacing w:line="560" w:lineRule="exact"/>
        <w:ind w:firstLine="480" w:firstLineChars="150"/>
        <w:rPr>
          <w:rFonts w:ascii="SimHei" w:hAnsi="SimHei" w:eastAsia="SimHei" w:cs="宋体"/>
          <w:bCs/>
          <w:sz w:val="32"/>
          <w:szCs w:val="32"/>
        </w:rPr>
      </w:pPr>
      <w:r>
        <w:rPr>
          <w:rFonts w:hint="eastAsia" w:ascii="SimHei" w:hAnsi="SimHei" w:eastAsia="SimHei" w:cs="宋体"/>
          <w:bCs/>
          <w:sz w:val="32"/>
          <w:szCs w:val="32"/>
        </w:rPr>
        <w:t>七、投标文件编制</w:t>
      </w:r>
    </w:p>
    <w:p>
      <w:pPr>
        <w:spacing w:line="560" w:lineRule="exact"/>
        <w:ind w:firstLine="640" w:firstLineChars="200"/>
        <w:rPr>
          <w:rFonts w:ascii="FangSong" w:hAnsi="FangSong" w:eastAsia="FangSong" w:cs="FangSong"/>
          <w:b/>
          <w:color w:val="000000"/>
          <w:sz w:val="30"/>
          <w:szCs w:val="30"/>
        </w:rPr>
      </w:pPr>
      <w:r>
        <w:rPr>
          <w:rStyle w:val="18"/>
          <w:rFonts w:hint="eastAsia" w:ascii="仿宋_GB2312" w:hAnsi="仿宋_GB2312" w:eastAsia="仿宋_GB2312" w:cs="仿宋_GB2312"/>
          <w:color w:val="auto"/>
          <w:sz w:val="32"/>
          <w:szCs w:val="32"/>
          <w:u w:val="none"/>
        </w:rPr>
        <w:t>在报名时间截止之前，将下述资料发送至政务邮箱</w:t>
      </w:r>
      <w:r>
        <w:rPr>
          <w:rStyle w:val="18"/>
          <w:rFonts w:ascii="仿宋_GB2312" w:hAnsi="仿宋_GB2312" w:eastAsia="仿宋_GB2312" w:cs="仿宋_GB2312"/>
          <w:color w:val="auto"/>
          <w:sz w:val="32"/>
          <w:szCs w:val="32"/>
          <w:u w:val="none"/>
        </w:rPr>
        <w:t>yhjdbqifk@szns.gov.cn</w:t>
      </w:r>
      <w:r>
        <w:rPr>
          <w:rStyle w:val="18"/>
          <w:rFonts w:hint="eastAsia" w:ascii="仿宋_GB2312" w:hAnsi="仿宋_GB2312" w:eastAsia="仿宋_GB2312" w:cs="仿宋_GB2312"/>
          <w:color w:val="auto"/>
          <w:sz w:val="32"/>
          <w:szCs w:val="32"/>
          <w:u w:val="none"/>
        </w:rPr>
        <w:t>（注意文件名备注公司名称、联系人及电话，各项资料均需提供盖章pdf扫描件，其中，报名表、报价单一并提供原始Excel格式文件）</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（一）报名表</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（二）粤海街道民微申报表</w:t>
      </w:r>
    </w:p>
    <w:p>
      <w:pPr>
        <w:spacing w:line="560" w:lineRule="exact"/>
        <w:ind w:firstLine="600" w:firstLineChars="200"/>
        <w:rPr>
          <w:rFonts w:ascii="FangSong" w:hAnsi="FangSong" w:eastAsia="FangSong" w:cs="FangSong"/>
          <w:sz w:val="30"/>
          <w:szCs w:val="30"/>
        </w:rPr>
      </w:pPr>
      <w:r>
        <w:rPr>
          <w:rFonts w:hint="eastAsia" w:ascii="FangSong" w:hAnsi="FangSong" w:eastAsia="FangSong" w:cs="FangSong"/>
          <w:sz w:val="30"/>
          <w:szCs w:val="30"/>
        </w:rPr>
        <w:t>（三）详细报价表</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（四）其他资料</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1.法定代表人（单位负责人）证明书</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2.授权委托书</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3.资格证明文件</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4.政府采购投标及履约承诺函</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5.类似项目业绩列表及对应合同关键页</w:t>
      </w:r>
    </w:p>
    <w:p>
      <w:pPr>
        <w:spacing w:line="560" w:lineRule="exact"/>
        <w:ind w:firstLine="640" w:firstLineChars="200"/>
        <w:rPr>
          <w:rStyle w:val="18"/>
          <w:rFonts w:ascii="仿宋_GB2312" w:hAnsi="仿宋_GB2312" w:eastAsia="仿宋_GB2312" w:cs="仿宋_GB2312"/>
          <w:color w:val="auto"/>
          <w:sz w:val="32"/>
          <w:szCs w:val="32"/>
          <w:u w:val="none"/>
        </w:rPr>
      </w:pPr>
      <w:r>
        <w:rPr>
          <w:rStyle w:val="18"/>
          <w:rFonts w:hint="eastAsia" w:ascii="仿宋_GB2312" w:hAnsi="仿宋_GB2312" w:eastAsia="仿宋_GB2312" w:cs="仿宋_GB2312"/>
          <w:color w:val="auto"/>
          <w:sz w:val="32"/>
          <w:szCs w:val="32"/>
          <w:u w:val="none"/>
        </w:rPr>
        <w:t>6.拟安排人员社保缴纳证明及证书</w:t>
      </w:r>
    </w:p>
    <w:p>
      <w:pPr>
        <w:pStyle w:val="25"/>
        <w:spacing w:line="560" w:lineRule="exact"/>
      </w:pPr>
      <w:r>
        <w:rPr>
          <w:rStyle w:val="18"/>
          <w:rFonts w:hint="eastAsia" w:ascii="仿宋_GB2312" w:hAnsi="仿宋_GB2312" w:eastAsia="仿宋_GB2312" w:cs="仿宋_GB2312"/>
          <w:color w:val="auto"/>
          <w:sz w:val="32"/>
          <w:szCs w:val="32"/>
          <w:u w:val="none"/>
        </w:rPr>
        <w:t>7.投标人认为需要加以说明的其他情况</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Hei">
    <w:altName w:val="Droid Sans Fallbac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B0604020202020204"/>
    <w:charset w:val="86"/>
    <w:family w:val="auto"/>
    <w:pitch w:val="default"/>
    <w:sig w:usb0="00000000" w:usb1="00000000" w:usb2="00000000" w:usb3="00000000" w:csb0="00040000" w:csb1="00000000"/>
  </w:font>
  <w:font w:name="NSimSun">
    <w:altName w:val="Droid Sans Fallback"/>
    <w:panose1 w:val="02010609030101010101"/>
    <w:charset w:val="86"/>
    <w:family w:val="modern"/>
    <w:pitch w:val="default"/>
    <w:sig w:usb0="00000000" w:usb1="00000000" w:usb2="00000016" w:usb3="00000000" w:csb0="00040001" w:csb1="00000000"/>
  </w:font>
  <w:font w:name="FangSong">
    <w:altName w:val="Droid Sans Fallbac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4M2NmZTU4MTQ1NTNiNDJiNzAyMzIwODdmNmVjNjQifQ=="/>
    <w:docVar w:name="KSO_WPS_MARK_KEY" w:val="0ed370c8-034a-4cc8-86ed-e9d16172e083"/>
  </w:docVars>
  <w:rsids>
    <w:rsidRoot w:val="0007306C"/>
    <w:rsid w:val="0007306C"/>
    <w:rsid w:val="00317AC1"/>
    <w:rsid w:val="00582111"/>
    <w:rsid w:val="005A100E"/>
    <w:rsid w:val="037033BF"/>
    <w:rsid w:val="04410353"/>
    <w:rsid w:val="06D96D46"/>
    <w:rsid w:val="07D74EED"/>
    <w:rsid w:val="087C1B05"/>
    <w:rsid w:val="092F36BA"/>
    <w:rsid w:val="0BB80EB3"/>
    <w:rsid w:val="0C7B51AA"/>
    <w:rsid w:val="0DEC55ED"/>
    <w:rsid w:val="12D224DC"/>
    <w:rsid w:val="12DC585B"/>
    <w:rsid w:val="137A3866"/>
    <w:rsid w:val="1486308D"/>
    <w:rsid w:val="15EF10B8"/>
    <w:rsid w:val="17074C05"/>
    <w:rsid w:val="1B0D0CA7"/>
    <w:rsid w:val="1D0165EA"/>
    <w:rsid w:val="1FA12306"/>
    <w:rsid w:val="229559BD"/>
    <w:rsid w:val="22C75B4D"/>
    <w:rsid w:val="230F1858"/>
    <w:rsid w:val="299E2D9B"/>
    <w:rsid w:val="2F1519C6"/>
    <w:rsid w:val="31716F2E"/>
    <w:rsid w:val="35FEF615"/>
    <w:rsid w:val="39736669"/>
    <w:rsid w:val="3A0E59D6"/>
    <w:rsid w:val="3A313AB8"/>
    <w:rsid w:val="3B7F431D"/>
    <w:rsid w:val="3C2D2481"/>
    <w:rsid w:val="402B7147"/>
    <w:rsid w:val="46614D12"/>
    <w:rsid w:val="4923354C"/>
    <w:rsid w:val="49801BCB"/>
    <w:rsid w:val="4CF601DE"/>
    <w:rsid w:val="4D4F775F"/>
    <w:rsid w:val="52087E00"/>
    <w:rsid w:val="56C36665"/>
    <w:rsid w:val="57A221D5"/>
    <w:rsid w:val="581B21FF"/>
    <w:rsid w:val="58B36584"/>
    <w:rsid w:val="5C1C45D6"/>
    <w:rsid w:val="5D4FE9B8"/>
    <w:rsid w:val="60C12FA9"/>
    <w:rsid w:val="61F71EFE"/>
    <w:rsid w:val="6529060A"/>
    <w:rsid w:val="671156D8"/>
    <w:rsid w:val="6BDC6625"/>
    <w:rsid w:val="6E9022B2"/>
    <w:rsid w:val="77506E64"/>
    <w:rsid w:val="79E933E8"/>
    <w:rsid w:val="7ACE4382"/>
    <w:rsid w:val="7ADD53BA"/>
    <w:rsid w:val="7B4EB30C"/>
    <w:rsid w:val="7BD76F18"/>
    <w:rsid w:val="7CBF7010"/>
    <w:rsid w:val="7D2953E6"/>
    <w:rsid w:val="7FCD033A"/>
    <w:rsid w:val="9FD777C6"/>
    <w:rsid w:val="A67F3510"/>
    <w:rsid w:val="B7F16977"/>
    <w:rsid w:val="D1BB1592"/>
    <w:rsid w:val="DF6FE5E1"/>
    <w:rsid w:val="DFDDA4F4"/>
    <w:rsid w:val="EF6704AD"/>
    <w:rsid w:val="F7DB6999"/>
    <w:rsid w:val="FDB7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4"/>
    <w:next w:val="5"/>
    <w:qFormat/>
    <w:uiPriority w:val="0"/>
    <w:pPr>
      <w:adjustRightInd w:val="0"/>
      <w:spacing w:line="240" w:lineRule="auto"/>
      <w:jc w:val="center"/>
      <w:textAlignment w:val="baseline"/>
      <w:outlineLvl w:val="1"/>
    </w:pPr>
    <w:rPr>
      <w:rFonts w:ascii="宋体" w:hAnsi="宋体"/>
      <w:sz w:val="24"/>
      <w:szCs w:val="20"/>
    </w:rPr>
  </w:style>
  <w:style w:type="paragraph" w:styleId="4">
    <w:name w:val="heading 3"/>
    <w:basedOn w:val="5"/>
    <w:next w:val="1"/>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SimHe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szCs w:val="21"/>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left="420" w:leftChars="20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line="340" w:lineRule="exact"/>
    </w:pPr>
    <w:rPr>
      <w:snapToGrid w:val="0"/>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8"/>
    <w:unhideWhenUsed/>
    <w:qFormat/>
    <w:uiPriority w:val="99"/>
    <w:pPr>
      <w:ind w:firstLine="420" w:firstLineChars="100"/>
    </w:pPr>
  </w:style>
  <w:style w:type="paragraph" w:styleId="15">
    <w:name w:val="Body Text First Indent 2"/>
    <w:basedOn w:val="9"/>
    <w:qFormat/>
    <w:uiPriority w:val="0"/>
    <w:pPr>
      <w:ind w:firstLine="420" w:firstLineChars="200"/>
    </w:pPr>
  </w:style>
  <w:style w:type="character" w:styleId="18">
    <w:name w:val="Hyperlink"/>
    <w:basedOn w:val="17"/>
    <w:qFormat/>
    <w:uiPriority w:val="0"/>
    <w:rPr>
      <w:color w:val="0000FF"/>
      <w:u w:val="single"/>
    </w:rPr>
  </w:style>
  <w:style w:type="character" w:styleId="19">
    <w:name w:val="annotation reference"/>
    <w:qFormat/>
    <w:uiPriority w:val="0"/>
    <w:rPr>
      <w:sz w:val="21"/>
      <w:szCs w:val="21"/>
    </w:rPr>
  </w:style>
  <w:style w:type="character" w:customStyle="1" w:styleId="20">
    <w:name w:val="标题 1 Char2"/>
    <w:qFormat/>
    <w:uiPriority w:val="0"/>
    <w:rPr>
      <w:rFonts w:ascii="宋体" w:hAnsi="宋体" w:eastAsia="SimHei"/>
      <w:b/>
      <w:bCs/>
      <w:kern w:val="44"/>
      <w:sz w:val="28"/>
      <w:szCs w:val="44"/>
      <w:lang w:val="en-US" w:eastAsia="zh-CN" w:bidi="ar-SA"/>
    </w:rPr>
  </w:style>
  <w:style w:type="paragraph" w:customStyle="1" w:styleId="21">
    <w:name w:val="正文文本首行缩进 21"/>
    <w:basedOn w:val="22"/>
    <w:qFormat/>
    <w:uiPriority w:val="0"/>
    <w:pPr>
      <w:ind w:firstLine="420" w:firstLineChars="200"/>
    </w:pPr>
  </w:style>
  <w:style w:type="paragraph" w:customStyle="1" w:styleId="22">
    <w:name w:val="正文文本缩进1"/>
    <w:basedOn w:val="1"/>
    <w:qFormat/>
    <w:uiPriority w:val="0"/>
    <w:pPr>
      <w:spacing w:after="120"/>
      <w:ind w:left="420" w:leftChars="200"/>
    </w:p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24">
    <w:name w:val="_Style 1"/>
    <w:basedOn w:val="1"/>
    <w:next w:val="1"/>
    <w:unhideWhenUsed/>
    <w:qFormat/>
    <w:uiPriority w:val="99"/>
    <w:pPr>
      <w:ind w:firstLine="420" w:firstLineChars="200"/>
    </w:pPr>
    <w:rPr>
      <w:rFonts w:hint="eastAsia"/>
    </w:rPr>
  </w:style>
  <w:style w:type="paragraph" w:customStyle="1" w:styleId="25">
    <w:name w:val="样式1"/>
    <w:basedOn w:val="26"/>
    <w:qFormat/>
    <w:uiPriority w:val="0"/>
    <w:pPr>
      <w:spacing w:line="360" w:lineRule="auto"/>
      <w:ind w:firstLine="640"/>
    </w:pPr>
    <w:rPr>
      <w:sz w:val="24"/>
    </w:rPr>
  </w:style>
  <w:style w:type="paragraph" w:styleId="26">
    <w:name w:val="List Paragraph"/>
    <w:basedOn w:val="1"/>
    <w:qFormat/>
    <w:uiPriority w:val="34"/>
    <w:pPr>
      <w:ind w:firstLine="420" w:firstLineChars="200"/>
    </w:pPr>
  </w:style>
  <w:style w:type="paragraph" w:customStyle="1" w:styleId="27">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character" w:customStyle="1" w:styleId="28">
    <w:name w:val="font31"/>
    <w:basedOn w:val="17"/>
    <w:qFormat/>
    <w:uiPriority w:val="0"/>
    <w:rPr>
      <w:rFonts w:hint="eastAsia" w:ascii="宋体" w:hAnsi="宋体" w:eastAsia="宋体" w:cs="宋体"/>
      <w:color w:val="000000"/>
      <w:sz w:val="22"/>
      <w:szCs w:val="22"/>
      <w:u w:val="none"/>
    </w:rPr>
  </w:style>
  <w:style w:type="character" w:customStyle="1" w:styleId="29">
    <w:name w:val="font61"/>
    <w:basedOn w:val="17"/>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714</Words>
  <Characters>4074</Characters>
  <Lines>33</Lines>
  <Paragraphs>9</Paragraphs>
  <TotalTime>2</TotalTime>
  <ScaleCrop>false</ScaleCrop>
  <LinksUpToDate>false</LinksUpToDate>
  <CharactersWithSpaces>4779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2024-07-10T18:27:00Z</dcterms:created>
  <dc:creator>admin</dc:creator>
  <cp:lastModifiedBy>粤海黄嘉琪</cp:lastModifiedBy>
  <cp:lastPrinted>2024-04-13T07:28:00Z</cp:lastPrinted>
  <dcterms:modified xsi:type="dcterms:W3CDTF">2024-07-10T09:19:52Z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813E295A79AF4BCCA63062528613B64A</vt:lpwstr>
  </property>
</Properties>
</file>