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sz w:val="72"/>
          <w:szCs w:val="72"/>
          <w:highlight w:val="none"/>
        </w:rPr>
      </w:pPr>
    </w:p>
    <w:p>
      <w:pPr>
        <w:pStyle w:val="2"/>
        <w:rPr>
          <w:color w:val="auto"/>
          <w:highlight w:val="none"/>
        </w:rPr>
      </w:pPr>
    </w:p>
    <w:p>
      <w:pPr>
        <w:rPr>
          <w:color w:val="auto"/>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25"/>
        <w:ind w:firstLine="420"/>
        <w:rPr>
          <w:rFonts w:ascii="宋体" w:hAnsi="宋体" w:cs="宋体"/>
          <w:color w:val="auto"/>
          <w:highlight w:val="none"/>
        </w:rPr>
      </w:pPr>
    </w:p>
    <w:p>
      <w:pPr>
        <w:pStyle w:val="25"/>
        <w:ind w:firstLine="420"/>
        <w:rPr>
          <w:rFonts w:ascii="宋体" w:hAnsi="宋体" w:cs="宋体"/>
          <w:color w:val="auto"/>
          <w:highlight w:val="none"/>
        </w:rPr>
      </w:pPr>
    </w:p>
    <w:p>
      <w:pPr>
        <w:rPr>
          <w:rFonts w:ascii="宋体" w:hAnsi="宋体" w:cs="宋体"/>
          <w:b/>
          <w:color w:val="auto"/>
          <w:sz w:val="44"/>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QH2024041</w:t>
      </w:r>
    </w:p>
    <w:p>
      <w:pPr>
        <w:pStyle w:val="25"/>
        <w:ind w:firstLine="420"/>
        <w:rPr>
          <w:rFonts w:ascii="宋体" w:hAnsi="宋体" w:cs="宋体"/>
          <w:color w:val="auto"/>
          <w:highlight w:val="none"/>
        </w:rPr>
      </w:pPr>
    </w:p>
    <w:p>
      <w:pPr>
        <w:pStyle w:val="25"/>
        <w:ind w:firstLine="420"/>
        <w:rPr>
          <w:rFonts w:ascii="宋体" w:hAnsi="宋体" w:cs="宋体"/>
          <w:color w:val="auto"/>
          <w:highlight w:val="none"/>
        </w:rPr>
      </w:pPr>
    </w:p>
    <w:p>
      <w:pPr>
        <w:pStyle w:val="25"/>
        <w:ind w:firstLine="420"/>
        <w:rPr>
          <w:rFonts w:ascii="宋体" w:hAnsi="宋体" w:cs="宋体"/>
          <w:color w:val="auto"/>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eastAsia="zh-CN"/>
        </w:rPr>
        <w:t>前海管理局局属企业2023年度建设工程招投标情况专项审计项目</w:t>
      </w:r>
    </w:p>
    <w:p>
      <w:pPr>
        <w:ind w:firstLine="3264" w:firstLineChars="739"/>
        <w:rPr>
          <w:rFonts w:ascii="宋体" w:hAnsi="宋体" w:cs="宋体"/>
          <w:b/>
          <w:color w:val="auto"/>
          <w:sz w:val="44"/>
          <w:highlight w:val="none"/>
        </w:rPr>
      </w:pPr>
    </w:p>
    <w:p>
      <w:pPr>
        <w:ind w:left="1260" w:leftChars="600" w:firstLine="1855" w:firstLineChars="420"/>
        <w:rPr>
          <w:rFonts w:ascii="宋体" w:hAnsi="宋体" w:cs="宋体"/>
          <w:b/>
          <w:color w:val="auto"/>
          <w:sz w:val="44"/>
          <w:highlight w:val="none"/>
        </w:rPr>
      </w:pPr>
    </w:p>
    <w:p>
      <w:pPr>
        <w:rPr>
          <w:rFonts w:ascii="宋体" w:hAnsi="宋体" w:cs="宋体"/>
          <w:b/>
          <w:color w:val="auto"/>
          <w:sz w:val="44"/>
          <w:highlight w:val="none"/>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2024年</w:t>
      </w:r>
      <w:r>
        <w:rPr>
          <w:rFonts w:hint="eastAsia" w:ascii="宋体" w:hAnsi="宋体" w:cs="宋体"/>
          <w:b/>
          <w:bCs/>
          <w:color w:val="auto"/>
          <w:sz w:val="36"/>
          <w:szCs w:val="36"/>
          <w:highlight w:val="none"/>
          <w:lang w:val="en-US" w:eastAsia="zh-CN"/>
        </w:rPr>
        <w:t>6</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pStyle w:val="2"/>
        <w:rPr>
          <w:color w:val="auto"/>
          <w:highlight w:val="none"/>
        </w:rPr>
      </w:pP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（一）在采购活动中应当回避而未回避的；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（二）未按本条例规定签订、履行采购合同，造成严重后果的；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（三）隐瞒真实情况，提供虚假资料的；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（四）以非法手段排斥其他供应商参与竞争的；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（五）与其他采购参加人串通投标的；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（六）恶意投诉的；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（七）向采购项目相关人行贿或者提供其他不当利益的；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（八）阻碍、抗拒主管部门监督检查的；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（九）其他违反本条例规定的行为。</w:t>
      </w:r>
    </w:p>
    <w:p>
      <w:pPr>
        <w:snapToGrid w:val="0"/>
        <w:spacing w:line="360" w:lineRule="auto"/>
        <w:ind w:firstLine="470" w:firstLineChars="196"/>
        <w:rPr>
          <w:rFonts w:ascii="宋体" w:hAnsi="宋体" w:cs="宋体"/>
          <w:color w:val="auto"/>
          <w:sz w:val="24"/>
          <w:highlight w:val="none"/>
        </w:rPr>
      </w:pP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二、《深圳经济特区政府采购条例实施细则》</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1" w:name="_Toc20808"/>
      <w:r>
        <w:rPr>
          <w:rFonts w:hint="eastAsia" w:ascii="宋体" w:hAnsi="宋体" w:cs="宋体"/>
          <w:b/>
          <w:bCs/>
          <w:color w:val="auto"/>
          <w:sz w:val="36"/>
          <w:szCs w:val="36"/>
          <w:highlight w:val="none"/>
          <w:lang w:val="zh-CN"/>
        </w:rPr>
        <w:t>目录</w:t>
      </w:r>
      <w:bookmarkEnd w:id="0"/>
      <w:bookmarkEnd w:id="1"/>
    </w:p>
    <w:p>
      <w:pPr>
        <w:pStyle w:val="13"/>
        <w:tabs>
          <w:tab w:val="right" w:leader="dot" w:pos="8306"/>
        </w:tabs>
        <w:spacing w:line="480" w:lineRule="auto"/>
        <w:rPr>
          <w:b/>
          <w:bCs/>
          <w:color w:val="auto"/>
          <w:sz w:val="24"/>
          <w:szCs w:val="32"/>
          <w:highlight w:val="none"/>
        </w:rPr>
      </w:pPr>
    </w:p>
    <w:p>
      <w:pPr>
        <w:pStyle w:val="13"/>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"_Toc17273" </w:instrText>
      </w:r>
      <w:r>
        <w:rPr>
          <w:color w:val="auto"/>
          <w:highlight w:val="none"/>
        </w:rPr>
        <w:fldChar w:fldCharType="separate"/>
      </w:r>
      <w:r>
        <w:rPr>
          <w:rFonts w:hint="eastAsia" w:ascii="宋体" w:hAnsi="宋体" w:cs="宋体"/>
          <w:b/>
          <w:bCs/>
          <w:color w:val="auto"/>
          <w:sz w:val="24"/>
          <w:highlight w:val="none"/>
        </w:rPr>
        <w:t>第一章 招标邀请书（招标公告）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_Toc17273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b/>
          <w:bCs/>
          <w:color w:val="auto"/>
          <w:sz w:val="24"/>
          <w:highlight w:val="none"/>
        </w:rPr>
        <w:fldChar w:fldCharType="end"/>
      </w:r>
    </w:p>
    <w:p>
      <w:pPr>
        <w:pStyle w:val="13"/>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"_Toc10214" </w:instrText>
      </w:r>
      <w:r>
        <w:rPr>
          <w:color w:val="auto"/>
          <w:highlight w:val="none"/>
        </w:rPr>
        <w:fldChar w:fldCharType="separate"/>
      </w:r>
      <w:r>
        <w:rPr>
          <w:rFonts w:hint="eastAsia" w:ascii="宋体" w:hAnsi="宋体" w:cs="宋体"/>
          <w:b/>
          <w:bCs/>
          <w:color w:val="auto"/>
          <w:sz w:val="24"/>
          <w:highlight w:val="none"/>
        </w:rPr>
        <w:t>第二章 投标须知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_Toc10214 \h </w:instrText>
      </w:r>
      <w:r>
        <w:rPr>
          <w:b/>
          <w:bCs/>
          <w:color w:val="auto"/>
          <w:sz w:val="24"/>
          <w:highlight w:val="none"/>
        </w:rPr>
        <w:fldChar w:fldCharType="separate"/>
      </w:r>
      <w:r>
        <w:rPr>
          <w:b/>
          <w:bCs/>
          <w:color w:val="auto"/>
          <w:sz w:val="24"/>
          <w:highlight w:val="none"/>
        </w:rPr>
        <w:t>8</w:t>
      </w:r>
      <w:r>
        <w:rPr>
          <w:b/>
          <w:bCs/>
          <w:color w:val="auto"/>
          <w:sz w:val="24"/>
          <w:highlight w:val="none"/>
        </w:rPr>
        <w:fldChar w:fldCharType="end"/>
      </w:r>
      <w:r>
        <w:rPr>
          <w:b/>
          <w:bCs/>
          <w:color w:val="auto"/>
          <w:sz w:val="24"/>
          <w:highlight w:val="none"/>
        </w:rPr>
        <w:fldChar w:fldCharType="end"/>
      </w:r>
    </w:p>
    <w:p>
      <w:pPr>
        <w:pStyle w:val="13"/>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"_Toc20176" </w:instrText>
      </w:r>
      <w:r>
        <w:rPr>
          <w:color w:val="auto"/>
          <w:highlight w:val="none"/>
        </w:rPr>
        <w:fldChar w:fldCharType="separate"/>
      </w:r>
      <w:r>
        <w:rPr>
          <w:rFonts w:hint="eastAsia" w:ascii="宋体" w:hAnsi="宋体" w:cs="宋体"/>
          <w:b/>
          <w:bCs/>
          <w:color w:val="auto"/>
          <w:sz w:val="24"/>
          <w:highlight w:val="none"/>
        </w:rPr>
        <w:t>第三章 评标程序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_Toc20176 \h </w:instrText>
      </w:r>
      <w:r>
        <w:rPr>
          <w:b/>
          <w:bCs/>
          <w:color w:val="auto"/>
          <w:sz w:val="24"/>
          <w:highlight w:val="none"/>
        </w:rPr>
        <w:fldChar w:fldCharType="separate"/>
      </w:r>
      <w:r>
        <w:rPr>
          <w:b/>
          <w:bCs/>
          <w:color w:val="auto"/>
          <w:sz w:val="24"/>
          <w:highlight w:val="none"/>
        </w:rPr>
        <w:t>11</w:t>
      </w:r>
      <w:r>
        <w:rPr>
          <w:b/>
          <w:bCs/>
          <w:color w:val="auto"/>
          <w:sz w:val="24"/>
          <w:highlight w:val="none"/>
        </w:rPr>
        <w:fldChar w:fldCharType="end"/>
      </w:r>
      <w:r>
        <w:rPr>
          <w:b/>
          <w:bCs/>
          <w:color w:val="auto"/>
          <w:sz w:val="24"/>
          <w:highlight w:val="none"/>
        </w:rPr>
        <w:fldChar w:fldCharType="end"/>
      </w:r>
    </w:p>
    <w:p>
      <w:pPr>
        <w:pStyle w:val="13"/>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"_Toc3567" </w:instrText>
      </w:r>
      <w:r>
        <w:rPr>
          <w:color w:val="auto"/>
          <w:highlight w:val="none"/>
        </w:rPr>
        <w:fldChar w:fldCharType="separate"/>
      </w:r>
      <w:r>
        <w:rPr>
          <w:rFonts w:hint="eastAsia" w:ascii="宋体" w:hAnsi="宋体" w:cs="宋体"/>
          <w:b/>
          <w:bCs/>
          <w:color w:val="auto"/>
          <w:sz w:val="24"/>
          <w:highlight w:val="none"/>
        </w:rPr>
        <w:t>第四章 合同格式及合同条款</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_Toc3567 \h </w:instrText>
      </w:r>
      <w:r>
        <w:rPr>
          <w:b/>
          <w:bCs/>
          <w:color w:val="auto"/>
          <w:sz w:val="24"/>
          <w:highlight w:val="none"/>
        </w:rPr>
        <w:fldChar w:fldCharType="separate"/>
      </w:r>
      <w:r>
        <w:rPr>
          <w:b/>
          <w:bCs/>
          <w:color w:val="auto"/>
          <w:sz w:val="24"/>
          <w:highlight w:val="none"/>
        </w:rPr>
        <w:t>13</w:t>
      </w:r>
      <w:r>
        <w:rPr>
          <w:b/>
          <w:bCs/>
          <w:color w:val="auto"/>
          <w:sz w:val="24"/>
          <w:highlight w:val="none"/>
        </w:rPr>
        <w:fldChar w:fldCharType="end"/>
      </w:r>
      <w:r>
        <w:rPr>
          <w:b/>
          <w:bCs/>
          <w:color w:val="auto"/>
          <w:sz w:val="24"/>
          <w:highlight w:val="none"/>
        </w:rPr>
        <w:fldChar w:fldCharType="end"/>
      </w:r>
    </w:p>
    <w:p>
      <w:pPr>
        <w:pStyle w:val="13"/>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"_Toc25518" </w:instrText>
      </w:r>
      <w:r>
        <w:rPr>
          <w:color w:val="auto"/>
          <w:highlight w:val="none"/>
        </w:rPr>
        <w:fldChar w:fldCharType="separate"/>
      </w:r>
      <w:r>
        <w:rPr>
          <w:rFonts w:hint="eastAsia" w:ascii="宋体" w:hAnsi="宋体" w:cs="宋体"/>
          <w:b/>
          <w:bCs/>
          <w:color w:val="auto"/>
          <w:sz w:val="24"/>
          <w:highlight w:val="none"/>
        </w:rPr>
        <w:t>第五章 用户需求书</w:t>
      </w:r>
      <w:r>
        <w:rPr>
          <w:b/>
          <w:bCs/>
          <w:color w:val="auto"/>
          <w:sz w:val="24"/>
          <w:highlight w:val="none"/>
        </w:rPr>
        <w:tab/>
      </w:r>
      <w:r>
        <w:rPr>
          <w:b/>
          <w:bCs/>
          <w:color w:val="auto"/>
          <w:sz w:val="24"/>
          <w:highlight w:val="none"/>
        </w:rPr>
        <w:fldChar w:fldCharType="end"/>
      </w:r>
      <w:r>
        <w:rPr>
          <w:rFonts w:hint="eastAsia"/>
          <w:b/>
          <w:bCs/>
          <w:color w:val="auto"/>
          <w:sz w:val="24"/>
          <w:highlight w:val="none"/>
        </w:rPr>
        <w:t>26</w:t>
      </w:r>
    </w:p>
    <w:p>
      <w:pPr>
        <w:pStyle w:val="13"/>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"_Toc23822" </w:instrText>
      </w:r>
      <w:r>
        <w:rPr>
          <w:color w:val="auto"/>
          <w:highlight w:val="none"/>
        </w:rPr>
        <w:fldChar w:fldCharType="separate"/>
      </w:r>
      <w:r>
        <w:rPr>
          <w:rFonts w:hint="eastAsia" w:ascii="宋体" w:cs="宋体"/>
          <w:b/>
          <w:bCs/>
          <w:color w:val="auto"/>
          <w:sz w:val="24"/>
          <w:highlight w:val="none"/>
        </w:rPr>
        <w:t>第六章 投标文件初审及招标项目评分表</w:t>
      </w:r>
      <w:r>
        <w:rPr>
          <w:b/>
          <w:bCs/>
          <w:color w:val="auto"/>
          <w:sz w:val="24"/>
          <w:highlight w:val="none"/>
        </w:rPr>
        <w:tab/>
      </w:r>
      <w:r>
        <w:rPr>
          <w:b/>
          <w:bCs/>
          <w:color w:val="auto"/>
          <w:sz w:val="24"/>
          <w:highlight w:val="none"/>
        </w:rPr>
        <w:fldChar w:fldCharType="end"/>
      </w:r>
      <w:r>
        <w:rPr>
          <w:rFonts w:hint="eastAsia"/>
          <w:b/>
          <w:bCs/>
          <w:color w:val="auto"/>
          <w:sz w:val="24"/>
          <w:highlight w:val="none"/>
        </w:rPr>
        <w:t>32</w:t>
      </w:r>
    </w:p>
    <w:p>
      <w:pPr>
        <w:pStyle w:val="13"/>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"_Toc9548" </w:instrText>
      </w:r>
      <w:r>
        <w:rPr>
          <w:color w:val="auto"/>
          <w:highlight w:val="none"/>
        </w:rPr>
        <w:fldChar w:fldCharType="separate"/>
      </w:r>
      <w:r>
        <w:rPr>
          <w:rFonts w:hint="eastAsia" w:ascii="宋体" w:hAnsi="宋体" w:cs="宋体"/>
          <w:b/>
          <w:bCs/>
          <w:color w:val="auto"/>
          <w:sz w:val="24"/>
          <w:highlight w:val="none"/>
        </w:rPr>
        <w:t>第七章 附件（投标文件格式）</w:t>
      </w:r>
      <w:r>
        <w:rPr>
          <w:b/>
          <w:bCs/>
          <w:color w:val="auto"/>
          <w:sz w:val="24"/>
          <w:highlight w:val="none"/>
        </w:rPr>
        <w:tab/>
      </w:r>
      <w:r>
        <w:rPr>
          <w:b/>
          <w:bCs/>
          <w:color w:val="auto"/>
          <w:sz w:val="24"/>
          <w:highlight w:val="none"/>
        </w:rPr>
        <w:fldChar w:fldCharType="end"/>
      </w:r>
      <w:r>
        <w:rPr>
          <w:rFonts w:hint="eastAsia"/>
          <w:b/>
          <w:bCs/>
          <w:color w:val="auto"/>
          <w:sz w:val="24"/>
          <w:highlight w:val="none"/>
        </w:rPr>
        <w:t>38</w:t>
      </w:r>
    </w:p>
    <w:p>
      <w:pPr>
        <w:pStyle w:val="13"/>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"_Toc742" </w:instrText>
      </w:r>
      <w:r>
        <w:rPr>
          <w:color w:val="auto"/>
          <w:highlight w:val="none"/>
        </w:rPr>
        <w:fldChar w:fldCharType="separate"/>
      </w:r>
      <w:r>
        <w:rPr>
          <w:rFonts w:hint="eastAsia" w:ascii="宋体" w:hAnsi="宋体" w:cs="宋体"/>
          <w:b/>
          <w:bCs/>
          <w:color w:val="auto"/>
          <w:sz w:val="24"/>
          <w:highlight w:val="none"/>
        </w:rPr>
        <w:t>附件：相关政策</w:t>
      </w:r>
      <w:r>
        <w:rPr>
          <w:b/>
          <w:bCs/>
          <w:color w:val="auto"/>
          <w:sz w:val="24"/>
          <w:highlight w:val="none"/>
        </w:rPr>
        <w:tab/>
      </w:r>
      <w:r>
        <w:rPr>
          <w:b/>
          <w:bCs/>
          <w:color w:val="auto"/>
          <w:sz w:val="24"/>
          <w:highlight w:val="none"/>
        </w:rPr>
        <w:fldChar w:fldCharType="end"/>
      </w:r>
      <w:r>
        <w:rPr>
          <w:rFonts w:hint="eastAsia"/>
          <w:b/>
          <w:bCs/>
          <w:color w:val="auto"/>
          <w:sz w:val="24"/>
          <w:highlight w:val="none"/>
        </w:rPr>
        <w:t>57</w:t>
      </w:r>
    </w:p>
    <w:p>
      <w:pPr>
        <w:pStyle w:val="13"/>
        <w:tabs>
          <w:tab w:val="right" w:leader="dot" w:pos="8306"/>
        </w:tabs>
        <w:spacing w:line="360" w:lineRule="auto"/>
        <w:rPr>
          <w:rFonts w:ascii="宋体" w:hAnsi="宋体" w:cs="宋体"/>
          <w:b/>
          <w:color w:val="auto"/>
          <w:sz w:val="24"/>
          <w:highlight w:val="none"/>
        </w:rPr>
      </w:pPr>
      <w:r>
        <w:rPr>
          <w:rFonts w:hint="eastAsia" w:ascii="宋体" w:hAnsi="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17273"/>
      <w:r>
        <w:rPr>
          <w:rFonts w:hint="eastAsia" w:ascii="宋体" w:hAnsi="宋体" w:cs="宋体"/>
          <w:b/>
          <w:bCs/>
          <w:color w:val="auto"/>
          <w:sz w:val="24"/>
          <w:highlight w:val="none"/>
        </w:rPr>
        <w:t>招标邀请书（招标公告）</w:t>
      </w:r>
      <w:bookmarkEnd w:id="2"/>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文件编码:0722-2024FE2018SZF-1</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中国远东国际招标有限公司（以下简称采购代理机构）受深圳市前海深港现代服务业合作区管理局委托就</w:t>
      </w:r>
      <w:r>
        <w:rPr>
          <w:rFonts w:hint="eastAsia" w:ascii="宋体" w:hAnsi="宋体" w:cs="宋体"/>
          <w:color w:val="auto"/>
          <w:sz w:val="24"/>
          <w:highlight w:val="none"/>
          <w:lang w:eastAsia="zh-CN"/>
        </w:rPr>
        <w:t>前海管理局局属企业2023年度建设工程招投标情况专项审计项目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QH2024041</w:t>
      </w:r>
      <w:r>
        <w:rPr>
          <w:rFonts w:hint="eastAsia" w:ascii="宋体" w:hAnsi="宋体" w:cs="宋体"/>
          <w:color w:val="auto"/>
          <w:sz w:val="24"/>
          <w:highlight w:val="none"/>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招标编号</w:t>
            </w:r>
          </w:p>
        </w:tc>
        <w:tc>
          <w:tcPr>
            <w:tcW w:w="7015"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QH2024041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前海管理局局属企业2023年度建设工程招投标情况专项审计项目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标的内容</w:t>
            </w:r>
          </w:p>
        </w:tc>
        <w:tc>
          <w:tcPr>
            <w:tcW w:w="7015" w:type="dxa"/>
            <w:vAlign w:val="center"/>
          </w:tcPr>
          <w:p>
            <w:pPr>
              <w:spacing w:line="360" w:lineRule="auto"/>
              <w:rPr>
                <w:color w:val="auto"/>
                <w:highlight w:val="none"/>
              </w:rPr>
            </w:pPr>
            <w:r>
              <w:rPr>
                <w:rFonts w:hint="eastAsia" w:ascii="宋体" w:hAnsi="宋体" w:cs="宋体"/>
                <w:color w:val="auto"/>
                <w:sz w:val="24"/>
                <w:highlight w:val="none"/>
              </w:rPr>
              <w:t>前海管理局拟对</w:t>
            </w:r>
            <w:r>
              <w:rPr>
                <w:rFonts w:hint="eastAsia" w:ascii="宋体" w:hAnsi="宋体" w:cs="宋体"/>
                <w:color w:val="auto"/>
                <w:sz w:val="24"/>
                <w:highlight w:val="none"/>
                <w:lang w:val="en-US" w:eastAsia="zh-CN"/>
              </w:rPr>
              <w:t>2023</w:t>
            </w:r>
            <w:r>
              <w:rPr>
                <w:rFonts w:hint="eastAsia" w:ascii="宋体" w:hAnsi="宋体" w:cs="宋体"/>
                <w:color w:val="auto"/>
                <w:sz w:val="24"/>
                <w:highlight w:val="none"/>
              </w:rPr>
              <w:t>年度局属</w:t>
            </w:r>
            <w:r>
              <w:rPr>
                <w:rFonts w:hint="eastAsia" w:ascii="宋体" w:hAnsi="宋体" w:cs="宋体"/>
                <w:color w:val="auto"/>
                <w:sz w:val="24"/>
                <w:highlight w:val="none"/>
                <w:lang w:eastAsia="zh-CN"/>
              </w:rPr>
              <w:t>企业</w:t>
            </w:r>
            <w:r>
              <w:rPr>
                <w:rFonts w:hint="eastAsia" w:ascii="宋体" w:hAnsi="宋体" w:cs="宋体"/>
                <w:color w:val="auto"/>
                <w:sz w:val="24"/>
                <w:highlight w:val="none"/>
              </w:rPr>
              <w:t>建设工程招投标</w:t>
            </w:r>
            <w:r>
              <w:rPr>
                <w:rFonts w:hint="eastAsia" w:ascii="宋体" w:hAnsi="宋体" w:cs="宋体"/>
                <w:color w:val="auto"/>
                <w:sz w:val="24"/>
                <w:highlight w:val="none"/>
                <w:lang w:eastAsia="zh-CN"/>
              </w:rPr>
              <w:t>情况进行专项审计</w:t>
            </w:r>
            <w:r>
              <w:rPr>
                <w:rFonts w:hint="eastAsia" w:ascii="宋体" w:hAnsi="宋体" w:cs="宋体"/>
                <w:color w:val="auto"/>
                <w:sz w:val="24"/>
                <w:highlight w:val="none"/>
              </w:rPr>
              <w:t>工作，具体项目数量为12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个，具体数量可根据采购人工作需要及采购人与中标人协商后进行调整。具体详见用户需求书。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（最高限价）</w:t>
            </w:r>
          </w:p>
        </w:tc>
        <w:tc>
          <w:tcPr>
            <w:tcW w:w="701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00.00（人民币</w:t>
            </w:r>
            <w:r>
              <w:rPr>
                <w:rFonts w:hint="eastAsia" w:ascii="宋体" w:hAnsi="宋体" w:cs="宋体"/>
                <w:color w:val="auto"/>
                <w:sz w:val="24"/>
                <w:highlight w:val="none"/>
                <w:lang w:val="en-US" w:eastAsia="zh-CN"/>
              </w:rPr>
              <w:t>伍拾万</w:t>
            </w:r>
            <w:r>
              <w:rPr>
                <w:rFonts w:hint="eastAsia" w:ascii="宋体" w:hAnsi="宋体" w:cs="宋体"/>
                <w:color w:val="auto"/>
                <w:sz w:val="24"/>
                <w:highlight w:val="none"/>
              </w:rPr>
              <w:t>元整</w:t>
            </w:r>
            <w:r>
              <w:rPr>
                <w:rFonts w:hint="eastAsia" w:ascii="宋体" w:hAnsi="宋体" w:cs="宋体"/>
                <w:color w:val="auto"/>
                <w:sz w:val="24"/>
                <w:highlight w:val="none"/>
                <w:lang w:eastAsia="zh-CN"/>
              </w:rPr>
              <w:t>，含伍拾万元整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本项目所属行业</w:t>
            </w:r>
          </w:p>
        </w:tc>
        <w:tc>
          <w:tcPr>
            <w:tcW w:w="7015"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vAlign w:val="center"/>
          </w:tcPr>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2024年</w:t>
            </w: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19</w:t>
            </w:r>
            <w:r>
              <w:rPr>
                <w:rFonts w:hint="eastAsia" w:ascii="宋体" w:hAnsi="宋体" w:cs="宋体"/>
                <w:b/>
                <w:bCs/>
                <w:color w:val="auto"/>
                <w:kern w:val="0"/>
                <w:sz w:val="24"/>
                <w:highlight w:val="none"/>
              </w:rPr>
              <w:t>日下午14：30时（北京时间）前</w:t>
            </w:r>
            <w:r>
              <w:rPr>
                <w:rFonts w:hint="eastAsia" w:ascii="宋体" w:hAnsi="宋体" w:cs="宋体"/>
                <w:color w:val="auto"/>
                <w:kern w:val="0"/>
                <w:sz w:val="24"/>
                <w:highlight w:val="none"/>
              </w:rPr>
              <w:t>送达（现场递交或邮寄）至深圳市南山区前海深港合作区桂湾五路123号前海管理局前海大厦T1栋</w:t>
            </w:r>
            <w:r>
              <w:rPr>
                <w:rFonts w:hint="eastAsia" w:ascii="宋体" w:hAnsi="宋体" w:cs="宋体"/>
                <w:color w:val="auto"/>
                <w:sz w:val="24"/>
                <w:highlight w:val="none"/>
                <w:lang w:val="en-US" w:eastAsia="zh-CN"/>
              </w:rPr>
              <w:t>2403</w:t>
            </w:r>
            <w:r>
              <w:rPr>
                <w:rFonts w:hint="eastAsia" w:ascii="宋体" w:hAnsi="宋体" w:cs="宋体"/>
                <w:color w:val="auto"/>
                <w:kern w:val="0"/>
                <w:sz w:val="24"/>
                <w:highlight w:val="none"/>
              </w:rPr>
              <w:t>室</w:t>
            </w:r>
          </w:p>
          <w:p>
            <w:pPr>
              <w:adjustRightInd w:val="0"/>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陈</w:t>
            </w:r>
            <w:r>
              <w:rPr>
                <w:rFonts w:hint="eastAsia" w:ascii="宋体" w:hAnsi="宋体" w:cs="宋体"/>
                <w:color w:val="auto"/>
                <w:sz w:val="24"/>
                <w:highlight w:val="none"/>
                <w:lang w:val="en-US" w:eastAsia="zh-CN"/>
              </w:rPr>
              <w:t>工</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0755-88105146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w:t>
            </w:r>
            <w:r>
              <w:rPr>
                <w:rFonts w:hint="eastAsia" w:ascii="宋体" w:hAnsi="宋体" w:cs="宋体"/>
                <w:color w:val="auto"/>
                <w:kern w:val="0"/>
                <w:sz w:val="24"/>
                <w:highlight w:val="none"/>
                <w:lang w:val="en-US" w:eastAsia="zh-CN"/>
              </w:rPr>
              <w:t>他</w:t>
            </w:r>
            <w:r>
              <w:rPr>
                <w:rFonts w:hint="eastAsia" w:ascii="宋体" w:hAnsi="宋体" w:cs="宋体"/>
                <w:color w:val="auto"/>
                <w:kern w:val="0"/>
                <w:sz w:val="24"/>
                <w:highlight w:val="none"/>
              </w:rPr>
              <w:t>组织</w:t>
            </w:r>
            <w:r>
              <w:rPr>
                <w:rFonts w:hint="eastAsia" w:ascii="宋体" w:hAnsi="宋体" w:cs="宋体"/>
                <w:b/>
                <w:bCs/>
                <w:color w:val="auto"/>
                <w:kern w:val="0"/>
                <w:sz w:val="24"/>
                <w:highlight w:val="none"/>
              </w:rPr>
              <w:t>（提供营业执照或事业单位法人证等法人证明复印件加盖投标人公章）</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本项目不接受联合体投标，不允许</w:t>
            </w:r>
            <w:r>
              <w:rPr>
                <w:rFonts w:hint="eastAsia" w:ascii="宋体" w:hAnsi="宋体" w:cs="宋体"/>
                <w:color w:val="auto"/>
                <w:kern w:val="0"/>
                <w:sz w:val="24"/>
                <w:highlight w:val="none"/>
                <w:lang w:val="en-US" w:eastAsia="zh-CN"/>
              </w:rPr>
              <w:t>非法</w:t>
            </w:r>
            <w:r>
              <w:rPr>
                <w:rFonts w:hint="eastAsia" w:ascii="宋体" w:hAnsi="宋体" w:cs="宋体"/>
                <w:color w:val="auto"/>
                <w:kern w:val="0"/>
                <w:sz w:val="24"/>
                <w:highlight w:val="none"/>
              </w:rPr>
              <w:t>转包、分包</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的合同金额。投标人的报价不可高于</w:t>
            </w:r>
            <w:r>
              <w:rPr>
                <w:rFonts w:hint="eastAsia" w:ascii="宋体" w:hAnsi="宋体" w:cs="宋体"/>
                <w:color w:val="auto"/>
                <w:kern w:val="0"/>
                <w:sz w:val="24"/>
                <w:highlight w:val="none"/>
              </w:rPr>
              <w:t>预算（限价），否则投标人的投标文件视同无效。投标人的投标总价为完成项目及招标文件或合同条款所规定的工作内容的各项费用，</w:t>
            </w:r>
            <w:r>
              <w:rPr>
                <w:rFonts w:hint="eastAsia" w:ascii="宋体" w:hAnsi="宋体" w:cs="宋体"/>
                <w:color w:val="auto"/>
                <w:kern w:val="0"/>
                <w:sz w:val="24"/>
                <w:highlight w:val="none"/>
                <w:lang w:eastAsia="zh-CN"/>
              </w:rPr>
              <w:t>项目服务费包括但不限于办公费、交通费、会务费、调研费、税费等所有费用，并提供合同要求的成果文件，以及其它相关服务的全部费用</w:t>
            </w:r>
            <w:r>
              <w:rPr>
                <w:rFonts w:hint="eastAsia" w:ascii="宋体" w:hAnsi="宋体" w:cs="宋体"/>
                <w:color w:val="auto"/>
                <w:sz w:val="24"/>
                <w:highlight w:val="none"/>
              </w:rPr>
              <w:t>。</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投标人应充分了解项目的相关情况及任何其他足以影响投标报价的情况，任何因忽视或误解项目情况而导致的索赔或服务期限延长申请将不获批准。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采购人信息：</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      称：深圳市前海深港现代服务业合作区管理局</w:t>
            </w:r>
          </w:p>
          <w:p>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陈</w:t>
            </w:r>
            <w:r>
              <w:rPr>
                <w:rFonts w:hint="eastAsia" w:ascii="宋体" w:hAnsi="宋体" w:cs="宋体"/>
                <w:color w:val="auto"/>
                <w:sz w:val="24"/>
                <w:highlight w:val="none"/>
                <w:lang w:val="en-US" w:eastAsia="zh-CN"/>
              </w:rPr>
              <w:t>工</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话：0755-</w:t>
            </w:r>
            <w:r>
              <w:rPr>
                <w:rFonts w:hint="eastAsia" w:ascii="宋体" w:hAnsi="宋体" w:cs="宋体"/>
                <w:color w:val="auto"/>
                <w:kern w:val="0"/>
                <w:sz w:val="24"/>
                <w:highlight w:val="none"/>
                <w:lang w:val="en-US" w:eastAsia="zh-CN"/>
              </w:rPr>
              <w:t>88105146</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      称： 中国远东国际招标有限公司</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 深圳市福田区上步南路1001号锦峰大厦22楼</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  系  人： 凌女士、伍先生</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      话： 0755-82078919、82077364转110</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传      真： 0755-82077519、82078847 </w:t>
            </w:r>
          </w:p>
        </w:tc>
      </w:tr>
    </w:tbl>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中国远东国际招标有限公司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2024年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 w:name="_Toc10214"/>
      <w:r>
        <w:rPr>
          <w:rFonts w:hint="eastAsia" w:ascii="宋体" w:hAnsi="宋体" w:cs="宋体"/>
          <w:b/>
          <w:bCs/>
          <w:color w:val="auto"/>
          <w:sz w:val="24"/>
          <w:highlight w:val="none"/>
        </w:rPr>
        <w:t>投标须知</w:t>
      </w:r>
      <w:bookmarkEnd w:id="3"/>
    </w:p>
    <w:p>
      <w:pPr>
        <w:spacing w:line="360" w:lineRule="auto"/>
        <w:rPr>
          <w:rFonts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1、本项目是深圳市前海深港现代服务业合作区管理局为</w:t>
      </w:r>
      <w:r>
        <w:rPr>
          <w:rFonts w:hint="eastAsia" w:ascii="宋体" w:hAnsi="宋体" w:cs="宋体"/>
          <w:color w:val="auto"/>
          <w:sz w:val="24"/>
          <w:highlight w:val="none"/>
          <w:lang w:eastAsia="zh-CN"/>
        </w:rPr>
        <w:t>局属企业2023年度建设工程招投标情况专项审计项目</w:t>
      </w:r>
      <w:r>
        <w:rPr>
          <w:rFonts w:hint="eastAsia" w:ascii="宋体" w:hAnsi="宋体" w:cs="宋体"/>
          <w:color w:val="auto"/>
          <w:sz w:val="24"/>
          <w:highlight w:val="none"/>
        </w:rPr>
        <w:t>。</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i w:val="0"/>
          <w:iCs w:val="0"/>
          <w:color w:val="auto"/>
          <w:sz w:val="24"/>
          <w:highlight w:val="none"/>
        </w:rPr>
        <w:t>本次采购公开征集供应商，报名且符合招标文件初审的供应商满足3家或3家以上的，采用综合评分法的方式进行。</w:t>
      </w:r>
      <w:r>
        <w:rPr>
          <w:rFonts w:hint="eastAsia" w:ascii="宋体" w:hAnsi="宋体" w:cs="宋体"/>
          <w:b/>
          <w:bCs/>
          <w:color w:val="auto"/>
          <w:sz w:val="24"/>
          <w:highlight w:val="none"/>
        </w:rPr>
        <w:t>报名且符合招标文件初审的供应商不足3家而致招标失败的，按以下流程执行：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a.有效投标人为2家的，可在2家有效投标人中取得分最高者为中标供应商；</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pPr>
        <w:spacing w:line="360" w:lineRule="auto"/>
        <w:rPr>
          <w:rFonts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5套（1套正本，4套副本，1份电子文档）</w:t>
      </w:r>
      <w:r>
        <w:rPr>
          <w:rFonts w:hint="eastAsia" w:ascii="宋体" w:hAnsi="宋体" w:cs="宋体"/>
          <w:color w:val="auto"/>
          <w:sz w:val="24"/>
          <w:highlight w:val="none"/>
        </w:rPr>
        <w:t>完备的资料进行投标。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pStyle w:val="25"/>
        <w:snapToGrid w:val="0"/>
        <w:spacing w:line="360" w:lineRule="auto"/>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（1）供应商在谈判时由项目负责人或投标人授权代表与评审委员会进行谈判；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（2）原则上成交价应为最初报价的95%。</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color w:val="auto"/>
          <w:highlight w:val="none"/>
        </w:rPr>
      </w:pPr>
      <w:r>
        <w:rPr>
          <w:rFonts w:hint="eastAsia" w:ascii="宋体" w:hAnsi="宋体" w:cs="宋体"/>
          <w:color w:val="auto"/>
          <w:sz w:val="24"/>
          <w:highlight w:val="none"/>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开户名称：中国远东国际招标有限公司深圳分公司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bookmarkStart w:id="29" w:name="_GoBack"/>
      <w:bookmarkEnd w:id="29"/>
      <w:r>
        <w:rPr>
          <w:rFonts w:hint="eastAsia" w:ascii="宋体" w:hAnsi="宋体" w:cs="宋体"/>
          <w:color w:val="auto"/>
          <w:sz w:val="24"/>
          <w:highlight w:val="none"/>
        </w:rPr>
        <w:t>：11013651025501</w:t>
      </w:r>
    </w:p>
    <w:p>
      <w:pPr>
        <w:spacing w:line="360" w:lineRule="auto"/>
        <w:rPr>
          <w:rFonts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开户银行：平安银行深圳中电支行</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20176"/>
      <w:r>
        <w:rPr>
          <w:rFonts w:hint="eastAsia" w:ascii="宋体" w:hAnsi="宋体" w:cs="宋体"/>
          <w:b/>
          <w:bCs/>
          <w:color w:val="auto"/>
          <w:sz w:val="24"/>
          <w:highlight w:val="none"/>
        </w:rPr>
        <w:t>评标程序</w:t>
      </w:r>
      <w:bookmarkEnd w:id="4"/>
    </w:p>
    <w:p>
      <w:pPr>
        <w:spacing w:line="360" w:lineRule="auto"/>
        <w:rPr>
          <w:rFonts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auto"/>
          <w:sz w:val="24"/>
          <w:highlight w:val="none"/>
        </w:rPr>
      </w:pPr>
      <w:r>
        <w:rPr>
          <w:rFonts w:hint="eastAsia" w:ascii="宋体" w:hAnsi="宋体" w:cs="宋体"/>
          <w:color w:val="auto"/>
          <w:sz w:val="24"/>
          <w:highlight w:val="none"/>
        </w:rPr>
        <w:t>二、参加会议人员：投标人代表（如需）、评审委员会成员、监督部门代表（如需）、采购代理机构代表。</w:t>
      </w:r>
    </w:p>
    <w:p>
      <w:pPr>
        <w:spacing w:line="360" w:lineRule="auto"/>
        <w:rPr>
          <w:rFonts w:ascii="宋体" w:hAnsi="宋体" w:cs="宋体"/>
          <w:color w:val="auto"/>
          <w:sz w:val="24"/>
          <w:highlight w:val="none"/>
        </w:rPr>
      </w:pPr>
      <w:r>
        <w:rPr>
          <w:rFonts w:hint="eastAsia" w:ascii="宋体" w:hAnsi="宋体" w:cs="宋体"/>
          <w:color w:val="auto"/>
          <w:sz w:val="24"/>
          <w:highlight w:val="none"/>
        </w:rPr>
        <w:t>三、会议主持人：中国远东国际招标有限公司工作人员 。</w:t>
      </w:r>
    </w:p>
    <w:p>
      <w:pPr>
        <w:spacing w:line="360" w:lineRule="auto"/>
        <w:rPr>
          <w:rFonts w:ascii="宋体" w:hAnsi="宋体" w:cs="宋体"/>
          <w:color w:val="auto"/>
          <w:sz w:val="24"/>
          <w:highlight w:val="none"/>
        </w:rPr>
      </w:pPr>
      <w:r>
        <w:rPr>
          <w:rFonts w:hint="eastAsia" w:ascii="宋体" w:hAnsi="宋体" w:cs="宋体"/>
          <w:color w:val="auto"/>
          <w:sz w:val="24"/>
          <w:highlight w:val="none"/>
        </w:rPr>
        <w:t>四、开标时间：2024年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日下午14:30时（北京时间）。</w:t>
      </w:r>
    </w:p>
    <w:p>
      <w:pPr>
        <w:spacing w:line="360" w:lineRule="auto"/>
        <w:rPr>
          <w:rFonts w:ascii="宋体" w:hAnsi="宋体" w:cs="宋体"/>
          <w:color w:val="auto"/>
          <w:sz w:val="24"/>
          <w:highlight w:val="none"/>
        </w:rPr>
      </w:pPr>
      <w:r>
        <w:rPr>
          <w:rFonts w:hint="eastAsia" w:ascii="宋体" w:hAnsi="宋体" w:cs="宋体"/>
          <w:color w:val="auto"/>
          <w:sz w:val="24"/>
          <w:highlight w:val="none"/>
        </w:rPr>
        <w:t>五、会议开始：2024年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日下午14:30时（北京时间）由会议主持人宣布定标会议开始。</w:t>
      </w:r>
    </w:p>
    <w:p>
      <w:pPr>
        <w:spacing w:line="360" w:lineRule="auto"/>
        <w:rPr>
          <w:rFonts w:ascii="宋体" w:hAnsi="宋体" w:cs="宋体"/>
          <w:color w:val="auto"/>
          <w:sz w:val="24"/>
          <w:highlight w:val="none"/>
        </w:rPr>
      </w:pPr>
      <w:r>
        <w:rPr>
          <w:rFonts w:hint="eastAsia" w:ascii="宋体" w:hAnsi="宋体" w:cs="宋体"/>
          <w:color w:val="auto"/>
          <w:sz w:val="24"/>
          <w:highlight w:val="none"/>
        </w:rPr>
        <w:t>六、项目投标人代表向采购代理机构代表送交投标文件，监督部门代表（如有）确认投标文件密封完整，未密封投标文件将作为投标无效处理。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numPr>
          <w:ilvl w:val="0"/>
          <w:numId w:val="6"/>
        </w:numPr>
        <w:spacing w:line="360" w:lineRule="auto"/>
        <w:rPr>
          <w:rFonts w:ascii="宋体" w:hAnsi="宋体" w:cs="宋体"/>
          <w:color w:val="auto"/>
          <w:sz w:val="24"/>
          <w:highlight w:val="none"/>
        </w:rPr>
      </w:pPr>
      <w:r>
        <w:rPr>
          <w:rFonts w:hint="eastAsia" w:ascii="宋体" w:hAnsi="宋体" w:cs="宋体"/>
          <w:color w:val="auto"/>
          <w:sz w:val="24"/>
          <w:highlight w:val="none"/>
        </w:rPr>
        <w:t>采用谈判的情况：参与投标且符合招标文件要求的供应商仅有一家，评审委员会将与投标供应商进行谈判。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5.2 原则上成交价原则上应为最初报价的95%。</w:t>
      </w:r>
    </w:p>
    <w:p>
      <w:pPr>
        <w:spacing w:line="360" w:lineRule="auto"/>
        <w:rPr>
          <w:rFonts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rPr>
          <w:rFonts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5" w:name="_Toc3567"/>
      <w:r>
        <w:rPr>
          <w:rFonts w:hint="eastAsia" w:ascii="宋体" w:hAnsi="宋体" w:cs="宋体"/>
          <w:b/>
          <w:bCs/>
          <w:color w:val="auto"/>
          <w:sz w:val="24"/>
          <w:highlight w:val="none"/>
        </w:rPr>
        <w:t>合同格式及合同条款</w:t>
      </w:r>
      <w:bookmarkEnd w:id="5"/>
      <w:r>
        <w:rPr>
          <w:rFonts w:hint="eastAsia" w:ascii="宋体" w:hAnsi="宋体" w:cs="宋体"/>
          <w:b/>
          <w:bCs/>
          <w:color w:val="auto"/>
          <w:sz w:val="24"/>
          <w:highlight w:val="none"/>
        </w:rPr>
        <w:t>（参考模版）</w:t>
      </w:r>
    </w:p>
    <w:p>
      <w:pPr>
        <w:spacing w:line="360" w:lineRule="auto"/>
        <w:ind w:firstLine="470" w:firstLineChars="196"/>
        <w:jc w:val="center"/>
        <w:rPr>
          <w:rFonts w:ascii="宋体" w:hAnsi="宋体" w:cs="宋体"/>
          <w:color w:val="auto"/>
          <w:sz w:val="24"/>
          <w:highlight w:val="none"/>
        </w:rPr>
      </w:pPr>
      <w:bookmarkStart w:id="6" w:name="_Toc101074886"/>
      <w:bookmarkStart w:id="7" w:name="_Toc84303603"/>
      <w:bookmarkStart w:id="8" w:name="_Toc73521592"/>
      <w:bookmarkStart w:id="9" w:name="_Toc73521680"/>
      <w:bookmarkStart w:id="10" w:name="_Toc100052414"/>
      <w:bookmarkStart w:id="11" w:name="_Toc73517685"/>
      <w:bookmarkStart w:id="12" w:name="_Toc73518163"/>
    </w:p>
    <w:bookmarkEnd w:id="6"/>
    <w:bookmarkEnd w:id="7"/>
    <w:bookmarkEnd w:id="8"/>
    <w:bookmarkEnd w:id="9"/>
    <w:bookmarkEnd w:id="10"/>
    <w:bookmarkEnd w:id="11"/>
    <w:bookmarkEnd w:id="12"/>
    <w:p>
      <w:pPr>
        <w:pStyle w:val="25"/>
        <w:spacing w:line="360" w:lineRule="auto"/>
        <w:ind w:left="1470" w:right="1470"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25"/>
        <w:spacing w:line="360" w:lineRule="auto"/>
        <w:ind w:left="1470" w:right="1470"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25"/>
        <w:spacing w:line="360" w:lineRule="auto"/>
        <w:ind w:left="1470" w:right="1470" w:firstLine="482"/>
        <w:jc w:val="center"/>
        <w:rPr>
          <w:rFonts w:ascii="宋体" w:hAnsi="宋体" w:cs="宋体"/>
          <w:b/>
          <w:color w:val="auto"/>
          <w:sz w:val="24"/>
          <w:szCs w:val="24"/>
          <w:highlight w:val="none"/>
        </w:rPr>
      </w:pPr>
    </w:p>
    <w:p>
      <w:pPr>
        <w:pStyle w:val="25"/>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5"/>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ascii="宋体" w:hAnsi="宋体" w:cs="宋体"/>
          <w:b/>
          <w:color w:val="auto"/>
          <w:sz w:val="28"/>
          <w:szCs w:val="28"/>
          <w:highlight w:val="none"/>
        </w:rPr>
      </w:pPr>
      <w:r>
        <w:rPr>
          <w:rFonts w:hint="eastAsia" w:ascii="宋体" w:hAnsi="宋体" w:cs="宋体"/>
          <w:b/>
          <w:bCs/>
          <w:color w:val="auto"/>
          <w:sz w:val="28"/>
          <w:szCs w:val="28"/>
          <w:highlight w:val="none"/>
          <w:lang w:eastAsia="zh-CN"/>
        </w:rPr>
        <w:t>前海管理局局属企业2023年度建设工程招投标情况专项审计项目</w:t>
      </w:r>
      <w:r>
        <w:rPr>
          <w:rFonts w:hint="eastAsia" w:ascii="宋体" w:hAnsi="宋体" w:cs="宋体"/>
          <w:b/>
          <w:bCs/>
          <w:color w:val="auto"/>
          <w:sz w:val="28"/>
          <w:szCs w:val="28"/>
          <w:highlight w:val="none"/>
          <w:lang w:val="en-US" w:eastAsia="zh-CN"/>
        </w:rPr>
        <w:t xml:space="preserve"> </w:t>
      </w:r>
      <w:r>
        <w:rPr>
          <w:rFonts w:hint="eastAsia" w:ascii="宋体" w:hAnsi="宋体" w:cs="宋体"/>
          <w:b/>
          <w:color w:val="auto"/>
          <w:sz w:val="28"/>
          <w:szCs w:val="28"/>
          <w:highlight w:val="none"/>
        </w:rPr>
        <w:t>服务委托合同</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25"/>
        <w:spacing w:line="360" w:lineRule="auto"/>
        <w:ind w:left="1470" w:right="147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25"/>
        <w:spacing w:line="360" w:lineRule="auto"/>
        <w:ind w:left="1470" w:right="147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eastAsia="zh-CN"/>
        </w:rPr>
        <w:t>前海管理局局属企业2023年度建设工程招投标情况专项审计项目</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服务类</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二〇二四年  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本合同共    页（不含封面）</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深圳市前海深港合作区</w:t>
      </w:r>
      <w:r>
        <w:rPr>
          <w:rFonts w:ascii="宋体" w:hAnsi="宋体" w:cs="宋体"/>
          <w:color w:val="auto"/>
          <w:sz w:val="24"/>
          <w:highlight w:val="none"/>
          <w:u w:val="single"/>
        </w:rPr>
        <w:t>桂湾五路123号前海大厦T1栋前海管理局</w:t>
      </w:r>
    </w:p>
    <w:p>
      <w:pPr>
        <w:spacing w:line="360" w:lineRule="auto"/>
        <w:rPr>
          <w:rFonts w:ascii="宋体" w:hAnsi="宋体" w:cs="宋体"/>
          <w:b w:val="0"/>
          <w:bCs w:val="0"/>
          <w:color w:val="auto"/>
          <w:sz w:val="24"/>
          <w:highlight w:val="none"/>
        </w:rPr>
      </w:pPr>
      <w:r>
        <w:rPr>
          <w:rFonts w:hint="eastAsia" w:ascii="宋体" w:hAnsi="宋体" w:cs="宋体"/>
          <w:b/>
          <w:bCs/>
          <w:color w:val="auto"/>
          <w:sz w:val="24"/>
          <w:highlight w:val="none"/>
        </w:rPr>
        <w:t>法定代表人：</w:t>
      </w:r>
      <w:r>
        <w:rPr>
          <w:rFonts w:hint="eastAsia" w:ascii="宋体" w:hAnsi="宋体" w:cs="宋体"/>
          <w:b w:val="0"/>
          <w:bCs w:val="0"/>
          <w:color w:val="auto"/>
          <w:sz w:val="24"/>
          <w:highlight w:val="none"/>
          <w:lang w:eastAsia="zh-CN"/>
        </w:rPr>
        <w:t>王守睿</w:t>
      </w:r>
      <w:r>
        <w:rPr>
          <w:rFonts w:hint="eastAsia" w:ascii="宋体" w:hAnsi="宋体" w:cs="宋体"/>
          <w:b w:val="0"/>
          <w:bCs w:val="0"/>
          <w:color w:val="auto"/>
          <w:sz w:val="24"/>
          <w:highlight w:val="none"/>
        </w:rPr>
        <w:t xml:space="preserve">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 】招标项目的中标结果，由【  】单位（以下简称乙方）为中标人。按照《中华人民共和国民法典》和《深圳经济特区政府采购条例》，经深圳市前海深港现代服务业合作区管理局（以下简称甲方）和</w:t>
      </w:r>
      <w:r>
        <w:rPr>
          <w:rFonts w:ascii="宋体" w:hAnsi="宋体" w:cs="宋体"/>
          <w:color w:val="auto"/>
          <w:sz w:val="24"/>
          <w:highlight w:val="none"/>
        </w:rPr>
        <w:t>乙方</w:t>
      </w:r>
      <w:r>
        <w:rPr>
          <w:rFonts w:hint="eastAsia" w:ascii="宋体" w:hAnsi="宋体" w:cs="宋体"/>
          <w:color w:val="auto"/>
          <w:sz w:val="24"/>
          <w:highlight w:val="none"/>
        </w:rPr>
        <w:t xml:space="preserve">协商，就甲方委托乙方承担 </w:t>
      </w:r>
      <w:r>
        <w:rPr>
          <w:rFonts w:hint="eastAsia" w:ascii="宋体" w:hAnsi="宋体" w:cs="宋体"/>
          <w:b/>
          <w:bCs/>
          <w:color w:val="auto"/>
          <w:sz w:val="24"/>
          <w:highlight w:val="none"/>
          <w:lang w:eastAsia="zh-CN"/>
        </w:rPr>
        <w:t>前海管理局局属企业2023年度建设工程招投标情况专项审计项目</w:t>
      </w:r>
      <w:r>
        <w:rPr>
          <w:rFonts w:hint="eastAsia" w:ascii="宋体" w:hAnsi="宋体" w:cs="宋体"/>
          <w:b/>
          <w:bCs/>
          <w:color w:val="auto"/>
          <w:kern w:val="0"/>
          <w:sz w:val="24"/>
          <w:highlight w:val="none"/>
        </w:rPr>
        <w:t>（以下简称本项目）</w:t>
      </w:r>
      <w:r>
        <w:rPr>
          <w:rFonts w:hint="eastAsia" w:ascii="宋体" w:hAnsi="宋体" w:cs="宋体"/>
          <w:color w:val="auto"/>
          <w:sz w:val="24"/>
          <w:highlight w:val="none"/>
        </w:rPr>
        <w:t>，达成以下合同条款：</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第一条 项目工作内容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前海管理局局属企业2023年度建设工程招投标情况专项审计项目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关于建设工程招标投标改革的若干规定》(深府〔2015〕73号)、《关于进一步完善建设工程招标投标制度的若干措施》（深建规〔2020〕1号）、《深圳市建设工程招标投标后评估工作指引》（深建市场〔2021〕30号）等相关规定，对工程招投标管理，包括制度建设及执行、审批流程、对招标公告发布、开标、评标、清标、定标、异常情况以及合同监管等环节进行全链条审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审计招投标制度是否建立健全，是否与国家、省市有关制度、法规不一致。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2审查招投标的审批流程的合规性，是否按制度执行。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3招标公告发布环节</w:t>
      </w:r>
      <w:r>
        <w:rPr>
          <w:rFonts w:hint="eastAsia" w:ascii="宋体" w:hAnsi="宋体" w:cs="宋体"/>
          <w:color w:val="auto"/>
          <w:sz w:val="24"/>
          <w:highlight w:val="none"/>
        </w:rPr>
        <w:tab/>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（1）招标公告情况。招标备案资料、招标公告内容完整性和规范性。</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（2）资格条件设置情况。查看招标公告及招标文件，判断投标资格条件设置是否合法合规，包括但不限于企业资质、项目负责人执业资格、同类业绩要求等竞争性条款设置。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（3）投标保证金收取情况。查看招标公告及招标文件，判断投标保证金设置是否合法合规。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（4）招标控制价编制情况。查看招标文件、招标控制价公示表，判断招标控制价编制是否合法合规，尤其是暂估价部分。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招标文件编制情况。查看招标文件以及合同文件，判断是否存在不合法、不合规的内容；查看招标公告、招标文件以及合同文件，是否有不严谨、不合理的问题，包括但不限于缺漏项、文件前后描述不一致、表述不严谨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（6）招标程序的合规性。查看招标答疑、补遗的发布时间以及发布内容，定标时间是否合规。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4开标环节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核查资格审查合规性。查看招标文件、资格审查报告以及开标情况记录表，判断是否严格按招标文件要求进行资格审查。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5过多投标人淘汰环节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入围环节是否按照“竞价择优”的原则进行淘汰工作。查看入围择优要素报告、入围情况一览表，判断入围原则是否达到“竞价择优”的目的。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6评标环节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（1）评标过程情况。查看招标文件的评标要求、细则以及评标报告，判断评标过程的规范性，是否按照招标文件规定的评标办法进行评审。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（2）废标情形情况。查看招标文件的废标条款，判断废标情形是否合规，是否存在应废未废的情形。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7清标环节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查看招标文件、清标报告、评标报告，判断是否按照招标文件的有关要求进行清标，是否对定标工作起到了重要的辅助作用（清标制度是否建立），清标过程是否合法合规，清标报告内容是否客观公正。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8定标环节</w:t>
      </w:r>
      <w:r>
        <w:rPr>
          <w:rFonts w:hint="eastAsia" w:ascii="宋体" w:hAnsi="宋体" w:cs="宋体"/>
          <w:color w:val="auto"/>
          <w:sz w:val="24"/>
          <w:highlight w:val="none"/>
        </w:rPr>
        <w:tab/>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（1）在招标公告发布前，招标人是否结合项目实际，根据定标工作规则，制定项目定标方案，查看招标文件，判断定标方案、定标规则编制的合法合规性。</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（2）定标方案是否对清标内容、定标工作细则、择优要素及竞价方法等内容予以明确。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（3）定标过程合规性。查看招标文件、定标过程资料、定标报告，是否严格遵守定标方案和定标工作规则，未临时改变规则。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（4）定标委员会组建合规性。查看定标委员会的组建方案及抽取记录，判断定标时是否按要求建立定标委员会及定标小组。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（5）中标人（或进入票决抽签环节的投标人）是否比未中标的（或未进入票决抽签环节）投标人综合实力更强。查看开标情况记录表、清标报告、评标报告以及定标报告，综合考量判断是否存在不合理的情况。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9异常情况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（1）异议投诉处理情况。查看异议投诉情况及处理结果，判断异议处理是否及时、合理。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（2）是否存在涉嫌串、围标的情形。查看各投标单位的股权关系、投标代理人信息，是否存在视为相互串通投标情形。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10合同监管情况</w:t>
      </w:r>
      <w:r>
        <w:rPr>
          <w:rFonts w:hint="eastAsia" w:ascii="宋体" w:hAnsi="宋体" w:cs="宋体"/>
          <w:color w:val="auto"/>
          <w:sz w:val="24"/>
          <w:highlight w:val="none"/>
        </w:rPr>
        <w:tab/>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（1）签订合同及时性。查看中标通知书以及签订的合同，是否在发出中标结果公示期满后30日内，签订中标合同。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条款的合法合规性。查看招标文件、投标文件以及签订的合同，判断签订合同实质性条款是否与招标文件或投标文件一致。核查合同条款，查看合同价款和支付的规范性等。核查合同中保证金设置是否合规，其中包含质量保证金的收取是否合规、支付担保设置是否合规、是否存在违规收取保证金的情形等。查看前期招标备案时提供的关于不设置/设置“霸王条款”的承诺函，核查合同中霸王条款或风险性条款和备案时提供的文件是否一致。核查合同正文及附件，查看是否存在部分材料、设备指定品牌少于三家的情形。查看合同关键内容，核查合同中是否有违法发包或违反分包的相关条款。查看合同关键条款，核查合同中关键条款是否都在合同中体现，确保合同签订的规范性，避免遗漏合同关键信息。例如合同中存在是否明确绿色建筑等级要求、是否约定工资支付比例或人工费的支付周期等问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（3）合同履约评价。通过《承包商履约评价结果汇总表》查看中标人履行合同情况，判断中标人的综合实力。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11对调查发现的问题提出整改建议，并对前海财政性资金和国有资金建设工程招标投标管理提出建设性意见。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12采购人要求提供的其他服务。</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第二条  服务期限及</w:t>
      </w:r>
      <w:r>
        <w:rPr>
          <w:rFonts w:hint="eastAsia" w:ascii="宋体" w:hAnsi="宋体" w:cs="宋体"/>
          <w:b/>
          <w:color w:val="auto"/>
          <w:sz w:val="24"/>
          <w:highlight w:val="none"/>
        </w:rPr>
        <w:t>项目进度安排</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服务期限：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本项目服务期为自合同签订之日起至2024年10月20日止。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项目进度安排：</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自合同签订之日起60个工作日内完成审计资料收集和清查工作；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2024年9月20日前，</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提交审计报告初稿；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2024年10月20日前，</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意见修改完善报告，并提交审计报告终稿。</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第三条  项目资料归属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所有提交给甲方的项目文件及相关资料的</w:t>
      </w:r>
      <w:r>
        <w:rPr>
          <w:rFonts w:ascii="宋体" w:hAnsi="宋体" w:cs="宋体"/>
          <w:color w:val="auto"/>
          <w:sz w:val="24"/>
          <w:highlight w:val="none"/>
        </w:rPr>
        <w:t>阶段性成果及</w:t>
      </w:r>
      <w:r>
        <w:rPr>
          <w:rFonts w:hint="eastAsia" w:ascii="宋体" w:hAnsi="宋体" w:cs="宋体"/>
          <w:color w:val="auto"/>
          <w:sz w:val="24"/>
          <w:highlight w:val="none"/>
        </w:rPr>
        <w:t>最后文本，包括为履行服务范围所编制的计划和证明资料等，都属于甲方</w:t>
      </w:r>
      <w:r>
        <w:rPr>
          <w:rFonts w:ascii="宋体" w:hAnsi="宋体" w:cs="宋体"/>
          <w:color w:val="auto"/>
          <w:sz w:val="24"/>
          <w:highlight w:val="none"/>
        </w:rPr>
        <w:t>所有</w:t>
      </w:r>
      <w:r>
        <w:rPr>
          <w:rFonts w:hint="eastAsia" w:ascii="宋体" w:hAnsi="宋体" w:cs="宋体"/>
          <w:color w:val="auto"/>
          <w:sz w:val="24"/>
          <w:highlight w:val="none"/>
        </w:rPr>
        <w:t>，乙方在提交给甲方之前应将上述资料进行整理归类和编制索引。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双方的权利义务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（一）甲方的权利义务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1.甲方有权向乙方询问项目工作进展及相关情况，并要求乙方在指定时间内做出答复。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2.甲方有权对乙方提交的阶段性成果、最终成果送审稿等相关文件进行审核并提出修改意见。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4.甲方对乙方在委托权限范围内完成委托事项有指导、监督权利。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5.甲方有权要求乙方全面履行合同。甲方不接受部分履行，如本合同项下部分成果文件未能按时交付则视为整体延误。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7.甲方要求乙方比本合同约定时间提前交付成果时，须征得乙方同意。因此而增加工作量，经协商确认，甲方应向乙方支付必要的费用。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 甲方应将项目所需相关档案资料、信息数据等移交给乙方，并要求乙方签收甲方提供的材料清单。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9.甲方应按照本合同的约定向乙方支付服务费用。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10.甲方指定项目联系人：</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姓名：</w:t>
      </w:r>
      <w:r>
        <w:rPr>
          <w:rFonts w:hint="eastAsia" w:ascii="宋体" w:hAnsi="宋体" w:cs="宋体"/>
          <w:color w:val="auto"/>
          <w:sz w:val="24"/>
          <w:highlight w:val="none"/>
          <w:lang w:eastAsia="zh-CN"/>
        </w:rPr>
        <w:t>陈工</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联系方式：0755-</w:t>
      </w:r>
      <w:r>
        <w:rPr>
          <w:rFonts w:hint="eastAsia" w:ascii="宋体" w:hAnsi="宋体" w:cs="宋体"/>
          <w:color w:val="auto"/>
          <w:sz w:val="24"/>
          <w:highlight w:val="none"/>
          <w:lang w:val="en-US" w:eastAsia="zh-CN"/>
        </w:rPr>
        <w:t>88105146</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1.为保证项目成果的质量，乙方在合同履行期间，应按照本项目工作内容要求成立项目团队。项目负责人负责对项目实施全过程进行组织和指导，并承担</w:t>
      </w:r>
      <w:r>
        <w:rPr>
          <w:rFonts w:hint="eastAsia" w:ascii="宋体" w:hAnsi="宋体" w:cs="宋体"/>
          <w:color w:val="auto"/>
          <w:sz w:val="24"/>
          <w:highlight w:val="none"/>
          <w:lang w:eastAsia="zh-CN"/>
        </w:rPr>
        <w:t>项目</w:t>
      </w:r>
      <w:r>
        <w:rPr>
          <w:rFonts w:hint="eastAsia" w:ascii="宋体" w:hAnsi="宋体" w:cs="宋体"/>
          <w:color w:val="auto"/>
          <w:sz w:val="24"/>
          <w:highlight w:val="none"/>
        </w:rPr>
        <w:t>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乙方应接受甲方对工作进展的询问、监督和指导，严格按本合同约定的内容、标准和期限完成项目工作，并向甲方提交项目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8.针对甲方就乙方提交的工作报告等相关文件提出的修改意见，乙方应当在甲方指定的修改时间内完成修改。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9.乙方指定项目联系人：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联系方式： </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第五条  人员要求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67"/>
        <w:gridCol w:w="733"/>
        <w:gridCol w:w="750"/>
        <w:gridCol w:w="733"/>
        <w:gridCol w:w="1583"/>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6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75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7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5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25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6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7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7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5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5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06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7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7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5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5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参加本项目编制的人员必须具有国家和有关部门规定的相应资质。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参加本项目编制的人员配置必须与合同中的项目成员组成一致，若需调整需经甲方</w:t>
      </w:r>
      <w:r>
        <w:rPr>
          <w:rFonts w:ascii="宋体" w:hAnsi="宋体" w:cs="宋体"/>
          <w:color w:val="auto"/>
          <w:sz w:val="24"/>
          <w:highlight w:val="none"/>
        </w:rPr>
        <w:t>书面</w:t>
      </w:r>
      <w:r>
        <w:rPr>
          <w:rFonts w:hint="eastAsia" w:ascii="宋体" w:hAnsi="宋体" w:cs="宋体"/>
          <w:color w:val="auto"/>
          <w:sz w:val="24"/>
          <w:highlight w:val="none"/>
        </w:rPr>
        <w:t>同意后，方可变更。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必须以乙方直属人员</w:t>
      </w:r>
      <w:r>
        <w:rPr>
          <w:rFonts w:ascii="宋体" w:hAnsi="宋体" w:cs="宋体"/>
          <w:color w:val="auto"/>
          <w:sz w:val="24"/>
          <w:highlight w:val="none"/>
        </w:rPr>
        <w:t>（直属人员指</w:t>
      </w:r>
      <w:r>
        <w:rPr>
          <w:rFonts w:hint="eastAsia" w:ascii="宋体" w:hAnsi="宋体" w:cs="宋体"/>
          <w:color w:val="auto"/>
          <w:sz w:val="24"/>
          <w:highlight w:val="none"/>
        </w:rPr>
        <w:t>劳动合同、社会保险等劳动关系</w:t>
      </w:r>
      <w:r>
        <w:rPr>
          <w:rFonts w:ascii="宋体" w:hAnsi="宋体" w:cs="宋体"/>
          <w:color w:val="auto"/>
          <w:sz w:val="24"/>
          <w:highlight w:val="none"/>
        </w:rPr>
        <w:t>在乙</w:t>
      </w:r>
      <w:r>
        <w:rPr>
          <w:rFonts w:hint="eastAsia" w:ascii="宋体" w:hAnsi="宋体" w:cs="宋体"/>
          <w:color w:val="auto"/>
          <w:sz w:val="24"/>
          <w:highlight w:val="none"/>
        </w:rPr>
        <w:t>方的人员）参与本项目服务，不得使用挂靠队伍。</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4.项目团队及其成员至少需要10名，其中项目负责人具有不少于8年从事工程招投标管理或工程招标代理相关经验，项目组成员应具有不少于2年从事工程招投标管理或工程招标代理相关经验。</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第六条 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本项目全部阶段性成果和最终成果（包括为后续服务范围所编制的文件）的所有权、知识产权以及与之相关的所有权利归甲方所有；本合同签署前双方已经拥有的知识产权权利，仍归各自所有。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不得将本项目的中间成果和最终成果文件及任何数据、资料、软件向任何第三方转让、授权任何第三方使用或用于本合同项目外的其他项目。如发生以上情况，</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应向</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支付本合同总价款20%的违约金，如果违约金无法弥补采购人的损失，</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乙方</w:t>
      </w:r>
      <w:r>
        <w:rPr>
          <w:rFonts w:hint="eastAsia" w:ascii="宋体" w:hAnsi="宋体" w:cs="宋体"/>
          <w:color w:val="auto"/>
          <w:sz w:val="24"/>
          <w:highlight w:val="none"/>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乙方完成本项目的研究人员享有在有关技术成果文件上署名的权利和与甲方共同获得有关荣誉证书、奖励的权利。</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第七条  保密条款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auto"/>
          <w:sz w:val="24"/>
          <w:highlight w:val="none"/>
          <w:lang w:eastAsia="zh-CN"/>
        </w:rPr>
        <w:t>乙方</w:t>
      </w:r>
      <w:r>
        <w:rPr>
          <w:rFonts w:hint="eastAsia" w:ascii="宋体" w:hAnsi="宋体" w:cs="宋体"/>
          <w:color w:val="auto"/>
          <w:sz w:val="24"/>
          <w:highlight w:val="none"/>
        </w:rPr>
        <w:t>在履行本合同过程中所获得或接触到的任何</w:t>
      </w:r>
      <w:r>
        <w:rPr>
          <w:rFonts w:hint="eastAsia" w:ascii="宋体" w:hAnsi="宋体" w:cs="宋体"/>
          <w:color w:val="auto"/>
          <w:sz w:val="24"/>
          <w:highlight w:val="none"/>
          <w:lang w:eastAsia="zh-CN"/>
        </w:rPr>
        <w:t>甲方</w:t>
      </w:r>
      <w:r>
        <w:rPr>
          <w:rFonts w:hint="eastAsia" w:ascii="宋体" w:hAnsi="宋体" w:cs="宋体"/>
          <w:color w:val="auto"/>
          <w:sz w:val="24"/>
          <w:highlight w:val="none"/>
        </w:rPr>
        <w:t>内部数据资料。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乙方实施项目的程序应符合国家安全、保密的有关规定和标准。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上述保密义务不适用以下情况：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第八条  项目最终成果及验收标准     </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项目最终成果</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出具《前海管理局局属企业2023年度建设工程招投标情况专项审</w:t>
      </w:r>
      <w:r>
        <w:rPr>
          <w:rFonts w:hint="eastAsia" w:ascii="宋体" w:hAnsi="宋体" w:cs="宋体"/>
          <w:color w:val="auto"/>
          <w:sz w:val="24"/>
          <w:highlight w:val="none"/>
          <w:lang w:eastAsia="zh-CN"/>
        </w:rPr>
        <w:t>查</w:t>
      </w:r>
      <w:r>
        <w:rPr>
          <w:rFonts w:hint="eastAsia" w:ascii="宋体" w:hAnsi="宋体" w:cs="宋体"/>
          <w:color w:val="auto"/>
          <w:sz w:val="24"/>
          <w:highlight w:val="none"/>
        </w:rPr>
        <w:t>报告》（暂定名）</w:t>
      </w:r>
      <w:r>
        <w:rPr>
          <w:rFonts w:hint="eastAsia" w:ascii="宋体" w:hAnsi="宋体" w:cs="宋体"/>
          <w:color w:val="auto"/>
          <w:sz w:val="24"/>
          <w:highlight w:val="none"/>
          <w:lang w:val="en-US" w:eastAsia="zh-CN"/>
        </w:rPr>
        <w:t>及演示文稿（PPT）</w:t>
      </w:r>
      <w:r>
        <w:rPr>
          <w:rFonts w:hint="eastAsia" w:ascii="宋体" w:hAnsi="宋体" w:cs="宋体"/>
          <w:color w:val="auto"/>
          <w:sz w:val="24"/>
          <w:highlight w:val="none"/>
        </w:rPr>
        <w:t>，分别以书面形式和电子文件形式提交。</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验收标准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最终成果验收合格的标志为专项审计报告经甲方验收通过。</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第九条  项目服务费用及付款方式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合同价款：合同总价为人民币</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（含税）。包括</w:t>
      </w:r>
      <w:r>
        <w:rPr>
          <w:rFonts w:hint="eastAsia" w:ascii="宋体" w:hAnsi="宋体" w:cs="宋体"/>
          <w:color w:val="auto"/>
          <w:sz w:val="24"/>
          <w:highlight w:val="none"/>
          <w:lang w:val="en-US" w:eastAsia="zh-CN"/>
        </w:rPr>
        <w:t>但不限于</w:t>
      </w:r>
      <w:r>
        <w:rPr>
          <w:rFonts w:hint="eastAsia" w:ascii="宋体" w:hAnsi="宋体" w:cs="宋体"/>
          <w:color w:val="auto"/>
          <w:sz w:val="24"/>
          <w:highlight w:val="none"/>
        </w:rPr>
        <w:t>办公费、交通费、会务费、调研费、税费等所有费用，并提供合同要求的成果文件，以及其它相关服务的全部费用</w:t>
      </w:r>
      <w:r>
        <w:rPr>
          <w:rFonts w:hint="eastAsia" w:ascii="宋体" w:hAnsi="宋体" w:cs="宋体"/>
          <w:color w:val="auto"/>
          <w:sz w:val="24"/>
          <w:highlight w:val="none"/>
          <w:lang w:val="zh-CN"/>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合同价款由甲方分2期支付至乙方指定银行账户：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（1）首期：签订合同后一个月内，由中标人提出付款申请，采购人向中标人支付合同总价款的50%；即人民币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整（￥.00）</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（2）第二期：</w:t>
      </w:r>
      <w:r>
        <w:rPr>
          <w:rFonts w:hint="eastAsia" w:ascii="宋体" w:hAnsi="宋体" w:cs="宋体"/>
          <w:color w:val="auto"/>
          <w:sz w:val="24"/>
          <w:highlight w:val="none"/>
          <w:lang w:eastAsia="zh-CN"/>
        </w:rPr>
        <w:t>审查</w:t>
      </w:r>
      <w:r>
        <w:rPr>
          <w:rFonts w:hint="eastAsia" w:ascii="宋体" w:hAnsi="宋体" w:cs="宋体"/>
          <w:color w:val="auto"/>
          <w:sz w:val="24"/>
          <w:highlight w:val="none"/>
        </w:rPr>
        <w:t>工作完成后，乙方将本项目最终成果全部提交给甲方，经甲方审查通过后，支付当年剩余全部合同费用。即人民币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整（￥.00）</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乙方银行账户信息：</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户名：</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账号：</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第十条 合同提前终止</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双方协商同意提前终止本合同的，按双方协商约定的方式进行清算执行。</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有下列情形之一的，本合同自甲方向乙方发出书面通知之日起终止：</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highlight w:val="none"/>
        </w:rPr>
        <w:t>（1）</w:t>
      </w:r>
      <w:r>
        <w:rPr>
          <w:rFonts w:hint="eastAsia" w:ascii="宋体" w:hAnsi="宋体" w:cs="宋体"/>
          <w:color w:val="auto"/>
          <w:sz w:val="24"/>
          <w:szCs w:val="24"/>
          <w:highlight w:val="none"/>
        </w:rPr>
        <w:t>甲方的职能发生转变，不再具有委托职能。</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本合同签订时适用的法律法规或政策发生变化，且对本合同的继续履行造成重大影响。</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highlight w:val="none"/>
        </w:rPr>
        <w:t>（3）</w:t>
      </w: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发生以上情形，甲方已向乙方支付的款项不退还，尚未支付的款项不再支付，同时乙方应向甲方提交在合同终止日前完成的所有项目文件和相关资料。</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如发生不可抗力或其他超出合同双方控制的事件，致使一方无法履行合同，本合同解除。</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highlight w:val="none"/>
        </w:rPr>
        <w:t>（1）</w:t>
      </w:r>
      <w:r>
        <w:rPr>
          <w:rFonts w:hint="eastAsia" w:ascii="宋体" w:hAnsi="宋体" w:cs="宋体"/>
          <w:color w:val="auto"/>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发生不可抗力，甲乙双方承担各自的损失。由于其中一方迟延履行合同义务后发生不可抗力的，其违约责任不能免除。</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highlight w:val="none"/>
        </w:rPr>
        <w:t>（3）</w:t>
      </w:r>
      <w:r>
        <w:rPr>
          <w:rFonts w:hint="eastAsia" w:ascii="宋体" w:hAnsi="宋体" w:cs="宋体"/>
          <w:color w:val="auto"/>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第十一条  争议解决办法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第十二条  项目变更</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因非乙方责任造成项目进度推迟或延误，无法按照本合同约定的日期完成相应工作，双方经过协商可以进一步约定完成的日期，乙方的责任期也随之顺延。</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第十三条  风险责任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乙方应完全地按照【</w:t>
      </w:r>
      <w:r>
        <w:rPr>
          <w:rFonts w:hint="eastAsia" w:ascii="宋体" w:hAnsi="宋体" w:cs="宋体"/>
          <w:color w:val="auto"/>
          <w:sz w:val="24"/>
          <w:highlight w:val="none"/>
          <w:lang w:eastAsia="zh-CN"/>
        </w:rPr>
        <w:t>QH2024041</w:t>
      </w:r>
      <w:r>
        <w:rPr>
          <w:rFonts w:hint="eastAsia" w:ascii="宋体" w:hAnsi="宋体" w:cs="宋体"/>
          <w:color w:val="auto"/>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第十四条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如乙方未按照本合同约定的时间完成本项目各阶段工作，每迟延一日，甲方有权自尚未支付的合同款项中扣除本合同服务费总金额的3‰的逾期违约金。</w:t>
      </w:r>
    </w:p>
    <w:p>
      <w:pPr>
        <w:spacing w:line="360" w:lineRule="auto"/>
        <w:ind w:firstLine="480" w:firstLineChars="200"/>
        <w:rPr>
          <w:rFonts w:hint="eastAsia" w:ascii="宋体" w:hAnsi="宋体" w:cs="宋体"/>
          <w:color w:val="auto"/>
          <w:sz w:val="24"/>
          <w:highlight w:val="none"/>
          <w:shd w:val="clear"/>
          <w:lang w:eastAsia="zh-CN"/>
        </w:rPr>
      </w:pPr>
      <w:r>
        <w:rPr>
          <w:rFonts w:hint="eastAsia" w:ascii="宋体" w:hAnsi="宋体" w:cs="宋体"/>
          <w:color w:val="auto"/>
          <w:sz w:val="24"/>
          <w:highlight w:val="none"/>
          <w:shd w:val="clear"/>
        </w:rPr>
        <w:t>2</w:t>
      </w:r>
      <w:r>
        <w:rPr>
          <w:rFonts w:hint="eastAsia" w:ascii="宋体" w:hAnsi="宋体" w:cs="宋体"/>
          <w:color w:val="auto"/>
          <w:sz w:val="24"/>
          <w:highlight w:val="none"/>
          <w:shd w:val="clear"/>
          <w:lang w:val="en-US" w:eastAsia="zh-CN"/>
        </w:rPr>
        <w:t>.</w:t>
      </w:r>
      <w:r>
        <w:rPr>
          <w:rFonts w:hint="eastAsia" w:ascii="宋体" w:hAnsi="宋体" w:cs="宋体"/>
          <w:color w:val="auto"/>
          <w:sz w:val="24"/>
          <w:highlight w:val="none"/>
          <w:shd w:val="clear"/>
        </w:rPr>
        <w:t>本合同项下的工作内容不可分割，任一文件的迟延交付均视为整个项目的迟延交付</w:t>
      </w:r>
      <w:r>
        <w:rPr>
          <w:rFonts w:hint="eastAsia" w:ascii="宋体" w:hAnsi="宋体" w:cs="宋体"/>
          <w:color w:val="auto"/>
          <w:sz w:val="24"/>
          <w:highlight w:val="none"/>
          <w:shd w:val="clear"/>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（1）乙方未能按合同约定的</w:t>
      </w:r>
      <w:r>
        <w:rPr>
          <w:rFonts w:hint="eastAsia" w:ascii="宋体" w:hAnsi="宋体" w:cs="宋体"/>
          <w:color w:val="auto"/>
          <w:sz w:val="24"/>
          <w:highlight w:val="none"/>
          <w:lang w:eastAsia="zh-CN"/>
        </w:rPr>
        <w:t>各阶段</w:t>
      </w:r>
      <w:r>
        <w:rPr>
          <w:rFonts w:hint="eastAsia" w:ascii="宋体" w:hAnsi="宋体" w:cs="宋体"/>
          <w:color w:val="auto"/>
          <w:sz w:val="24"/>
          <w:highlight w:val="none"/>
        </w:rPr>
        <w:t>日期(含协商延缓的日期)提交成果，延误时间超过15个工作日；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color w:val="auto"/>
          <w:sz w:val="24"/>
          <w:highlight w:val="none"/>
          <w:lang w:eastAsia="zh-CN"/>
        </w:rPr>
        <w:t>乙方</w:t>
      </w:r>
      <w:r>
        <w:rPr>
          <w:rFonts w:hint="eastAsia" w:ascii="宋体" w:hAnsi="宋体" w:cs="宋体"/>
          <w:color w:val="auto"/>
          <w:sz w:val="24"/>
          <w:highlight w:val="none"/>
        </w:rPr>
        <w:t>工作的错误或遗漏造成成果质量损失，工作成果质量低劣，不能满足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工作需要和要求；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（6）乙方明确表示或者以自己的行为表明不履行本合同的。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除因甲方付款审批影响支付进度的情况外，如甲方未按照本合同约定的时间支付服务费，乙方书面催告甲方并给予不少于</w:t>
      </w:r>
      <w:r>
        <w:rPr>
          <w:rFonts w:ascii="宋体" w:hAnsi="宋体" w:cs="宋体"/>
          <w:color w:val="auto"/>
          <w:sz w:val="24"/>
          <w:highlight w:val="none"/>
        </w:rPr>
        <w:t>30</w:t>
      </w:r>
      <w:r>
        <w:rPr>
          <w:rFonts w:hint="eastAsia" w:ascii="宋体" w:hAnsi="宋体" w:cs="宋体"/>
          <w:color w:val="auto"/>
          <w:sz w:val="24"/>
          <w:highlight w:val="none"/>
        </w:rPr>
        <w:t>个工作日的履行期限后甲方仍未支付的，乙方有权自该期限届满之日起要求甲方支付该阶段应付而未付合同价款每日</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‰的逾期违约金。如甲方无正当理由拒绝接受服务，到期明确表示拒付服务款项，乙方有权要求甲方支付本合同项下服务费总金额20%的违约金。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第十五条  其他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（1）合同书及补充协议；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（3）招标文件（编号：    ）及其澄清、补正公告；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本合同各条标题仅为提示之用，应以条文内容确定各方的权利义务。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本合同未尽事宜，由双方协商签订补充协议进行约定。补充协议应以书面形式作成，经双方法定代表人或其授权代表签字、盖章后与本合同具有同等法律效力。</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本合同约定的权利和义务不因合同双方发生收购、兼并、重组、分立而发生变化。如果发生上述情形，则本合同约定的权利和义务随之转移至收购、兼并、重组或分立后成立的单位。</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本合同在国家法律、法规和规章规定的范围内执行。当国家法律、法规和规章发生变化导致本合同有关条款与之抵触时，双方协商变更或废止该条款，在此情况下，双方互不承担责任。</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如果本合同的任何条款在任何时候变成不合法、无效或不可强制执行而不从根本上影响本合同的效力时，本合同的其他条款不受影响。</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任何一方未经另一方同意不得向任何第三方透露本合同的签订及其内容。甲方向其关联公司透露前述内容的，不受此限。</w:t>
      </w:r>
    </w:p>
    <w:p>
      <w:pPr>
        <w:pStyle w:val="2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本合同自双方法定代表人或其授权代表签字</w:t>
      </w:r>
      <w:r>
        <w:rPr>
          <w:rFonts w:hint="eastAsia" w:ascii="宋体" w:hAnsi="宋体" w:cs="宋体"/>
          <w:color w:val="auto"/>
          <w:sz w:val="24"/>
          <w:highlight w:val="none"/>
          <w:lang w:eastAsia="zh-CN"/>
        </w:rPr>
        <w:t>或</w:t>
      </w:r>
      <w:r>
        <w:rPr>
          <w:rFonts w:hint="eastAsia" w:ascii="宋体" w:hAnsi="宋体" w:cs="宋体"/>
          <w:color w:val="auto"/>
          <w:sz w:val="24"/>
          <w:highlight w:val="none"/>
        </w:rPr>
        <w:t>盖章之日起生效，有效期至本合同全部权利义务履行完毕之日止。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本合同一式六份，甲、乙方各执三份，均具有同等法律效力。</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（以下无正文</w:t>
      </w:r>
      <w:r>
        <w:rPr>
          <w:rFonts w:hint="eastAsia" w:ascii="宋体" w:hAnsi="宋体" w:cs="宋体"/>
          <w:color w:val="auto"/>
          <w:sz w:val="24"/>
          <w:highlight w:val="none"/>
          <w:lang w:eastAsia="zh-CN"/>
        </w:rPr>
        <w:t>，</w:t>
      </w:r>
      <w:r>
        <w:rPr>
          <w:rFonts w:hint="eastAsia" w:ascii="宋体" w:hAnsi="宋体" w:cs="宋体"/>
          <w:color w:val="auto"/>
          <w:sz w:val="24"/>
          <w:highlight w:val="none"/>
        </w:rPr>
        <w:t>本页为签章页）</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pStyle w:val="2"/>
        <w:rPr>
          <w:rFonts w:hint="eastAsia"/>
          <w:color w:val="auto"/>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ind w:left="8312" w:hanging="8312" w:hangingChars="3450"/>
        <w:rPr>
          <w:rFonts w:hint="eastAsia" w:ascii="宋体" w:hAnsi="宋体" w:cs="宋体"/>
          <w:b/>
          <w:color w:val="auto"/>
          <w:sz w:val="24"/>
          <w:highlight w:val="none"/>
        </w:rPr>
      </w:pPr>
      <w:r>
        <w:rPr>
          <w:rFonts w:hint="eastAsia" w:ascii="宋体" w:hAnsi="宋体" w:cs="宋体"/>
          <w:b/>
          <w:color w:val="auto"/>
          <w:sz w:val="24"/>
          <w:highlight w:val="none"/>
        </w:rPr>
        <w:t>甲方名称：                                 乙方名称：</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adjustRightInd w:val="0"/>
        <w:snapToGrid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日期：</w:t>
      </w:r>
    </w:p>
    <w:p>
      <w:pPr>
        <w:adjustRightInd w:val="0"/>
        <w:snapToGrid w:val="0"/>
        <w:spacing w:line="360" w:lineRule="auto"/>
        <w:ind w:firstLine="720" w:firstLineChars="300"/>
        <w:rPr>
          <w:rFonts w:hint="eastAsia"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注：本合同样本仅供参考，非实质性条款内容可由采购人和中标人协商确定。</w:t>
      </w:r>
    </w:p>
    <w:p>
      <w:pPr>
        <w:snapToGrid w:val="0"/>
        <w:spacing w:line="360" w:lineRule="auto"/>
        <w:rPr>
          <w:rFonts w:ascii="宋体" w:hAnsi="宋体" w:cs="宋体"/>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13" w:name="_Toc25518"/>
      <w:r>
        <w:rPr>
          <w:rFonts w:hint="eastAsia" w:ascii="宋体" w:hAnsi="宋体" w:cs="宋体"/>
          <w:b/>
          <w:bCs/>
          <w:color w:val="auto"/>
          <w:sz w:val="24"/>
          <w:highlight w:val="none"/>
        </w:rPr>
        <w:t>用户需求书</w:t>
      </w:r>
      <w:bookmarkEnd w:id="13"/>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bookmarkStart w:id="14" w:name="_Toc23726"/>
      <w:bookmarkStart w:id="15" w:name="_Toc11045"/>
      <w:r>
        <w:rPr>
          <w:rFonts w:hint="eastAsia" w:ascii="宋体" w:hAnsi="宋体" w:cs="宋体"/>
          <w:b/>
          <w:color w:val="auto"/>
          <w:sz w:val="24"/>
          <w:highlight w:val="none"/>
        </w:rPr>
        <w:t>一、</w:t>
      </w:r>
      <w:bookmarkEnd w:id="14"/>
      <w:bookmarkEnd w:id="15"/>
      <w:bookmarkStart w:id="16" w:name="_Toc51746099"/>
      <w:r>
        <w:rPr>
          <w:rFonts w:hint="eastAsia" w:ascii="宋体" w:hAnsi="宋体" w:cs="宋体"/>
          <w:b/>
          <w:color w:val="auto"/>
          <w:sz w:val="24"/>
          <w:highlight w:val="none"/>
          <w:lang w:val="zh-CN"/>
        </w:rPr>
        <w:t>项目总体概</w:t>
      </w:r>
      <w:r>
        <w:rPr>
          <w:rFonts w:hint="eastAsia" w:ascii="宋体" w:hAnsi="宋体" w:cs="宋体"/>
          <w:b/>
          <w:color w:val="auto"/>
          <w:sz w:val="24"/>
          <w:highlight w:val="none"/>
        </w:rPr>
        <w:t>况</w:t>
      </w:r>
    </w:p>
    <w:bookmarkEnd w:id="16"/>
    <w:p>
      <w:pPr>
        <w:pStyle w:val="15"/>
        <w:spacing w:before="0" w:beforeAutospacing="0" w:after="0" w:afterAutospacing="0" w:line="360" w:lineRule="auto"/>
        <w:ind w:firstLine="480" w:firstLineChars="200"/>
        <w:rPr>
          <w:rFonts w:hint="eastAsia"/>
          <w:color w:val="auto"/>
          <w:highlight w:val="none"/>
        </w:rPr>
      </w:pPr>
      <w:r>
        <w:rPr>
          <w:rFonts w:hint="eastAsia"/>
          <w:color w:val="auto"/>
          <w:highlight w:val="none"/>
        </w:rPr>
        <w:t>本次审计范围主要为2023年度</w:t>
      </w:r>
      <w:r>
        <w:rPr>
          <w:rFonts w:hint="eastAsia"/>
          <w:color w:val="auto"/>
          <w:highlight w:val="none"/>
          <w:lang w:eastAsia="zh-CN"/>
        </w:rPr>
        <w:t>前海管理局</w:t>
      </w:r>
      <w:r>
        <w:rPr>
          <w:rFonts w:hint="eastAsia"/>
          <w:color w:val="auto"/>
          <w:highlight w:val="none"/>
        </w:rPr>
        <w:t>局属企业通过深圳公共资源交易中心开展，且在市区住建部门、前海管理局备案的全部建设工程招投标活动。据初步统计，符合以上标准的招投标项目共121个，合同金额</w:t>
      </w:r>
      <w:r>
        <w:rPr>
          <w:rFonts w:hint="eastAsia"/>
          <w:color w:val="auto"/>
          <w:highlight w:val="none"/>
          <w:lang w:eastAsia="zh-CN"/>
        </w:rPr>
        <w:t>约</w:t>
      </w:r>
      <w:r>
        <w:rPr>
          <w:rFonts w:hint="eastAsia"/>
          <w:color w:val="auto"/>
          <w:highlight w:val="none"/>
        </w:rPr>
        <w:t>1013934.08万元</w:t>
      </w:r>
      <w:r>
        <w:rPr>
          <w:rFonts w:hint="eastAsia"/>
          <w:color w:val="auto"/>
          <w:highlight w:val="none"/>
          <w:lang w:eastAsia="zh-CN"/>
        </w:rPr>
        <w:t>。</w:t>
      </w:r>
      <w:r>
        <w:rPr>
          <w:rFonts w:hint="eastAsia"/>
          <w:color w:val="auto"/>
          <w:highlight w:val="none"/>
        </w:rPr>
        <w:t>具体数量可根据采购人工作需要及采购人与中标人协商后进行调整。</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二、工作内容</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关于建设工程招标投标改革的若干规定》(深府〔2015〕73号)、《关于进一步完善建设工程招标投标制度的若干措施》（深建规〔2020〕1号）、《深圳市建设工程招标投标后评估工作指引》（深建市场〔2021〕30号）等相关规定，对工程招投标管理，包括制度建设及执行、审批流程、对招标公告发布、开标、评标、清标、定标、异常情况以及合同监管等环节进行全链条审计。</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1.审计招投标制度是否建立健全，是否与国家、省市有关制度、法规不一致。</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2.审查招投标的审批流程的合规性，是否按制度执行。</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3.招标公告发布环节</w:t>
      </w:r>
      <w:r>
        <w:rPr>
          <w:rFonts w:hint="eastAsia" w:ascii="宋体" w:hAnsi="宋体" w:cs="宋体"/>
          <w:color w:val="auto"/>
          <w:sz w:val="24"/>
          <w:highlight w:val="none"/>
        </w:rPr>
        <w:tab/>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（1）招标公告情况。招标备案资料、招标公告内容完整性和规范性。</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（2）资格条件设置情况。查看招标公告及招标文件，判断投标资格条件设置是否合法合规，包括但不限于企业资质、项目负责人执业资格、同类业绩要求等竞争性条款设置。</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（3）投标保证金收取情况。查看招标公告及招标文件，判断投标保证金设置是否合法合规。</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（4）招标控制价编制情况。查看招标文件、招标控制价公示表，判断招标控制价编制是否合法合规，尤其是暂估价部分。</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招标文件编制情况。查看招标文件以及合同文件，判断是否存在不合法、不合规的内容；查看招标公告、招标文件以及合同文件，是否有不严谨、不合理的问题，包括但不限于缺漏项、文件前后描述不一致、表述不严谨等。</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（6）招标程序的合规性。查看招标答疑、补遗的发布时间以及发布内容，定标时间是否合规。</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4.开标环节</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核查资格审查合规性。查看招标文件、资格审查报告以及开标情况记录表，判断是否严格按招标文件要求进行资格审查。</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5.过多投标人淘汰环节</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入围环节是否按照“竞价择优”的原则进行淘汰工作。查看入围择优要素报告、入围情况一览表，判断入围原则是否达到“竞价择优”的目的。</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6.评标环节</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（1）评标过程情况。查看招标文件的评标要求、细则以及评标报告，判断评标过程的规范性，是否按照招标文件规定的评标办法进行评审。</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（2）废标情形情况。查看招标文件的废标条款，判断废标情形是否合规，是否存在应废未废的情形。</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7.清标环节</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查看招标文件、清标报告、评标报告，判断是否按照招标文件的有关要求进行清标，是否对定标工作起到了重要的辅助作用（清标制度是否建立），清标过程是否合法合规，清标报告内容是否客观公正。</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8.定标环节</w:t>
      </w:r>
      <w:r>
        <w:rPr>
          <w:rFonts w:hint="eastAsia" w:ascii="宋体" w:hAnsi="宋体" w:cs="宋体"/>
          <w:color w:val="auto"/>
          <w:sz w:val="24"/>
          <w:highlight w:val="none"/>
        </w:rPr>
        <w:tab/>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（1）在招标公告发布前，招标人是否结合项目实际，根据定标工作规则，制定项目定标方案，查看招标文件，判断定标方案、定标规则编制的合法合规性。</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（2）定标方案是否对清标内容、定标工作细则、择优要素及竞价方法等内容予以明确。</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（3）定标过程合规性。查看招标文件、定标过程资料、定标报告，是否严格遵守定标方案和定标工作规则，未临时改变规则。</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（4）定标委员会组建合规性。查看定标委员会的组建方案及抽取记录，判断定标时是否按要求建立定标委员会及定标小组。</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（5）中标人（或进入票决抽签环节的投标人）是否比未中标的（或未进入票决抽签环节）投标人综合实力更强。查看开标情况记录表、清标报告、评标报告以及定标报告，综合考量判断是否存在不合理的情况。</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9.异常情况</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（1）异议投诉处理情况。查看异议投诉情况及处理结果，判断异议处理是否及时、合理。</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（2）是否存在涉嫌串、围标的情形。查看各投标单位的股权关系、投标代理人信息，是否存在视为相互串通投标情形。</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10.合同监管情况</w:t>
      </w:r>
      <w:r>
        <w:rPr>
          <w:rFonts w:hint="eastAsia" w:ascii="宋体" w:hAnsi="宋体" w:cs="宋体"/>
          <w:color w:val="auto"/>
          <w:sz w:val="24"/>
          <w:highlight w:val="none"/>
        </w:rPr>
        <w:tab/>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（1）签订合同及时性。查看中标通知书以及签订的合同，是否在发出中标结果公示期满后30日内，签订中标合同。</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条款的合法合规性。查看招标文件、投标文件以及签订的合同，判断签订合同实质性条款是否与招标文件或投标文件一致。核查合同条款，查看合同价款和支付的规范性等。核查合同中保证金设置是否合规，其中包含质量保证金的收取是否合规、支付担保设置是否合规、是否存在违规收取保证金的情形等。查看前期招标备案时提供的关于不设置/设置“霸王条款”的承诺函，核查合同中霸王条款或风险性条款和备案时提供的文件是否一致。核查合同正文及附件，查看是否存在部分材料、设备指定品牌少于三家的情形。查看合同关键内容，核查合同中是否有违法发包或违反分包的相关条款。查看合同关键条款，核查合同中关键条款是否都在合同中体现，确保合同签订的规范性，避免遗漏合同关键信息。例如合同中存在是否明确绿色建筑等级要求、是否约定工资支付比例或人工费的支付周期等问题。</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（3）合同履约评价。通过《承包商履约评价结果汇总表》查看中标人履行合同情况，判断中标人的综合实力。</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11.对调查发现的问题提出整改建议，并对前海财政性资金和国有资金建设工程招标投标管理提出建设性意见。</w:t>
      </w:r>
    </w:p>
    <w:p>
      <w:pPr>
        <w:pStyle w:val="2"/>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12.采购人要求提供的其他服务。</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 xml:space="preserve">项目最终成果及验收标准     </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项目最终成果</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出具《前海管理局局属企业2023年度建设工程招投标情况专项审</w:t>
      </w:r>
      <w:r>
        <w:rPr>
          <w:rFonts w:hint="eastAsia" w:ascii="宋体" w:hAnsi="宋体" w:cs="宋体"/>
          <w:color w:val="auto"/>
          <w:sz w:val="24"/>
          <w:highlight w:val="none"/>
          <w:lang w:eastAsia="zh-CN"/>
        </w:rPr>
        <w:t>查</w:t>
      </w:r>
      <w:r>
        <w:rPr>
          <w:rFonts w:hint="eastAsia" w:ascii="宋体" w:hAnsi="宋体" w:cs="宋体"/>
          <w:color w:val="auto"/>
          <w:sz w:val="24"/>
          <w:highlight w:val="none"/>
        </w:rPr>
        <w:t>报告》（暂定名）</w:t>
      </w:r>
      <w:r>
        <w:rPr>
          <w:rFonts w:hint="eastAsia" w:ascii="宋体" w:hAnsi="宋体" w:cs="宋体"/>
          <w:color w:val="auto"/>
          <w:sz w:val="24"/>
          <w:highlight w:val="none"/>
          <w:lang w:val="en-US" w:eastAsia="zh-CN"/>
        </w:rPr>
        <w:t>及演示文稿（PPT）</w:t>
      </w:r>
      <w:r>
        <w:rPr>
          <w:rFonts w:hint="eastAsia" w:ascii="宋体" w:hAnsi="宋体" w:cs="宋体"/>
          <w:color w:val="auto"/>
          <w:sz w:val="24"/>
          <w:highlight w:val="none"/>
        </w:rPr>
        <w:t>，分别以书面形式和电子文件形式提交。</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验收标准</w:t>
      </w:r>
    </w:p>
    <w:p>
      <w:pPr>
        <w:widowControl/>
        <w:spacing w:line="360" w:lineRule="auto"/>
        <w:ind w:firstLine="480" w:firstLineChars="200"/>
        <w:rPr>
          <w:color w:val="auto"/>
          <w:highlight w:val="none"/>
        </w:rPr>
      </w:pPr>
      <w:r>
        <w:rPr>
          <w:rFonts w:hint="eastAsia" w:ascii="宋体" w:hAnsi="宋体" w:cs="宋体"/>
          <w:color w:val="auto"/>
          <w:sz w:val="24"/>
          <w:highlight w:val="none"/>
        </w:rPr>
        <w:t>最终成果验收合格的标志为专项审计报告经前海管理局验收通过。</w:t>
      </w:r>
    </w:p>
    <w:p>
      <w:pPr>
        <w:pStyle w:val="26"/>
        <w:tabs>
          <w:tab w:val="left" w:pos="720"/>
        </w:tabs>
        <w:autoSpaceDE w:val="0"/>
        <w:autoSpaceDN w:val="0"/>
        <w:adjustRightInd w:val="0"/>
        <w:spacing w:line="360" w:lineRule="auto"/>
        <w:ind w:right="17" w:firstLine="482"/>
        <w:jc w:val="left"/>
        <w:outlineLvl w:val="1"/>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人员要求</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项目团队及其成员至少需要10名，其中项目负责人具有不少于8年从事建设工程招投标、工程咨询相关工作经验，项目组成员应具有不少于2年从事工程招投标或工程管理等与工程建设相关的工作经验。</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（一）服务期限</w:t>
      </w:r>
    </w:p>
    <w:p>
      <w:pPr>
        <w:widowControl/>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sz w:val="24"/>
          <w:highlight w:val="none"/>
        </w:rPr>
        <w:t>本项目服务期为自合同签订之日起至2024年10月20日止。</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（二）项目进度安排</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1.自合同签订之日起60个工作日内完成审计资料收集和清查工作；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2.2024年9月20日前，中标人应向采购人提交审计报告初稿；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3.2024年10月20日前，中标人根据采购人意见修改完善报告，并提交审计报告终稿。</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（三）报价要求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签定的合同金额。投标人的报价不可高于预算（限价），否则投标人的投标文件视同无效。投标人的投标总价为完成项目及招标文件或合同条款所规定的工作内容的各项费用，项目服务费包括但不限于办公费、交通费、会务费、调研费、税费等所有费用，并提供合同要求的成果文件，以及其它相关服务的全部费用。</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项目资金分2期支付至中标人指定银行账户：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1.首期：签订合同后一个月内，由中标人提出付款申请，采购人向中标人支付合同总价款的50%；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2.第二期：</w:t>
      </w:r>
      <w:r>
        <w:rPr>
          <w:rFonts w:hint="eastAsia" w:ascii="宋体" w:hAnsi="宋体" w:cs="宋体"/>
          <w:color w:val="auto"/>
          <w:sz w:val="24"/>
          <w:highlight w:val="none"/>
          <w:lang w:eastAsia="zh-CN"/>
        </w:rPr>
        <w:t>审查</w:t>
      </w:r>
      <w:r>
        <w:rPr>
          <w:rFonts w:hint="eastAsia" w:ascii="宋体" w:hAnsi="宋体" w:cs="宋体"/>
          <w:color w:val="auto"/>
          <w:sz w:val="24"/>
          <w:highlight w:val="none"/>
        </w:rPr>
        <w:t>工作完成后，中标人将本项目最终成果全部提交给采购人，经采购人审查通过后，支付当年剩余全部合同费用；</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highlight w:val="none"/>
        </w:rPr>
        <w:t>采购人</w:t>
      </w:r>
      <w:r>
        <w:rPr>
          <w:rFonts w:hint="eastAsia" w:ascii="宋体" w:hAnsi="宋体" w:cs="宋体"/>
          <w:color w:val="auto"/>
          <w:sz w:val="24"/>
          <w:highlight w:val="none"/>
        </w:rPr>
        <w:t>付款审批影响支付进度，请</w:t>
      </w:r>
      <w:r>
        <w:rPr>
          <w:rFonts w:ascii="宋体" w:hAnsi="宋体" w:cs="宋体"/>
          <w:color w:val="auto"/>
          <w:sz w:val="24"/>
          <w:highlight w:val="none"/>
        </w:rPr>
        <w:t>中标人</w:t>
      </w:r>
      <w:r>
        <w:rPr>
          <w:rFonts w:hint="eastAsia" w:ascii="宋体" w:hAnsi="宋体" w:cs="宋体"/>
          <w:color w:val="auto"/>
          <w:sz w:val="24"/>
          <w:highlight w:val="none"/>
        </w:rPr>
        <w:t>予以谅解，并不得就此向</w:t>
      </w:r>
      <w:r>
        <w:rPr>
          <w:rFonts w:ascii="宋体" w:hAnsi="宋体" w:cs="宋体"/>
          <w:color w:val="auto"/>
          <w:sz w:val="24"/>
          <w:highlight w:val="none"/>
        </w:rPr>
        <w:t>采购人</w:t>
      </w:r>
      <w:r>
        <w:rPr>
          <w:rFonts w:hint="eastAsia" w:ascii="宋体" w:hAnsi="宋体" w:cs="宋体"/>
          <w:color w:val="auto"/>
          <w:sz w:val="24"/>
          <w:highlight w:val="none"/>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2.双方确定，采购人有权利用中标人按照本合同约定提供的</w:t>
      </w:r>
      <w:r>
        <w:rPr>
          <w:rFonts w:hint="eastAsia" w:ascii="宋体" w:hAnsi="宋体" w:cs="宋体"/>
          <w:color w:val="auto"/>
          <w:sz w:val="24"/>
          <w:highlight w:val="none"/>
          <w:lang w:eastAsia="zh-CN"/>
        </w:rPr>
        <w:t>项目</w:t>
      </w:r>
      <w:r>
        <w:rPr>
          <w:rFonts w:hint="eastAsia" w:ascii="宋体" w:hAnsi="宋体" w:cs="宋体"/>
          <w:color w:val="auto"/>
          <w:sz w:val="24"/>
          <w:highlight w:val="none"/>
        </w:rPr>
        <w:t>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5.中标人完成本合同项目的研究开发人员享有在有关技术成果文件上写明技术成果完成者的权利和与采购人共同获得有关荣誉证书、奖励的权利。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保密条款</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在履行本合同过程中所获得或接触到的任何采购人内部数据资料。</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应以保密方式处理在编制本项目成果文件过程中自</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工作人员或</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关联机构获得的相关信息、资料、图纸、数据等，或由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在履行本合同过程中明确指明为秘密的任何信息，以及</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因本项目工作内容所直接或间接取得、处理或接触的任何其他资料。未经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实施项目的程序应符合国家安全、保密的有关规定和标准。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5.上述保密义务不适用以下情况：</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违反上述保密条款，</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应在合同解除通知发出之日起10日内向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支付本合同服务费总金额20%的违约金，如果违约金无法弥补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损失，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保留要求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7.无论本合同或本合同其他条款是否有效，本保密条款始终约束双方。国家秘密的保密期限由国家有关部门确定，工作秘密的保密期限由甲方确定。</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（七）</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1.中标人未按照本合同约定的时间完成本项目各阶段工作，每延迟一日，采购人有权自支付合同余款中扣除合同总价款3‰的逾期违约金。</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（1）中标人未能按合同约定的</w:t>
      </w:r>
      <w:r>
        <w:rPr>
          <w:rFonts w:hint="eastAsia" w:ascii="宋体" w:hAnsi="宋体" w:cs="宋体"/>
          <w:color w:val="auto"/>
          <w:sz w:val="24"/>
          <w:highlight w:val="none"/>
          <w:lang w:eastAsia="zh-CN"/>
        </w:rPr>
        <w:t>各阶段</w:t>
      </w:r>
      <w:r>
        <w:rPr>
          <w:rFonts w:hint="eastAsia" w:ascii="宋体" w:hAnsi="宋体" w:cs="宋体"/>
          <w:color w:val="auto"/>
          <w:sz w:val="24"/>
          <w:highlight w:val="none"/>
        </w:rPr>
        <w:t>日期(含协商延缓的日期)提交各阶段成果或最终成果，延误时间超过15个工作日；</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（6）中标人明确表示或者以自己的行为表明不履行本合同的。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20%的违约金。</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widowControl/>
        <w:spacing w:line="360" w:lineRule="auto"/>
        <w:ind w:firstLine="480" w:firstLineChars="200"/>
        <w:jc w:val="center"/>
        <w:outlineLvl w:val="0"/>
        <w:rPr>
          <w:rFonts w:ascii="宋体" w:cs="宋体"/>
          <w:b/>
          <w:bCs/>
          <w:color w:val="auto"/>
          <w:sz w:val="24"/>
          <w:highlight w:val="none"/>
        </w:rPr>
      </w:pPr>
      <w:r>
        <w:rPr>
          <w:rFonts w:hint="eastAsia" w:ascii="宋体" w:hAnsi="宋体" w:cs="宋体"/>
          <w:color w:val="auto"/>
          <w:sz w:val="24"/>
          <w:highlight w:val="none"/>
        </w:rPr>
        <w:br w:type="page"/>
      </w:r>
      <w:bookmarkStart w:id="17" w:name="_Toc23822"/>
      <w:r>
        <w:rPr>
          <w:rFonts w:hint="eastAsia" w:ascii="宋体" w:cs="宋体"/>
          <w:b/>
          <w:bCs/>
          <w:color w:val="auto"/>
          <w:sz w:val="24"/>
          <w:highlight w:val="none"/>
        </w:rPr>
        <w:t>第六章 投标文件初审及招标项目评分表</w:t>
      </w:r>
      <w:bookmarkEnd w:id="17"/>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2"/>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08"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2"/>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法律、法规规定的其他情形</w:t>
            </w:r>
          </w:p>
        </w:tc>
      </w:tr>
    </w:tbl>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18"/>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一、价格部分（</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评分规则</w:t>
            </w:r>
          </w:p>
        </w:tc>
        <w:tc>
          <w:tcPr>
            <w:tcW w:w="901"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权重</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b/>
                <w:color w:val="auto"/>
                <w:sz w:val="24"/>
                <w:highlight w:val="none"/>
              </w:rPr>
              <w:t>投标报价</w:t>
            </w:r>
          </w:p>
        </w:tc>
        <w:tc>
          <w:tcPr>
            <w:tcW w:w="5907" w:type="dxa"/>
            <w:vAlign w:val="center"/>
          </w:tcPr>
          <w:p>
            <w:pPr>
              <w:pStyle w:val="6"/>
              <w:spacing w:line="360" w:lineRule="auto"/>
              <w:rPr>
                <w:rFonts w:ascii="宋体" w:hAnsi="宋体" w:cs="宋体"/>
                <w:color w:val="auto"/>
                <w:sz w:val="24"/>
                <w:highlight w:val="none"/>
              </w:rPr>
            </w:pPr>
            <w:r>
              <w:rPr>
                <w:rFonts w:hint="eastAsia" w:ascii="宋体" w:hAnsi="宋体" w:cs="宋体"/>
                <w:color w:val="auto"/>
                <w:sz w:val="24"/>
                <w:highlight w:val="none"/>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auto"/>
                <w:sz w:val="24"/>
                <w:highlight w:val="none"/>
              </w:rPr>
            </w:pPr>
            <w:r>
              <w:rPr>
                <w:rFonts w:hint="eastAsia" w:ascii="宋体" w:hAnsi="宋体" w:cs="宋体"/>
                <w:b/>
                <w:bCs/>
                <w:color w:val="auto"/>
                <w:sz w:val="24"/>
                <w:highlight w:val="none"/>
              </w:rPr>
              <w:t>投标报价得分=(评标基准价／投标报价)×</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0</w:t>
            </w:r>
          </w:p>
          <w:p>
            <w:pPr>
              <w:numPr>
                <w:ilvl w:val="0"/>
                <w:numId w:val="7"/>
              </w:numPr>
              <w:spacing w:line="360" w:lineRule="auto"/>
              <w:ind w:left="250" w:hanging="249" w:hangingChars="104"/>
              <w:jc w:val="left"/>
              <w:rPr>
                <w:rFonts w:ascii="宋体" w:hAnsi="宋体" w:cs="宋体"/>
                <w:bCs/>
                <w:color w:val="auto"/>
                <w:sz w:val="24"/>
                <w:highlight w:val="none"/>
              </w:rPr>
            </w:pPr>
            <w:r>
              <w:rPr>
                <w:rFonts w:hint="eastAsia" w:ascii="宋体" w:hAnsi="宋体" w:cs="宋体"/>
                <w:bCs/>
                <w:color w:val="auto"/>
                <w:sz w:val="24"/>
                <w:highlight w:val="none"/>
              </w:rPr>
              <w:t>价格评分仅限于有效投标人，</w:t>
            </w:r>
            <w:r>
              <w:rPr>
                <w:rFonts w:hint="eastAsia" w:ascii="宋体" w:hAnsi="宋体" w:cs="宋体"/>
                <w:color w:val="auto"/>
                <w:sz w:val="24"/>
                <w:highlight w:val="none"/>
              </w:rPr>
              <w:t>当价格分&lt;0时，取0。</w:t>
            </w:r>
          </w:p>
          <w:p>
            <w:pPr>
              <w:numPr>
                <w:ilvl w:val="0"/>
                <w:numId w:val="7"/>
              </w:numPr>
              <w:spacing w:line="360" w:lineRule="auto"/>
              <w:ind w:left="250" w:hanging="249" w:hangingChars="104"/>
              <w:jc w:val="left"/>
              <w:rPr>
                <w:rFonts w:ascii="宋体" w:hAnsi="宋体" w:cs="宋体"/>
                <w:bCs/>
                <w:color w:val="auto"/>
                <w:sz w:val="24"/>
                <w:highlight w:val="none"/>
              </w:rPr>
            </w:pPr>
            <w:r>
              <w:rPr>
                <w:rFonts w:hint="eastAsia" w:ascii="宋体" w:hAnsi="宋体" w:cs="宋体"/>
                <w:bCs/>
                <w:color w:val="auto"/>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6"/>
              <w:spacing w:line="360" w:lineRule="auto"/>
              <w:ind w:left="216" w:leftChars="103"/>
              <w:rPr>
                <w:rFonts w:ascii="宋体" w:hAnsi="宋体" w:cs="宋体"/>
                <w:color w:val="auto"/>
                <w:sz w:val="24"/>
                <w:highlight w:val="none"/>
              </w:rPr>
            </w:pPr>
            <w:r>
              <w:rPr>
                <w:rFonts w:hint="eastAsia" w:ascii="宋体" w:hAnsi="宋体" w:cs="宋体"/>
                <w:bCs/>
                <w:color w:val="auto"/>
                <w:kern w:val="2"/>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color w:val="auto"/>
                <w:sz w:val="24"/>
                <w:highlight w:val="none"/>
                <w:lang w:val="en-US" w:eastAsia="zh-CN"/>
              </w:rPr>
              <w:t>65</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评分规则</w:t>
            </w:r>
          </w:p>
        </w:tc>
        <w:tc>
          <w:tcPr>
            <w:tcW w:w="901"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权重</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68"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rPr>
              <w:t>具备建设工程招投标法工作经验</w:t>
            </w:r>
          </w:p>
        </w:tc>
        <w:tc>
          <w:tcPr>
            <w:tcW w:w="5907" w:type="dxa"/>
            <w:shd w:val="clear" w:color="auto" w:fill="auto"/>
            <w:vAlign w:val="center"/>
          </w:tcPr>
          <w:p>
            <w:pPr>
              <w:pStyle w:val="6"/>
              <w:spacing w:line="360" w:lineRule="auto"/>
              <w:rPr>
                <w:rFonts w:hint="eastAsia" w:ascii="宋体" w:hAnsi="宋体" w:cs="宋体"/>
                <w:color w:val="auto"/>
                <w:sz w:val="24"/>
                <w:highlight w:val="none"/>
              </w:rPr>
            </w:pPr>
            <w:r>
              <w:rPr>
                <w:rFonts w:hint="eastAsia" w:ascii="宋体" w:hAnsi="宋体" w:cs="宋体"/>
                <w:color w:val="auto"/>
                <w:sz w:val="24"/>
                <w:highlight w:val="none"/>
              </w:rPr>
              <w:t>（一）评审内容：</w:t>
            </w:r>
            <w:r>
              <w:rPr>
                <w:rFonts w:hint="eastAsia" w:ascii="宋体" w:hAnsi="宋体" w:cs="宋体"/>
                <w:color w:val="auto"/>
                <w:sz w:val="24"/>
                <w:highlight w:val="none"/>
                <w:lang w:val="en-US" w:eastAsia="zh-CN"/>
              </w:rPr>
              <w:t>本项目投标截止时间之日起</w:t>
            </w:r>
            <w:r>
              <w:rPr>
                <w:rFonts w:hint="eastAsia" w:ascii="宋体" w:hAnsi="宋体" w:cs="宋体"/>
                <w:color w:val="auto"/>
                <w:sz w:val="24"/>
                <w:highlight w:val="none"/>
                <w:u w:val="none" w:color="000000"/>
              </w:rPr>
              <w:t>近10年内（以合同签订日期为准）</w:t>
            </w:r>
            <w:r>
              <w:rPr>
                <w:rFonts w:ascii="宋体" w:hAnsi="宋体" w:cs="宋体"/>
                <w:color w:val="auto"/>
                <w:sz w:val="24"/>
                <w:highlight w:val="none"/>
                <w:u w:val="none" w:color="000000"/>
              </w:rPr>
              <w:t>，</w:t>
            </w:r>
            <w:r>
              <w:rPr>
                <w:rFonts w:hint="eastAsia" w:ascii="宋体" w:hAnsi="宋体" w:cs="宋体"/>
                <w:color w:val="auto"/>
                <w:sz w:val="24"/>
                <w:highlight w:val="none"/>
              </w:rPr>
              <w:t>具备为政府部门制定建设工程招投标相关规范性文件业绩的（仅限建设工程招投标领域）得6分，每多一项加2分，累计上限得12分；</w:t>
            </w:r>
          </w:p>
          <w:p>
            <w:pPr>
              <w:pStyle w:val="6"/>
              <w:spacing w:line="360" w:lineRule="auto"/>
              <w:rPr>
                <w:rFonts w:ascii="宋体" w:hAnsi="宋体" w:cs="宋体"/>
                <w:color w:val="auto"/>
                <w:sz w:val="24"/>
                <w:highlight w:val="none"/>
              </w:rPr>
            </w:pPr>
            <w:r>
              <w:rPr>
                <w:rFonts w:hint="eastAsia" w:ascii="宋体" w:hAnsi="宋体" w:cs="宋体"/>
                <w:color w:val="auto"/>
                <w:sz w:val="24"/>
                <w:highlight w:val="none"/>
              </w:rPr>
              <w:t>（二）评分依据：提供合同关键页（包括但不限于合同封面、合作内容、双方盖章页等）</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规范性文件复印件加盖投标人公章，不具备或未提供有效证明文件不得分，原件备查。</w:t>
            </w:r>
          </w:p>
        </w:tc>
        <w:tc>
          <w:tcPr>
            <w:tcW w:w="9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68"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lang w:val="zh-CN"/>
              </w:rPr>
              <w:t>技术服务经验</w:t>
            </w:r>
          </w:p>
        </w:tc>
        <w:tc>
          <w:tcPr>
            <w:tcW w:w="5907" w:type="dxa"/>
            <w:shd w:val="clear" w:color="auto" w:fill="auto"/>
            <w:vAlign w:val="center"/>
          </w:tcPr>
          <w:p>
            <w:pPr>
              <w:tabs>
                <w:tab w:val="left" w:pos="426"/>
              </w:tabs>
              <w:spacing w:line="360" w:lineRule="auto"/>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（一）评审内容：</w:t>
            </w:r>
            <w:r>
              <w:rPr>
                <w:rFonts w:hint="eastAsia" w:ascii="宋体" w:hAnsi="宋体" w:cs="宋体"/>
                <w:color w:val="auto"/>
                <w:sz w:val="24"/>
                <w:highlight w:val="none"/>
                <w:lang w:val="en-US" w:eastAsia="zh-CN"/>
              </w:rPr>
              <w:t>本项目投标截止时间之日起</w:t>
            </w:r>
            <w:r>
              <w:rPr>
                <w:rFonts w:hint="eastAsia" w:ascii="宋体" w:hAnsi="宋体" w:cs="宋体"/>
                <w:color w:val="auto"/>
                <w:sz w:val="24"/>
                <w:highlight w:val="none"/>
                <w:u w:val="none" w:color="000000"/>
              </w:rPr>
              <w:t>近10年内（以合同签订日期为准），具有建设工程招投标技术服务或辅助执法类的业绩经验的得5分，每增加</w:t>
            </w:r>
            <w:r>
              <w:rPr>
                <w:rFonts w:hint="eastAsia" w:ascii="宋体" w:hAnsi="宋体" w:cs="宋体"/>
                <w:color w:val="auto"/>
                <w:sz w:val="24"/>
                <w:highlight w:val="none"/>
                <w:u w:val="none" w:color="000000"/>
                <w:lang w:eastAsia="zh-CN"/>
              </w:rPr>
              <w:t>一个相关</w:t>
            </w:r>
            <w:r>
              <w:rPr>
                <w:rFonts w:hint="eastAsia" w:ascii="宋体" w:hAnsi="宋体" w:cs="宋体"/>
                <w:color w:val="auto"/>
                <w:sz w:val="24"/>
                <w:highlight w:val="none"/>
                <w:u w:val="none" w:color="000000"/>
              </w:rPr>
              <w:t>服务合同加1分，最高得10分；</w:t>
            </w:r>
          </w:p>
          <w:p>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u w:val="none" w:color="000000"/>
              </w:rPr>
              <w:t>（二）评分依据：须提供合同关键页（</w:t>
            </w:r>
            <w:r>
              <w:rPr>
                <w:rFonts w:hint="eastAsia" w:ascii="宋体" w:hAnsi="宋体" w:cs="宋体"/>
                <w:color w:val="auto"/>
                <w:sz w:val="24"/>
                <w:highlight w:val="none"/>
              </w:rPr>
              <w:t>包括但不限于合同封面、合作内容、双方盖章页等</w:t>
            </w:r>
            <w:r>
              <w:rPr>
                <w:rFonts w:hint="eastAsia" w:ascii="宋体" w:hAnsi="宋体" w:cs="宋体"/>
                <w:color w:val="auto"/>
                <w:sz w:val="24"/>
                <w:highlight w:val="none"/>
                <w:lang w:eastAsia="zh-CN"/>
              </w:rPr>
              <w:t>，</w:t>
            </w:r>
            <w:r>
              <w:rPr>
                <w:rFonts w:hint="eastAsia" w:ascii="宋体" w:hAnsi="宋体" w:cs="宋体"/>
                <w:color w:val="auto"/>
                <w:sz w:val="24"/>
                <w:highlight w:val="none"/>
                <w:u w:val="none" w:color="000000"/>
              </w:rPr>
              <w:t>需体现项目服务期限）复印件加盖投标人公章</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未按照要求提供或提供不清晰导致专家无法判断的不得分</w:t>
            </w:r>
            <w:r>
              <w:rPr>
                <w:rFonts w:hint="eastAsia" w:ascii="宋体" w:hAnsi="宋体" w:cs="宋体"/>
                <w:color w:val="auto"/>
                <w:sz w:val="24"/>
                <w:highlight w:val="none"/>
                <w:u w:val="none" w:color="000000"/>
              </w:rPr>
              <w:t>，原件备查。</w:t>
            </w:r>
          </w:p>
        </w:tc>
        <w:tc>
          <w:tcPr>
            <w:tcW w:w="9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168"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lang w:val="zh-CN"/>
              </w:rPr>
              <w:t>具有建设工程招投标后评估服务经验</w:t>
            </w:r>
          </w:p>
        </w:tc>
        <w:tc>
          <w:tcPr>
            <w:tcW w:w="5907" w:type="dxa"/>
            <w:shd w:val="clear" w:color="auto" w:fill="auto"/>
            <w:vAlign w:val="center"/>
          </w:tcPr>
          <w:p>
            <w:pPr>
              <w:tabs>
                <w:tab w:val="left" w:pos="426"/>
              </w:tabs>
              <w:spacing w:line="360" w:lineRule="auto"/>
              <w:rPr>
                <w:rFonts w:hint="eastAsia" w:ascii="宋体" w:hAnsi="宋体" w:cs="宋体"/>
                <w:color w:val="auto"/>
                <w:sz w:val="24"/>
                <w:highlight w:val="none"/>
                <w:u w:val="none" w:color="000000"/>
              </w:rPr>
            </w:pPr>
            <w:r>
              <w:rPr>
                <w:rFonts w:hint="eastAsia" w:ascii="宋体" w:hAnsi="宋体" w:cs="宋体"/>
                <w:color w:val="auto"/>
                <w:sz w:val="24"/>
                <w:highlight w:val="none"/>
                <w:u w:val="none" w:color="000000"/>
              </w:rPr>
              <w:t>（一）评审内容：</w:t>
            </w:r>
            <w:r>
              <w:rPr>
                <w:rFonts w:hint="eastAsia" w:ascii="宋体" w:hAnsi="宋体" w:cs="宋体"/>
                <w:color w:val="auto"/>
                <w:sz w:val="24"/>
                <w:highlight w:val="none"/>
                <w:lang w:val="en-US" w:eastAsia="zh-CN"/>
              </w:rPr>
              <w:t>本项目投标截止时间之日起</w:t>
            </w:r>
            <w:r>
              <w:rPr>
                <w:rFonts w:hint="eastAsia" w:ascii="宋体" w:hAnsi="宋体" w:cs="宋体"/>
                <w:color w:val="auto"/>
                <w:sz w:val="24"/>
                <w:highlight w:val="none"/>
                <w:u w:val="none" w:color="000000"/>
              </w:rPr>
              <w:t>近10年内（以合同签订日期为准），具有建设工程招投标后评估</w:t>
            </w:r>
            <w:r>
              <w:rPr>
                <w:rFonts w:hint="eastAsia" w:ascii="宋体" w:hAnsi="宋体" w:cs="宋体"/>
                <w:color w:val="auto"/>
                <w:sz w:val="24"/>
                <w:highlight w:val="none"/>
                <w:u w:val="none" w:color="000000"/>
                <w:lang w:val="en-US" w:eastAsia="zh-CN"/>
              </w:rPr>
              <w:t>相关</w:t>
            </w:r>
            <w:r>
              <w:rPr>
                <w:rFonts w:hint="eastAsia" w:ascii="宋体" w:hAnsi="宋体" w:cs="宋体"/>
                <w:color w:val="auto"/>
                <w:sz w:val="24"/>
                <w:highlight w:val="none"/>
                <w:u w:val="none" w:color="000000"/>
              </w:rPr>
              <w:t>服务经验的，得10分，每增加</w:t>
            </w:r>
            <w:r>
              <w:rPr>
                <w:rFonts w:hint="eastAsia" w:ascii="宋体" w:hAnsi="宋体" w:cs="宋体"/>
                <w:color w:val="auto"/>
                <w:sz w:val="24"/>
                <w:highlight w:val="none"/>
                <w:u w:val="none" w:color="000000"/>
                <w:lang w:eastAsia="zh-CN"/>
              </w:rPr>
              <w:t>一个相关</w:t>
            </w:r>
            <w:r>
              <w:rPr>
                <w:rFonts w:hint="eastAsia" w:ascii="宋体" w:hAnsi="宋体" w:cs="宋体"/>
                <w:color w:val="auto"/>
                <w:sz w:val="24"/>
                <w:highlight w:val="none"/>
                <w:u w:val="none" w:color="000000"/>
              </w:rPr>
              <w:t>服务合同加2分,最高得20分；</w:t>
            </w:r>
          </w:p>
          <w:p>
            <w:pPr>
              <w:tabs>
                <w:tab w:val="left" w:pos="426"/>
              </w:tabs>
              <w:spacing w:line="360" w:lineRule="auto"/>
              <w:rPr>
                <w:rFonts w:ascii="宋体" w:hAnsi="宋体" w:cs="宋体"/>
                <w:color w:val="auto"/>
                <w:kern w:val="0"/>
                <w:sz w:val="24"/>
                <w:highlight w:val="none"/>
              </w:rPr>
            </w:pPr>
            <w:r>
              <w:rPr>
                <w:rFonts w:hint="eastAsia" w:ascii="宋体" w:hAnsi="宋体" w:cs="宋体"/>
                <w:color w:val="auto"/>
                <w:sz w:val="24"/>
                <w:highlight w:val="none"/>
                <w:u w:val="none" w:color="000000"/>
              </w:rPr>
              <w:t>（二）评分依据：须提供合同关键页</w:t>
            </w:r>
            <w:r>
              <w:rPr>
                <w:rFonts w:hint="eastAsia" w:ascii="宋体" w:hAnsi="宋体" w:cs="宋体"/>
                <w:color w:val="auto"/>
                <w:sz w:val="24"/>
                <w:highlight w:val="none"/>
                <w:u w:val="none" w:color="000000"/>
                <w:lang w:eastAsia="zh-CN"/>
              </w:rPr>
              <w:t>（</w:t>
            </w:r>
            <w:r>
              <w:rPr>
                <w:rFonts w:hint="eastAsia" w:ascii="宋体" w:hAnsi="宋体" w:cs="宋体"/>
                <w:color w:val="auto"/>
                <w:sz w:val="24"/>
                <w:highlight w:val="none"/>
              </w:rPr>
              <w:t>包括但不限于合同封面、合作内容、双方盖章页等</w:t>
            </w:r>
            <w:r>
              <w:rPr>
                <w:rFonts w:hint="eastAsia" w:ascii="宋体" w:hAnsi="宋体" w:cs="宋体"/>
                <w:color w:val="auto"/>
                <w:sz w:val="24"/>
                <w:highlight w:val="none"/>
                <w:u w:val="none" w:color="000000"/>
                <w:lang w:eastAsia="zh-CN"/>
              </w:rPr>
              <w:t>）</w:t>
            </w:r>
            <w:r>
              <w:rPr>
                <w:rFonts w:hint="eastAsia" w:ascii="宋体" w:hAnsi="宋体" w:cs="宋体"/>
                <w:color w:val="auto"/>
                <w:sz w:val="24"/>
                <w:highlight w:val="none"/>
                <w:u w:val="none" w:color="000000"/>
                <w:lang w:val="en-US" w:eastAsia="zh-CN"/>
              </w:rPr>
              <w:t>以及</w:t>
            </w:r>
            <w:r>
              <w:rPr>
                <w:rFonts w:hint="eastAsia" w:ascii="宋体" w:hAnsi="宋体" w:cs="宋体"/>
                <w:color w:val="auto"/>
                <w:sz w:val="24"/>
                <w:highlight w:val="none"/>
                <w:u w:val="none" w:color="000000"/>
              </w:rPr>
              <w:t>标后评估报告复印件加盖投标人公章</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未按照要求提供或提供不清晰导致专家无法判断的不得分</w:t>
            </w:r>
            <w:r>
              <w:rPr>
                <w:rFonts w:hint="eastAsia" w:ascii="宋体" w:hAnsi="宋体" w:cs="宋体"/>
                <w:color w:val="auto"/>
                <w:sz w:val="24"/>
                <w:highlight w:val="none"/>
                <w:u w:val="none" w:color="000000"/>
              </w:rPr>
              <w:t>，原件备查。</w:t>
            </w:r>
          </w:p>
        </w:tc>
        <w:tc>
          <w:tcPr>
            <w:tcW w:w="9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8"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rPr>
              <w:t>履约评价情况</w:t>
            </w:r>
          </w:p>
        </w:tc>
        <w:tc>
          <w:tcPr>
            <w:tcW w:w="5907" w:type="dxa"/>
            <w:shd w:val="clear" w:color="auto" w:fill="auto"/>
            <w:vAlign w:val="center"/>
          </w:tcPr>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（一）评审内容：投标人提供上述“序号1、2、3项评分项”同类项目业绩的履约评价，履约评价为满意或优秀</w:t>
            </w:r>
            <w:r>
              <w:rPr>
                <w:rFonts w:hint="eastAsia" w:ascii="宋体" w:hAnsi="宋体" w:cs="宋体"/>
                <w:color w:val="auto"/>
                <w:sz w:val="24"/>
                <w:highlight w:val="none"/>
                <w:lang w:val="en-US" w:eastAsia="zh-CN"/>
              </w:rPr>
              <w:t>或评价表中最高评价的</w:t>
            </w:r>
            <w:r>
              <w:rPr>
                <w:rFonts w:hint="eastAsia" w:ascii="宋体" w:hAnsi="宋体" w:cs="宋体"/>
                <w:color w:val="auto"/>
                <w:sz w:val="24"/>
                <w:highlight w:val="none"/>
              </w:rPr>
              <w:t>，每一项得2分；履约评价为良好或合格的，每一项得1分，最高得8分。</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（二）评分依据：提供所服务的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出具的履约评价记录扫描件加盖公章；履约评价证明必须加盖合同甲方单位的公章，</w:t>
            </w:r>
            <w:r>
              <w:rPr>
                <w:rFonts w:hint="eastAsia" w:ascii="宋体" w:hAnsi="宋体" w:cs="宋体"/>
                <w:color w:val="auto"/>
                <w:sz w:val="24"/>
                <w:highlight w:val="none"/>
                <w:lang w:val="en-US" w:eastAsia="zh-CN"/>
              </w:rPr>
              <w:t>原件备查，</w:t>
            </w:r>
            <w:r>
              <w:rPr>
                <w:rFonts w:hint="eastAsia" w:ascii="宋体" w:hAnsi="宋体" w:cs="宋体"/>
                <w:color w:val="auto"/>
                <w:sz w:val="24"/>
                <w:highlight w:val="none"/>
              </w:rPr>
              <w:t>未按照要求提供或提供不清晰导致专家无法判断的不得分。</w:t>
            </w:r>
          </w:p>
        </w:tc>
        <w:tc>
          <w:tcPr>
            <w:tcW w:w="901" w:type="dxa"/>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079" w:type="dxa"/>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68"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rPr>
              <w:t>拟投入项目负责人情况</w:t>
            </w:r>
            <w:r>
              <w:rPr>
                <w:rFonts w:hint="eastAsia" w:ascii="宋体" w:hAnsi="宋体" w:cs="宋体"/>
                <w:color w:val="auto"/>
                <w:sz w:val="24"/>
                <w:highlight w:val="none"/>
                <w:lang w:eastAsia="zh-Hans"/>
              </w:rPr>
              <w:t>（限一人）</w:t>
            </w:r>
          </w:p>
        </w:tc>
        <w:tc>
          <w:tcPr>
            <w:tcW w:w="5907" w:type="dxa"/>
            <w:shd w:val="clear" w:color="auto" w:fill="auto"/>
            <w:vAlign w:val="center"/>
          </w:tcPr>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（一）投标单位拟投入一名项目负责人：</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同时具有本科及以上学历</w:t>
            </w:r>
            <w:r>
              <w:rPr>
                <w:rFonts w:hint="eastAsia" w:ascii="宋体" w:hAnsi="宋体" w:cs="宋体"/>
                <w:color w:val="auto"/>
                <w:sz w:val="24"/>
                <w:highlight w:val="none"/>
                <w:lang w:eastAsia="zh-Hans"/>
              </w:rPr>
              <w:t>、</w:t>
            </w:r>
            <w:r>
              <w:rPr>
                <w:rFonts w:hint="eastAsia" w:ascii="宋体" w:hAnsi="宋体" w:cs="宋体"/>
                <w:color w:val="auto"/>
                <w:sz w:val="24"/>
                <w:highlight w:val="none"/>
              </w:rPr>
              <w:t>副高或以上职称</w:t>
            </w:r>
            <w:r>
              <w:rPr>
                <w:rFonts w:hint="eastAsia" w:ascii="宋体" w:hAnsi="宋体" w:cs="宋体"/>
                <w:color w:val="auto"/>
                <w:sz w:val="24"/>
                <w:highlight w:val="none"/>
                <w:lang w:eastAsia="zh-Hans"/>
              </w:rPr>
              <w:t>，且</w:t>
            </w:r>
            <w:r>
              <w:rPr>
                <w:rFonts w:hint="eastAsia" w:ascii="宋体" w:hAnsi="宋体" w:cs="宋体"/>
                <w:color w:val="auto"/>
                <w:sz w:val="24"/>
                <w:highlight w:val="none"/>
              </w:rPr>
              <w:t>工程招投标管理或工程招标代理相关经验1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年及以上得5分；</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同时具有本科及以上学历、副高或以上职称</w:t>
            </w:r>
            <w:r>
              <w:rPr>
                <w:rFonts w:hint="eastAsia" w:ascii="宋体" w:hAnsi="宋体" w:cs="宋体"/>
                <w:color w:val="auto"/>
                <w:sz w:val="24"/>
                <w:highlight w:val="none"/>
                <w:lang w:eastAsia="zh-Hans"/>
              </w:rPr>
              <w:t>，且</w:t>
            </w:r>
            <w:r>
              <w:rPr>
                <w:rFonts w:hint="eastAsia" w:ascii="宋体" w:hAnsi="宋体" w:cs="宋体"/>
                <w:color w:val="auto"/>
                <w:sz w:val="24"/>
                <w:highlight w:val="none"/>
              </w:rPr>
              <w:t>工程招投标管理或工程招标代理相关经验</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年及以上得3分；</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同时具有本科及以上学历、副高或以上职称</w:t>
            </w:r>
            <w:r>
              <w:rPr>
                <w:rFonts w:hint="eastAsia" w:ascii="宋体" w:hAnsi="宋体" w:cs="宋体"/>
                <w:color w:val="auto"/>
                <w:sz w:val="24"/>
                <w:highlight w:val="none"/>
                <w:lang w:eastAsia="zh-Hans"/>
              </w:rPr>
              <w:t>，且</w:t>
            </w:r>
            <w:r>
              <w:rPr>
                <w:rFonts w:hint="eastAsia" w:ascii="宋体" w:hAnsi="宋体" w:cs="宋体"/>
                <w:color w:val="auto"/>
                <w:sz w:val="24"/>
                <w:highlight w:val="none"/>
              </w:rPr>
              <w:t>工程招投标管理或工程招标代理相关经验</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年及以上得2分；其余不得分。</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以上按最优得分，满分5分。</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（二）证明材料：提供项目负责人近三个月</w:t>
            </w:r>
            <w:r>
              <w:rPr>
                <w:rFonts w:hint="eastAsia" w:ascii="宋体" w:hAnsi="宋体" w:cs="宋体"/>
                <w:color w:val="auto"/>
                <w:sz w:val="24"/>
                <w:highlight w:val="none"/>
                <w:lang w:val="en-US" w:eastAsia="zh-CN"/>
              </w:rPr>
              <w:t>任意一个月</w:t>
            </w:r>
            <w:r>
              <w:rPr>
                <w:rFonts w:hint="eastAsia" w:ascii="宋体" w:hAnsi="宋体" w:cs="宋体"/>
                <w:color w:val="auto"/>
                <w:sz w:val="24"/>
                <w:highlight w:val="none"/>
              </w:rPr>
              <w:t>投标单位缴纳社保证明</w:t>
            </w:r>
            <w:r>
              <w:rPr>
                <w:rFonts w:hint="eastAsia" w:ascii="宋体" w:hAnsi="宋体" w:cs="宋体"/>
                <w:color w:val="auto"/>
                <w:sz w:val="24"/>
                <w:highlight w:val="none"/>
                <w:lang w:eastAsia="zh-CN"/>
              </w:rPr>
              <w:t>，如供应商为新成立单位且成立时间不足一个月的，可提供加盖公章的情况说明亦视为符合</w:t>
            </w:r>
            <w:r>
              <w:rPr>
                <w:rFonts w:hint="eastAsia" w:ascii="宋体" w:hAnsi="宋体" w:cs="宋体"/>
                <w:color w:val="auto"/>
                <w:sz w:val="24"/>
                <w:highlight w:val="none"/>
              </w:rPr>
              <w:t>、职称证书、学历证书（提供证书复印件以及学信网查询记录，学信网无法查询的，提供毕业院校或者人社部门等颁发机构或者监管机构等单位出具的证明</w:t>
            </w:r>
            <w:r>
              <w:rPr>
                <w:rFonts w:hint="eastAsia" w:ascii="宋体" w:hAnsi="宋体" w:cs="宋体"/>
                <w:color w:val="auto"/>
                <w:sz w:val="24"/>
                <w:highlight w:val="none"/>
                <w:lang w:eastAsia="zh-CN"/>
              </w:rPr>
              <w:t>，若为境外留学学历，无需提供学信网查询记录，需提供教育部留学服务中心出具的学历学位认证书</w:t>
            </w:r>
            <w:r>
              <w:rPr>
                <w:rFonts w:hint="eastAsia" w:ascii="宋体" w:hAnsi="宋体" w:cs="宋体"/>
                <w:color w:val="auto"/>
                <w:sz w:val="24"/>
                <w:highlight w:val="none"/>
              </w:rPr>
              <w:t>）、工作经验证明材料（需提供</w:t>
            </w:r>
            <w:r>
              <w:rPr>
                <w:rFonts w:hint="eastAsia" w:ascii="宋体" w:hAnsi="宋体" w:cs="宋体"/>
                <w:color w:val="auto"/>
                <w:sz w:val="24"/>
                <w:highlight w:val="none"/>
                <w:lang w:val="en-US" w:eastAsia="zh-CN"/>
              </w:rPr>
              <w:t>能体现其</w:t>
            </w:r>
            <w:r>
              <w:rPr>
                <w:rFonts w:hint="eastAsia" w:ascii="宋体" w:hAnsi="宋体" w:cs="宋体"/>
                <w:color w:val="auto"/>
                <w:sz w:val="24"/>
                <w:highlight w:val="none"/>
              </w:rPr>
              <w:t>相关</w:t>
            </w:r>
            <w:r>
              <w:rPr>
                <w:rFonts w:hint="eastAsia" w:ascii="宋体" w:hAnsi="宋体" w:cs="宋体"/>
                <w:color w:val="auto"/>
                <w:sz w:val="24"/>
                <w:highlight w:val="none"/>
                <w:lang w:val="en-US" w:eastAsia="zh-CN"/>
              </w:rPr>
              <w:t>经验的</w:t>
            </w:r>
            <w:r>
              <w:rPr>
                <w:rFonts w:hint="eastAsia" w:ascii="宋体" w:hAnsi="宋体" w:cs="宋体"/>
                <w:color w:val="auto"/>
                <w:sz w:val="24"/>
                <w:highlight w:val="none"/>
              </w:rPr>
              <w:t>劳动合同）加盖投标人公章，</w:t>
            </w:r>
            <w:r>
              <w:rPr>
                <w:rFonts w:hint="eastAsia" w:ascii="宋体" w:hAnsi="宋体" w:cs="宋体"/>
                <w:color w:val="auto"/>
                <w:sz w:val="24"/>
                <w:highlight w:val="none"/>
                <w:lang w:val="en-US" w:eastAsia="zh-CN"/>
              </w:rPr>
              <w:t>以上资料原件备查，</w:t>
            </w:r>
            <w:r>
              <w:rPr>
                <w:rFonts w:hint="eastAsia" w:ascii="宋体" w:hAnsi="宋体" w:cs="宋体"/>
                <w:color w:val="auto"/>
                <w:sz w:val="24"/>
                <w:highlight w:val="none"/>
              </w:rPr>
              <w:t>未按照要求提供或提供不清晰导致专家无法判断的不得分。</w:t>
            </w:r>
          </w:p>
        </w:tc>
        <w:tc>
          <w:tcPr>
            <w:tcW w:w="901" w:type="dxa"/>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79" w:type="dxa"/>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68" w:type="dxa"/>
            <w:vAlign w:val="center"/>
          </w:tcPr>
          <w:p>
            <w:pPr>
              <w:tabs>
                <w:tab w:val="left" w:pos="426"/>
              </w:tabs>
              <w:spacing w:line="360" w:lineRule="auto"/>
              <w:jc w:val="center"/>
              <w:rPr>
                <w:rFonts w:ascii="宋体" w:hAnsi="宋体"/>
                <w:color w:val="auto"/>
                <w:sz w:val="24"/>
                <w:highlight w:val="none"/>
              </w:rPr>
            </w:pPr>
            <w:r>
              <w:rPr>
                <w:rFonts w:hint="eastAsia" w:ascii="宋体" w:hAnsi="宋体" w:cs="宋体"/>
                <w:color w:val="auto"/>
                <w:sz w:val="24"/>
                <w:highlight w:val="none"/>
              </w:rPr>
              <w:t>拟投入项目团队情况（项目负责人除外）</w:t>
            </w:r>
          </w:p>
        </w:tc>
        <w:tc>
          <w:tcPr>
            <w:tcW w:w="5907" w:type="dxa"/>
            <w:shd w:val="clear" w:color="auto" w:fill="auto"/>
            <w:vAlign w:val="center"/>
          </w:tcPr>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投标单位拟投入项目成员</w:t>
            </w:r>
            <w:r>
              <w:rPr>
                <w:rFonts w:hint="eastAsia" w:ascii="宋体" w:hAnsi="宋体" w:cs="宋体"/>
                <w:color w:val="auto"/>
                <w:sz w:val="24"/>
                <w:highlight w:val="none"/>
                <w:lang w:eastAsia="zh-Hans"/>
              </w:rPr>
              <w:t>不得少于</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人（除项目负责人外）：</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人及以上具有本科及以上学历、中级或以上职称、工程招投标管理或工程招标代理相关经验5年及以上得3分；</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6人</w:t>
            </w:r>
            <w:r>
              <w:rPr>
                <w:rFonts w:hint="eastAsia" w:ascii="宋体" w:hAnsi="宋体" w:cs="宋体"/>
                <w:color w:val="auto"/>
                <w:sz w:val="24"/>
                <w:highlight w:val="none"/>
                <w:lang w:eastAsia="zh-Hans"/>
              </w:rPr>
              <w:t>及以上</w:t>
            </w:r>
            <w:r>
              <w:rPr>
                <w:rFonts w:hint="eastAsia" w:ascii="宋体" w:hAnsi="宋体" w:cs="宋体"/>
                <w:color w:val="auto"/>
                <w:sz w:val="24"/>
                <w:highlight w:val="none"/>
              </w:rPr>
              <w:t>具有本科及以上学历、中级或以上职称、工程招投标管理或工程招标代理相关经验5年及以上得5分。</w:t>
            </w:r>
          </w:p>
          <w:p>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以上按最优得分，满分5分。</w:t>
            </w:r>
          </w:p>
          <w:p>
            <w:p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证明材料：提供项目团队成员近三个月</w:t>
            </w:r>
            <w:r>
              <w:rPr>
                <w:rFonts w:hint="eastAsia" w:ascii="宋体" w:hAnsi="宋体" w:cs="宋体"/>
                <w:color w:val="auto"/>
                <w:sz w:val="24"/>
                <w:highlight w:val="none"/>
                <w:lang w:val="en-US" w:eastAsia="zh-CN"/>
              </w:rPr>
              <w:t>任意一个月</w:t>
            </w:r>
            <w:r>
              <w:rPr>
                <w:rFonts w:hint="eastAsia" w:ascii="宋体" w:hAnsi="宋体" w:cs="宋体"/>
                <w:color w:val="auto"/>
                <w:sz w:val="24"/>
                <w:highlight w:val="none"/>
              </w:rPr>
              <w:t>在投标单位缴纳社保证明</w:t>
            </w:r>
            <w:r>
              <w:rPr>
                <w:rFonts w:hint="eastAsia" w:ascii="宋体" w:hAnsi="宋体" w:cs="宋体"/>
                <w:color w:val="auto"/>
                <w:sz w:val="24"/>
                <w:highlight w:val="none"/>
                <w:lang w:eastAsia="zh-CN"/>
              </w:rPr>
              <w:t>，如供应商为新成立单位且成立时间不足一个月的，可提供加盖公章的情况说明亦视为符合</w:t>
            </w:r>
            <w:r>
              <w:rPr>
                <w:rFonts w:hint="eastAsia" w:ascii="宋体" w:hAnsi="宋体" w:cs="宋体"/>
                <w:color w:val="auto"/>
                <w:sz w:val="24"/>
                <w:highlight w:val="none"/>
              </w:rPr>
              <w:t>、职称证书、学历证书（提供证书复印件以及学信网查询记录，学信网无法查询的，提供毕业院校或者人社部门等颁发机构或者监管机构等单位出具的证明</w:t>
            </w:r>
            <w:r>
              <w:rPr>
                <w:rFonts w:hint="eastAsia" w:ascii="宋体" w:hAnsi="宋体" w:cs="宋体"/>
                <w:color w:val="auto"/>
                <w:sz w:val="24"/>
                <w:highlight w:val="none"/>
                <w:lang w:eastAsia="zh-CN"/>
              </w:rPr>
              <w:t>，若为境外留学学历，无需提供学信网查询记录，需提供教育部留学服务中心出具的学历学位认证书</w:t>
            </w:r>
            <w:r>
              <w:rPr>
                <w:rFonts w:hint="eastAsia" w:ascii="宋体" w:hAnsi="宋体" w:cs="宋体"/>
                <w:color w:val="auto"/>
                <w:sz w:val="24"/>
                <w:highlight w:val="none"/>
              </w:rPr>
              <w:t>）、工作经验证明材料（需提供</w:t>
            </w:r>
            <w:r>
              <w:rPr>
                <w:rFonts w:hint="eastAsia" w:ascii="宋体" w:hAnsi="宋体" w:cs="宋体"/>
                <w:color w:val="auto"/>
                <w:sz w:val="24"/>
                <w:highlight w:val="none"/>
                <w:lang w:val="en-US" w:eastAsia="zh-CN"/>
              </w:rPr>
              <w:t>能体现其</w:t>
            </w:r>
            <w:r>
              <w:rPr>
                <w:rFonts w:hint="eastAsia" w:ascii="宋体" w:hAnsi="宋体" w:cs="宋体"/>
                <w:color w:val="auto"/>
                <w:sz w:val="24"/>
                <w:highlight w:val="none"/>
              </w:rPr>
              <w:t>相关</w:t>
            </w:r>
            <w:r>
              <w:rPr>
                <w:rFonts w:hint="eastAsia" w:ascii="宋体" w:hAnsi="宋体" w:cs="宋体"/>
                <w:color w:val="auto"/>
                <w:sz w:val="24"/>
                <w:highlight w:val="none"/>
                <w:lang w:val="en-US" w:eastAsia="zh-CN"/>
              </w:rPr>
              <w:t>经验的</w:t>
            </w:r>
            <w:r>
              <w:rPr>
                <w:rFonts w:hint="eastAsia" w:ascii="宋体" w:hAnsi="宋体" w:cs="宋体"/>
                <w:color w:val="auto"/>
                <w:sz w:val="24"/>
                <w:highlight w:val="none"/>
              </w:rPr>
              <w:t>劳动合同）加盖投标人公章，</w:t>
            </w:r>
            <w:r>
              <w:rPr>
                <w:rFonts w:hint="eastAsia" w:ascii="宋体" w:hAnsi="宋体" w:cs="宋体"/>
                <w:color w:val="auto"/>
                <w:sz w:val="24"/>
                <w:highlight w:val="none"/>
                <w:lang w:val="en-US" w:eastAsia="zh-CN"/>
              </w:rPr>
              <w:t>以上资料原件备查，</w:t>
            </w:r>
            <w:r>
              <w:rPr>
                <w:rFonts w:hint="eastAsia" w:ascii="宋体" w:hAnsi="宋体" w:cs="宋体"/>
                <w:color w:val="auto"/>
                <w:sz w:val="24"/>
                <w:highlight w:val="none"/>
              </w:rPr>
              <w:t>未按照要求提供或提供不清晰导致专家无法判断的不得分。</w:t>
            </w:r>
          </w:p>
        </w:tc>
        <w:tc>
          <w:tcPr>
            <w:tcW w:w="901" w:type="dxa"/>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79" w:type="dxa"/>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168"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诚信声明与承诺</w:t>
            </w:r>
          </w:p>
        </w:tc>
        <w:tc>
          <w:tcPr>
            <w:tcW w:w="590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（一）评分内容：</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（二）评分依据:</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1、投标人提供诚信声明与承诺加盖公章；</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auto"/>
                <w:sz w:val="24"/>
                <w:highlight w:val="none"/>
              </w:rPr>
              <w:t>。</w:t>
            </w:r>
          </w:p>
        </w:tc>
        <w:tc>
          <w:tcPr>
            <w:tcW w:w="90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79" w:type="dxa"/>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三、技术部分（</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5907"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901"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权重</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工作方案（项目背景、项目目标、研究方法、工作内容、成果构成）</w:t>
            </w:r>
          </w:p>
        </w:tc>
        <w:tc>
          <w:tcPr>
            <w:tcW w:w="5907" w:type="dxa"/>
            <w:vAlign w:val="center"/>
          </w:tcPr>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评分内容：投标人须针对本项目需求提出工作方案，包括下述内容：</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1.项目背景；</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2.项目目标；</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3.研究方法；</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4.工作内容；</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5.成果构成。</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满足以上5项要求得</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分，满足以上4项要求得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分，满足以上3项要求得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分，满足以上2项要求得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分，满足以上1项要求得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分，其他不得分。</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在此基础上，按照下列要求进行加分：</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优：内容完整详细且符合项目实际，可行性强；</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良：内容完整，可行性较好；</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中：内容能符合项目部分要求，较贴近项目实际；</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差：内容不符合项目实际</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评审为优的加</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分；</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评审为良的加</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评审为中的加</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p>
          <w:p>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评审为差的不加分。</w:t>
            </w:r>
          </w:p>
        </w:tc>
        <w:tc>
          <w:tcPr>
            <w:tcW w:w="901" w:type="dxa"/>
            <w:vAlign w:val="center"/>
          </w:tcPr>
          <w:p>
            <w:pPr>
              <w:wordWrap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79"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68" w:type="dxa"/>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质量服务措施</w:t>
            </w:r>
          </w:p>
        </w:tc>
        <w:tc>
          <w:tcPr>
            <w:tcW w:w="5907" w:type="dxa"/>
            <w:vAlign w:val="center"/>
          </w:tcPr>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投标人应详细撰写质量保证措施，包括但不限于：</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（1）质量管理措施；</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（2）质量控制流程。</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以上内容，每提供1项得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分；在本项的基础上，评审委员会根据投标人质量保证措施进行进阶评审打分：</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（1）质量保证措施内容全面</w:t>
            </w:r>
            <w:r>
              <w:rPr>
                <w:rFonts w:hint="eastAsia" w:ascii="宋体" w:hAnsi="宋体" w:cs="宋体"/>
                <w:color w:val="auto"/>
                <w:sz w:val="24"/>
                <w:highlight w:val="none"/>
                <w:lang w:eastAsia="zh-CN"/>
              </w:rPr>
              <w:t>；</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（2）质量保证措施内容具体</w:t>
            </w:r>
            <w:r>
              <w:rPr>
                <w:rFonts w:hint="eastAsia" w:ascii="宋体" w:hAnsi="宋体" w:cs="宋体"/>
                <w:color w:val="auto"/>
                <w:sz w:val="24"/>
                <w:highlight w:val="none"/>
                <w:lang w:eastAsia="zh-CN"/>
              </w:rPr>
              <w:t>；</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质量保证措施表达清晰、完整、严谨</w:t>
            </w:r>
            <w:r>
              <w:rPr>
                <w:rFonts w:hint="eastAsia" w:ascii="宋体" w:hAnsi="宋体" w:cs="宋体"/>
                <w:color w:val="auto"/>
                <w:sz w:val="24"/>
                <w:highlight w:val="none"/>
                <w:lang w:eastAsia="zh-CN"/>
              </w:rPr>
              <w:t>；</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）质量保证措施内容针对性强</w:t>
            </w:r>
            <w:r>
              <w:rPr>
                <w:rFonts w:hint="eastAsia" w:ascii="宋体" w:hAnsi="宋体" w:cs="宋体"/>
                <w:color w:val="auto"/>
                <w:sz w:val="24"/>
                <w:highlight w:val="none"/>
                <w:lang w:eastAsia="zh-CN"/>
              </w:rPr>
              <w:t>；</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）质量保证措施内容先进，科学合理</w:t>
            </w:r>
            <w:r>
              <w:rPr>
                <w:rFonts w:hint="eastAsia" w:ascii="宋体" w:hAnsi="宋体" w:cs="宋体"/>
                <w:color w:val="auto"/>
                <w:sz w:val="24"/>
                <w:highlight w:val="none"/>
                <w:lang w:eastAsia="zh-CN"/>
              </w:rPr>
              <w:t>；</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）质量保证措施内容可操作性强。</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以上内容，每满足1点加</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w:t>
            </w:r>
            <w:r>
              <w:rPr>
                <w:rFonts w:hint="eastAsia" w:ascii="宋体" w:hAnsi="宋体" w:cs="宋体"/>
                <w:color w:val="auto"/>
                <w:sz w:val="24"/>
                <w:highlight w:val="none"/>
                <w:lang w:val="en-US" w:eastAsia="zh-CN"/>
              </w:rPr>
              <w:t>加3</w:t>
            </w:r>
            <w:r>
              <w:rPr>
                <w:rFonts w:hint="eastAsia" w:ascii="宋体" w:hAnsi="宋体" w:cs="宋体"/>
                <w:color w:val="auto"/>
                <w:sz w:val="24"/>
                <w:highlight w:val="none"/>
              </w:rPr>
              <w:t>分；</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以上基础评审和进阶评审累计计分，最高得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01" w:type="dxa"/>
            <w:vAlign w:val="center"/>
          </w:tcPr>
          <w:p>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5</w:t>
            </w:r>
          </w:p>
        </w:tc>
        <w:tc>
          <w:tcPr>
            <w:tcW w:w="1079" w:type="dxa"/>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68" w:type="dxa"/>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重点难点分析、应对措施及合理化建议</w:t>
            </w:r>
          </w:p>
        </w:tc>
        <w:tc>
          <w:tcPr>
            <w:tcW w:w="5907" w:type="dxa"/>
            <w:vAlign w:val="center"/>
          </w:tcPr>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投标人应详细撰写重点难点分析、应对措施及合理化建议，包括但不限于：</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（1）针对本项目特点，对项目重点难点进行分析；</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（2）提出有针对性的应对措施及合理化建议等。</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以上内容，每提供1项得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lang w:eastAsia="zh-CN"/>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分；在本项的基础上，评审委员会根据投标人服务方案进行进阶评审打分：</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（1）重难点分析、应对措施及合理化建议内容详细、具体；</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（2）重难点分析、应对措施及合理化建议内容全面、完整；</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（3）重难点分析、应对措施及合理化建议内容规范性强；</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（4）重难点分析、应对措施及合理化建议内容可操作性强；</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（5）重难点分析、应对措施及合理化建议内容具有科学性；</w:t>
            </w:r>
          </w:p>
          <w:p>
            <w:pPr>
              <w:wordWrap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以上内容，每满足1点加</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分，最高加</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分；</w:t>
            </w:r>
          </w:p>
          <w:p>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以上基础评审和进阶评审累计计分，最高得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w:t>
            </w:r>
          </w:p>
        </w:tc>
        <w:tc>
          <w:tcPr>
            <w:tcW w:w="901" w:type="dxa"/>
            <w:vAlign w:val="center"/>
          </w:tcPr>
          <w:p>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5</w:t>
            </w:r>
          </w:p>
        </w:tc>
        <w:tc>
          <w:tcPr>
            <w:tcW w:w="1079" w:type="dxa"/>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bl>
    <w:p>
      <w:pPr>
        <w:tabs>
          <w:tab w:val="left" w:pos="640"/>
          <w:tab w:val="left" w:pos="1260"/>
          <w:tab w:val="left" w:pos="1418"/>
        </w:tabs>
        <w:spacing w:line="360" w:lineRule="auto"/>
        <w:ind w:right="-420" w:rightChars="-200"/>
        <w:rPr>
          <w:rFonts w:ascii="宋体" w:hAnsi="宋体" w:cs="宋体"/>
          <w:color w:val="auto"/>
          <w:sz w:val="24"/>
          <w:highlight w:val="none"/>
          <w:lang w:val="fr-CH"/>
        </w:rPr>
      </w:pPr>
    </w:p>
    <w:p>
      <w:pPr>
        <w:tabs>
          <w:tab w:val="left" w:pos="640"/>
          <w:tab w:val="left" w:pos="1260"/>
          <w:tab w:val="left" w:pos="1418"/>
        </w:tabs>
        <w:spacing w:line="360" w:lineRule="auto"/>
        <w:ind w:right="-420" w:rightChars="-200"/>
        <w:rPr>
          <w:rFonts w:ascii="宋体" w:hAnsi="宋体" w:cs="宋体"/>
          <w:color w:val="auto"/>
          <w:sz w:val="24"/>
          <w:highlight w:val="none"/>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auto"/>
          <w:sz w:val="24"/>
          <w:highlight w:val="none"/>
        </w:rPr>
      </w:pPr>
      <w:bookmarkStart w:id="18" w:name="_Toc9548"/>
      <w:bookmarkStart w:id="19" w:name="_Hlk28269117"/>
      <w:r>
        <w:rPr>
          <w:rFonts w:hint="eastAsia" w:ascii="宋体" w:hAnsi="宋体" w:cs="宋体"/>
          <w:b/>
          <w:bCs/>
          <w:color w:val="auto"/>
          <w:sz w:val="24"/>
          <w:highlight w:val="none"/>
        </w:rPr>
        <w:t>第七章 附件（投标文件格式）</w:t>
      </w:r>
      <w:bookmarkEnd w:id="18"/>
    </w:p>
    <w:p>
      <w:pPr>
        <w:keepNext/>
        <w:keepLines/>
        <w:spacing w:before="260" w:after="260" w:line="440" w:lineRule="exact"/>
        <w:jc w:val="center"/>
        <w:outlineLvl w:val="1"/>
        <w:rPr>
          <w:rFonts w:ascii="宋体" w:hAnsi="宋体" w:cs="宋体"/>
          <w:b/>
          <w:bCs/>
          <w:color w:val="auto"/>
          <w:sz w:val="24"/>
          <w:highlight w:val="none"/>
        </w:rPr>
      </w:pPr>
      <w:bookmarkStart w:id="20" w:name="_Toc5116"/>
      <w:bookmarkStart w:id="21" w:name="_Toc6548"/>
      <w:bookmarkStart w:id="22" w:name="_Toc31827"/>
      <w:bookmarkStart w:id="23" w:name="_Toc19494"/>
      <w:r>
        <w:rPr>
          <w:rFonts w:hint="eastAsia" w:ascii="宋体" w:hAnsi="宋体" w:cs="宋体"/>
          <w:b/>
          <w:bCs/>
          <w:color w:val="auto"/>
          <w:sz w:val="24"/>
          <w:highlight w:val="none"/>
        </w:rPr>
        <w:t>1、投标文件密封袋/封面参考</w:t>
      </w:r>
      <w:bookmarkEnd w:id="20"/>
      <w:bookmarkEnd w:id="21"/>
      <w:bookmarkEnd w:id="22"/>
      <w:bookmarkEnd w:id="23"/>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auto"/>
                <w:sz w:val="3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2"/>
              <w:tabs>
                <w:tab w:val="left" w:pos="562"/>
                <w:tab w:val="left" w:pos="3372"/>
                <w:tab w:val="left" w:pos="3653"/>
              </w:tabs>
              <w:spacing w:line="360" w:lineRule="auto"/>
              <w:jc w:val="center"/>
              <w:rPr>
                <w:rFonts w:ascii="黑体" w:eastAsia="黑体"/>
                <w:b/>
                <w:strike/>
                <w:color w:val="auto"/>
                <w:sz w:val="32"/>
                <w:highlight w:val="none"/>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tabs>
                <w:tab w:val="left" w:pos="562"/>
                <w:tab w:val="left" w:pos="3372"/>
                <w:tab w:val="left" w:pos="3653"/>
              </w:tabs>
              <w:spacing w:line="360" w:lineRule="auto"/>
              <w:rPr>
                <w:rFonts w:ascii="仿宋_GB2312" w:eastAsia="仿宋_GB2312"/>
                <w:b/>
                <w:color w:val="auto"/>
                <w:sz w:val="32"/>
                <w:highlight w:val="none"/>
              </w:rPr>
            </w:pPr>
          </w:p>
          <w:p>
            <w:pPr>
              <w:rPr>
                <w:color w:val="auto"/>
                <w:highlight w:val="none"/>
              </w:rPr>
            </w:pPr>
          </w:p>
          <w:p>
            <w:pPr>
              <w:pStyle w:val="2"/>
              <w:tabs>
                <w:tab w:val="left" w:pos="562"/>
                <w:tab w:val="left" w:pos="3372"/>
                <w:tab w:val="left" w:pos="3653"/>
              </w:tabs>
              <w:spacing w:line="400" w:lineRule="exact"/>
              <w:ind w:firstLine="900" w:firstLineChars="320"/>
              <w:rPr>
                <w:rFonts w:ascii="仿宋_GB2312" w:eastAsia="仿宋_GB2312"/>
                <w:b/>
                <w:color w:val="auto"/>
                <w:sz w:val="28"/>
                <w:szCs w:val="28"/>
                <w:highlight w:val="none"/>
              </w:rPr>
            </w:pP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pPr>
              <w:spacing w:line="360" w:lineRule="auto"/>
              <w:jc w:val="center"/>
              <w:rPr>
                <w:rFonts w:ascii="宋体" w:hAnsi="宋体" w:cs="Arial"/>
                <w:b/>
                <w:bCs/>
                <w:color w:val="auto"/>
                <w:sz w:val="28"/>
                <w:szCs w:val="28"/>
                <w:highlight w:val="none"/>
              </w:rPr>
            </w:pPr>
          </w:p>
          <w:p>
            <w:pPr>
              <w:spacing w:line="360" w:lineRule="auto"/>
              <w:jc w:val="center"/>
              <w:rPr>
                <w:rFonts w:ascii="宋体" w:hAnsi="宋体" w:cs="Arial"/>
                <w:b/>
                <w:bCs/>
                <w:color w:val="auto"/>
                <w:sz w:val="28"/>
                <w:szCs w:val="28"/>
                <w:highlight w:val="none"/>
              </w:rPr>
            </w:pPr>
          </w:p>
          <w:p>
            <w:pPr>
              <w:spacing w:line="360" w:lineRule="auto"/>
              <w:jc w:val="center"/>
              <w:rPr>
                <w:rFonts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ascii="宋体" w:hAnsi="宋体" w:cs="宋体"/>
          <w:b/>
          <w:bCs/>
          <w:color w:val="auto"/>
          <w:sz w:val="24"/>
          <w:highlight w:val="none"/>
        </w:rPr>
      </w:pPr>
    </w:p>
    <w:p>
      <w:pPr>
        <w:spacing w:before="100" w:beforeAutospacing="1" w:after="100" w:afterAutospacing="1"/>
        <w:jc w:val="center"/>
        <w:outlineLvl w:val="1"/>
        <w:rPr>
          <w:rFonts w:ascii="宋体" w:hAnsi="宋体" w:cs="宋体"/>
          <w:b/>
          <w:color w:val="auto"/>
          <w:sz w:val="24"/>
          <w:highlight w:val="none"/>
        </w:rPr>
      </w:pPr>
      <w:bookmarkStart w:id="24" w:name="_Toc16724"/>
      <w:r>
        <w:rPr>
          <w:rFonts w:hint="eastAsia" w:ascii="宋体" w:hAnsi="宋体" w:cs="宋体"/>
          <w:b/>
          <w:color w:val="auto"/>
          <w:sz w:val="24"/>
          <w:highlight w:val="none"/>
        </w:rPr>
        <w:t>2、投标文件—目录</w:t>
      </w:r>
      <w:bookmarkEnd w:id="24"/>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8"/>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numPr>
          <w:ilvl w:val="0"/>
          <w:numId w:val="8"/>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lang w:eastAsia="zh-CN"/>
        </w:rPr>
        <w:t>分项报价清单</w:t>
      </w:r>
      <w:r>
        <w:rPr>
          <w:rFonts w:hint="eastAsia" w:ascii="宋体" w:hAnsi="宋体" w:cs="宋体"/>
          <w:color w:val="auto"/>
          <w:sz w:val="24"/>
          <w:highlight w:val="none"/>
        </w:rPr>
        <w:t>；</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9"/>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投标函；</w:t>
      </w:r>
    </w:p>
    <w:p>
      <w:pPr>
        <w:numPr>
          <w:ilvl w:val="0"/>
          <w:numId w:val="9"/>
        </w:numPr>
        <w:tabs>
          <w:tab w:val="left" w:pos="640"/>
          <w:tab w:val="left" w:pos="1260"/>
          <w:tab w:val="left" w:pos="1418"/>
        </w:tabs>
        <w:spacing w:line="360" w:lineRule="auto"/>
        <w:ind w:left="640" w:hanging="640"/>
        <w:rPr>
          <w:rFonts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具备建设工程招投标法工作经验；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技术服务经验；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具有建设工程招投标后评估服务经验；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履约评价情况；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拟投入项目负责人情况（限一人）；</w:t>
      </w:r>
    </w:p>
    <w:p>
      <w:pPr>
        <w:numPr>
          <w:ilvl w:val="0"/>
          <w:numId w:val="9"/>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拟投入项目团队情况（项目负责人除外）；</w:t>
      </w:r>
    </w:p>
    <w:p>
      <w:pPr>
        <w:numPr>
          <w:ilvl w:val="0"/>
          <w:numId w:val="9"/>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工作方案（项目背景、项目目标、研究方法、工作内容、成果构成）；</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质量服务措施；</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重点难点分析、应对措施及合理化建议；</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11"/>
        </w:numPr>
        <w:tabs>
          <w:tab w:val="left" w:pos="640"/>
        </w:tabs>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896" w:type="dxa"/>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1318" w:type="dxa"/>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color w:val="auto"/>
                <w:sz w:val="24"/>
                <w:highlight w:val="none"/>
                <w:u w:val="single"/>
              </w:rPr>
            </w:pPr>
          </w:p>
        </w:tc>
        <w:tc>
          <w:tcPr>
            <w:tcW w:w="2896" w:type="dxa"/>
            <w:vAlign w:val="center"/>
          </w:tcPr>
          <w:p>
            <w:pPr>
              <w:spacing w:line="360" w:lineRule="auto"/>
              <w:jc w:val="center"/>
              <w:rPr>
                <w:rFonts w:ascii="宋体" w:hAnsi="宋体" w:cs="宋体"/>
                <w:color w:val="auto"/>
                <w:sz w:val="24"/>
                <w:highlight w:val="none"/>
                <w:u w:val="single"/>
              </w:rPr>
            </w:pPr>
          </w:p>
        </w:tc>
        <w:tc>
          <w:tcPr>
            <w:tcW w:w="1318" w:type="dxa"/>
            <w:vAlign w:val="center"/>
          </w:tcPr>
          <w:p>
            <w:pPr>
              <w:spacing w:line="360" w:lineRule="auto"/>
              <w:jc w:val="center"/>
              <w:rPr>
                <w:rFonts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11"/>
        </w:numPr>
        <w:tabs>
          <w:tab w:val="left" w:pos="640"/>
        </w:tabs>
        <w:ind w:left="625" w:hanging="62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序号</w:t>
            </w:r>
          </w:p>
        </w:tc>
        <w:tc>
          <w:tcPr>
            <w:tcW w:w="2212" w:type="dxa"/>
            <w:vAlign w:val="center"/>
          </w:tcPr>
          <w:p>
            <w:pPr>
              <w:pStyle w:val="8"/>
              <w:spacing w:line="360" w:lineRule="auto"/>
              <w:jc w:val="center"/>
              <w:rPr>
                <w:rFonts w:hAnsi="宋体" w:cs="宋体"/>
                <w:color w:val="auto"/>
                <w:sz w:val="24"/>
                <w:highlight w:val="none"/>
              </w:rPr>
            </w:pPr>
            <w:r>
              <w:rPr>
                <w:rFonts w:hint="eastAsia" w:hAnsi="宋体" w:cs="宋体"/>
                <w:color w:val="auto"/>
                <w:sz w:val="24"/>
                <w:highlight w:val="none"/>
              </w:rPr>
              <w:t>项目名称、内容</w:t>
            </w:r>
          </w:p>
        </w:tc>
        <w:tc>
          <w:tcPr>
            <w:tcW w:w="720" w:type="dxa"/>
            <w:vAlign w:val="center"/>
          </w:tcPr>
          <w:p>
            <w:pPr>
              <w:pStyle w:val="8"/>
              <w:spacing w:line="360" w:lineRule="auto"/>
              <w:jc w:val="center"/>
              <w:rPr>
                <w:rFonts w:hAnsi="宋体" w:cs="宋体"/>
                <w:color w:val="auto"/>
                <w:sz w:val="24"/>
                <w:highlight w:val="none"/>
              </w:rPr>
            </w:pPr>
            <w:r>
              <w:rPr>
                <w:rFonts w:hint="eastAsia" w:hAnsi="宋体" w:cs="宋体"/>
                <w:color w:val="auto"/>
                <w:sz w:val="24"/>
                <w:highlight w:val="none"/>
              </w:rPr>
              <w:t>单位</w:t>
            </w:r>
          </w:p>
        </w:tc>
        <w:tc>
          <w:tcPr>
            <w:tcW w:w="1800" w:type="dxa"/>
            <w:vAlign w:val="center"/>
          </w:tcPr>
          <w:p>
            <w:pPr>
              <w:pStyle w:val="8"/>
              <w:spacing w:line="360" w:lineRule="auto"/>
              <w:jc w:val="center"/>
              <w:rPr>
                <w:rFonts w:hAnsi="宋体" w:cs="宋体"/>
                <w:color w:val="auto"/>
                <w:sz w:val="24"/>
                <w:highlight w:val="none"/>
              </w:rPr>
            </w:pPr>
            <w:r>
              <w:rPr>
                <w:rFonts w:hint="eastAsia" w:hAnsi="宋体" w:cs="宋体"/>
                <w:color w:val="auto"/>
                <w:sz w:val="24"/>
                <w:highlight w:val="none"/>
              </w:rPr>
              <w:t>数量（工作量）</w:t>
            </w:r>
          </w:p>
        </w:tc>
        <w:tc>
          <w:tcPr>
            <w:tcW w:w="1620" w:type="dxa"/>
            <w:vAlign w:val="center"/>
          </w:tcPr>
          <w:p>
            <w:pPr>
              <w:pStyle w:val="8"/>
              <w:spacing w:line="360" w:lineRule="auto"/>
              <w:jc w:val="center"/>
              <w:rPr>
                <w:rFonts w:hAnsi="宋体" w:cs="宋体"/>
                <w:color w:val="auto"/>
                <w:sz w:val="24"/>
                <w:highlight w:val="none"/>
              </w:rPr>
            </w:pPr>
            <w:r>
              <w:rPr>
                <w:rFonts w:hint="eastAsia" w:hAnsi="宋体" w:cs="宋体"/>
                <w:color w:val="auto"/>
                <w:sz w:val="24"/>
                <w:highlight w:val="none"/>
              </w:rPr>
              <w:t>单价</w:t>
            </w:r>
          </w:p>
        </w:tc>
        <w:tc>
          <w:tcPr>
            <w:tcW w:w="1620" w:type="dxa"/>
            <w:vAlign w:val="center"/>
          </w:tcPr>
          <w:p>
            <w:pPr>
              <w:pStyle w:val="8"/>
              <w:spacing w:line="360" w:lineRule="auto"/>
              <w:jc w:val="center"/>
              <w:rPr>
                <w:rFonts w:hAnsi="宋体" w:cs="宋体"/>
                <w:color w:val="auto"/>
                <w:sz w:val="24"/>
                <w:highlight w:val="none"/>
              </w:rPr>
            </w:pPr>
            <w:r>
              <w:rPr>
                <w:rFonts w:hint="eastAsia"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1</w:t>
            </w:r>
          </w:p>
        </w:tc>
        <w:tc>
          <w:tcPr>
            <w:tcW w:w="2212" w:type="dxa"/>
            <w:vAlign w:val="center"/>
          </w:tcPr>
          <w:p>
            <w:pPr>
              <w:pStyle w:val="8"/>
              <w:spacing w:line="360" w:lineRule="auto"/>
              <w:jc w:val="center"/>
              <w:rPr>
                <w:rFonts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2</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3</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4</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5</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6</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7</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8</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9</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auto"/>
                <w:sz w:val="24"/>
                <w:highlight w:val="none"/>
              </w:rPr>
            </w:pPr>
            <w:r>
              <w:rPr>
                <w:rFonts w:hint="eastAsia" w:hAnsi="宋体" w:cs="宋体"/>
                <w:color w:val="auto"/>
                <w:sz w:val="24"/>
                <w:highlight w:val="none"/>
              </w:rPr>
              <w:t>…</w:t>
            </w:r>
          </w:p>
        </w:tc>
        <w:tc>
          <w:tcPr>
            <w:tcW w:w="2212" w:type="dxa"/>
            <w:vAlign w:val="center"/>
          </w:tcPr>
          <w:p>
            <w:pPr>
              <w:pStyle w:val="8"/>
              <w:spacing w:line="360" w:lineRule="auto"/>
              <w:jc w:val="center"/>
              <w:rPr>
                <w:rFonts w:hAnsi="宋体" w:cs="宋体"/>
                <w:color w:val="auto"/>
                <w:sz w:val="24"/>
                <w:highlight w:val="none"/>
              </w:rPr>
            </w:pPr>
            <w:r>
              <w:rPr>
                <w:rFonts w:hint="eastAsia" w:hAnsi="宋体" w:cs="宋体"/>
                <w:color w:val="auto"/>
                <w:sz w:val="24"/>
                <w:highlight w:val="none"/>
              </w:rPr>
              <w:t>…</w:t>
            </w:r>
          </w:p>
        </w:tc>
        <w:tc>
          <w:tcPr>
            <w:tcW w:w="720" w:type="dxa"/>
            <w:vAlign w:val="center"/>
          </w:tcPr>
          <w:p>
            <w:pPr>
              <w:pStyle w:val="8"/>
              <w:spacing w:line="360" w:lineRule="auto"/>
              <w:jc w:val="center"/>
              <w:rPr>
                <w:rFonts w:hAnsi="宋体" w:cs="宋体"/>
                <w:color w:val="auto"/>
                <w:sz w:val="24"/>
                <w:highlight w:val="none"/>
              </w:rPr>
            </w:pPr>
          </w:p>
        </w:tc>
        <w:tc>
          <w:tcPr>
            <w:tcW w:w="180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c>
          <w:tcPr>
            <w:tcW w:w="1620" w:type="dxa"/>
            <w:vAlign w:val="center"/>
          </w:tcPr>
          <w:p>
            <w:pPr>
              <w:pStyle w:val="8"/>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8"/>
              <w:spacing w:line="360" w:lineRule="auto"/>
              <w:rPr>
                <w:rFonts w:hAnsi="宋体" w:cs="宋体"/>
                <w:color w:val="auto"/>
                <w:sz w:val="24"/>
                <w:highlight w:val="none"/>
              </w:rPr>
            </w:pPr>
            <w:r>
              <w:rPr>
                <w:rFonts w:hint="eastAsia" w:hAnsi="宋体" w:cs="宋体"/>
                <w:color w:val="auto"/>
                <w:sz w:val="24"/>
                <w:highlight w:val="none"/>
              </w:rPr>
              <w:t>报价合计</w:t>
            </w: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outlineLvl w:val="2"/>
        <w:rPr>
          <w:rFonts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2"/>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一份正本四份副本以及1份电子文档的</w:t>
      </w:r>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12"/>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政府采购投标及履约承诺函；</w:t>
      </w:r>
    </w:p>
    <w:p>
      <w:pPr>
        <w:spacing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highlight w:val="none"/>
        </w:rPr>
        <w:t>。</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numPr>
          <w:ilvl w:val="0"/>
          <w:numId w:val="13"/>
        </w:num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2"/>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tabs>
          <w:tab w:val="left" w:pos="4860"/>
        </w:tabs>
        <w:adjustRightInd w:val="0"/>
        <w:snapToGrid w:val="0"/>
        <w:spacing w:line="360" w:lineRule="auto"/>
        <w:ind w:right="105" w:rightChars="50"/>
        <w:rPr>
          <w:rFonts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2"/>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w:t>
      </w:r>
      <w:r>
        <w:rPr>
          <w:rFonts w:ascii="宋体" w:hAnsi="宋体" w:cs="宋体"/>
          <w:color w:val="auto"/>
          <w:sz w:val="24"/>
          <w:highlight w:val="none"/>
        </w:rPr>
        <w:t>定代表</w:t>
      </w:r>
      <w:r>
        <w:rPr>
          <w:rFonts w:hint="eastAsia" w:ascii="宋体" w:hAnsi="宋体" w:cs="宋体"/>
          <w:color w:val="auto"/>
          <w:sz w:val="24"/>
          <w:highlight w:val="none"/>
          <w:lang w:val="fr-CH"/>
        </w:rPr>
        <w:t>人证明书及身份证明；</w:t>
      </w:r>
    </w:p>
    <w:p>
      <w:pPr>
        <w:spacing w:before="120" w:after="120" w:line="360" w:lineRule="auto"/>
        <w:jc w:val="center"/>
        <w:rPr>
          <w:rFonts w:ascii="宋体" w:hAnsi="宋体" w:cs="宋体"/>
          <w:b/>
          <w:color w:val="auto"/>
          <w:sz w:val="24"/>
          <w:highlight w:val="none"/>
        </w:rPr>
      </w:pPr>
    </w:p>
    <w:p>
      <w:pPr>
        <w:spacing w:before="120" w:after="120" w:line="360" w:lineRule="auto"/>
        <w:jc w:val="center"/>
        <w:rPr>
          <w:rFonts w:ascii="宋体" w:hAnsi="宋体" w:cs="宋体"/>
          <w:color w:val="auto"/>
          <w:sz w:val="24"/>
          <w:highlight w:val="none"/>
          <w:u w:val="single"/>
        </w:rPr>
      </w:pPr>
      <w:r>
        <w:rPr>
          <w:rFonts w:hint="eastAsia" w:ascii="宋体" w:hAnsi="宋体" w:cs="宋体"/>
          <w:b/>
          <w:color w:val="auto"/>
          <w:sz w:val="24"/>
          <w:highlight w:val="none"/>
        </w:rPr>
        <w:t>法定代表人证明书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法定代表人（签字或签章）：</w:t>
      </w:r>
    </w:p>
    <w:p>
      <w:pPr>
        <w:spacing w:before="120" w:after="120"/>
        <w:jc w:val="left"/>
        <w:rPr>
          <w:rFonts w:ascii="宋体" w:hAnsi="宋体" w:cs="宋体"/>
          <w:color w:val="auto"/>
          <w:szCs w:val="21"/>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附法定代表人身份证正反面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8"/>
              <w:spacing w:line="360" w:lineRule="auto"/>
              <w:rPr>
                <w:rFonts w:ascii="Arial Narrow" w:hAnsi="Arial Narrow"/>
                <w:b/>
                <w:bCs/>
                <w:color w:val="auto"/>
                <w:szCs w:val="21"/>
                <w:highlight w:val="none"/>
              </w:rPr>
            </w:pPr>
          </w:p>
        </w:tc>
        <w:tc>
          <w:tcPr>
            <w:tcW w:w="4240" w:type="dxa"/>
          </w:tcPr>
          <w:p>
            <w:pPr>
              <w:pStyle w:val="8"/>
              <w:spacing w:line="360" w:lineRule="auto"/>
              <w:rPr>
                <w:rFonts w:ascii="Arial Narrow" w:hAnsi="Arial Narrow"/>
                <w:b/>
                <w:bCs/>
                <w:color w:val="auto"/>
                <w:szCs w:val="21"/>
                <w:highlight w:val="none"/>
              </w:rPr>
            </w:pPr>
          </w:p>
        </w:tc>
      </w:tr>
    </w:tbl>
    <w:p>
      <w:pPr>
        <w:pStyle w:val="2"/>
        <w:rPr>
          <w:color w:val="auto"/>
          <w:highlight w:val="none"/>
          <w:lang w:val="fr-CH"/>
        </w:rPr>
      </w:pPr>
    </w:p>
    <w:p>
      <w:pPr>
        <w:numPr>
          <w:ilvl w:val="0"/>
          <w:numId w:val="12"/>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pPr>
        <w:pStyle w:val="8"/>
        <w:spacing w:line="360" w:lineRule="auto"/>
        <w:jc w:val="center"/>
        <w:rPr>
          <w:rFonts w:hAnsi="宋体" w:cs="宋体"/>
          <w:b/>
          <w:color w:val="auto"/>
          <w:sz w:val="24"/>
          <w:highlight w:val="none"/>
        </w:rPr>
      </w:pPr>
    </w:p>
    <w:p>
      <w:pPr>
        <w:pStyle w:val="8"/>
        <w:spacing w:line="360" w:lineRule="auto"/>
        <w:jc w:val="center"/>
        <w:rPr>
          <w:rFonts w:hAnsi="宋体" w:cs="宋体"/>
          <w:b/>
          <w:color w:val="auto"/>
          <w:sz w:val="24"/>
          <w:highlight w:val="none"/>
        </w:rPr>
      </w:pPr>
      <w:r>
        <w:rPr>
          <w:rFonts w:hint="eastAsia" w:hAnsi="宋体" w:cs="宋体"/>
          <w:b/>
          <w:color w:val="auto"/>
          <w:sz w:val="24"/>
          <w:highlight w:val="none"/>
        </w:rPr>
        <w:t>法定代表人授权书</w:t>
      </w:r>
    </w:p>
    <w:p>
      <w:pPr>
        <w:pStyle w:val="8"/>
        <w:spacing w:line="360" w:lineRule="auto"/>
        <w:rPr>
          <w:rFonts w:hAnsi="宋体" w:cs="宋体"/>
          <w:color w:val="auto"/>
          <w:sz w:val="24"/>
          <w:highlight w:val="none"/>
        </w:rPr>
      </w:pPr>
    </w:p>
    <w:p>
      <w:pPr>
        <w:pStyle w:val="8"/>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（法定代表人姓名、职务）代表本单位授权在下面签字的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（被授权人的姓名）为本单位的合法代表人，就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8"/>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法定代表人（签字或签章）：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ascii="宋体" w:hAnsi="宋体" w:cs="宋体"/>
          <w:b/>
          <w:color w:val="auto"/>
          <w:sz w:val="24"/>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color w:val="auto"/>
                <w:szCs w:val="21"/>
                <w:highlight w:val="none"/>
              </w:rPr>
            </w:pPr>
          </w:p>
        </w:tc>
        <w:tc>
          <w:tcPr>
            <w:tcW w:w="4677" w:type="dxa"/>
          </w:tcPr>
          <w:p>
            <w:pPr>
              <w:pStyle w:val="8"/>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2"/>
        </w:numPr>
        <w:tabs>
          <w:tab w:val="left" w:pos="640"/>
          <w:tab w:val="left" w:pos="1260"/>
          <w:tab w:val="left" w:pos="1418"/>
        </w:tabs>
        <w:spacing w:line="360" w:lineRule="auto"/>
        <w:ind w:left="640" w:hanging="640"/>
        <w:rPr>
          <w:rFonts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致：中国远东国际招标有限公司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numPr>
          <w:ilvl w:val="0"/>
          <w:numId w:val="12"/>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8"/>
        <w:spacing w:line="360" w:lineRule="auto"/>
        <w:jc w:val="center"/>
        <w:rPr>
          <w:rFonts w:hAnsi="宋体" w:cs="宋体"/>
          <w:b/>
          <w:bCs/>
          <w:color w:val="auto"/>
          <w:sz w:val="24"/>
          <w:highlight w:val="none"/>
        </w:rPr>
      </w:pPr>
      <w:r>
        <w:rPr>
          <w:rFonts w:hint="eastAsia" w:hAnsi="宋体" w:cs="宋体"/>
          <w:b/>
          <w:bCs/>
          <w:color w:val="auto"/>
          <w:sz w:val="24"/>
          <w:highlight w:val="none"/>
        </w:rPr>
        <w:t>供应商基本情况一览表</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1．名称及概况：</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.1</w:t>
      </w:r>
      <w:r>
        <w:rPr>
          <w:rFonts w:hint="eastAsia" w:hAnsi="宋体" w:cs="宋体"/>
          <w:color w:val="auto"/>
          <w:sz w:val="24"/>
          <w:highlight w:val="none"/>
        </w:rPr>
        <w:t>供应商名称：_______________________________________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2地址：______________________________________________</w:t>
      </w:r>
    </w:p>
    <w:p>
      <w:pPr>
        <w:pStyle w:val="8"/>
        <w:spacing w:line="360" w:lineRule="auto"/>
        <w:ind w:firstLine="660" w:firstLineChars="275"/>
        <w:rPr>
          <w:rFonts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3成立和／或注册日期：_________________________________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4法人代表：___________________________________________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5开户银行：___________________________________________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6开户帐号：___________________________________________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7注册资金：___________________________________________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8近两年财务基本情况（本项目不适用）</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9项目主要联系人（姓名、职务、通讯）：</w:t>
      </w:r>
    </w:p>
    <w:p>
      <w:pPr>
        <w:pStyle w:val="8"/>
        <w:spacing w:line="360" w:lineRule="auto"/>
        <w:rPr>
          <w:rFonts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10公司概况；</w:t>
      </w:r>
    </w:p>
    <w:p>
      <w:pPr>
        <w:pStyle w:val="8"/>
        <w:spacing w:line="360" w:lineRule="auto"/>
        <w:ind w:firstLine="42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11公司组织机构；</w:t>
      </w:r>
    </w:p>
    <w:p>
      <w:pPr>
        <w:pStyle w:val="8"/>
        <w:spacing w:line="360" w:lineRule="auto"/>
        <w:ind w:firstLine="420"/>
        <w:rPr>
          <w:rFonts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具备建设工程招投标法工作经验</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技术服务经验</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具有建设工程招投标后评估服务经验</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履约评价情况</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拟投入项目负责人情况（限一人）</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lang w:val="fr-CH"/>
        </w:rPr>
        <w:t>拟投入项目团队情况（项目负责人除外）</w:t>
      </w:r>
      <w:r>
        <w:rPr>
          <w:rFonts w:hint="eastAsia" w:ascii="宋体" w:hAnsi="宋体" w:cs="宋体"/>
          <w:color w:val="auto"/>
          <w:sz w:val="24"/>
          <w:highlight w:val="none"/>
        </w:rPr>
        <w:t>；</w:t>
      </w:r>
    </w:p>
    <w:p>
      <w:pPr>
        <w:tabs>
          <w:tab w:val="left" w:pos="640"/>
          <w:tab w:val="left" w:pos="1260"/>
          <w:tab w:val="left" w:pos="1418"/>
        </w:tabs>
        <w:jc w:val="center"/>
        <w:rPr>
          <w:rFonts w:ascii="宋体" w:hAnsi="宋体" w:cs="宋体"/>
          <w:b/>
          <w:bCs/>
          <w:color w:val="auto"/>
          <w:szCs w:val="21"/>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rPr>
        <w:t>声明与承诺</w:t>
      </w:r>
      <w:r>
        <w:rPr>
          <w:rFonts w:hint="eastAsia" w:ascii="宋体" w:hAnsi="宋体" w:cs="宋体"/>
          <w:b/>
          <w:bCs/>
          <w:color w:val="auto"/>
          <w:sz w:val="24"/>
          <w:highlight w:val="none"/>
          <w:lang w:val="fr-CH"/>
        </w:rPr>
        <w:t>；</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中国远东国际招标有限公司：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8"/>
        <w:spacing w:line="360" w:lineRule="auto"/>
        <w:jc w:val="left"/>
        <w:rPr>
          <w:rFonts w:hAnsi="宋体" w:cs="宋体"/>
          <w:color w:val="auto"/>
          <w:sz w:val="24"/>
          <w:highlight w:val="none"/>
        </w:rPr>
      </w:pPr>
    </w:p>
    <w:p>
      <w:pPr>
        <w:pStyle w:val="8"/>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rPr>
          <w:color w:val="auto"/>
          <w:highlight w:val="none"/>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投标人认为有必要提供的其他材料。</w:t>
      </w:r>
    </w:p>
    <w:p>
      <w:pPr>
        <w:spacing w:line="360" w:lineRule="auto"/>
        <w:rPr>
          <w:rFonts w:ascii="宋体" w:hAnsi="宋体" w:cs="宋体"/>
          <w:color w:val="auto"/>
          <w:sz w:val="24"/>
          <w:highlight w:val="none"/>
        </w:rPr>
      </w:pPr>
    </w:p>
    <w:p>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14"/>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vAlign w:val="center"/>
          </w:tcPr>
          <w:p>
            <w:pPr>
              <w:spacing w:line="360" w:lineRule="auto"/>
              <w:jc w:val="center"/>
              <w:rPr>
                <w:rFonts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spacing w:line="360" w:lineRule="auto"/>
        <w:rPr>
          <w:color w:val="auto"/>
          <w:highlight w:val="none"/>
          <w:lang w:val="fr-CH"/>
        </w:rPr>
      </w:pPr>
    </w:p>
    <w:p>
      <w:pPr>
        <w:numPr>
          <w:ilvl w:val="0"/>
          <w:numId w:val="14"/>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cs="宋体"/>
          <w:color w:val="auto"/>
          <w:sz w:val="24"/>
          <w:highlight w:val="none"/>
          <w:lang w:val="sq-AL"/>
        </w:rPr>
        <w:br w:type="page"/>
      </w:r>
      <w:r>
        <w:rPr>
          <w:rFonts w:hint="eastAsia" w:ascii="宋体" w:hAnsi="宋体" w:cs="宋体"/>
          <w:color w:val="auto"/>
          <w:sz w:val="24"/>
          <w:highlight w:val="none"/>
          <w:lang w:val="sq-AL"/>
        </w:rPr>
        <w:t>工作方案（项目背景、项目目标、研究方法、工作内容、成果构成）；</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质量服务措施；</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重点难点分析、应对措施及合理化建议；</w:t>
      </w:r>
    </w:p>
    <w:p>
      <w:pPr>
        <w:tabs>
          <w:tab w:val="left" w:pos="640"/>
          <w:tab w:val="left" w:pos="1260"/>
          <w:tab w:val="left" w:pos="1418"/>
        </w:tabs>
        <w:jc w:val="center"/>
        <w:rPr>
          <w:rFonts w:ascii="宋体" w:hAnsi="宋体" w:cs="宋体"/>
          <w:b/>
          <w:bCs/>
          <w:color w:val="auto"/>
          <w:sz w:val="24"/>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19"/>
      <w:r>
        <w:rPr>
          <w:rFonts w:hint="eastAsia" w:ascii="宋体" w:hAnsi="宋体" w:cs="宋体"/>
          <w:color w:val="auto"/>
          <w:sz w:val="24"/>
          <w:highlight w:val="none"/>
          <w:lang w:val="fr-CH"/>
        </w:rPr>
        <w:t>（投标人可根据实际情况按照附件的格式提供中小微企业声明函）</w:t>
      </w:r>
    </w:p>
    <w:p>
      <w:pPr>
        <w:tabs>
          <w:tab w:val="left" w:pos="360"/>
        </w:tabs>
        <w:spacing w:line="300" w:lineRule="auto"/>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Start w:id="25" w:name="_Toc6251"/>
      <w:bookmarkStart w:id="26" w:name="_Toc742"/>
      <w:r>
        <w:rPr>
          <w:rFonts w:hint="eastAsia" w:ascii="宋体" w:hAnsi="宋体" w:cs="宋体"/>
          <w:b/>
          <w:bCs/>
          <w:color w:val="auto"/>
          <w:sz w:val="24"/>
          <w:highlight w:val="none"/>
        </w:rPr>
        <w:t>附件：相关政策</w:t>
      </w:r>
      <w:bookmarkEnd w:id="25"/>
      <w:bookmarkEnd w:id="26"/>
    </w:p>
    <w:p>
      <w:pPr>
        <w:tabs>
          <w:tab w:val="left" w:pos="360"/>
        </w:tabs>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color w:val="auto"/>
          <w:highlight w:val="none"/>
        </w:rPr>
      </w:pPr>
    </w:p>
    <w:p>
      <w:pPr>
        <w:widowControl/>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color w:val="auto"/>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（四）框架协议采购项目；</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color w:val="auto"/>
          <w:highlight w:val="none"/>
        </w:rPr>
      </w:pP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附：1.中小企业声明函</w:t>
      </w:r>
    </w:p>
    <w:p>
      <w:pPr>
        <w:pStyle w:val="2"/>
        <w:tabs>
          <w:tab w:val="left" w:pos="562"/>
          <w:tab w:val="left" w:pos="3372"/>
          <w:tab w:val="left" w:pos="3653"/>
        </w:tabs>
        <w:ind w:firstLine="960" w:firstLineChars="400"/>
        <w:rPr>
          <w:rFonts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2"/>
        <w:tabs>
          <w:tab w:val="left" w:pos="562"/>
          <w:tab w:val="left" w:pos="3372"/>
          <w:tab w:val="left" w:pos="3653"/>
        </w:tabs>
        <w:spacing w:before="30"/>
        <w:rPr>
          <w:rFonts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auto"/>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jc w:val="center"/>
        <w:rPr>
          <w:rFonts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中小企业声明函（工程、服务）</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注意事项：</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1.从业人员、营业收入、资产总额填报上一年度数据，无上一年度数据的新成立企业可不填报；</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4.相关承接企业的所属行业应当与采购标的所属行业（采购文件中明确的行业）相一致。</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5.本投标人已知悉《政府采购促进中小企业发展管理办法》（财库〔2020〕46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pStyle w:val="2"/>
        <w:tabs>
          <w:tab w:val="left" w:pos="562"/>
          <w:tab w:val="left" w:pos="3372"/>
          <w:tab w:val="left" w:pos="3653"/>
        </w:tabs>
        <w:ind w:left="4200" w:leftChars="2000"/>
        <w:rPr>
          <w:rFonts w:ascii="宋体" w:hAnsi="宋体" w:cs="宋体"/>
          <w:color w:val="auto"/>
          <w:spacing w:val="-2"/>
          <w:highlight w:val="none"/>
        </w:rPr>
      </w:pPr>
    </w:p>
    <w:p>
      <w:pPr>
        <w:pStyle w:val="2"/>
        <w:tabs>
          <w:tab w:val="left" w:pos="562"/>
          <w:tab w:val="left" w:pos="3372"/>
          <w:tab w:val="left" w:pos="3653"/>
        </w:tabs>
        <w:ind w:left="4200" w:leftChars="2000"/>
        <w:rPr>
          <w:rFonts w:ascii="宋体" w:hAnsi="宋体" w:cs="宋体"/>
          <w:color w:val="auto"/>
          <w:spacing w:val="-2"/>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rPr>
          <w:rFonts w:ascii="宋体" w:hAnsi="宋体" w:cs="宋体"/>
          <w:color w:val="auto"/>
          <w:spacing w:val="-2"/>
          <w:highlight w:val="none"/>
        </w:rPr>
      </w:pPr>
    </w:p>
    <w:p>
      <w:pPr>
        <w:pStyle w:val="2"/>
        <w:tabs>
          <w:tab w:val="left" w:pos="562"/>
          <w:tab w:val="left" w:pos="3372"/>
          <w:tab w:val="left" w:pos="3653"/>
        </w:tabs>
        <w:spacing w:before="30"/>
        <w:rPr>
          <w:rFonts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ascii="宋体" w:hAnsi="宋体" w:cs="宋体"/>
          <w:b/>
          <w:bCs/>
          <w:color w:val="auto"/>
          <w:sz w:val="24"/>
          <w:highlight w:val="none"/>
        </w:rPr>
      </w:pPr>
      <w:r>
        <w:rPr>
          <w:rFonts w:hint="eastAsia" w:ascii="宋体" w:hAnsi="宋体" w:cs="宋体"/>
          <w:b/>
          <w:bCs/>
          <w:color w:val="auto"/>
          <w:spacing w:val="-3"/>
          <w:sz w:val="24"/>
          <w:highlight w:val="none"/>
          <w:u w:val="single" w:color="000000"/>
        </w:rPr>
        <w:t>（单位名称）</w:t>
      </w:r>
      <w:r>
        <w:rPr>
          <w:rFonts w:hint="eastAsia" w:ascii="宋体" w:hAnsi="宋体" w:cs="宋体"/>
          <w:b/>
          <w:bCs/>
          <w:color w:val="auto"/>
          <w:spacing w:val="-29"/>
          <w:sz w:val="24"/>
          <w:highlight w:val="none"/>
        </w:rPr>
        <w:t>××</w:t>
      </w:r>
      <w:r>
        <w:rPr>
          <w:rFonts w:hint="eastAsia" w:ascii="宋体" w:hAnsi="宋体" w:cs="宋体"/>
          <w:b/>
          <w:bCs/>
          <w:color w:val="auto"/>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auto"/>
          <w:highlight w:val="none"/>
        </w:rPr>
      </w:pPr>
      <w:r>
        <w:rPr>
          <w:rFonts w:hint="eastAsia" w:ascii="宋体" w:hAnsi="宋体" w:cs="宋体"/>
          <w:b/>
          <w:bCs/>
          <w:color w:val="auto"/>
          <w:highlight w:val="none"/>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b/>
                <w:color w:val="auto"/>
                <w:sz w:val="24"/>
                <w:szCs w:val="24"/>
                <w:highlight w:val="none"/>
              </w:rPr>
            </w:pPr>
            <w:r>
              <w:rPr>
                <w:rFonts w:hint="eastAsia"/>
                <w:b/>
                <w:color w:val="auto"/>
                <w:sz w:val="24"/>
                <w:szCs w:val="24"/>
                <w:highlight w:val="none"/>
              </w:rPr>
              <w:t>序号</w:t>
            </w:r>
          </w:p>
        </w:tc>
        <w:tc>
          <w:tcPr>
            <w:tcW w:w="1866" w:type="dxa"/>
            <w:vAlign w:val="center"/>
          </w:tcPr>
          <w:p>
            <w:pPr>
              <w:pStyle w:val="28"/>
              <w:jc w:val="center"/>
              <w:rPr>
                <w:b/>
                <w:color w:val="auto"/>
                <w:sz w:val="24"/>
                <w:szCs w:val="24"/>
                <w:highlight w:val="none"/>
              </w:rPr>
            </w:pPr>
            <w:r>
              <w:rPr>
                <w:rFonts w:hint="eastAsia"/>
                <w:b/>
                <w:color w:val="auto"/>
                <w:sz w:val="24"/>
                <w:szCs w:val="24"/>
                <w:highlight w:val="none"/>
              </w:rPr>
              <w:t>项目名称</w:t>
            </w:r>
          </w:p>
        </w:tc>
        <w:tc>
          <w:tcPr>
            <w:tcW w:w="2010" w:type="dxa"/>
            <w:vAlign w:val="center"/>
          </w:tcPr>
          <w:p>
            <w:pPr>
              <w:pStyle w:val="28"/>
              <w:jc w:val="center"/>
              <w:rPr>
                <w:b/>
                <w:color w:val="auto"/>
                <w:sz w:val="24"/>
                <w:szCs w:val="24"/>
                <w:highlight w:val="none"/>
              </w:rPr>
            </w:pPr>
            <w:r>
              <w:rPr>
                <w:rFonts w:hint="eastAsia"/>
                <w:b/>
                <w:color w:val="auto"/>
                <w:sz w:val="24"/>
                <w:szCs w:val="24"/>
                <w:highlight w:val="none"/>
              </w:rPr>
              <w:t>预留选项</w:t>
            </w:r>
          </w:p>
        </w:tc>
        <w:tc>
          <w:tcPr>
            <w:tcW w:w="2296" w:type="dxa"/>
            <w:vAlign w:val="center"/>
          </w:tcPr>
          <w:p>
            <w:pPr>
              <w:pStyle w:val="28"/>
              <w:jc w:val="center"/>
              <w:rPr>
                <w:b/>
                <w:color w:val="auto"/>
                <w:sz w:val="24"/>
                <w:szCs w:val="24"/>
                <w:highlight w:val="none"/>
              </w:rPr>
            </w:pPr>
            <w:r>
              <w:rPr>
                <w:rFonts w:hint="eastAsia"/>
                <w:b/>
                <w:color w:val="auto"/>
                <w:sz w:val="24"/>
                <w:szCs w:val="24"/>
                <w:highlight w:val="none"/>
              </w:rPr>
              <w:t>面向中小企业采购金额</w:t>
            </w:r>
          </w:p>
        </w:tc>
        <w:tc>
          <w:tcPr>
            <w:tcW w:w="1784" w:type="dxa"/>
            <w:vAlign w:val="center"/>
          </w:tcPr>
          <w:p>
            <w:pPr>
              <w:pStyle w:val="28"/>
              <w:jc w:val="center"/>
              <w:rPr>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jc w:val="center"/>
              <w:rPr>
                <w:color w:val="auto"/>
                <w:sz w:val="24"/>
                <w:szCs w:val="24"/>
                <w:highlight w:val="none"/>
              </w:rPr>
            </w:pPr>
          </w:p>
        </w:tc>
        <w:tc>
          <w:tcPr>
            <w:tcW w:w="1866" w:type="dxa"/>
            <w:tcBorders>
              <w:bottom w:val="nil"/>
            </w:tcBorders>
            <w:vAlign w:val="center"/>
          </w:tcPr>
          <w:p>
            <w:pPr>
              <w:pStyle w:val="28"/>
              <w:jc w:val="center"/>
              <w:rPr>
                <w:color w:val="auto"/>
                <w:sz w:val="24"/>
                <w:szCs w:val="24"/>
                <w:highlight w:val="none"/>
              </w:rPr>
            </w:pPr>
          </w:p>
        </w:tc>
        <w:tc>
          <w:tcPr>
            <w:tcW w:w="2010" w:type="dxa"/>
            <w:tcBorders>
              <w:bottom w:val="nil"/>
            </w:tcBorders>
            <w:vAlign w:val="center"/>
          </w:tcPr>
          <w:p>
            <w:pPr>
              <w:pStyle w:val="28"/>
              <w:jc w:val="center"/>
              <w:rPr>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pPr>
              <w:pStyle w:val="28"/>
              <w:jc w:val="center"/>
              <w:rPr>
                <w:color w:val="auto"/>
                <w:sz w:val="24"/>
                <w:szCs w:val="24"/>
                <w:highlight w:val="none"/>
              </w:rPr>
            </w:pPr>
          </w:p>
        </w:tc>
        <w:tc>
          <w:tcPr>
            <w:tcW w:w="1784" w:type="dxa"/>
            <w:vMerge w:val="restart"/>
            <w:vAlign w:val="center"/>
          </w:tcPr>
          <w:p>
            <w:pPr>
              <w:pStyle w:val="28"/>
              <w:jc w:val="center"/>
              <w:rPr>
                <w:color w:val="auto"/>
                <w:sz w:val="24"/>
                <w:szCs w:val="24"/>
                <w:highlight w:val="none"/>
              </w:rPr>
            </w:pPr>
          </w:p>
          <w:p>
            <w:pPr>
              <w:pStyle w:val="28"/>
              <w:jc w:val="center"/>
              <w:rPr>
                <w:color w:val="auto"/>
                <w:sz w:val="24"/>
                <w:szCs w:val="24"/>
                <w:highlight w:val="none"/>
              </w:rPr>
            </w:pPr>
          </w:p>
          <w:p>
            <w:pPr>
              <w:pStyle w:val="28"/>
              <w:jc w:val="center"/>
              <w:rPr>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28"/>
              <w:jc w:val="center"/>
              <w:rPr>
                <w:color w:val="auto"/>
                <w:sz w:val="24"/>
                <w:szCs w:val="24"/>
                <w:highlight w:val="none"/>
              </w:rPr>
            </w:pPr>
          </w:p>
        </w:tc>
        <w:tc>
          <w:tcPr>
            <w:tcW w:w="2010" w:type="dxa"/>
            <w:tcBorders>
              <w:top w:val="nil"/>
              <w:bottom w:val="nil"/>
            </w:tcBorders>
            <w:vAlign w:val="center"/>
          </w:tcPr>
          <w:p>
            <w:pPr>
              <w:pStyle w:val="28"/>
              <w:jc w:val="center"/>
              <w:rPr>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tcBorders>
            <w:vAlign w:val="center"/>
          </w:tcPr>
          <w:p>
            <w:pPr>
              <w:pStyle w:val="28"/>
              <w:jc w:val="center"/>
              <w:rPr>
                <w:color w:val="auto"/>
                <w:sz w:val="24"/>
                <w:szCs w:val="24"/>
                <w:highlight w:val="none"/>
              </w:rPr>
            </w:pPr>
          </w:p>
        </w:tc>
        <w:tc>
          <w:tcPr>
            <w:tcW w:w="2010" w:type="dxa"/>
            <w:tcBorders>
              <w:top w:val="nil"/>
            </w:tcBorders>
            <w:vAlign w:val="center"/>
          </w:tcPr>
          <w:p>
            <w:pPr>
              <w:pStyle w:val="28"/>
              <w:jc w:val="center"/>
              <w:rPr>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pPr>
              <w:pStyle w:val="28"/>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color w:val="auto"/>
                <w:sz w:val="24"/>
                <w:szCs w:val="24"/>
                <w:highlight w:val="none"/>
              </w:rPr>
            </w:pPr>
            <w:r>
              <w:rPr>
                <w:rFonts w:hint="eastAsia"/>
                <w:color w:val="auto"/>
                <w:sz w:val="24"/>
                <w:szCs w:val="24"/>
                <w:highlight w:val="none"/>
              </w:rPr>
              <w:t>……</w:t>
            </w:r>
          </w:p>
        </w:tc>
        <w:tc>
          <w:tcPr>
            <w:tcW w:w="1866" w:type="dxa"/>
            <w:vAlign w:val="center"/>
          </w:tcPr>
          <w:p>
            <w:pPr>
              <w:pStyle w:val="28"/>
              <w:jc w:val="center"/>
              <w:rPr>
                <w:color w:val="auto"/>
                <w:sz w:val="24"/>
                <w:szCs w:val="24"/>
                <w:highlight w:val="none"/>
              </w:rPr>
            </w:pPr>
            <w:r>
              <w:rPr>
                <w:rFonts w:hint="eastAsia"/>
                <w:color w:val="auto"/>
                <w:sz w:val="24"/>
                <w:szCs w:val="24"/>
                <w:highlight w:val="none"/>
              </w:rPr>
              <w:t>……</w:t>
            </w:r>
          </w:p>
        </w:tc>
        <w:tc>
          <w:tcPr>
            <w:tcW w:w="2010" w:type="dxa"/>
            <w:vAlign w:val="center"/>
          </w:tcPr>
          <w:p>
            <w:pPr>
              <w:pStyle w:val="28"/>
              <w:jc w:val="center"/>
              <w:rPr>
                <w:color w:val="auto"/>
                <w:sz w:val="24"/>
                <w:szCs w:val="24"/>
                <w:highlight w:val="none"/>
              </w:rPr>
            </w:pPr>
            <w:r>
              <w:rPr>
                <w:rFonts w:hint="eastAsia"/>
                <w:color w:val="auto"/>
                <w:sz w:val="24"/>
                <w:szCs w:val="24"/>
                <w:highlight w:val="none"/>
              </w:rPr>
              <w:t>……</w:t>
            </w:r>
          </w:p>
        </w:tc>
        <w:tc>
          <w:tcPr>
            <w:tcW w:w="2296" w:type="dxa"/>
            <w:vAlign w:val="center"/>
          </w:tcPr>
          <w:p>
            <w:pPr>
              <w:pStyle w:val="28"/>
              <w:jc w:val="center"/>
              <w:rPr>
                <w:color w:val="auto"/>
                <w:sz w:val="24"/>
                <w:szCs w:val="24"/>
                <w:highlight w:val="none"/>
              </w:rPr>
            </w:pPr>
            <w:r>
              <w:rPr>
                <w:rFonts w:hint="eastAsia"/>
                <w:color w:val="auto"/>
                <w:sz w:val="24"/>
                <w:szCs w:val="24"/>
                <w:highlight w:val="none"/>
              </w:rPr>
              <w:t>……</w:t>
            </w:r>
          </w:p>
        </w:tc>
        <w:tc>
          <w:tcPr>
            <w:tcW w:w="1784" w:type="dxa"/>
            <w:vAlign w:val="center"/>
          </w:tcPr>
          <w:p>
            <w:pPr>
              <w:pStyle w:val="28"/>
              <w:jc w:val="center"/>
              <w:rPr>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hint="eastAsia" w:ascii="宋体" w:hAnsi="宋体" w:cs="宋体"/>
          <w:color w:val="auto"/>
          <w:highlight w:val="none"/>
        </w:rPr>
      </w:pPr>
    </w:p>
    <w:p>
      <w:pPr>
        <w:pStyle w:val="2"/>
        <w:tabs>
          <w:tab w:val="left" w:pos="562"/>
          <w:tab w:val="left" w:pos="3372"/>
          <w:tab w:val="left" w:pos="3653"/>
        </w:tabs>
        <w:spacing w:before="128"/>
        <w:ind w:left="4220" w:right="1843"/>
        <w:rPr>
          <w:rFonts w:hint="eastAsia" w:ascii="宋体" w:hAnsi="宋体" w:cs="宋体"/>
          <w:color w:val="auto"/>
          <w:highlight w:val="none"/>
        </w:rPr>
      </w:pPr>
      <w:r>
        <w:rPr>
          <w:rFonts w:hint="eastAsia" w:ascii="宋体" w:hAnsi="宋体" w:cs="宋体"/>
          <w:color w:val="auto"/>
          <w:highlight w:val="none"/>
        </w:rPr>
        <w:t>部门（单位）名称：</w:t>
      </w:r>
    </w:p>
    <w:p>
      <w:pPr>
        <w:pStyle w:val="2"/>
        <w:tabs>
          <w:tab w:val="left" w:pos="562"/>
          <w:tab w:val="left" w:pos="3372"/>
          <w:tab w:val="left" w:pos="3653"/>
        </w:tabs>
        <w:spacing w:before="128"/>
        <w:ind w:left="4220" w:right="1843"/>
        <w:rPr>
          <w:rFonts w:ascii="宋体" w:hAnsi="宋体" w:cs="宋体"/>
          <w:color w:val="auto"/>
          <w:highlight w:val="none"/>
        </w:rPr>
      </w:pPr>
      <w:r>
        <w:rPr>
          <w:rFonts w:hint="eastAsia" w:ascii="宋体" w:hAnsi="宋体" w:cs="宋体"/>
          <w:color w:val="auto"/>
          <w:highlight w:val="none"/>
        </w:rPr>
        <w:t>日期：</w:t>
      </w:r>
    </w:p>
    <w:p>
      <w:pPr>
        <w:pStyle w:val="2"/>
        <w:tabs>
          <w:tab w:val="left" w:pos="562"/>
          <w:tab w:val="left" w:pos="3372"/>
          <w:tab w:val="left" w:pos="3653"/>
        </w:tabs>
        <w:rPr>
          <w:rFonts w:ascii="宋体" w:hAnsi="宋体" w:cs="宋体"/>
          <w:color w:val="auto"/>
          <w:highlight w:val="none"/>
        </w:rPr>
      </w:pPr>
    </w:p>
    <w:p>
      <w:pPr>
        <w:pStyle w:val="16"/>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16"/>
        <w:jc w:val="both"/>
        <w:outlineLvl w:val="9"/>
        <w:rPr>
          <w:rFonts w:ascii="宋体" w:hAnsi="宋体" w:eastAsia="宋体" w:cs="宋体"/>
          <w:color w:val="auto"/>
          <w:sz w:val="24"/>
          <w:szCs w:val="24"/>
          <w:highlight w:val="none"/>
        </w:rPr>
      </w:pPr>
    </w:p>
    <w:p>
      <w:pPr>
        <w:pStyle w:val="16"/>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ascii="宋体" w:hAnsi="宋体" w:cs="宋体"/>
          <w:b/>
          <w:bCs/>
          <w:color w:val="auto"/>
          <w:kern w:val="0"/>
          <w:sz w:val="24"/>
          <w:highlight w:val="none"/>
        </w:rPr>
      </w:pPr>
    </w:p>
    <w:p>
      <w:pPr>
        <w:widowControl/>
        <w:shd w:val="clear" w:color="auto" w:fill="FFFFFF"/>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ascii="宋体" w:hAnsi="宋体" w:cs="宋体"/>
          <w:color w:val="auto"/>
          <w:kern w:val="0"/>
          <w:sz w:val="24"/>
          <w:highlight w:val="none"/>
        </w:rPr>
      </w:pPr>
    </w:p>
    <w:p>
      <w:pPr>
        <w:pStyle w:val="2"/>
        <w:rPr>
          <w:color w:val="auto"/>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color w:val="auto"/>
          <w:highlight w:val="none"/>
        </w:rPr>
      </w:pPr>
    </w:p>
    <w:p>
      <w:pPr>
        <w:pStyle w:val="16"/>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ascii="宋体" w:hAnsi="宋体" w:cs="宋体"/>
          <w:bCs/>
          <w:color w:val="auto"/>
          <w:sz w:val="24"/>
          <w:highlight w:val="none"/>
        </w:rPr>
      </w:pPr>
    </w:p>
    <w:p>
      <w:pPr>
        <w:shd w:val="clear" w:color="auto" w:fill="FFFFFF"/>
        <w:jc w:val="center"/>
        <w:rPr>
          <w:rFonts w:ascii="宋体" w:hAnsi="宋体" w:cs="宋体"/>
          <w:b/>
          <w:bCs w:val="0"/>
          <w:color w:val="auto"/>
          <w:sz w:val="24"/>
          <w:highlight w:val="none"/>
        </w:rPr>
      </w:pPr>
      <w:r>
        <w:rPr>
          <w:rFonts w:hint="eastAsia" w:ascii="宋体" w:hAnsi="宋体" w:cs="宋体"/>
          <w:b/>
          <w:bCs w:val="0"/>
          <w:color w:val="auto"/>
          <w:sz w:val="24"/>
          <w:highlight w:val="none"/>
        </w:rPr>
        <w:t>关于促进残疾人就业政府采购政策的通知</w:t>
      </w:r>
    </w:p>
    <w:p>
      <w:pPr>
        <w:pStyle w:val="15"/>
        <w:shd w:val="clear" w:color="auto" w:fill="FFFFFF"/>
        <w:spacing w:before="0" w:beforeAutospacing="0" w:after="0" w:afterAutospacing="0"/>
        <w:jc w:val="center"/>
        <w:rPr>
          <w:color w:val="auto"/>
          <w:highlight w:val="none"/>
        </w:rPr>
      </w:pPr>
      <w:r>
        <w:rPr>
          <w:rFonts w:hint="eastAsia"/>
          <w:color w:val="auto"/>
          <w:highlight w:val="none"/>
        </w:rPr>
        <w:t>　　</w:t>
      </w:r>
      <w:bookmarkStart w:id="27" w:name="sendNo"/>
      <w:r>
        <w:rPr>
          <w:rFonts w:hint="eastAsia"/>
          <w:color w:val="auto"/>
          <w:highlight w:val="none"/>
        </w:rPr>
        <w:t>财库〔</w:t>
      </w:r>
      <w:bookmarkEnd w:id="27"/>
      <w:r>
        <w:rPr>
          <w:rFonts w:hint="eastAsia"/>
          <w:color w:val="auto"/>
          <w:highlight w:val="none"/>
        </w:rPr>
        <w:t>2017〕141号</w:t>
      </w:r>
    </w:p>
    <w:p>
      <w:pPr>
        <w:pStyle w:val="15"/>
        <w:shd w:val="clear" w:color="auto" w:fill="FFFFFF"/>
        <w:spacing w:before="0" w:beforeAutospacing="0" w:after="0" w:afterAutospacing="0"/>
        <w:ind w:firstLine="480" w:firstLineChars="200"/>
        <w:rPr>
          <w:color w:val="auto"/>
          <w:highlight w:val="none"/>
        </w:rPr>
      </w:pPr>
      <w:bookmarkStart w:id="28"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auto"/>
          <w:highlight w:val="none"/>
        </w:rPr>
        <w:t>：</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七、本通知自2017年10月1日起执行。</w:t>
      </w:r>
    </w:p>
    <w:p>
      <w:pPr>
        <w:pStyle w:val="15"/>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财政部 民政部 中国残疾人联合会</w:t>
      </w:r>
    </w:p>
    <w:p>
      <w:pPr>
        <w:pStyle w:val="15"/>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2017年8月22日</w:t>
      </w: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rFonts w:hint="eastAsia"/>
          <w:color w:val="auto"/>
          <w:highlight w:val="none"/>
        </w:rPr>
      </w:pPr>
    </w:p>
    <w:p>
      <w:pPr>
        <w:pStyle w:val="29"/>
        <w:shd w:val="clear" w:color="auto" w:fill="FFFFFF"/>
        <w:spacing w:before="0" w:beforeAutospacing="0" w:after="0" w:afterAutospacing="0" w:line="560" w:lineRule="exact"/>
        <w:jc w:val="both"/>
        <w:rPr>
          <w:color w:val="auto"/>
          <w:highlight w:val="none"/>
        </w:rPr>
      </w:pPr>
      <w:r>
        <w:rPr>
          <w:rFonts w:hint="eastAsia"/>
          <w:color w:val="auto"/>
          <w:highlight w:val="none"/>
        </w:rPr>
        <w:t>附件：</w:t>
      </w:r>
    </w:p>
    <w:p>
      <w:pPr>
        <w:pStyle w:val="29"/>
        <w:shd w:val="clear" w:color="auto" w:fill="FFFFFF"/>
        <w:spacing w:before="0" w:beforeAutospacing="0" w:after="0" w:afterAutospacing="0" w:line="560" w:lineRule="exact"/>
        <w:ind w:firstLine="482" w:firstLineChars="200"/>
        <w:jc w:val="center"/>
        <w:rPr>
          <w:color w:val="auto"/>
          <w:highlight w:val="none"/>
        </w:rPr>
      </w:pPr>
      <w:r>
        <w:rPr>
          <w:rStyle w:val="30"/>
          <w:rFonts w:hint="eastAsia"/>
          <w:b/>
          <w:bCs/>
          <w:color w:val="auto"/>
          <w:highlight w:val="none"/>
        </w:rPr>
        <w:t>残疾人福利性单位声明函</w:t>
      </w:r>
    </w:p>
    <w:p>
      <w:pPr>
        <w:pStyle w:val="29"/>
        <w:shd w:val="clear" w:color="auto" w:fill="FFFFFF"/>
        <w:spacing w:before="0" w:beforeAutospacing="0" w:after="0" w:afterAutospacing="0" w:line="560" w:lineRule="exact"/>
        <w:ind w:firstLine="480" w:firstLineChars="200"/>
        <w:jc w:val="both"/>
        <w:rPr>
          <w:color w:val="auto"/>
          <w:highlight w:val="none"/>
        </w:rPr>
      </w:pPr>
      <w:r>
        <w:rPr>
          <w:rStyle w:val="30"/>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560" w:lineRule="exact"/>
        <w:ind w:firstLine="480" w:firstLineChars="200"/>
        <w:jc w:val="both"/>
        <w:rPr>
          <w:color w:val="auto"/>
          <w:highlight w:val="none"/>
        </w:rPr>
      </w:pPr>
      <w:r>
        <w:rPr>
          <w:rStyle w:val="30"/>
          <w:rFonts w:hint="eastAsia"/>
          <w:color w:val="auto"/>
          <w:highlight w:val="none"/>
        </w:rPr>
        <w:t>本单位对上述声明的真实性负责。如有虚假，将依法承担相应责任。</w:t>
      </w:r>
    </w:p>
    <w:p>
      <w:pPr>
        <w:pStyle w:val="29"/>
        <w:shd w:val="clear" w:color="auto" w:fill="FFFFFF"/>
        <w:spacing w:before="0" w:beforeAutospacing="0" w:after="0" w:afterAutospacing="0" w:line="560" w:lineRule="exact"/>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560" w:lineRule="exact"/>
        <w:ind w:right="2100" w:rightChars="1000"/>
        <w:jc w:val="right"/>
        <w:rPr>
          <w:color w:val="auto"/>
          <w:highlight w:val="none"/>
        </w:rPr>
      </w:pPr>
      <w:r>
        <w:rPr>
          <w:rStyle w:val="30"/>
          <w:rFonts w:hint="eastAsia"/>
          <w:color w:val="auto"/>
          <w:highlight w:val="none"/>
        </w:rPr>
        <w:t>单位名称（盖章）：</w:t>
      </w:r>
    </w:p>
    <w:p>
      <w:pPr>
        <w:pStyle w:val="29"/>
        <w:shd w:val="clear" w:color="auto" w:fill="FFFFFF"/>
        <w:spacing w:before="0" w:beforeAutospacing="0" w:after="0" w:afterAutospacing="0" w:line="560" w:lineRule="exact"/>
        <w:ind w:right="2100" w:rightChars="1000"/>
        <w:jc w:val="right"/>
        <w:rPr>
          <w:color w:val="auto"/>
          <w:highlight w:val="none"/>
          <w:lang w:val="fr-CH"/>
        </w:rPr>
      </w:pPr>
      <w:r>
        <w:rPr>
          <w:rStyle w:val="30"/>
          <w:rFonts w:hint="eastAsia"/>
          <w:color w:val="auto"/>
          <w:highlight w:val="none"/>
        </w:rPr>
        <w:t>日 期：</w:t>
      </w:r>
    </w:p>
    <w:p>
      <w:pPr>
        <w:tabs>
          <w:tab w:val="left" w:pos="640"/>
          <w:tab w:val="left" w:pos="1260"/>
          <w:tab w:val="left" w:pos="1418"/>
        </w:tabs>
        <w:spacing w:line="360" w:lineRule="auto"/>
        <w:ind w:right="-420" w:rightChars="-200"/>
        <w:rPr>
          <w:rFonts w:ascii="宋体" w:hAnsi="宋体" w:cs="宋体"/>
          <w:color w:val="auto"/>
          <w:sz w:val="24"/>
          <w:highlight w:val="none"/>
          <w:lang w:val="fr-CH"/>
        </w:rPr>
      </w:pPr>
    </w:p>
    <w:p>
      <w:pPr>
        <w:pStyle w:val="24"/>
        <w:rPr>
          <w:color w:val="auto"/>
          <w:highlight w:val="none"/>
          <w:lang w:val="fr-CH"/>
        </w:rPr>
      </w:pPr>
    </w:p>
    <w:p>
      <w:pPr>
        <w:rPr>
          <w:color w:val="auto"/>
          <w:highlight w:val="none"/>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16</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5021"/>
        </w:tabs>
        <w:ind w:left="5021"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ODg1MzhlNzBjNjZlOTRmNDM3N2Q5YjFjYTUzMjQifQ=="/>
    <w:docVar w:name="KSO_WPS_MARK_KEY" w:val="6c52a594-fa24-4eda-8bdf-1df5baad3362"/>
  </w:docVars>
  <w:rsids>
    <w:rsidRoot w:val="6F152D9A"/>
    <w:rsid w:val="000805CF"/>
    <w:rsid w:val="000807A9"/>
    <w:rsid w:val="00083BAE"/>
    <w:rsid w:val="000E02A2"/>
    <w:rsid w:val="000E11B4"/>
    <w:rsid w:val="0010236F"/>
    <w:rsid w:val="0010717C"/>
    <w:rsid w:val="00135B60"/>
    <w:rsid w:val="0014693E"/>
    <w:rsid w:val="001636F1"/>
    <w:rsid w:val="00180084"/>
    <w:rsid w:val="00183EE2"/>
    <w:rsid w:val="001C37F2"/>
    <w:rsid w:val="00233CEA"/>
    <w:rsid w:val="00256F52"/>
    <w:rsid w:val="003E3730"/>
    <w:rsid w:val="0048506D"/>
    <w:rsid w:val="004A13A0"/>
    <w:rsid w:val="00544965"/>
    <w:rsid w:val="00592BEB"/>
    <w:rsid w:val="00637D61"/>
    <w:rsid w:val="0069597F"/>
    <w:rsid w:val="0072649A"/>
    <w:rsid w:val="009849F5"/>
    <w:rsid w:val="009903BD"/>
    <w:rsid w:val="0099717F"/>
    <w:rsid w:val="009B213E"/>
    <w:rsid w:val="009B5260"/>
    <w:rsid w:val="009E70F5"/>
    <w:rsid w:val="00A420C8"/>
    <w:rsid w:val="00A56D35"/>
    <w:rsid w:val="00A615EB"/>
    <w:rsid w:val="00A80C1D"/>
    <w:rsid w:val="00AD4A2F"/>
    <w:rsid w:val="00BB0DEA"/>
    <w:rsid w:val="00BC1A4D"/>
    <w:rsid w:val="00C14D93"/>
    <w:rsid w:val="00C27D05"/>
    <w:rsid w:val="00C44604"/>
    <w:rsid w:val="00D232A5"/>
    <w:rsid w:val="00D72607"/>
    <w:rsid w:val="00DD64FA"/>
    <w:rsid w:val="00DE5743"/>
    <w:rsid w:val="00DF3BD6"/>
    <w:rsid w:val="00E364B9"/>
    <w:rsid w:val="00E36865"/>
    <w:rsid w:val="00EC0423"/>
    <w:rsid w:val="00FA0EAA"/>
    <w:rsid w:val="00FA271F"/>
    <w:rsid w:val="01211AD4"/>
    <w:rsid w:val="0137742A"/>
    <w:rsid w:val="0159301C"/>
    <w:rsid w:val="017C6828"/>
    <w:rsid w:val="01AA3877"/>
    <w:rsid w:val="01F30850"/>
    <w:rsid w:val="01F875D5"/>
    <w:rsid w:val="01F97C21"/>
    <w:rsid w:val="02165D7C"/>
    <w:rsid w:val="022618D2"/>
    <w:rsid w:val="02274EC8"/>
    <w:rsid w:val="025C1439"/>
    <w:rsid w:val="026B3007"/>
    <w:rsid w:val="02881E0B"/>
    <w:rsid w:val="02CD0AE3"/>
    <w:rsid w:val="030E57FF"/>
    <w:rsid w:val="031134B4"/>
    <w:rsid w:val="0341645D"/>
    <w:rsid w:val="034C6E83"/>
    <w:rsid w:val="034E7C17"/>
    <w:rsid w:val="03750EEF"/>
    <w:rsid w:val="03990047"/>
    <w:rsid w:val="03D7F713"/>
    <w:rsid w:val="03DC52BF"/>
    <w:rsid w:val="03E219EE"/>
    <w:rsid w:val="042277B0"/>
    <w:rsid w:val="044625E2"/>
    <w:rsid w:val="046813D2"/>
    <w:rsid w:val="04A005CC"/>
    <w:rsid w:val="04A16AE8"/>
    <w:rsid w:val="04B34B39"/>
    <w:rsid w:val="04B35139"/>
    <w:rsid w:val="04B50EB1"/>
    <w:rsid w:val="04C63705"/>
    <w:rsid w:val="04D05CEB"/>
    <w:rsid w:val="04FF037E"/>
    <w:rsid w:val="05127654"/>
    <w:rsid w:val="05CC2C17"/>
    <w:rsid w:val="05E11832"/>
    <w:rsid w:val="061E47BA"/>
    <w:rsid w:val="06336033"/>
    <w:rsid w:val="06720C22"/>
    <w:rsid w:val="069E458D"/>
    <w:rsid w:val="06BE2A9A"/>
    <w:rsid w:val="06C44D16"/>
    <w:rsid w:val="070D6D82"/>
    <w:rsid w:val="072F63A4"/>
    <w:rsid w:val="07712FD6"/>
    <w:rsid w:val="07787DB5"/>
    <w:rsid w:val="077961C6"/>
    <w:rsid w:val="07967326"/>
    <w:rsid w:val="07AC659B"/>
    <w:rsid w:val="07B13BB2"/>
    <w:rsid w:val="07B56053"/>
    <w:rsid w:val="07CD5881"/>
    <w:rsid w:val="07DFC9F6"/>
    <w:rsid w:val="07FD54F6"/>
    <w:rsid w:val="07FF90AA"/>
    <w:rsid w:val="081251A2"/>
    <w:rsid w:val="08430582"/>
    <w:rsid w:val="08597DA5"/>
    <w:rsid w:val="085C36B8"/>
    <w:rsid w:val="087C541A"/>
    <w:rsid w:val="08950582"/>
    <w:rsid w:val="08D35DAA"/>
    <w:rsid w:val="08E57A87"/>
    <w:rsid w:val="08E72291"/>
    <w:rsid w:val="08EE04EE"/>
    <w:rsid w:val="08F43C68"/>
    <w:rsid w:val="09242161"/>
    <w:rsid w:val="09300B06"/>
    <w:rsid w:val="09391870"/>
    <w:rsid w:val="09491BC8"/>
    <w:rsid w:val="09567738"/>
    <w:rsid w:val="09823515"/>
    <w:rsid w:val="09975029"/>
    <w:rsid w:val="09E4129A"/>
    <w:rsid w:val="09F77876"/>
    <w:rsid w:val="0A5E16A3"/>
    <w:rsid w:val="0A602146"/>
    <w:rsid w:val="0A6854E5"/>
    <w:rsid w:val="0A6D7B38"/>
    <w:rsid w:val="0A8A693C"/>
    <w:rsid w:val="0AA72E75"/>
    <w:rsid w:val="0AB85257"/>
    <w:rsid w:val="0ABD0ABF"/>
    <w:rsid w:val="0AEC7E09"/>
    <w:rsid w:val="0AF52007"/>
    <w:rsid w:val="0B4873B4"/>
    <w:rsid w:val="0B583D8C"/>
    <w:rsid w:val="0B7B37EB"/>
    <w:rsid w:val="0BB91DF1"/>
    <w:rsid w:val="0BCB4B16"/>
    <w:rsid w:val="0BE62205"/>
    <w:rsid w:val="0C1C2E6D"/>
    <w:rsid w:val="0C2B0B3A"/>
    <w:rsid w:val="0C45359F"/>
    <w:rsid w:val="0C822ACA"/>
    <w:rsid w:val="0CB70393"/>
    <w:rsid w:val="0CBB2DDD"/>
    <w:rsid w:val="0CBB4B8B"/>
    <w:rsid w:val="0CF92C32"/>
    <w:rsid w:val="0D046532"/>
    <w:rsid w:val="0D386EBC"/>
    <w:rsid w:val="0D3F1CF7"/>
    <w:rsid w:val="0D5C54A5"/>
    <w:rsid w:val="0D907378"/>
    <w:rsid w:val="0D9F3011"/>
    <w:rsid w:val="0DA17673"/>
    <w:rsid w:val="0DB079F3"/>
    <w:rsid w:val="0DC34AA9"/>
    <w:rsid w:val="0E303356"/>
    <w:rsid w:val="0E430BBB"/>
    <w:rsid w:val="0E4B0853"/>
    <w:rsid w:val="0E59465B"/>
    <w:rsid w:val="0E6B25E0"/>
    <w:rsid w:val="0EB07A2C"/>
    <w:rsid w:val="0EC1582D"/>
    <w:rsid w:val="0EC73CBB"/>
    <w:rsid w:val="0ED478D1"/>
    <w:rsid w:val="0EDC703A"/>
    <w:rsid w:val="0EE303C9"/>
    <w:rsid w:val="0EEA6CF0"/>
    <w:rsid w:val="0F151834"/>
    <w:rsid w:val="0F2A5DFB"/>
    <w:rsid w:val="0F4F75F2"/>
    <w:rsid w:val="0F615EBD"/>
    <w:rsid w:val="0F670FFA"/>
    <w:rsid w:val="0F7E3032"/>
    <w:rsid w:val="0FAC4C5F"/>
    <w:rsid w:val="0FBF747F"/>
    <w:rsid w:val="0FC87CEA"/>
    <w:rsid w:val="0FDE5334"/>
    <w:rsid w:val="0FE96BFE"/>
    <w:rsid w:val="0FEC746E"/>
    <w:rsid w:val="10634BF3"/>
    <w:rsid w:val="10702130"/>
    <w:rsid w:val="10B40C48"/>
    <w:rsid w:val="113C17A5"/>
    <w:rsid w:val="114D6A34"/>
    <w:rsid w:val="1190247F"/>
    <w:rsid w:val="11A958FA"/>
    <w:rsid w:val="11E044D7"/>
    <w:rsid w:val="11F7319C"/>
    <w:rsid w:val="12163E84"/>
    <w:rsid w:val="1235663D"/>
    <w:rsid w:val="12390C8A"/>
    <w:rsid w:val="12431D83"/>
    <w:rsid w:val="125E4812"/>
    <w:rsid w:val="129E702F"/>
    <w:rsid w:val="12A92E43"/>
    <w:rsid w:val="12BFE02D"/>
    <w:rsid w:val="12D149BF"/>
    <w:rsid w:val="12FD414F"/>
    <w:rsid w:val="13022805"/>
    <w:rsid w:val="13160D6D"/>
    <w:rsid w:val="13242E4C"/>
    <w:rsid w:val="13474641"/>
    <w:rsid w:val="1373154F"/>
    <w:rsid w:val="138A5087"/>
    <w:rsid w:val="139B74C4"/>
    <w:rsid w:val="13A1291C"/>
    <w:rsid w:val="13B530A1"/>
    <w:rsid w:val="13DB4E42"/>
    <w:rsid w:val="13F57F6C"/>
    <w:rsid w:val="13F612D3"/>
    <w:rsid w:val="140E7C96"/>
    <w:rsid w:val="144E5BAF"/>
    <w:rsid w:val="145B077C"/>
    <w:rsid w:val="145C3014"/>
    <w:rsid w:val="146468F2"/>
    <w:rsid w:val="14681A9C"/>
    <w:rsid w:val="148F7029"/>
    <w:rsid w:val="14B7032D"/>
    <w:rsid w:val="14C64A14"/>
    <w:rsid w:val="14EA0703"/>
    <w:rsid w:val="14EA0CE2"/>
    <w:rsid w:val="14F851C2"/>
    <w:rsid w:val="14FE7D0A"/>
    <w:rsid w:val="15210EC9"/>
    <w:rsid w:val="15347304"/>
    <w:rsid w:val="153B4ABB"/>
    <w:rsid w:val="15567B46"/>
    <w:rsid w:val="156E0D26"/>
    <w:rsid w:val="15BA72A7"/>
    <w:rsid w:val="15D64555"/>
    <w:rsid w:val="16027A14"/>
    <w:rsid w:val="161B46C1"/>
    <w:rsid w:val="16257519"/>
    <w:rsid w:val="16322361"/>
    <w:rsid w:val="164B3423"/>
    <w:rsid w:val="164D5A8C"/>
    <w:rsid w:val="166E441A"/>
    <w:rsid w:val="16747EC8"/>
    <w:rsid w:val="168502D2"/>
    <w:rsid w:val="16B207CA"/>
    <w:rsid w:val="16BE59A3"/>
    <w:rsid w:val="16CF7BB0"/>
    <w:rsid w:val="16DB743F"/>
    <w:rsid w:val="17033CFE"/>
    <w:rsid w:val="17081314"/>
    <w:rsid w:val="170E6F47"/>
    <w:rsid w:val="172D1EFE"/>
    <w:rsid w:val="17610DD7"/>
    <w:rsid w:val="176E475F"/>
    <w:rsid w:val="17791F0D"/>
    <w:rsid w:val="178D23B1"/>
    <w:rsid w:val="17B4053D"/>
    <w:rsid w:val="17BC42A7"/>
    <w:rsid w:val="17DD79D1"/>
    <w:rsid w:val="17FF12D5"/>
    <w:rsid w:val="181A30AD"/>
    <w:rsid w:val="182B589C"/>
    <w:rsid w:val="185365BF"/>
    <w:rsid w:val="188B7E6A"/>
    <w:rsid w:val="18910E95"/>
    <w:rsid w:val="189A5F9C"/>
    <w:rsid w:val="18E667DE"/>
    <w:rsid w:val="190B1AB7"/>
    <w:rsid w:val="190E1E92"/>
    <w:rsid w:val="19233C8E"/>
    <w:rsid w:val="193E2DCB"/>
    <w:rsid w:val="194B4539"/>
    <w:rsid w:val="19677F5C"/>
    <w:rsid w:val="19AA0461"/>
    <w:rsid w:val="19EF3664"/>
    <w:rsid w:val="1A254830"/>
    <w:rsid w:val="1A302494"/>
    <w:rsid w:val="1A5D1977"/>
    <w:rsid w:val="1A8E78C8"/>
    <w:rsid w:val="1A914D5C"/>
    <w:rsid w:val="1A9B5FFB"/>
    <w:rsid w:val="1AD80FFE"/>
    <w:rsid w:val="1AED6666"/>
    <w:rsid w:val="1B292529"/>
    <w:rsid w:val="1B6346C3"/>
    <w:rsid w:val="1B9D23D8"/>
    <w:rsid w:val="1BB9498B"/>
    <w:rsid w:val="1BD96DDB"/>
    <w:rsid w:val="1BF93245"/>
    <w:rsid w:val="1C250273"/>
    <w:rsid w:val="1C2529FF"/>
    <w:rsid w:val="1C2F2E9F"/>
    <w:rsid w:val="1C427076"/>
    <w:rsid w:val="1C522596"/>
    <w:rsid w:val="1C682359"/>
    <w:rsid w:val="1C6E1BB9"/>
    <w:rsid w:val="1C6F14EE"/>
    <w:rsid w:val="1CB21AAA"/>
    <w:rsid w:val="1CD777BF"/>
    <w:rsid w:val="1D2B18B9"/>
    <w:rsid w:val="1D2E8DEA"/>
    <w:rsid w:val="1D30711C"/>
    <w:rsid w:val="1D4027B3"/>
    <w:rsid w:val="1D57445C"/>
    <w:rsid w:val="1D7414B2"/>
    <w:rsid w:val="1D815FCC"/>
    <w:rsid w:val="1D927B8A"/>
    <w:rsid w:val="1DCA2E80"/>
    <w:rsid w:val="1E340C41"/>
    <w:rsid w:val="1E403142"/>
    <w:rsid w:val="1E781388"/>
    <w:rsid w:val="1EA47B74"/>
    <w:rsid w:val="1EAE454F"/>
    <w:rsid w:val="1EB15DEE"/>
    <w:rsid w:val="1EC51899"/>
    <w:rsid w:val="1EEF7754"/>
    <w:rsid w:val="1EEF7BF1"/>
    <w:rsid w:val="1EF92022"/>
    <w:rsid w:val="1F27593E"/>
    <w:rsid w:val="1F332CA6"/>
    <w:rsid w:val="1F394761"/>
    <w:rsid w:val="1F6B7C4E"/>
    <w:rsid w:val="1F9BB067"/>
    <w:rsid w:val="1F9F033C"/>
    <w:rsid w:val="1FC81641"/>
    <w:rsid w:val="1FE78E98"/>
    <w:rsid w:val="1FF64400"/>
    <w:rsid w:val="200655C0"/>
    <w:rsid w:val="205F2CEC"/>
    <w:rsid w:val="207417C9"/>
    <w:rsid w:val="209AA307"/>
    <w:rsid w:val="20AA3CDC"/>
    <w:rsid w:val="20AA4897"/>
    <w:rsid w:val="20B23D8A"/>
    <w:rsid w:val="20E80E3E"/>
    <w:rsid w:val="20ED23DE"/>
    <w:rsid w:val="20FD531A"/>
    <w:rsid w:val="218B0B78"/>
    <w:rsid w:val="21963DD8"/>
    <w:rsid w:val="21A36214"/>
    <w:rsid w:val="21A41270"/>
    <w:rsid w:val="21A734D8"/>
    <w:rsid w:val="21B24310"/>
    <w:rsid w:val="21CF5542"/>
    <w:rsid w:val="21E430C8"/>
    <w:rsid w:val="21F030D1"/>
    <w:rsid w:val="2221328A"/>
    <w:rsid w:val="22462A8A"/>
    <w:rsid w:val="22574EFE"/>
    <w:rsid w:val="22696FF6"/>
    <w:rsid w:val="227F6D14"/>
    <w:rsid w:val="229F2035"/>
    <w:rsid w:val="22E52653"/>
    <w:rsid w:val="22E83DA8"/>
    <w:rsid w:val="23006025"/>
    <w:rsid w:val="230C1C0F"/>
    <w:rsid w:val="231132FF"/>
    <w:rsid w:val="23531B69"/>
    <w:rsid w:val="23664217"/>
    <w:rsid w:val="23A44173"/>
    <w:rsid w:val="23A5639B"/>
    <w:rsid w:val="23A67435"/>
    <w:rsid w:val="23FE3883"/>
    <w:rsid w:val="240F5A90"/>
    <w:rsid w:val="243A63CC"/>
    <w:rsid w:val="2460453E"/>
    <w:rsid w:val="246C10ED"/>
    <w:rsid w:val="248F6BD1"/>
    <w:rsid w:val="249F3FA9"/>
    <w:rsid w:val="24A6162C"/>
    <w:rsid w:val="24C745BD"/>
    <w:rsid w:val="24D15CFF"/>
    <w:rsid w:val="25967212"/>
    <w:rsid w:val="25A84F00"/>
    <w:rsid w:val="25D5565D"/>
    <w:rsid w:val="25FC2044"/>
    <w:rsid w:val="260171A4"/>
    <w:rsid w:val="260F2A28"/>
    <w:rsid w:val="26176E7E"/>
    <w:rsid w:val="263317DE"/>
    <w:rsid w:val="26353763"/>
    <w:rsid w:val="26430E98"/>
    <w:rsid w:val="265D00EF"/>
    <w:rsid w:val="26606A77"/>
    <w:rsid w:val="26697889"/>
    <w:rsid w:val="26BE19EF"/>
    <w:rsid w:val="26CD2FFD"/>
    <w:rsid w:val="26E24FAE"/>
    <w:rsid w:val="26E54CCC"/>
    <w:rsid w:val="27027B2E"/>
    <w:rsid w:val="27037402"/>
    <w:rsid w:val="274C0B77"/>
    <w:rsid w:val="27700358"/>
    <w:rsid w:val="27734588"/>
    <w:rsid w:val="27B55939"/>
    <w:rsid w:val="27BF3C98"/>
    <w:rsid w:val="27D41431"/>
    <w:rsid w:val="27DA0163"/>
    <w:rsid w:val="27EB8E2B"/>
    <w:rsid w:val="28150C75"/>
    <w:rsid w:val="286F3F95"/>
    <w:rsid w:val="287B7F79"/>
    <w:rsid w:val="28882E95"/>
    <w:rsid w:val="28D92B11"/>
    <w:rsid w:val="291C47AB"/>
    <w:rsid w:val="291C498D"/>
    <w:rsid w:val="294F2DD3"/>
    <w:rsid w:val="295F7A92"/>
    <w:rsid w:val="29CD4DD1"/>
    <w:rsid w:val="2A0E5EAF"/>
    <w:rsid w:val="2A352282"/>
    <w:rsid w:val="2A4346E5"/>
    <w:rsid w:val="2A445BEE"/>
    <w:rsid w:val="2A5A1A2F"/>
    <w:rsid w:val="2A810D6A"/>
    <w:rsid w:val="2A95145F"/>
    <w:rsid w:val="2AB27175"/>
    <w:rsid w:val="2ADA5A13"/>
    <w:rsid w:val="2AE65071"/>
    <w:rsid w:val="2AE954E2"/>
    <w:rsid w:val="2AF552B4"/>
    <w:rsid w:val="2B0674C1"/>
    <w:rsid w:val="2B342280"/>
    <w:rsid w:val="2B353322"/>
    <w:rsid w:val="2B3D7387"/>
    <w:rsid w:val="2B410A44"/>
    <w:rsid w:val="2B8723B0"/>
    <w:rsid w:val="2BAF1907"/>
    <w:rsid w:val="2BB56ADD"/>
    <w:rsid w:val="2BB9468C"/>
    <w:rsid w:val="2BC2163A"/>
    <w:rsid w:val="2BD73CFD"/>
    <w:rsid w:val="2C2422F5"/>
    <w:rsid w:val="2C33078A"/>
    <w:rsid w:val="2C41042A"/>
    <w:rsid w:val="2C425EFD"/>
    <w:rsid w:val="2C4604BD"/>
    <w:rsid w:val="2C526E62"/>
    <w:rsid w:val="2C5A5D16"/>
    <w:rsid w:val="2CE101E6"/>
    <w:rsid w:val="2D192671"/>
    <w:rsid w:val="2D2B11A0"/>
    <w:rsid w:val="2D3362D8"/>
    <w:rsid w:val="2D4973F6"/>
    <w:rsid w:val="2D4E1B93"/>
    <w:rsid w:val="2D546C0A"/>
    <w:rsid w:val="2D5B7F98"/>
    <w:rsid w:val="2D614E83"/>
    <w:rsid w:val="2DD077B2"/>
    <w:rsid w:val="2DEFF083"/>
    <w:rsid w:val="2DF301D1"/>
    <w:rsid w:val="2DFF5DA1"/>
    <w:rsid w:val="2E2959A0"/>
    <w:rsid w:val="2E4B3B69"/>
    <w:rsid w:val="2E615CCD"/>
    <w:rsid w:val="2E67258C"/>
    <w:rsid w:val="2E935510"/>
    <w:rsid w:val="2E9E7A29"/>
    <w:rsid w:val="2EB034A2"/>
    <w:rsid w:val="2EB2280B"/>
    <w:rsid w:val="2EF25B3B"/>
    <w:rsid w:val="2EFF7694"/>
    <w:rsid w:val="2F2A1F1F"/>
    <w:rsid w:val="2F3445FD"/>
    <w:rsid w:val="2F37730B"/>
    <w:rsid w:val="2F52C8CD"/>
    <w:rsid w:val="2F6A44C2"/>
    <w:rsid w:val="2F9B0DA1"/>
    <w:rsid w:val="2FB71039"/>
    <w:rsid w:val="2FEF999A"/>
    <w:rsid w:val="2FF11F73"/>
    <w:rsid w:val="2FFC4FB3"/>
    <w:rsid w:val="2FFE204F"/>
    <w:rsid w:val="300E12F2"/>
    <w:rsid w:val="30131B4A"/>
    <w:rsid w:val="302610FC"/>
    <w:rsid w:val="3043586B"/>
    <w:rsid w:val="3058256D"/>
    <w:rsid w:val="30766E97"/>
    <w:rsid w:val="30A167EC"/>
    <w:rsid w:val="30B71989"/>
    <w:rsid w:val="30D4381A"/>
    <w:rsid w:val="30D51E0F"/>
    <w:rsid w:val="30E00FBA"/>
    <w:rsid w:val="30E33504"/>
    <w:rsid w:val="31056D27"/>
    <w:rsid w:val="310B6BF3"/>
    <w:rsid w:val="311C17EC"/>
    <w:rsid w:val="31A627B9"/>
    <w:rsid w:val="31F60A7B"/>
    <w:rsid w:val="32222E32"/>
    <w:rsid w:val="32236C2E"/>
    <w:rsid w:val="32364B30"/>
    <w:rsid w:val="3239682C"/>
    <w:rsid w:val="329029CD"/>
    <w:rsid w:val="32DD4C92"/>
    <w:rsid w:val="32F300B3"/>
    <w:rsid w:val="32FF16D9"/>
    <w:rsid w:val="330B2C8D"/>
    <w:rsid w:val="33154745"/>
    <w:rsid w:val="333026F2"/>
    <w:rsid w:val="335D7410"/>
    <w:rsid w:val="336D3EA4"/>
    <w:rsid w:val="33952BAB"/>
    <w:rsid w:val="33A31D51"/>
    <w:rsid w:val="33C64EB5"/>
    <w:rsid w:val="33CA4B58"/>
    <w:rsid w:val="33F269F0"/>
    <w:rsid w:val="34125129"/>
    <w:rsid w:val="343E641F"/>
    <w:rsid w:val="344E43B3"/>
    <w:rsid w:val="34555AE2"/>
    <w:rsid w:val="348F7C0D"/>
    <w:rsid w:val="34975BAA"/>
    <w:rsid w:val="34A06D5B"/>
    <w:rsid w:val="34C74165"/>
    <w:rsid w:val="34E751DD"/>
    <w:rsid w:val="352F64C7"/>
    <w:rsid w:val="35654141"/>
    <w:rsid w:val="35BE2E72"/>
    <w:rsid w:val="35C012AA"/>
    <w:rsid w:val="35C249F4"/>
    <w:rsid w:val="35FF03F3"/>
    <w:rsid w:val="363D6170"/>
    <w:rsid w:val="36525CB0"/>
    <w:rsid w:val="3653F2A1"/>
    <w:rsid w:val="368F480F"/>
    <w:rsid w:val="36C546D4"/>
    <w:rsid w:val="36FF95E9"/>
    <w:rsid w:val="37022837"/>
    <w:rsid w:val="37023232"/>
    <w:rsid w:val="37205FF6"/>
    <w:rsid w:val="375004A1"/>
    <w:rsid w:val="376C68FE"/>
    <w:rsid w:val="377E5D65"/>
    <w:rsid w:val="37865C12"/>
    <w:rsid w:val="379215C2"/>
    <w:rsid w:val="37A54344"/>
    <w:rsid w:val="37BC7885"/>
    <w:rsid w:val="37BFE76B"/>
    <w:rsid w:val="37EE37B7"/>
    <w:rsid w:val="37FE7A4C"/>
    <w:rsid w:val="37FF581F"/>
    <w:rsid w:val="382947EF"/>
    <w:rsid w:val="38624A88"/>
    <w:rsid w:val="38890542"/>
    <w:rsid w:val="38B95B73"/>
    <w:rsid w:val="38DC3EDC"/>
    <w:rsid w:val="38FA68B7"/>
    <w:rsid w:val="38FF8067"/>
    <w:rsid w:val="391B4A7F"/>
    <w:rsid w:val="39202096"/>
    <w:rsid w:val="39394B01"/>
    <w:rsid w:val="396E2E01"/>
    <w:rsid w:val="39897C3B"/>
    <w:rsid w:val="39E515E2"/>
    <w:rsid w:val="39F50E2C"/>
    <w:rsid w:val="3A1C6F0B"/>
    <w:rsid w:val="3A5169AB"/>
    <w:rsid w:val="3A6164C2"/>
    <w:rsid w:val="3A6C5593"/>
    <w:rsid w:val="3A950543"/>
    <w:rsid w:val="3A9E7716"/>
    <w:rsid w:val="3AA245C8"/>
    <w:rsid w:val="3AC4360F"/>
    <w:rsid w:val="3ADA56C8"/>
    <w:rsid w:val="3B00217F"/>
    <w:rsid w:val="3B2927FD"/>
    <w:rsid w:val="3B3629F5"/>
    <w:rsid w:val="3B3E6803"/>
    <w:rsid w:val="3B3E6D79"/>
    <w:rsid w:val="3B5D4EDB"/>
    <w:rsid w:val="3B6B0053"/>
    <w:rsid w:val="3B6F1954"/>
    <w:rsid w:val="3B7A783B"/>
    <w:rsid w:val="3B7DF2D0"/>
    <w:rsid w:val="3B7EE5AA"/>
    <w:rsid w:val="3B7F466D"/>
    <w:rsid w:val="3B855DC3"/>
    <w:rsid w:val="3B915BA1"/>
    <w:rsid w:val="3B974891"/>
    <w:rsid w:val="3BD21711"/>
    <w:rsid w:val="3BD80F0D"/>
    <w:rsid w:val="3BE3722B"/>
    <w:rsid w:val="3BFE1C84"/>
    <w:rsid w:val="3C101E11"/>
    <w:rsid w:val="3C1C4D96"/>
    <w:rsid w:val="3C215F09"/>
    <w:rsid w:val="3C31001D"/>
    <w:rsid w:val="3C3420E0"/>
    <w:rsid w:val="3C4B11D8"/>
    <w:rsid w:val="3CB17B75"/>
    <w:rsid w:val="3CB91F42"/>
    <w:rsid w:val="3CDD2778"/>
    <w:rsid w:val="3CF10CB8"/>
    <w:rsid w:val="3D0013C3"/>
    <w:rsid w:val="3D3759B4"/>
    <w:rsid w:val="3D475E43"/>
    <w:rsid w:val="3D503812"/>
    <w:rsid w:val="3D7F382F"/>
    <w:rsid w:val="3D8535BC"/>
    <w:rsid w:val="3D89020A"/>
    <w:rsid w:val="3D9B4E64"/>
    <w:rsid w:val="3DA36766"/>
    <w:rsid w:val="3DAF6D30"/>
    <w:rsid w:val="3DC54FBA"/>
    <w:rsid w:val="3DDFDBB8"/>
    <w:rsid w:val="3DE752B6"/>
    <w:rsid w:val="3DF55FDA"/>
    <w:rsid w:val="3DFF1BF4"/>
    <w:rsid w:val="3E496856"/>
    <w:rsid w:val="3E6B3DB3"/>
    <w:rsid w:val="3E90273A"/>
    <w:rsid w:val="3EA0490B"/>
    <w:rsid w:val="3EA352FB"/>
    <w:rsid w:val="3EAB3083"/>
    <w:rsid w:val="3EBE3EE3"/>
    <w:rsid w:val="3EE33949"/>
    <w:rsid w:val="3EF97772"/>
    <w:rsid w:val="3F0833B0"/>
    <w:rsid w:val="3F0C56F1"/>
    <w:rsid w:val="3F2859A4"/>
    <w:rsid w:val="3F3C7CCF"/>
    <w:rsid w:val="3F481E53"/>
    <w:rsid w:val="3F4EA8C7"/>
    <w:rsid w:val="3F772301"/>
    <w:rsid w:val="3F8C5D8F"/>
    <w:rsid w:val="3F99F472"/>
    <w:rsid w:val="3FB5FC63"/>
    <w:rsid w:val="3FB9489A"/>
    <w:rsid w:val="3FBDAE64"/>
    <w:rsid w:val="3FD00372"/>
    <w:rsid w:val="3FDB1CFB"/>
    <w:rsid w:val="3FDD483D"/>
    <w:rsid w:val="3FDE1B26"/>
    <w:rsid w:val="3FE07E89"/>
    <w:rsid w:val="3FEF3B18"/>
    <w:rsid w:val="3FEF672B"/>
    <w:rsid w:val="3FFB5D6F"/>
    <w:rsid w:val="3FFFC227"/>
    <w:rsid w:val="400973E0"/>
    <w:rsid w:val="402F62AF"/>
    <w:rsid w:val="40381E59"/>
    <w:rsid w:val="40511990"/>
    <w:rsid w:val="405A7C3B"/>
    <w:rsid w:val="407D110C"/>
    <w:rsid w:val="40B05AAD"/>
    <w:rsid w:val="411B561D"/>
    <w:rsid w:val="41326E0A"/>
    <w:rsid w:val="41361B95"/>
    <w:rsid w:val="413E093E"/>
    <w:rsid w:val="41615656"/>
    <w:rsid w:val="41A35612"/>
    <w:rsid w:val="41D16B27"/>
    <w:rsid w:val="41F95234"/>
    <w:rsid w:val="421C7965"/>
    <w:rsid w:val="42246753"/>
    <w:rsid w:val="42821D81"/>
    <w:rsid w:val="428F6994"/>
    <w:rsid w:val="429E2606"/>
    <w:rsid w:val="42A15FF5"/>
    <w:rsid w:val="42B84769"/>
    <w:rsid w:val="42D37DB5"/>
    <w:rsid w:val="42D55690"/>
    <w:rsid w:val="42D95A89"/>
    <w:rsid w:val="42DE3E28"/>
    <w:rsid w:val="431C567C"/>
    <w:rsid w:val="432A0F5D"/>
    <w:rsid w:val="435B43F6"/>
    <w:rsid w:val="436F224D"/>
    <w:rsid w:val="439971FA"/>
    <w:rsid w:val="43A833B4"/>
    <w:rsid w:val="43AC4BC8"/>
    <w:rsid w:val="43BD6E5F"/>
    <w:rsid w:val="43E7D58F"/>
    <w:rsid w:val="43F145EB"/>
    <w:rsid w:val="43F41FD8"/>
    <w:rsid w:val="440209A9"/>
    <w:rsid w:val="4416656F"/>
    <w:rsid w:val="4435496C"/>
    <w:rsid w:val="445C3E94"/>
    <w:rsid w:val="44755E63"/>
    <w:rsid w:val="44777F27"/>
    <w:rsid w:val="44940CBB"/>
    <w:rsid w:val="44D65FFB"/>
    <w:rsid w:val="44EE0607"/>
    <w:rsid w:val="45140676"/>
    <w:rsid w:val="45237196"/>
    <w:rsid w:val="452751D7"/>
    <w:rsid w:val="454964D0"/>
    <w:rsid w:val="457271D8"/>
    <w:rsid w:val="457E75E3"/>
    <w:rsid w:val="45AA2379"/>
    <w:rsid w:val="45E67EBA"/>
    <w:rsid w:val="46152C5A"/>
    <w:rsid w:val="46184235"/>
    <w:rsid w:val="461A0599"/>
    <w:rsid w:val="461B60BF"/>
    <w:rsid w:val="4649255C"/>
    <w:rsid w:val="469320F9"/>
    <w:rsid w:val="469C746C"/>
    <w:rsid w:val="46A94E8A"/>
    <w:rsid w:val="46BF3A49"/>
    <w:rsid w:val="46C52A34"/>
    <w:rsid w:val="46FF4A35"/>
    <w:rsid w:val="472015A9"/>
    <w:rsid w:val="47395A2D"/>
    <w:rsid w:val="474A1054"/>
    <w:rsid w:val="477B1C6C"/>
    <w:rsid w:val="47867568"/>
    <w:rsid w:val="478E7B89"/>
    <w:rsid w:val="47AC620A"/>
    <w:rsid w:val="47BFA5F8"/>
    <w:rsid w:val="48180B08"/>
    <w:rsid w:val="48515DC8"/>
    <w:rsid w:val="48896445"/>
    <w:rsid w:val="48FF3A76"/>
    <w:rsid w:val="490168B9"/>
    <w:rsid w:val="494F00DB"/>
    <w:rsid w:val="497850F1"/>
    <w:rsid w:val="49997A26"/>
    <w:rsid w:val="49A14F1A"/>
    <w:rsid w:val="49F70BF1"/>
    <w:rsid w:val="4A0751ED"/>
    <w:rsid w:val="4A275032"/>
    <w:rsid w:val="4A2925E2"/>
    <w:rsid w:val="4A571003"/>
    <w:rsid w:val="4A65673D"/>
    <w:rsid w:val="4A6A4F5B"/>
    <w:rsid w:val="4A6C027D"/>
    <w:rsid w:val="4A803F35"/>
    <w:rsid w:val="4A993E51"/>
    <w:rsid w:val="4AA04DE4"/>
    <w:rsid w:val="4AAA7A11"/>
    <w:rsid w:val="4ABD14F2"/>
    <w:rsid w:val="4AC51801"/>
    <w:rsid w:val="4ACC3E2B"/>
    <w:rsid w:val="4AEE11D5"/>
    <w:rsid w:val="4AF313B8"/>
    <w:rsid w:val="4AF32BD9"/>
    <w:rsid w:val="4B4A3BBE"/>
    <w:rsid w:val="4B4F8AF6"/>
    <w:rsid w:val="4B6EEB0B"/>
    <w:rsid w:val="4B7A64BC"/>
    <w:rsid w:val="4BA426B2"/>
    <w:rsid w:val="4BA60AB1"/>
    <w:rsid w:val="4BAF1783"/>
    <w:rsid w:val="4BC114B6"/>
    <w:rsid w:val="4BC93EC7"/>
    <w:rsid w:val="4BE34546"/>
    <w:rsid w:val="4BF94C2F"/>
    <w:rsid w:val="4C243266"/>
    <w:rsid w:val="4C906769"/>
    <w:rsid w:val="4C910E89"/>
    <w:rsid w:val="4C96649F"/>
    <w:rsid w:val="4CB24DE4"/>
    <w:rsid w:val="4CE74F4D"/>
    <w:rsid w:val="4CFA1B21"/>
    <w:rsid w:val="4D0004C0"/>
    <w:rsid w:val="4D1473C4"/>
    <w:rsid w:val="4D1A2C2C"/>
    <w:rsid w:val="4D6B792C"/>
    <w:rsid w:val="4D774610"/>
    <w:rsid w:val="4D9B3EA0"/>
    <w:rsid w:val="4DAD3AA0"/>
    <w:rsid w:val="4DDF102B"/>
    <w:rsid w:val="4DE33966"/>
    <w:rsid w:val="4E1753BE"/>
    <w:rsid w:val="4E1844A1"/>
    <w:rsid w:val="4E186580"/>
    <w:rsid w:val="4E506600"/>
    <w:rsid w:val="4E5E1120"/>
    <w:rsid w:val="4E74636C"/>
    <w:rsid w:val="4E9208C3"/>
    <w:rsid w:val="4EA514DE"/>
    <w:rsid w:val="4EB46398"/>
    <w:rsid w:val="4EBF68E0"/>
    <w:rsid w:val="4EDE6657"/>
    <w:rsid w:val="4EF65F7D"/>
    <w:rsid w:val="4F013C41"/>
    <w:rsid w:val="4F226DC8"/>
    <w:rsid w:val="4F234ACC"/>
    <w:rsid w:val="4F2A7373"/>
    <w:rsid w:val="4F2E6E63"/>
    <w:rsid w:val="4F3E697A"/>
    <w:rsid w:val="4F6351A5"/>
    <w:rsid w:val="4F730D1A"/>
    <w:rsid w:val="4F7F44DF"/>
    <w:rsid w:val="4F8D5C0A"/>
    <w:rsid w:val="4F9F1AD3"/>
    <w:rsid w:val="4FA71C3F"/>
    <w:rsid w:val="4FBA3692"/>
    <w:rsid w:val="4FBF7ABB"/>
    <w:rsid w:val="4FCE41A2"/>
    <w:rsid w:val="4FE15C83"/>
    <w:rsid w:val="4FF24139"/>
    <w:rsid w:val="4FFC2ABD"/>
    <w:rsid w:val="4FFF61D6"/>
    <w:rsid w:val="501C6CBB"/>
    <w:rsid w:val="505C668F"/>
    <w:rsid w:val="50601F36"/>
    <w:rsid w:val="50964CC0"/>
    <w:rsid w:val="50970A38"/>
    <w:rsid w:val="50E318EA"/>
    <w:rsid w:val="50FE0AB7"/>
    <w:rsid w:val="512978E2"/>
    <w:rsid w:val="51346847"/>
    <w:rsid w:val="515D758B"/>
    <w:rsid w:val="516656FF"/>
    <w:rsid w:val="516C5CF7"/>
    <w:rsid w:val="51867B3E"/>
    <w:rsid w:val="519D3E2C"/>
    <w:rsid w:val="51A575B0"/>
    <w:rsid w:val="51CB0999"/>
    <w:rsid w:val="51EE606E"/>
    <w:rsid w:val="51FB7040"/>
    <w:rsid w:val="51FF4AE6"/>
    <w:rsid w:val="520774F7"/>
    <w:rsid w:val="52293911"/>
    <w:rsid w:val="525B75EF"/>
    <w:rsid w:val="52666914"/>
    <w:rsid w:val="5267529D"/>
    <w:rsid w:val="5280739A"/>
    <w:rsid w:val="5292552E"/>
    <w:rsid w:val="5295DFBA"/>
    <w:rsid w:val="52965BDA"/>
    <w:rsid w:val="52D57B0C"/>
    <w:rsid w:val="52DB2E5E"/>
    <w:rsid w:val="53135B7C"/>
    <w:rsid w:val="532D14B4"/>
    <w:rsid w:val="53682217"/>
    <w:rsid w:val="53896E64"/>
    <w:rsid w:val="539E5C7C"/>
    <w:rsid w:val="53A6051D"/>
    <w:rsid w:val="53AF2171"/>
    <w:rsid w:val="53B60FA0"/>
    <w:rsid w:val="53B92BD0"/>
    <w:rsid w:val="53C27B7A"/>
    <w:rsid w:val="53D73F29"/>
    <w:rsid w:val="53DE6F02"/>
    <w:rsid w:val="53E61F03"/>
    <w:rsid w:val="53FB61F8"/>
    <w:rsid w:val="5482532E"/>
    <w:rsid w:val="54865292"/>
    <w:rsid w:val="54A07B2F"/>
    <w:rsid w:val="54BE5581"/>
    <w:rsid w:val="54C1727B"/>
    <w:rsid w:val="54C343AC"/>
    <w:rsid w:val="54E67898"/>
    <w:rsid w:val="54E85F39"/>
    <w:rsid w:val="550C37A2"/>
    <w:rsid w:val="55124B31"/>
    <w:rsid w:val="55143636"/>
    <w:rsid w:val="553757FC"/>
    <w:rsid w:val="553D3D8D"/>
    <w:rsid w:val="557AA1CE"/>
    <w:rsid w:val="55903927"/>
    <w:rsid w:val="55E730EC"/>
    <w:rsid w:val="55EE2EA8"/>
    <w:rsid w:val="56375148"/>
    <w:rsid w:val="566C351B"/>
    <w:rsid w:val="566D64C3"/>
    <w:rsid w:val="56737851"/>
    <w:rsid w:val="567479AC"/>
    <w:rsid w:val="568E30E4"/>
    <w:rsid w:val="571006E4"/>
    <w:rsid w:val="57266671"/>
    <w:rsid w:val="5741444A"/>
    <w:rsid w:val="57A202BD"/>
    <w:rsid w:val="57A90528"/>
    <w:rsid w:val="57AD5E8E"/>
    <w:rsid w:val="57B20399"/>
    <w:rsid w:val="57BF2117"/>
    <w:rsid w:val="57C91622"/>
    <w:rsid w:val="57D7B1B6"/>
    <w:rsid w:val="57EA3B43"/>
    <w:rsid w:val="57F95B34"/>
    <w:rsid w:val="57FDB2E3"/>
    <w:rsid w:val="57FF2019"/>
    <w:rsid w:val="57FF82DE"/>
    <w:rsid w:val="58296419"/>
    <w:rsid w:val="583D01CF"/>
    <w:rsid w:val="58403763"/>
    <w:rsid w:val="584E5E80"/>
    <w:rsid w:val="58A43CF2"/>
    <w:rsid w:val="58C63C68"/>
    <w:rsid w:val="58D50A2B"/>
    <w:rsid w:val="590F4B6C"/>
    <w:rsid w:val="591E3200"/>
    <w:rsid w:val="594E4450"/>
    <w:rsid w:val="59653974"/>
    <w:rsid w:val="596E5417"/>
    <w:rsid w:val="599F1E4E"/>
    <w:rsid w:val="59C26261"/>
    <w:rsid w:val="59D93E6F"/>
    <w:rsid w:val="5A0013FC"/>
    <w:rsid w:val="5A407A4A"/>
    <w:rsid w:val="5A4E09B0"/>
    <w:rsid w:val="5A4F0DF0"/>
    <w:rsid w:val="5A580917"/>
    <w:rsid w:val="5A793759"/>
    <w:rsid w:val="5A7B0A82"/>
    <w:rsid w:val="5AA44386"/>
    <w:rsid w:val="5ABA15AB"/>
    <w:rsid w:val="5ACD5782"/>
    <w:rsid w:val="5AE26D53"/>
    <w:rsid w:val="5B01367D"/>
    <w:rsid w:val="5B052595"/>
    <w:rsid w:val="5B1834F7"/>
    <w:rsid w:val="5B37B924"/>
    <w:rsid w:val="5B6616B1"/>
    <w:rsid w:val="5B6A0439"/>
    <w:rsid w:val="5B8C1B58"/>
    <w:rsid w:val="5B8C2796"/>
    <w:rsid w:val="5BBB7CD0"/>
    <w:rsid w:val="5BC45BB8"/>
    <w:rsid w:val="5BC663F6"/>
    <w:rsid w:val="5BD743DE"/>
    <w:rsid w:val="5BDE7A7B"/>
    <w:rsid w:val="5BF60D08"/>
    <w:rsid w:val="5BF747D2"/>
    <w:rsid w:val="5BFFF259"/>
    <w:rsid w:val="5C0C052C"/>
    <w:rsid w:val="5C21669E"/>
    <w:rsid w:val="5C2529CD"/>
    <w:rsid w:val="5C36447F"/>
    <w:rsid w:val="5C473312"/>
    <w:rsid w:val="5C4D4754"/>
    <w:rsid w:val="5C515CA6"/>
    <w:rsid w:val="5C5F2FE5"/>
    <w:rsid w:val="5C69772C"/>
    <w:rsid w:val="5C6F429B"/>
    <w:rsid w:val="5C700ABB"/>
    <w:rsid w:val="5C9723EB"/>
    <w:rsid w:val="5C9C6B0B"/>
    <w:rsid w:val="5CCE6402"/>
    <w:rsid w:val="5D1256CE"/>
    <w:rsid w:val="5D1A517B"/>
    <w:rsid w:val="5D685C9F"/>
    <w:rsid w:val="5E343D6A"/>
    <w:rsid w:val="5E3EB2B9"/>
    <w:rsid w:val="5E436EA1"/>
    <w:rsid w:val="5E483371"/>
    <w:rsid w:val="5E5178E6"/>
    <w:rsid w:val="5E6737F7"/>
    <w:rsid w:val="5E912913"/>
    <w:rsid w:val="5E9F5687"/>
    <w:rsid w:val="5EB729BA"/>
    <w:rsid w:val="5EF07C91"/>
    <w:rsid w:val="5F132FF0"/>
    <w:rsid w:val="5F1E0A25"/>
    <w:rsid w:val="5F485D1D"/>
    <w:rsid w:val="5F4B36E6"/>
    <w:rsid w:val="5F5F0972"/>
    <w:rsid w:val="5F8337DF"/>
    <w:rsid w:val="5FA12D39"/>
    <w:rsid w:val="5FBEF5EA"/>
    <w:rsid w:val="5FC609F2"/>
    <w:rsid w:val="5FD01870"/>
    <w:rsid w:val="5FDAC018"/>
    <w:rsid w:val="5FDE3A09"/>
    <w:rsid w:val="5FE77D07"/>
    <w:rsid w:val="5FFB25A4"/>
    <w:rsid w:val="5FFDA386"/>
    <w:rsid w:val="60211516"/>
    <w:rsid w:val="60382473"/>
    <w:rsid w:val="603B26DF"/>
    <w:rsid w:val="605E3790"/>
    <w:rsid w:val="607B17DC"/>
    <w:rsid w:val="607E751E"/>
    <w:rsid w:val="609B1E7E"/>
    <w:rsid w:val="609E3359"/>
    <w:rsid w:val="60D7770C"/>
    <w:rsid w:val="60E45417"/>
    <w:rsid w:val="60F34A0E"/>
    <w:rsid w:val="611340C0"/>
    <w:rsid w:val="61161505"/>
    <w:rsid w:val="613876CD"/>
    <w:rsid w:val="61507C7A"/>
    <w:rsid w:val="615A3AE7"/>
    <w:rsid w:val="616A6E87"/>
    <w:rsid w:val="61706E67"/>
    <w:rsid w:val="618437F6"/>
    <w:rsid w:val="618D7A19"/>
    <w:rsid w:val="618F2C11"/>
    <w:rsid w:val="61954B1F"/>
    <w:rsid w:val="61DD7373"/>
    <w:rsid w:val="61E45BE1"/>
    <w:rsid w:val="61F25ACE"/>
    <w:rsid w:val="61FC06FB"/>
    <w:rsid w:val="621E78AA"/>
    <w:rsid w:val="623B56C7"/>
    <w:rsid w:val="62BA44CC"/>
    <w:rsid w:val="62FE12AA"/>
    <w:rsid w:val="63052541"/>
    <w:rsid w:val="6315571A"/>
    <w:rsid w:val="631B5BBA"/>
    <w:rsid w:val="6341070D"/>
    <w:rsid w:val="634C56B2"/>
    <w:rsid w:val="63783F4E"/>
    <w:rsid w:val="637901FC"/>
    <w:rsid w:val="638C3E3F"/>
    <w:rsid w:val="63A075C4"/>
    <w:rsid w:val="6414740A"/>
    <w:rsid w:val="64296331"/>
    <w:rsid w:val="64427DEE"/>
    <w:rsid w:val="645F480D"/>
    <w:rsid w:val="647E0C16"/>
    <w:rsid w:val="64C64FF0"/>
    <w:rsid w:val="64E421D7"/>
    <w:rsid w:val="65000502"/>
    <w:rsid w:val="653178FB"/>
    <w:rsid w:val="653D3504"/>
    <w:rsid w:val="656F2D97"/>
    <w:rsid w:val="658E3D60"/>
    <w:rsid w:val="65975ABE"/>
    <w:rsid w:val="659F785F"/>
    <w:rsid w:val="65E358B9"/>
    <w:rsid w:val="65F4293E"/>
    <w:rsid w:val="65FC3B45"/>
    <w:rsid w:val="660F72D8"/>
    <w:rsid w:val="665D31A6"/>
    <w:rsid w:val="66903B07"/>
    <w:rsid w:val="66955B0C"/>
    <w:rsid w:val="66B71094"/>
    <w:rsid w:val="66E942D9"/>
    <w:rsid w:val="6721001D"/>
    <w:rsid w:val="67260692"/>
    <w:rsid w:val="67334BBF"/>
    <w:rsid w:val="6739419F"/>
    <w:rsid w:val="674768BC"/>
    <w:rsid w:val="678629DB"/>
    <w:rsid w:val="679B4656"/>
    <w:rsid w:val="679F2254"/>
    <w:rsid w:val="67B101D9"/>
    <w:rsid w:val="67C47140"/>
    <w:rsid w:val="67DBF6F7"/>
    <w:rsid w:val="682E5386"/>
    <w:rsid w:val="686543A4"/>
    <w:rsid w:val="686F41A0"/>
    <w:rsid w:val="687E455F"/>
    <w:rsid w:val="68983D3B"/>
    <w:rsid w:val="68C13645"/>
    <w:rsid w:val="68CA77A4"/>
    <w:rsid w:val="68D12617"/>
    <w:rsid w:val="69117181"/>
    <w:rsid w:val="691B590A"/>
    <w:rsid w:val="6944742F"/>
    <w:rsid w:val="69BB6395"/>
    <w:rsid w:val="69E15F06"/>
    <w:rsid w:val="69F7E0E7"/>
    <w:rsid w:val="69F85C4B"/>
    <w:rsid w:val="69F9322D"/>
    <w:rsid w:val="6A010FA4"/>
    <w:rsid w:val="6A52203C"/>
    <w:rsid w:val="6A7C062B"/>
    <w:rsid w:val="6AAB0F10"/>
    <w:rsid w:val="6AC552D7"/>
    <w:rsid w:val="6AE85CC0"/>
    <w:rsid w:val="6B0A3E88"/>
    <w:rsid w:val="6B0B007F"/>
    <w:rsid w:val="6B5E20F3"/>
    <w:rsid w:val="6BB6110A"/>
    <w:rsid w:val="6BDB5825"/>
    <w:rsid w:val="6BEC17E0"/>
    <w:rsid w:val="6C134FBF"/>
    <w:rsid w:val="6C2C235F"/>
    <w:rsid w:val="6C3530C1"/>
    <w:rsid w:val="6C643B3D"/>
    <w:rsid w:val="6C7C7008"/>
    <w:rsid w:val="6CC369E5"/>
    <w:rsid w:val="6D152C7A"/>
    <w:rsid w:val="6D401DE3"/>
    <w:rsid w:val="6D5835D1"/>
    <w:rsid w:val="6D632B13"/>
    <w:rsid w:val="6D8A305E"/>
    <w:rsid w:val="6D8C6AB1"/>
    <w:rsid w:val="6DF1F0C5"/>
    <w:rsid w:val="6DF393E2"/>
    <w:rsid w:val="6E26547D"/>
    <w:rsid w:val="6E33F828"/>
    <w:rsid w:val="6E5518BE"/>
    <w:rsid w:val="6E583C75"/>
    <w:rsid w:val="6E7D7D3D"/>
    <w:rsid w:val="6E8A15D5"/>
    <w:rsid w:val="6E9835C9"/>
    <w:rsid w:val="6E9D0F19"/>
    <w:rsid w:val="6ED1AC0E"/>
    <w:rsid w:val="6ED70525"/>
    <w:rsid w:val="6EDE5352"/>
    <w:rsid w:val="6EEA46FD"/>
    <w:rsid w:val="6EFEB2C7"/>
    <w:rsid w:val="6F0118FB"/>
    <w:rsid w:val="6F0A035A"/>
    <w:rsid w:val="6F101C89"/>
    <w:rsid w:val="6F152D9A"/>
    <w:rsid w:val="6F1C6EED"/>
    <w:rsid w:val="6F5A2629"/>
    <w:rsid w:val="6F600666"/>
    <w:rsid w:val="6F8E194A"/>
    <w:rsid w:val="6F9F6E98"/>
    <w:rsid w:val="6FA64098"/>
    <w:rsid w:val="6FB25236"/>
    <w:rsid w:val="6FB865A9"/>
    <w:rsid w:val="6FC36621"/>
    <w:rsid w:val="6FDD49C0"/>
    <w:rsid w:val="6FFF7C0E"/>
    <w:rsid w:val="70131A31"/>
    <w:rsid w:val="70392DA9"/>
    <w:rsid w:val="7073599E"/>
    <w:rsid w:val="70736AC3"/>
    <w:rsid w:val="70A049F5"/>
    <w:rsid w:val="70A42689"/>
    <w:rsid w:val="70EA28C8"/>
    <w:rsid w:val="71063C92"/>
    <w:rsid w:val="712D1CC7"/>
    <w:rsid w:val="713F546E"/>
    <w:rsid w:val="715A7E1E"/>
    <w:rsid w:val="717858BC"/>
    <w:rsid w:val="71A566B9"/>
    <w:rsid w:val="71DB20DB"/>
    <w:rsid w:val="71E33685"/>
    <w:rsid w:val="72273572"/>
    <w:rsid w:val="722C6DDA"/>
    <w:rsid w:val="72583E79"/>
    <w:rsid w:val="725A654C"/>
    <w:rsid w:val="72866229"/>
    <w:rsid w:val="72A434DA"/>
    <w:rsid w:val="72B764C2"/>
    <w:rsid w:val="72D1320C"/>
    <w:rsid w:val="72DFA3CD"/>
    <w:rsid w:val="72ED27F1"/>
    <w:rsid w:val="731C29AB"/>
    <w:rsid w:val="735E0EFB"/>
    <w:rsid w:val="738FD185"/>
    <w:rsid w:val="73941CCC"/>
    <w:rsid w:val="73993FFB"/>
    <w:rsid w:val="73B7E0FA"/>
    <w:rsid w:val="73BAC2CC"/>
    <w:rsid w:val="73BC7647"/>
    <w:rsid w:val="73CA4401"/>
    <w:rsid w:val="73E5F2B3"/>
    <w:rsid w:val="73FD7EA0"/>
    <w:rsid w:val="74067CB7"/>
    <w:rsid w:val="744A1799"/>
    <w:rsid w:val="7456013E"/>
    <w:rsid w:val="74632854"/>
    <w:rsid w:val="74A3EC7C"/>
    <w:rsid w:val="74BF678C"/>
    <w:rsid w:val="74CB28DA"/>
    <w:rsid w:val="74DB6895"/>
    <w:rsid w:val="751D6EAE"/>
    <w:rsid w:val="75556648"/>
    <w:rsid w:val="755B99C9"/>
    <w:rsid w:val="7567157C"/>
    <w:rsid w:val="7573AD80"/>
    <w:rsid w:val="757969F4"/>
    <w:rsid w:val="757F36C5"/>
    <w:rsid w:val="758D0F24"/>
    <w:rsid w:val="75D27C98"/>
    <w:rsid w:val="75D3A971"/>
    <w:rsid w:val="75D41EE5"/>
    <w:rsid w:val="75D743E8"/>
    <w:rsid w:val="75F7E261"/>
    <w:rsid w:val="75FBFB12"/>
    <w:rsid w:val="760925E8"/>
    <w:rsid w:val="76487F5B"/>
    <w:rsid w:val="766B47B6"/>
    <w:rsid w:val="766EC298"/>
    <w:rsid w:val="768438DE"/>
    <w:rsid w:val="76934ECB"/>
    <w:rsid w:val="7694550A"/>
    <w:rsid w:val="7696746C"/>
    <w:rsid w:val="76BDE300"/>
    <w:rsid w:val="76D0242A"/>
    <w:rsid w:val="76EF6628"/>
    <w:rsid w:val="76FD9042"/>
    <w:rsid w:val="77107490"/>
    <w:rsid w:val="773D2B43"/>
    <w:rsid w:val="774771F2"/>
    <w:rsid w:val="77770AF7"/>
    <w:rsid w:val="778223A8"/>
    <w:rsid w:val="77846DA1"/>
    <w:rsid w:val="779D297C"/>
    <w:rsid w:val="77C61FA0"/>
    <w:rsid w:val="77C92A63"/>
    <w:rsid w:val="77CF0409"/>
    <w:rsid w:val="77D17A45"/>
    <w:rsid w:val="77F797BF"/>
    <w:rsid w:val="77F7C5C0"/>
    <w:rsid w:val="77FE2FC7"/>
    <w:rsid w:val="78055809"/>
    <w:rsid w:val="78125870"/>
    <w:rsid w:val="782A3DBC"/>
    <w:rsid w:val="782B3690"/>
    <w:rsid w:val="784309DA"/>
    <w:rsid w:val="784529A4"/>
    <w:rsid w:val="78623556"/>
    <w:rsid w:val="78D00300"/>
    <w:rsid w:val="79061938"/>
    <w:rsid w:val="791B1604"/>
    <w:rsid w:val="793B6F1F"/>
    <w:rsid w:val="793DACA0"/>
    <w:rsid w:val="797572B9"/>
    <w:rsid w:val="79876FEC"/>
    <w:rsid w:val="79A90D10"/>
    <w:rsid w:val="79B0209F"/>
    <w:rsid w:val="79B31B8F"/>
    <w:rsid w:val="79B871A5"/>
    <w:rsid w:val="79BF480D"/>
    <w:rsid w:val="79CE4C1B"/>
    <w:rsid w:val="79FF1A62"/>
    <w:rsid w:val="7A092AD0"/>
    <w:rsid w:val="7A344A7E"/>
    <w:rsid w:val="7A3642F9"/>
    <w:rsid w:val="7A3802A2"/>
    <w:rsid w:val="7A5949B4"/>
    <w:rsid w:val="7A5F5873"/>
    <w:rsid w:val="7A7B2ED3"/>
    <w:rsid w:val="7A886B78"/>
    <w:rsid w:val="7AA00365"/>
    <w:rsid w:val="7ADC27A3"/>
    <w:rsid w:val="7AED2E7F"/>
    <w:rsid w:val="7AF00351"/>
    <w:rsid w:val="7AF1094B"/>
    <w:rsid w:val="7B3C4C08"/>
    <w:rsid w:val="7B4010D7"/>
    <w:rsid w:val="7B4FDD20"/>
    <w:rsid w:val="7B6B623C"/>
    <w:rsid w:val="7B6EDF2E"/>
    <w:rsid w:val="7B774318"/>
    <w:rsid w:val="7B8063B5"/>
    <w:rsid w:val="7B83353F"/>
    <w:rsid w:val="7BA615A2"/>
    <w:rsid w:val="7BB73EFC"/>
    <w:rsid w:val="7BB8348D"/>
    <w:rsid w:val="7BBF4A30"/>
    <w:rsid w:val="7BBFA0F6"/>
    <w:rsid w:val="7BDE62FB"/>
    <w:rsid w:val="7BEF268A"/>
    <w:rsid w:val="7BF40D97"/>
    <w:rsid w:val="7BF546E1"/>
    <w:rsid w:val="7BFF319A"/>
    <w:rsid w:val="7BFF585B"/>
    <w:rsid w:val="7BFF6FAE"/>
    <w:rsid w:val="7C1134D0"/>
    <w:rsid w:val="7C134B67"/>
    <w:rsid w:val="7C320365"/>
    <w:rsid w:val="7C4E7E6A"/>
    <w:rsid w:val="7C7F8584"/>
    <w:rsid w:val="7C7F92CD"/>
    <w:rsid w:val="7CA81753"/>
    <w:rsid w:val="7CB62337"/>
    <w:rsid w:val="7CFE1373"/>
    <w:rsid w:val="7D1470B7"/>
    <w:rsid w:val="7D337C34"/>
    <w:rsid w:val="7D40373A"/>
    <w:rsid w:val="7D4A0A5C"/>
    <w:rsid w:val="7D580E3B"/>
    <w:rsid w:val="7D6F099F"/>
    <w:rsid w:val="7D7E6B8B"/>
    <w:rsid w:val="7D8819B8"/>
    <w:rsid w:val="7D902913"/>
    <w:rsid w:val="7DBD4D8A"/>
    <w:rsid w:val="7DCB2CA1"/>
    <w:rsid w:val="7DCE1DB8"/>
    <w:rsid w:val="7DDC1631"/>
    <w:rsid w:val="7DDE33BA"/>
    <w:rsid w:val="7DEB3451"/>
    <w:rsid w:val="7DED047D"/>
    <w:rsid w:val="7DF32B84"/>
    <w:rsid w:val="7DFBD349"/>
    <w:rsid w:val="7DFC1586"/>
    <w:rsid w:val="7DFD5D74"/>
    <w:rsid w:val="7DFE5704"/>
    <w:rsid w:val="7E490D14"/>
    <w:rsid w:val="7E4C2D4A"/>
    <w:rsid w:val="7E4E1E86"/>
    <w:rsid w:val="7E57D616"/>
    <w:rsid w:val="7EA459AB"/>
    <w:rsid w:val="7EC91358"/>
    <w:rsid w:val="7ED84A69"/>
    <w:rsid w:val="7EE12CFA"/>
    <w:rsid w:val="7EE37583"/>
    <w:rsid w:val="7EE8667D"/>
    <w:rsid w:val="7EEECC2C"/>
    <w:rsid w:val="7EEF16B6"/>
    <w:rsid w:val="7EEF2BD7"/>
    <w:rsid w:val="7EF76E2D"/>
    <w:rsid w:val="7EFA2C47"/>
    <w:rsid w:val="7EFBDE91"/>
    <w:rsid w:val="7EFF6AE3"/>
    <w:rsid w:val="7F011520"/>
    <w:rsid w:val="7F141322"/>
    <w:rsid w:val="7F215E9C"/>
    <w:rsid w:val="7F2D0AA6"/>
    <w:rsid w:val="7F341DFF"/>
    <w:rsid w:val="7F366B89"/>
    <w:rsid w:val="7F3B1116"/>
    <w:rsid w:val="7F3BFA37"/>
    <w:rsid w:val="7F4E83F3"/>
    <w:rsid w:val="7F5CAC2B"/>
    <w:rsid w:val="7F6000C3"/>
    <w:rsid w:val="7F690D0F"/>
    <w:rsid w:val="7F6F54B2"/>
    <w:rsid w:val="7F6F6558"/>
    <w:rsid w:val="7F7E6B3C"/>
    <w:rsid w:val="7F9F8DF1"/>
    <w:rsid w:val="7FB76B57"/>
    <w:rsid w:val="7FBBE091"/>
    <w:rsid w:val="7FBD31E8"/>
    <w:rsid w:val="7FBDD077"/>
    <w:rsid w:val="7FC33B42"/>
    <w:rsid w:val="7FCBD66D"/>
    <w:rsid w:val="7FD97695"/>
    <w:rsid w:val="7FDC3989"/>
    <w:rsid w:val="7FEA09E2"/>
    <w:rsid w:val="7FEC1957"/>
    <w:rsid w:val="7FEE5870"/>
    <w:rsid w:val="7FEE6704"/>
    <w:rsid w:val="7FEF6E36"/>
    <w:rsid w:val="7FF37189"/>
    <w:rsid w:val="7FF77FD9"/>
    <w:rsid w:val="7FFB0E91"/>
    <w:rsid w:val="7FFB2954"/>
    <w:rsid w:val="7FFF48B3"/>
    <w:rsid w:val="7FFF9D9F"/>
    <w:rsid w:val="86FB8F0E"/>
    <w:rsid w:val="8DFD56B1"/>
    <w:rsid w:val="9B6DA081"/>
    <w:rsid w:val="9CDA11E8"/>
    <w:rsid w:val="9D3F3609"/>
    <w:rsid w:val="9E5F76EC"/>
    <w:rsid w:val="9E979339"/>
    <w:rsid w:val="9EA72C13"/>
    <w:rsid w:val="9F2331D4"/>
    <w:rsid w:val="9F8FAE6D"/>
    <w:rsid w:val="9FD6E619"/>
    <w:rsid w:val="9FEF0CED"/>
    <w:rsid w:val="9FEF4B0E"/>
    <w:rsid w:val="9FF3DA58"/>
    <w:rsid w:val="ACE81976"/>
    <w:rsid w:val="AD7BE1B2"/>
    <w:rsid w:val="ADFF00BA"/>
    <w:rsid w:val="AED563D6"/>
    <w:rsid w:val="AEFF87B1"/>
    <w:rsid w:val="AF6DE86B"/>
    <w:rsid w:val="AF7F525E"/>
    <w:rsid w:val="AFBFB218"/>
    <w:rsid w:val="AFFF6FDA"/>
    <w:rsid w:val="B1323E56"/>
    <w:rsid w:val="B15EDFA4"/>
    <w:rsid w:val="B5CDBBD5"/>
    <w:rsid w:val="B5FF2DC1"/>
    <w:rsid w:val="B66F2BF8"/>
    <w:rsid w:val="B77E6273"/>
    <w:rsid w:val="B7D3A6D3"/>
    <w:rsid w:val="B7FF52D0"/>
    <w:rsid w:val="B83BD2F8"/>
    <w:rsid w:val="B9FF30A1"/>
    <w:rsid w:val="BB0BFEDB"/>
    <w:rsid w:val="BB3AFA11"/>
    <w:rsid w:val="BB7FD454"/>
    <w:rsid w:val="BBEFF975"/>
    <w:rsid w:val="BBF58A6D"/>
    <w:rsid w:val="BBF6D685"/>
    <w:rsid w:val="BC936312"/>
    <w:rsid w:val="BCFA6245"/>
    <w:rsid w:val="BDB4516E"/>
    <w:rsid w:val="BDFF1EB8"/>
    <w:rsid w:val="BE7D7D85"/>
    <w:rsid w:val="BF5F7234"/>
    <w:rsid w:val="BF731CCE"/>
    <w:rsid w:val="BF977083"/>
    <w:rsid w:val="BFCE9FB3"/>
    <w:rsid w:val="BFEBB9F9"/>
    <w:rsid w:val="BFEFA86C"/>
    <w:rsid w:val="BFF60EF4"/>
    <w:rsid w:val="BFF71008"/>
    <w:rsid w:val="BFFF54C7"/>
    <w:rsid w:val="BFFFE3D8"/>
    <w:rsid w:val="C3FFFD5B"/>
    <w:rsid w:val="C4AE2762"/>
    <w:rsid w:val="C5F44CCA"/>
    <w:rsid w:val="C9FB3F80"/>
    <w:rsid w:val="CAF2C126"/>
    <w:rsid w:val="CBAF0F4E"/>
    <w:rsid w:val="CBDF33F7"/>
    <w:rsid w:val="CD736B25"/>
    <w:rsid w:val="CD7F9C17"/>
    <w:rsid w:val="CEEED304"/>
    <w:rsid w:val="CF8F7EC0"/>
    <w:rsid w:val="D0B73996"/>
    <w:rsid w:val="D0DBDB40"/>
    <w:rsid w:val="D17796B7"/>
    <w:rsid w:val="D3E7AA92"/>
    <w:rsid w:val="D4F33F72"/>
    <w:rsid w:val="D6FD90D6"/>
    <w:rsid w:val="D78C9241"/>
    <w:rsid w:val="D7FF0B25"/>
    <w:rsid w:val="D96EA89F"/>
    <w:rsid w:val="DAFD4F7E"/>
    <w:rsid w:val="DB6639A6"/>
    <w:rsid w:val="DB7111E3"/>
    <w:rsid w:val="DB7F91A3"/>
    <w:rsid w:val="DB9DA7D2"/>
    <w:rsid w:val="DBD766D2"/>
    <w:rsid w:val="DBFFD981"/>
    <w:rsid w:val="DD3FB4CD"/>
    <w:rsid w:val="DDF6C2B7"/>
    <w:rsid w:val="DDF90D8C"/>
    <w:rsid w:val="DDFFECBB"/>
    <w:rsid w:val="DEE75A61"/>
    <w:rsid w:val="DEF6EC9B"/>
    <w:rsid w:val="DEFADA83"/>
    <w:rsid w:val="DF1FD0A8"/>
    <w:rsid w:val="DF4B9309"/>
    <w:rsid w:val="DF97C919"/>
    <w:rsid w:val="DFD78ABA"/>
    <w:rsid w:val="DFFF746A"/>
    <w:rsid w:val="E17B3818"/>
    <w:rsid w:val="E1BB5CC9"/>
    <w:rsid w:val="E3FD0B0D"/>
    <w:rsid w:val="E5FD4762"/>
    <w:rsid w:val="E6FF05BC"/>
    <w:rsid w:val="E75F9682"/>
    <w:rsid w:val="E7DF2D69"/>
    <w:rsid w:val="EA0B12A9"/>
    <w:rsid w:val="EA5FE7A8"/>
    <w:rsid w:val="EAFF3A63"/>
    <w:rsid w:val="EB79910A"/>
    <w:rsid w:val="EC7858CC"/>
    <w:rsid w:val="ECFE6541"/>
    <w:rsid w:val="ED399298"/>
    <w:rsid w:val="EDAF826E"/>
    <w:rsid w:val="EEEBD055"/>
    <w:rsid w:val="EEFF4ED0"/>
    <w:rsid w:val="EF3F6908"/>
    <w:rsid w:val="EFBF9483"/>
    <w:rsid w:val="EFDF8AB2"/>
    <w:rsid w:val="EFFF6BF2"/>
    <w:rsid w:val="F0A50849"/>
    <w:rsid w:val="F269D8C7"/>
    <w:rsid w:val="F31F6580"/>
    <w:rsid w:val="F39FC0EC"/>
    <w:rsid w:val="F3BF4B38"/>
    <w:rsid w:val="F54C246A"/>
    <w:rsid w:val="F577664D"/>
    <w:rsid w:val="F57FAACE"/>
    <w:rsid w:val="F5CD30C0"/>
    <w:rsid w:val="F6F34958"/>
    <w:rsid w:val="F6FD80EE"/>
    <w:rsid w:val="F6FFE236"/>
    <w:rsid w:val="F72B5041"/>
    <w:rsid w:val="F72F19DB"/>
    <w:rsid w:val="F7390628"/>
    <w:rsid w:val="F7778677"/>
    <w:rsid w:val="F77E87E6"/>
    <w:rsid w:val="F7B702F6"/>
    <w:rsid w:val="F7BB9114"/>
    <w:rsid w:val="F7E04BF1"/>
    <w:rsid w:val="F7EA3272"/>
    <w:rsid w:val="F7EF4C3E"/>
    <w:rsid w:val="F7F38C48"/>
    <w:rsid w:val="F7FF68B5"/>
    <w:rsid w:val="F7FFFA44"/>
    <w:rsid w:val="F8C971BA"/>
    <w:rsid w:val="F9DF8658"/>
    <w:rsid w:val="FADDB4F8"/>
    <w:rsid w:val="FAE9CD5D"/>
    <w:rsid w:val="FAEF7068"/>
    <w:rsid w:val="FAFDAF65"/>
    <w:rsid w:val="FB692196"/>
    <w:rsid w:val="FB7CB1CA"/>
    <w:rsid w:val="FB9D1FBD"/>
    <w:rsid w:val="FBB8082C"/>
    <w:rsid w:val="FBBF8500"/>
    <w:rsid w:val="FBEC480F"/>
    <w:rsid w:val="FBF78329"/>
    <w:rsid w:val="FBFFCED1"/>
    <w:rsid w:val="FCBDF0EA"/>
    <w:rsid w:val="FCDF6167"/>
    <w:rsid w:val="FD268C66"/>
    <w:rsid w:val="FD3F8807"/>
    <w:rsid w:val="FD59FA64"/>
    <w:rsid w:val="FD7DB54B"/>
    <w:rsid w:val="FDB717D9"/>
    <w:rsid w:val="FDBC24BC"/>
    <w:rsid w:val="FDDF1B5A"/>
    <w:rsid w:val="FDEECCE0"/>
    <w:rsid w:val="FDF7240C"/>
    <w:rsid w:val="FDF7DF4E"/>
    <w:rsid w:val="FDFF476E"/>
    <w:rsid w:val="FE2F6BFE"/>
    <w:rsid w:val="FE7FC82C"/>
    <w:rsid w:val="FE93E85C"/>
    <w:rsid w:val="FEAA4DBB"/>
    <w:rsid w:val="FECF5E47"/>
    <w:rsid w:val="FEDDA800"/>
    <w:rsid w:val="FEFEDBCB"/>
    <w:rsid w:val="FF4960E7"/>
    <w:rsid w:val="FF544E0F"/>
    <w:rsid w:val="FF5C291F"/>
    <w:rsid w:val="FF5FBFD3"/>
    <w:rsid w:val="FF7137B1"/>
    <w:rsid w:val="FF751B98"/>
    <w:rsid w:val="FF7D3283"/>
    <w:rsid w:val="FF7D6FA7"/>
    <w:rsid w:val="FF8B76A2"/>
    <w:rsid w:val="FFBF925F"/>
    <w:rsid w:val="FFBF9429"/>
    <w:rsid w:val="FFCB39C4"/>
    <w:rsid w:val="FFD2D507"/>
    <w:rsid w:val="FFD3769F"/>
    <w:rsid w:val="FFD7CE9A"/>
    <w:rsid w:val="FFDE78DA"/>
    <w:rsid w:val="FFDF63B8"/>
    <w:rsid w:val="FFDFFB62"/>
    <w:rsid w:val="FFE76DC2"/>
    <w:rsid w:val="FFEE397F"/>
    <w:rsid w:val="FFEF7AC0"/>
    <w:rsid w:val="FFF4002E"/>
    <w:rsid w:val="FFF736C0"/>
    <w:rsid w:val="FFF749EF"/>
    <w:rsid w:val="FFF988E3"/>
    <w:rsid w:val="FFFD9FDE"/>
    <w:rsid w:val="FFFDDE1E"/>
    <w:rsid w:val="FFFF2B12"/>
    <w:rsid w:val="FFFF3E9A"/>
    <w:rsid w:val="FFFFE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link w:val="35"/>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alloon Text"/>
    <w:basedOn w:val="1"/>
    <w:link w:val="3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6"/>
    <w:next w:val="6"/>
    <w:link w:val="36"/>
    <w:qFormat/>
    <w:uiPriority w:val="0"/>
    <w:rPr>
      <w:b/>
      <w:bCs/>
      <w:kern w:val="2"/>
      <w:sz w:val="21"/>
    </w:rPr>
  </w:style>
  <w:style w:type="character" w:styleId="20">
    <w:name w:val="Strong"/>
    <w:basedOn w:val="19"/>
    <w:qFormat/>
    <w:uiPriority w:val="0"/>
    <w:rPr>
      <w:b/>
    </w:rPr>
  </w:style>
  <w:style w:type="character" w:styleId="21">
    <w:name w:val="page number"/>
    <w:qFormat/>
    <w:uiPriority w:val="0"/>
  </w:style>
  <w:style w:type="character" w:styleId="22">
    <w:name w:val="annotation reference"/>
    <w:basedOn w:val="19"/>
    <w:qFormat/>
    <w:uiPriority w:val="0"/>
    <w:rPr>
      <w:sz w:val="21"/>
      <w:szCs w:val="21"/>
    </w:rPr>
  </w:style>
  <w:style w:type="paragraph" w:styleId="2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4">
    <w:name w:val="正文格式"/>
    <w:basedOn w:val="7"/>
    <w:qFormat/>
    <w:uiPriority w:val="99"/>
    <w:pPr>
      <w:spacing w:after="0" w:line="360" w:lineRule="auto"/>
      <w:ind w:left="0" w:leftChars="0" w:firstLine="600"/>
    </w:pPr>
    <w:rPr>
      <w:rFonts w:eastAsia="仿宋_GB2312"/>
      <w:sz w:val="30"/>
      <w:szCs w:val="30"/>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6">
    <w:name w:val="List Paragraph"/>
    <w:basedOn w:val="1"/>
    <w:qFormat/>
    <w:uiPriority w:val="34"/>
    <w:pPr>
      <w:ind w:firstLine="420" w:firstLineChars="200"/>
    </w:pPr>
  </w:style>
  <w:style w:type="paragraph" w:customStyle="1" w:styleId="27">
    <w:name w:val="（）列表模式"/>
    <w:basedOn w:val="1"/>
    <w:qFormat/>
    <w:uiPriority w:val="0"/>
    <w:pPr>
      <w:tabs>
        <w:tab w:val="left" w:pos="960"/>
        <w:tab w:val="left" w:pos="1470"/>
      </w:tabs>
      <w:spacing w:line="360" w:lineRule="auto"/>
      <w:ind w:left="1470" w:hanging="420"/>
    </w:pPr>
    <w:rPr>
      <w:sz w:val="24"/>
      <w:szCs w:val="20"/>
    </w:r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paragraph" w:customStyle="1" w:styleId="31">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2">
    <w:name w:val="_Style 1"/>
    <w:basedOn w:val="1"/>
    <w:qFormat/>
    <w:uiPriority w:val="99"/>
    <w:pPr>
      <w:ind w:firstLine="420" w:firstLineChars="200"/>
    </w:pPr>
  </w:style>
  <w:style w:type="paragraph" w:customStyle="1" w:styleId="33">
    <w:name w:val="msolistparagraph"/>
    <w:basedOn w:val="1"/>
    <w:qFormat/>
    <w:uiPriority w:val="0"/>
    <w:pPr>
      <w:ind w:firstLine="420" w:firstLineChars="200"/>
    </w:p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批注文字 字符"/>
    <w:basedOn w:val="19"/>
    <w:link w:val="6"/>
    <w:qFormat/>
    <w:uiPriority w:val="0"/>
    <w:rPr>
      <w:szCs w:val="24"/>
    </w:rPr>
  </w:style>
  <w:style w:type="character" w:customStyle="1" w:styleId="36">
    <w:name w:val="批注主题 字符"/>
    <w:basedOn w:val="35"/>
    <w:link w:val="17"/>
    <w:qFormat/>
    <w:uiPriority w:val="0"/>
    <w:rPr>
      <w:b/>
      <w:bCs/>
      <w:kern w:val="2"/>
      <w:sz w:val="21"/>
      <w:szCs w:val="24"/>
    </w:rPr>
  </w:style>
  <w:style w:type="character" w:customStyle="1" w:styleId="37">
    <w:name w:val="批注框文本 字符"/>
    <w:basedOn w:val="19"/>
    <w:link w:val="10"/>
    <w:qFormat/>
    <w:uiPriority w:val="0"/>
    <w:rPr>
      <w:kern w:val="2"/>
      <w:sz w:val="18"/>
      <w:szCs w:val="18"/>
    </w:rPr>
  </w:style>
  <w:style w:type="paragraph" w:customStyle="1" w:styleId="3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9">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40406</Words>
  <Characters>43081</Characters>
  <Lines>319</Lines>
  <Paragraphs>89</Paragraphs>
  <TotalTime>21</TotalTime>
  <ScaleCrop>false</ScaleCrop>
  <LinksUpToDate>false</LinksUpToDate>
  <CharactersWithSpaces>45030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2024-06-02T13:15:00Z</dcterms:created>
  <dc:creator>姬崽</dc:creator>
  <cp:lastModifiedBy>陈可欣</cp:lastModifiedBy>
  <dcterms:modified xsi:type="dcterms:W3CDTF">2024-06-12T06:22:03Z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AA47B6F7CC27408AA9CA1B8075C840F5_13</vt:lpwstr>
  </property>
</Properties>
</file>