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spacing w:after="156" w:afterLines="50" w:line="400" w:lineRule="exact"/>
        <w:jc w:val="center"/>
        <w:rPr>
          <w:rFonts w:hint="eastAsia" w:ascii="方正小标宋_GBK" w:eastAsia="方正小标宋_GBK"/>
          <w:color w:val="000000" w:themeColor="text1"/>
          <w:sz w:val="36"/>
          <w:szCs w:val="32"/>
          <w:lang w:eastAsia="zh-CN"/>
          <w14:textFill>
            <w14:solidFill>
              <w14:schemeClr w14:val="tx1"/>
            </w14:solidFill>
          </w14:textFill>
        </w:rPr>
      </w:pPr>
      <w:r>
        <w:rPr>
          <w:rFonts w:hint="eastAsia" w:ascii="方正小标宋_GBK" w:eastAsia="方正小标宋_GBK"/>
          <w:color w:val="000000" w:themeColor="text1"/>
          <w:sz w:val="36"/>
          <w:szCs w:val="32"/>
          <w14:textFill>
            <w14:solidFill>
              <w14:schemeClr w14:val="tx1"/>
            </w14:solidFill>
          </w14:textFill>
        </w:rPr>
        <w:t>《龙华区工业园区提质增效三年实施方案》</w:t>
      </w:r>
      <w:r>
        <w:rPr>
          <w:rFonts w:hint="eastAsia" w:ascii="方正小标宋_GBK" w:eastAsia="方正小标宋_GBK"/>
          <w:color w:val="000000" w:themeColor="text1"/>
          <w:sz w:val="36"/>
          <w:szCs w:val="32"/>
          <w:lang w:val="en-US" w:eastAsia="zh-CN"/>
          <w14:textFill>
            <w14:solidFill>
              <w14:schemeClr w14:val="tx1"/>
            </w14:solidFill>
          </w14:textFill>
        </w:rPr>
        <w:t>修订</w:t>
      </w:r>
      <w:r>
        <w:rPr>
          <w:rFonts w:hint="eastAsia" w:ascii="方正小标宋_GBK" w:eastAsia="方正小标宋_GBK"/>
          <w:color w:val="000000" w:themeColor="text1"/>
          <w:sz w:val="36"/>
          <w:szCs w:val="32"/>
          <w:lang w:eastAsia="zh-CN"/>
          <w14:textFill>
            <w14:solidFill>
              <w14:schemeClr w14:val="tx1"/>
            </w14:solidFill>
          </w14:textFill>
        </w:rPr>
        <w:t>新旧内容对比及修订说明</w:t>
      </w:r>
    </w:p>
    <w:tbl>
      <w:tblPr>
        <w:tblStyle w:val="16"/>
        <w:tblW w:w="21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024"/>
        <w:gridCol w:w="8400"/>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709" w:type="dxa"/>
            <w:vAlign w:val="center"/>
          </w:tcPr>
          <w:p>
            <w:pPr>
              <w:spacing w:line="400" w:lineRule="exact"/>
              <w:jc w:val="center"/>
              <w:rPr>
                <w:rFonts w:ascii="仿宋_GB2312" w:hAnsi="仿宋_GB2312" w:eastAsia="仿宋_GB2312" w:cs="仿宋_GB2312"/>
                <w:b/>
                <w:color w:val="000000" w:themeColor="text1"/>
                <w:kern w:val="0"/>
                <w:sz w:val="28"/>
                <w14:textFill>
                  <w14:solidFill>
                    <w14:schemeClr w14:val="tx1"/>
                  </w14:solidFill>
                </w14:textFill>
              </w:rPr>
            </w:pPr>
            <w:r>
              <w:rPr>
                <w:rFonts w:hint="eastAsia" w:ascii="仿宋_GB2312" w:hAnsi="仿宋_GB2312" w:eastAsia="仿宋_GB2312" w:cs="仿宋_GB2312"/>
                <w:b/>
                <w:color w:val="000000" w:themeColor="text1"/>
                <w:kern w:val="0"/>
                <w:sz w:val="28"/>
                <w14:textFill>
                  <w14:solidFill>
                    <w14:schemeClr w14:val="tx1"/>
                  </w14:solidFill>
                </w14:textFill>
              </w:rPr>
              <w:t>序号</w:t>
            </w:r>
          </w:p>
        </w:tc>
        <w:tc>
          <w:tcPr>
            <w:tcW w:w="8024" w:type="dxa"/>
          </w:tcPr>
          <w:p>
            <w:pPr>
              <w:spacing w:line="400" w:lineRule="exact"/>
              <w:jc w:val="center"/>
              <w:rPr>
                <w:rFonts w:hint="eastAsia" w:ascii="仿宋_GB2312" w:hAnsi="仿宋_GB2312" w:eastAsia="仿宋_GB2312" w:cs="仿宋_GB2312"/>
                <w:b/>
                <w:color w:val="000000" w:themeColor="text1"/>
                <w:kern w:val="0"/>
                <w:sz w:val="28"/>
                <w:lang w:eastAsia="zh-CN"/>
                <w14:textFill>
                  <w14:solidFill>
                    <w14:schemeClr w14:val="tx1"/>
                  </w14:solidFill>
                </w14:textFill>
              </w:rPr>
            </w:pPr>
            <w:r>
              <w:rPr>
                <w:rFonts w:hint="eastAsia" w:ascii="仿宋_GB2312" w:hAnsi="仿宋_GB2312" w:eastAsia="仿宋_GB2312" w:cs="仿宋_GB2312"/>
                <w:b/>
                <w:color w:val="000000" w:themeColor="text1"/>
                <w:kern w:val="0"/>
                <w:sz w:val="28"/>
                <w:lang w:eastAsia="zh-CN"/>
                <w14:textFill>
                  <w14:solidFill>
                    <w14:schemeClr w14:val="tx1"/>
                  </w14:solidFill>
                </w14:textFill>
              </w:rPr>
              <w:t>修订前</w:t>
            </w:r>
          </w:p>
        </w:tc>
        <w:tc>
          <w:tcPr>
            <w:tcW w:w="8400" w:type="dxa"/>
          </w:tcPr>
          <w:p>
            <w:pPr>
              <w:spacing w:line="400" w:lineRule="exact"/>
              <w:jc w:val="center"/>
              <w:rPr>
                <w:rFonts w:hint="eastAsia" w:ascii="仿宋_GB2312" w:hAnsi="仿宋_GB2312" w:eastAsia="仿宋_GB2312" w:cs="仿宋_GB2312"/>
                <w:color w:val="000000" w:themeColor="text1"/>
                <w:sz w:val="28"/>
                <w:lang w:eastAsia="zh-CN"/>
                <w14:textFill>
                  <w14:solidFill>
                    <w14:schemeClr w14:val="tx1"/>
                  </w14:solidFill>
                </w14:textFill>
              </w:rPr>
            </w:pPr>
            <w:r>
              <w:rPr>
                <w:rFonts w:hint="eastAsia" w:ascii="仿宋_GB2312" w:hAnsi="仿宋_GB2312" w:eastAsia="仿宋_GB2312" w:cs="仿宋_GB2312"/>
                <w:b/>
                <w:color w:val="000000" w:themeColor="text1"/>
                <w:kern w:val="0"/>
                <w:sz w:val="28"/>
                <w:lang w:eastAsia="zh-CN"/>
                <w14:textFill>
                  <w14:solidFill>
                    <w14:schemeClr w14:val="tx1"/>
                  </w14:solidFill>
                </w14:textFill>
              </w:rPr>
              <w:t>修订后</w:t>
            </w:r>
          </w:p>
        </w:tc>
        <w:tc>
          <w:tcPr>
            <w:tcW w:w="4721" w:type="dxa"/>
          </w:tcPr>
          <w:p>
            <w:pPr>
              <w:spacing w:line="400" w:lineRule="exact"/>
              <w:jc w:val="center"/>
              <w:rPr>
                <w:rFonts w:hint="eastAsia" w:ascii="仿宋_GB2312" w:hAnsi="仿宋_GB2312" w:eastAsia="仿宋_GB2312" w:cs="仿宋_GB2312"/>
                <w:color w:val="000000" w:themeColor="text1"/>
                <w:sz w:val="28"/>
                <w:lang w:eastAsia="zh-CN"/>
                <w14:textFill>
                  <w14:solidFill>
                    <w14:schemeClr w14:val="tx1"/>
                  </w14:solidFill>
                </w14:textFill>
              </w:rPr>
            </w:pPr>
            <w:r>
              <w:rPr>
                <w:rFonts w:hint="eastAsia" w:ascii="仿宋_GB2312" w:hAnsi="仿宋_GB2312" w:eastAsia="仿宋_GB2312" w:cs="仿宋_GB2312"/>
                <w:b/>
                <w:color w:val="000000" w:themeColor="text1"/>
                <w:kern w:val="0"/>
                <w:sz w:val="28"/>
                <w:lang w:eastAsia="zh-CN"/>
                <w14:textFill>
                  <w14:solidFill>
                    <w14:schemeClr w14:val="tx1"/>
                  </w14:solidFill>
                </w14:textFill>
              </w:rPr>
              <w:t>修订原因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2"/>
              <w:numPr>
                <w:ilvl w:val="0"/>
                <w:numId w:val="1"/>
              </w:numPr>
              <w:spacing w:line="400" w:lineRule="exact"/>
              <w:ind w:firstLineChars="0"/>
              <w:rPr>
                <w:rFonts w:ascii="仿宋_GB2312" w:hAnsi="仿宋_GB2312" w:eastAsia="仿宋_GB2312" w:cs="仿宋_GB2312"/>
                <w:color w:val="000000" w:themeColor="text1"/>
                <w:sz w:val="28"/>
                <w14:textFill>
                  <w14:solidFill>
                    <w14:schemeClr w14:val="tx1"/>
                  </w14:solidFill>
                </w14:textFill>
              </w:rPr>
            </w:pPr>
          </w:p>
        </w:tc>
        <w:tc>
          <w:tcPr>
            <w:tcW w:w="802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1" w:firstLineChars="20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sz w:val="24"/>
                <w:szCs w:val="24"/>
              </w:rPr>
              <w:t>8. 简化旧工业区综合整治程序。</w:t>
            </w:r>
            <w:r>
              <w:rPr>
                <w:rFonts w:hint="eastAsia" w:ascii="仿宋_GB2312" w:hAnsi="仿宋_GB2312" w:eastAsia="仿宋_GB2312" w:cs="仿宋_GB2312"/>
                <w:sz w:val="24"/>
                <w:szCs w:val="24"/>
              </w:rPr>
              <w:t>涉及园区建筑物装修、园区环境提升,以及增加不超过现状建筑面积百分之十五的电梯、连廊、楼梯、配电房等辅助公用设施的,由各街道办组织实施,由区城市更新部门同步制定旧工业区综合整治操作指引,明确各部门职责分工,简化相关程序要求,加快推动旧工业区整治提升。</w:t>
            </w:r>
            <w:r>
              <w:rPr>
                <w:rFonts w:hint="eastAsia" w:ascii="仿宋_GB2312" w:hAnsi="仿宋_GB2312" w:eastAsia="仿宋_GB2312" w:cs="仿宋_GB2312"/>
                <w:b/>
                <w:bCs/>
                <w:sz w:val="24"/>
                <w:szCs w:val="24"/>
              </w:rPr>
              <w:t>符合龙华区《旧工业区整治提升资助类操作指引》的,由区工业和信息化局负责资助。</w:t>
            </w:r>
            <w:r>
              <w:rPr>
                <w:rFonts w:hint="eastAsia" w:ascii="仿宋_GB2312" w:hAnsi="仿宋_GB2312" w:eastAsia="仿宋_GB2312" w:cs="仿宋_GB2312"/>
                <w:sz w:val="24"/>
                <w:szCs w:val="24"/>
              </w:rPr>
              <w:t>(牵头单位:各街道办、区城市更新和土地整备局、区工业和信息化局,配合单位:区住房建设局、区水务局、区城管和综合执法局、区规划土地监察局、市市场监督管理局龙华监管局等)</w:t>
            </w:r>
          </w:p>
        </w:tc>
        <w:tc>
          <w:tcPr>
            <w:tcW w:w="840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1" w:firstLineChars="20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auto"/>
                <w:sz w:val="24"/>
                <w:szCs w:val="24"/>
                <w:lang w:val="en-US" w:eastAsia="zh-CN"/>
              </w:rPr>
              <w:t>8.简化旧工业区综合整治程序</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sz w:val="24"/>
                <w:szCs w:val="24"/>
              </w:rPr>
              <w:t>涉及园区建筑物装修、园区环境提升，以及增加不超过现状建筑面积百分之十五的电梯、连廊、楼梯、配电房等辅助公用设施的，由各街道办组织实施，由区城市更新部门同步制定旧工业区综合整治操作指引，明确各部门职责分工，简化相关程序要求，加快推动旧工业区整治提升。</w:t>
            </w:r>
            <w:r>
              <w:rPr>
                <w:rFonts w:hint="eastAsia" w:ascii="仿宋_GB2312" w:hAnsi="仿宋_GB2312" w:eastAsia="仿宋_GB2312" w:cs="仿宋_GB2312"/>
                <w:b/>
                <w:bCs/>
                <w:sz w:val="24"/>
                <w:szCs w:val="24"/>
              </w:rPr>
              <w:t>对经备案且验收核查通过的旧工业区整治提升项目,给予设计费和施工费总额的30%,最高1000万元资助</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color w:val="auto"/>
                <w:sz w:val="24"/>
                <w:szCs w:val="24"/>
                <w:lang w:eastAsia="zh-CN"/>
              </w:rPr>
              <w:t>（牵头单位：各街道办、</w:t>
            </w:r>
            <w:r>
              <w:rPr>
                <w:rFonts w:hint="eastAsia" w:ascii="仿宋_GB2312" w:hAnsi="仿宋_GB2312" w:eastAsia="仿宋_GB2312" w:cs="仿宋_GB2312"/>
                <w:color w:val="auto"/>
                <w:sz w:val="24"/>
                <w:szCs w:val="24"/>
              </w:rPr>
              <w:t>区城市更新和土地整备局</w:t>
            </w:r>
            <w:r>
              <w:rPr>
                <w:rFonts w:hint="eastAsia" w:ascii="仿宋_GB2312" w:hAnsi="仿宋_GB2312" w:eastAsia="仿宋_GB2312" w:cs="仿宋_GB2312"/>
                <w:color w:val="auto"/>
                <w:sz w:val="24"/>
                <w:szCs w:val="24"/>
                <w:lang w:eastAsia="zh-CN"/>
              </w:rPr>
              <w:t>、区工业和信息化局，配合单位：</w:t>
            </w:r>
            <w:r>
              <w:rPr>
                <w:rFonts w:hint="eastAsia" w:ascii="仿宋_GB2312" w:hAnsi="仿宋_GB2312" w:eastAsia="仿宋_GB2312" w:cs="仿宋_GB2312"/>
                <w:color w:val="auto"/>
                <w:sz w:val="24"/>
                <w:szCs w:val="24"/>
                <w:lang w:val="en-US" w:eastAsia="zh-CN"/>
              </w:rPr>
              <w:t>区住房建设局、区水务局、区城管和综合执法局、区规划土地监察局、市市场监督管理局龙华监管局等</w:t>
            </w:r>
            <w:r>
              <w:rPr>
                <w:rFonts w:hint="eastAsia" w:ascii="仿宋_GB2312" w:hAnsi="仿宋_GB2312" w:eastAsia="仿宋_GB2312" w:cs="仿宋_GB2312"/>
                <w:color w:val="auto"/>
                <w:sz w:val="24"/>
                <w:szCs w:val="24"/>
                <w:lang w:eastAsia="zh-CN"/>
              </w:rPr>
              <w:t>）</w:t>
            </w:r>
          </w:p>
        </w:tc>
        <w:tc>
          <w:tcPr>
            <w:tcW w:w="4721" w:type="dxa"/>
          </w:tcPr>
          <w:p>
            <w:pPr>
              <w:keepNext w:val="0"/>
              <w:keepLines w:val="0"/>
              <w:pageBreakBefore w:val="0"/>
              <w:widowControl w:val="0"/>
              <w:kinsoku/>
              <w:wordWrap/>
              <w:overflowPunct/>
              <w:topLinePunct w:val="0"/>
              <w:autoSpaceDE/>
              <w:autoSpaceDN/>
              <w:bidi w:val="0"/>
              <w:spacing w:line="400" w:lineRule="exact"/>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因《旧工业区整治提升资助类操作指引》所依据的《深圳市龙华区推动制造业高质量发展若干措施》将于2024年10月8日到期。为做好政策衔接，现将该条款修订明确。</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400" w:lineRule="exact"/>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2"/>
              <w:numPr>
                <w:ilvl w:val="0"/>
                <w:numId w:val="1"/>
              </w:numPr>
              <w:spacing w:line="400" w:lineRule="exact"/>
              <w:ind w:firstLineChars="0"/>
              <w:rPr>
                <w:rFonts w:ascii="仿宋_GB2312" w:hAnsi="仿宋_GB2312" w:eastAsia="仿宋_GB2312" w:cs="仿宋_GB2312"/>
                <w:color w:val="000000" w:themeColor="text1"/>
                <w:sz w:val="28"/>
                <w14:textFill>
                  <w14:solidFill>
                    <w14:schemeClr w14:val="tx1"/>
                  </w14:solidFill>
                </w14:textFill>
              </w:rPr>
            </w:pPr>
          </w:p>
        </w:tc>
        <w:tc>
          <w:tcPr>
            <w:tcW w:w="8024" w:type="dxa"/>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481" w:firstLineChars="200"/>
              <w:jc w:val="both"/>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auto"/>
                <w:sz w:val="24"/>
                <w:szCs w:val="24"/>
                <w:highlight w:val="none"/>
                <w:lang w:val="en-US" w:eastAsia="zh-CN"/>
              </w:rPr>
              <w:t>14. 鼓励制造业企业技术装备升级换代改造。</w:t>
            </w:r>
            <w:r>
              <w:rPr>
                <w:rFonts w:hint="eastAsia" w:ascii="仿宋_GB2312" w:hAnsi="仿宋_GB2312" w:eastAsia="仿宋_GB2312" w:cs="仿宋_GB2312"/>
                <w:b w:val="0"/>
                <w:bCs w:val="0"/>
                <w:color w:val="auto"/>
                <w:sz w:val="24"/>
                <w:szCs w:val="24"/>
                <w:highlight w:val="none"/>
                <w:lang w:val="en-US" w:eastAsia="zh-CN"/>
              </w:rPr>
              <w:t>推动制造业企业“机器换人”,支持产线自动化改造,引导技术设备更新换代和改造提升,增强企业创新能力和核心竞争力。对总投资额超过500 万元且当年度投资额超过 150 万元、不满足制造业数字化转型资助要求的项目,参照《深圳市龙华区关于推动工业投资加速制造业数字化转型发展的若干措施》中制造业数字化转型计划的资助标准予以资助。(牵头单位:区工业和信息化局,配合单位:各街道办)</w:t>
            </w:r>
          </w:p>
        </w:tc>
        <w:tc>
          <w:tcPr>
            <w:tcW w:w="8400" w:type="dxa"/>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481" w:firstLineChars="200"/>
              <w:jc w:val="both"/>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auto"/>
                <w:sz w:val="24"/>
                <w:szCs w:val="24"/>
                <w:highlight w:val="none"/>
                <w:lang w:val="en-US" w:eastAsia="zh-CN"/>
              </w:rPr>
              <w:t>14.建立优质企业腾挪安置机制。</w:t>
            </w:r>
            <w:r>
              <w:rPr>
                <w:rFonts w:hint="eastAsia" w:ascii="仿宋_GB2312" w:hAnsi="仿宋_GB2312" w:eastAsia="仿宋_GB2312" w:cs="仿宋_GB2312"/>
                <w:b w:val="0"/>
                <w:bCs w:val="0"/>
                <w:color w:val="auto"/>
                <w:sz w:val="24"/>
                <w:szCs w:val="24"/>
                <w:highlight w:val="none"/>
                <w:lang w:val="en-US" w:eastAsia="zh-CN"/>
              </w:rPr>
              <w:t>对因城市更新、土地整备等原因确需搬迁的规模以上工业企业,项目方应编制优质企业区内安置方案;未妥善安置的,不予实施主体确认。园区未拆迁的,需允许优质企业继续使用,不得强制要求企业搬迁。对因城市更新、土地整备等原因确需搬迁的规模以上工业企业入驻区内其他园区的,</w:t>
            </w:r>
            <w:r>
              <w:rPr>
                <w:rFonts w:hint="eastAsia" w:ascii="仿宋_GB2312" w:hAnsi="仿宋_GB2312" w:eastAsia="仿宋_GB2312" w:cs="仿宋_GB2312"/>
                <w:b w:val="0"/>
                <w:bCs w:val="0"/>
                <w:color w:val="auto"/>
                <w:sz w:val="24"/>
                <w:szCs w:val="24"/>
                <w:lang w:val="en-US" w:eastAsia="zh-CN"/>
              </w:rPr>
              <w:t>按其租赁自用面积(不含附属和配套用房以及区政策性产业用房)的50%，给予每月每平方米10元、资助面积最高10000平方米的租金支持。企业申请资助年度符合上述条件的，给予事后资助。（牵头单位：区工业和信息化局，配合单位：区城市更新和土地整备局、各街道办）</w:t>
            </w:r>
          </w:p>
        </w:tc>
        <w:tc>
          <w:tcPr>
            <w:tcW w:w="4721" w:type="dxa"/>
          </w:tcPr>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1.深圳市人民政府办公厅印发出台了《深圳市关于新形势下加快工业企业技术改造升级的若干措施的通知》，新政策自2024年 1月1日起实施，有关制造业企业技术装备升级换代改造相关条款将另行出台新的政策，因此删掉“鼓励制造业企业技术装备升级换代改造”条款。</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2.“建立优质企业腾挪安置机制”原为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《深圳市龙华区推动制造业高质量发展若干措施》政策，该政策将于2024年10月8日到期。为做好政策衔接，且该条款与工业园区提质增效紧密相关。</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sz w:val="24"/>
                <w:szCs w:val="24"/>
                <w:highlight w:val="none"/>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综上，现将《龙华区工业园区提质增效三年实施方案</w:t>
            </w:r>
            <w:bookmarkStart w:id="0" w:name="_GoBack"/>
            <w:bookmarkEnd w:id="0"/>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》中“鼓励制造业企业技术装备升级换代改造”条款删除，并增补为“建立优质企业腾挪安置机制”条款。</w:t>
            </w:r>
          </w:p>
        </w:tc>
      </w:tr>
    </w:tbl>
    <w:p>
      <w:pPr>
        <w:rPr>
          <w:color w:val="000000" w:themeColor="text1"/>
          <w14:textFill>
            <w14:solidFill>
              <w14:schemeClr w14:val="tx1"/>
            </w14:solidFill>
          </w14:textFill>
        </w:rPr>
      </w:pPr>
    </w:p>
    <w:sectPr>
      <w:footerReference r:id="rId3" w:type="default"/>
      <w:footerReference r:id="rId4" w:type="even"/>
      <w:pgSz w:w="23757" w:h="16783" w:orient="landscape"/>
      <w:pgMar w:top="1134" w:right="720" w:bottom="720"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4366579"/>
    </w:sdtPr>
    <w:sdtEndPr>
      <w:rPr>
        <w:rFonts w:asciiTheme="minorEastAsia" w:hAnsiTheme="minorEastAsia" w:eastAsiaTheme="minorEastAsia"/>
        <w:sz w:val="28"/>
        <w:szCs w:val="28"/>
      </w:rPr>
    </w:sdtEndPr>
    <w:sdtContent>
      <w:p>
        <w:pPr>
          <w:pStyle w:val="10"/>
          <w:ind w:firstLine="5180" w:firstLineChars="185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4366698"/>
    </w:sdtPr>
    <w:sdtEndPr>
      <w:rPr>
        <w:rFonts w:asciiTheme="minorEastAsia" w:hAnsiTheme="minorEastAsia" w:eastAsiaTheme="minorEastAsia"/>
        <w:sz w:val="28"/>
        <w:szCs w:val="28"/>
      </w:rPr>
    </w:sdtEndPr>
    <w:sdtContent>
      <w:p>
        <w:pPr>
          <w:pStyle w:val="1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37B2E"/>
    <w:multiLevelType w:val="multilevel"/>
    <w:tmpl w:val="73537B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yMTY4NWNjMjk2ZTAyMzcyMzZmYWRkNzNjZjNmMTMifQ=="/>
  </w:docVars>
  <w:rsids>
    <w:rsidRoot w:val="00E936EF"/>
    <w:rsid w:val="00021E7A"/>
    <w:rsid w:val="00030908"/>
    <w:rsid w:val="00035438"/>
    <w:rsid w:val="00045264"/>
    <w:rsid w:val="00045383"/>
    <w:rsid w:val="0004555C"/>
    <w:rsid w:val="00045F05"/>
    <w:rsid w:val="00046AA8"/>
    <w:rsid w:val="00053AA6"/>
    <w:rsid w:val="00056BA8"/>
    <w:rsid w:val="00056C24"/>
    <w:rsid w:val="000579AC"/>
    <w:rsid w:val="0006006F"/>
    <w:rsid w:val="00061302"/>
    <w:rsid w:val="00064B63"/>
    <w:rsid w:val="000669C0"/>
    <w:rsid w:val="0006746C"/>
    <w:rsid w:val="000802A5"/>
    <w:rsid w:val="00080D5B"/>
    <w:rsid w:val="00090D92"/>
    <w:rsid w:val="00092935"/>
    <w:rsid w:val="00092C0A"/>
    <w:rsid w:val="000B0579"/>
    <w:rsid w:val="000B2613"/>
    <w:rsid w:val="000F2197"/>
    <w:rsid w:val="00104F8C"/>
    <w:rsid w:val="00113109"/>
    <w:rsid w:val="001148DD"/>
    <w:rsid w:val="00115DC3"/>
    <w:rsid w:val="00116B00"/>
    <w:rsid w:val="00124427"/>
    <w:rsid w:val="0013224E"/>
    <w:rsid w:val="00135FE1"/>
    <w:rsid w:val="00136918"/>
    <w:rsid w:val="00142C71"/>
    <w:rsid w:val="00145E7C"/>
    <w:rsid w:val="001509CE"/>
    <w:rsid w:val="00164F10"/>
    <w:rsid w:val="0017379F"/>
    <w:rsid w:val="001849CA"/>
    <w:rsid w:val="00191D15"/>
    <w:rsid w:val="00193259"/>
    <w:rsid w:val="001936E5"/>
    <w:rsid w:val="00195412"/>
    <w:rsid w:val="001A2F8C"/>
    <w:rsid w:val="001B1881"/>
    <w:rsid w:val="001C372A"/>
    <w:rsid w:val="001C4004"/>
    <w:rsid w:val="001C6971"/>
    <w:rsid w:val="00203B0A"/>
    <w:rsid w:val="00205352"/>
    <w:rsid w:val="00216B06"/>
    <w:rsid w:val="0021702B"/>
    <w:rsid w:val="00217C24"/>
    <w:rsid w:val="00230F34"/>
    <w:rsid w:val="00231CB8"/>
    <w:rsid w:val="002322B8"/>
    <w:rsid w:val="00236AF8"/>
    <w:rsid w:val="00241C07"/>
    <w:rsid w:val="00247101"/>
    <w:rsid w:val="00256D05"/>
    <w:rsid w:val="00264D4E"/>
    <w:rsid w:val="002848C3"/>
    <w:rsid w:val="00286F22"/>
    <w:rsid w:val="00290426"/>
    <w:rsid w:val="00292297"/>
    <w:rsid w:val="00293E08"/>
    <w:rsid w:val="00294F2F"/>
    <w:rsid w:val="002A0DEC"/>
    <w:rsid w:val="002A26B5"/>
    <w:rsid w:val="002B0BD4"/>
    <w:rsid w:val="002B1B2F"/>
    <w:rsid w:val="002D1438"/>
    <w:rsid w:val="002D6AD9"/>
    <w:rsid w:val="002E1A3B"/>
    <w:rsid w:val="002E272A"/>
    <w:rsid w:val="002E560C"/>
    <w:rsid w:val="002F3394"/>
    <w:rsid w:val="002F38DD"/>
    <w:rsid w:val="00300086"/>
    <w:rsid w:val="00300328"/>
    <w:rsid w:val="00301233"/>
    <w:rsid w:val="003059DA"/>
    <w:rsid w:val="003100D6"/>
    <w:rsid w:val="00311AE3"/>
    <w:rsid w:val="0031244F"/>
    <w:rsid w:val="0031743F"/>
    <w:rsid w:val="003174FC"/>
    <w:rsid w:val="00334679"/>
    <w:rsid w:val="003360D0"/>
    <w:rsid w:val="00356DBD"/>
    <w:rsid w:val="0036000F"/>
    <w:rsid w:val="0036115C"/>
    <w:rsid w:val="00367F68"/>
    <w:rsid w:val="00371F86"/>
    <w:rsid w:val="003724DB"/>
    <w:rsid w:val="0037632E"/>
    <w:rsid w:val="00384BF6"/>
    <w:rsid w:val="00385EF3"/>
    <w:rsid w:val="00392FE7"/>
    <w:rsid w:val="003C44B3"/>
    <w:rsid w:val="003E039B"/>
    <w:rsid w:val="003E0428"/>
    <w:rsid w:val="003E7D88"/>
    <w:rsid w:val="003F5C0E"/>
    <w:rsid w:val="003F77E0"/>
    <w:rsid w:val="00400C89"/>
    <w:rsid w:val="0040312B"/>
    <w:rsid w:val="00405F9A"/>
    <w:rsid w:val="00415969"/>
    <w:rsid w:val="004234C0"/>
    <w:rsid w:val="004422E3"/>
    <w:rsid w:val="004442B2"/>
    <w:rsid w:val="00452B1E"/>
    <w:rsid w:val="004537B6"/>
    <w:rsid w:val="00453AB0"/>
    <w:rsid w:val="004632E7"/>
    <w:rsid w:val="004647CF"/>
    <w:rsid w:val="00465123"/>
    <w:rsid w:val="00471F1A"/>
    <w:rsid w:val="00474EB5"/>
    <w:rsid w:val="00484C6E"/>
    <w:rsid w:val="004C0EA7"/>
    <w:rsid w:val="004C1D7F"/>
    <w:rsid w:val="004C5BD6"/>
    <w:rsid w:val="004D00FC"/>
    <w:rsid w:val="004E44C1"/>
    <w:rsid w:val="004E71BD"/>
    <w:rsid w:val="00500D7E"/>
    <w:rsid w:val="005027A5"/>
    <w:rsid w:val="005112B6"/>
    <w:rsid w:val="00527D56"/>
    <w:rsid w:val="005318E1"/>
    <w:rsid w:val="00531D2E"/>
    <w:rsid w:val="005412C0"/>
    <w:rsid w:val="005419E5"/>
    <w:rsid w:val="00543347"/>
    <w:rsid w:val="005447E6"/>
    <w:rsid w:val="00553774"/>
    <w:rsid w:val="00553D76"/>
    <w:rsid w:val="00557B62"/>
    <w:rsid w:val="00565CBA"/>
    <w:rsid w:val="00567F38"/>
    <w:rsid w:val="00574F5D"/>
    <w:rsid w:val="005906E0"/>
    <w:rsid w:val="00591C32"/>
    <w:rsid w:val="005A19AE"/>
    <w:rsid w:val="005A25EA"/>
    <w:rsid w:val="005B56BE"/>
    <w:rsid w:val="005E29C6"/>
    <w:rsid w:val="005E37C1"/>
    <w:rsid w:val="005E4176"/>
    <w:rsid w:val="005E4E06"/>
    <w:rsid w:val="005E5482"/>
    <w:rsid w:val="005F1E79"/>
    <w:rsid w:val="005F4E00"/>
    <w:rsid w:val="00600E14"/>
    <w:rsid w:val="006010B7"/>
    <w:rsid w:val="0060482F"/>
    <w:rsid w:val="006053AD"/>
    <w:rsid w:val="00605870"/>
    <w:rsid w:val="00605BCB"/>
    <w:rsid w:val="006065F3"/>
    <w:rsid w:val="00616382"/>
    <w:rsid w:val="006200F5"/>
    <w:rsid w:val="006234DB"/>
    <w:rsid w:val="00627D53"/>
    <w:rsid w:val="00635CCE"/>
    <w:rsid w:val="00636309"/>
    <w:rsid w:val="0065138D"/>
    <w:rsid w:val="00661867"/>
    <w:rsid w:val="0066365E"/>
    <w:rsid w:val="00665E15"/>
    <w:rsid w:val="006662CF"/>
    <w:rsid w:val="006704FD"/>
    <w:rsid w:val="00674ED8"/>
    <w:rsid w:val="00675E81"/>
    <w:rsid w:val="00677610"/>
    <w:rsid w:val="0068234B"/>
    <w:rsid w:val="00692173"/>
    <w:rsid w:val="00694A3C"/>
    <w:rsid w:val="006950CC"/>
    <w:rsid w:val="00697F68"/>
    <w:rsid w:val="006A3932"/>
    <w:rsid w:val="006B4B57"/>
    <w:rsid w:val="006B5646"/>
    <w:rsid w:val="006C28F2"/>
    <w:rsid w:val="006D5E43"/>
    <w:rsid w:val="006E25EB"/>
    <w:rsid w:val="006E3A7E"/>
    <w:rsid w:val="006F2555"/>
    <w:rsid w:val="006F35F5"/>
    <w:rsid w:val="006F4F6D"/>
    <w:rsid w:val="00700719"/>
    <w:rsid w:val="00700C53"/>
    <w:rsid w:val="0070471C"/>
    <w:rsid w:val="007053CE"/>
    <w:rsid w:val="0071045C"/>
    <w:rsid w:val="00712D20"/>
    <w:rsid w:val="007204F6"/>
    <w:rsid w:val="00727684"/>
    <w:rsid w:val="00737778"/>
    <w:rsid w:val="0075147A"/>
    <w:rsid w:val="00751850"/>
    <w:rsid w:val="00751D6F"/>
    <w:rsid w:val="00776839"/>
    <w:rsid w:val="00777596"/>
    <w:rsid w:val="00783980"/>
    <w:rsid w:val="007A0521"/>
    <w:rsid w:val="007B57E8"/>
    <w:rsid w:val="007C5D78"/>
    <w:rsid w:val="007D58A2"/>
    <w:rsid w:val="007E2CF6"/>
    <w:rsid w:val="007E795C"/>
    <w:rsid w:val="007F42F3"/>
    <w:rsid w:val="007F6D20"/>
    <w:rsid w:val="0080473D"/>
    <w:rsid w:val="00812BF7"/>
    <w:rsid w:val="00813B91"/>
    <w:rsid w:val="008233E3"/>
    <w:rsid w:val="008239C2"/>
    <w:rsid w:val="0083176E"/>
    <w:rsid w:val="008324DF"/>
    <w:rsid w:val="00832E64"/>
    <w:rsid w:val="0083545D"/>
    <w:rsid w:val="008370FB"/>
    <w:rsid w:val="00850FC7"/>
    <w:rsid w:val="008525D2"/>
    <w:rsid w:val="00855CA5"/>
    <w:rsid w:val="00861219"/>
    <w:rsid w:val="00872A5C"/>
    <w:rsid w:val="0087433D"/>
    <w:rsid w:val="00881680"/>
    <w:rsid w:val="008920D1"/>
    <w:rsid w:val="00892FD9"/>
    <w:rsid w:val="00895A3B"/>
    <w:rsid w:val="008A1037"/>
    <w:rsid w:val="008A3F80"/>
    <w:rsid w:val="008C2837"/>
    <w:rsid w:val="008C2A79"/>
    <w:rsid w:val="008D0F23"/>
    <w:rsid w:val="008D6867"/>
    <w:rsid w:val="008E034F"/>
    <w:rsid w:val="008E7EF3"/>
    <w:rsid w:val="00901A12"/>
    <w:rsid w:val="00915446"/>
    <w:rsid w:val="00936D45"/>
    <w:rsid w:val="00940E9B"/>
    <w:rsid w:val="00953D04"/>
    <w:rsid w:val="00963188"/>
    <w:rsid w:val="00963C7D"/>
    <w:rsid w:val="0096466B"/>
    <w:rsid w:val="00971380"/>
    <w:rsid w:val="00971D52"/>
    <w:rsid w:val="00980E90"/>
    <w:rsid w:val="00994046"/>
    <w:rsid w:val="00996DD9"/>
    <w:rsid w:val="00996EC5"/>
    <w:rsid w:val="009B12D3"/>
    <w:rsid w:val="009B3571"/>
    <w:rsid w:val="009B3F8E"/>
    <w:rsid w:val="009B4D1D"/>
    <w:rsid w:val="009B5210"/>
    <w:rsid w:val="009B53ED"/>
    <w:rsid w:val="009C01A7"/>
    <w:rsid w:val="009C38D1"/>
    <w:rsid w:val="009D244C"/>
    <w:rsid w:val="009D2C34"/>
    <w:rsid w:val="009E57CD"/>
    <w:rsid w:val="00A05893"/>
    <w:rsid w:val="00A17E9D"/>
    <w:rsid w:val="00A246F8"/>
    <w:rsid w:val="00A2658D"/>
    <w:rsid w:val="00A37FEA"/>
    <w:rsid w:val="00A50E80"/>
    <w:rsid w:val="00A51173"/>
    <w:rsid w:val="00A51E29"/>
    <w:rsid w:val="00A54F9F"/>
    <w:rsid w:val="00A63389"/>
    <w:rsid w:val="00A70F44"/>
    <w:rsid w:val="00A93D94"/>
    <w:rsid w:val="00AB26CA"/>
    <w:rsid w:val="00AC1704"/>
    <w:rsid w:val="00AC4DD4"/>
    <w:rsid w:val="00AE1705"/>
    <w:rsid w:val="00AE2FA0"/>
    <w:rsid w:val="00AE4AD2"/>
    <w:rsid w:val="00AE727B"/>
    <w:rsid w:val="00AF456E"/>
    <w:rsid w:val="00B01CAA"/>
    <w:rsid w:val="00B02CB9"/>
    <w:rsid w:val="00B14258"/>
    <w:rsid w:val="00B14FCC"/>
    <w:rsid w:val="00B2211D"/>
    <w:rsid w:val="00B235C2"/>
    <w:rsid w:val="00B4202E"/>
    <w:rsid w:val="00B472DA"/>
    <w:rsid w:val="00B47BA8"/>
    <w:rsid w:val="00B47E0B"/>
    <w:rsid w:val="00B5201C"/>
    <w:rsid w:val="00B521FC"/>
    <w:rsid w:val="00B55D2E"/>
    <w:rsid w:val="00B55E22"/>
    <w:rsid w:val="00B61D3B"/>
    <w:rsid w:val="00B85B4F"/>
    <w:rsid w:val="00B91525"/>
    <w:rsid w:val="00B9581D"/>
    <w:rsid w:val="00BA6169"/>
    <w:rsid w:val="00BB7EC3"/>
    <w:rsid w:val="00BC2036"/>
    <w:rsid w:val="00BD4E3C"/>
    <w:rsid w:val="00BE44FF"/>
    <w:rsid w:val="00BE60FD"/>
    <w:rsid w:val="00BE7F12"/>
    <w:rsid w:val="00C010A2"/>
    <w:rsid w:val="00C01587"/>
    <w:rsid w:val="00C06677"/>
    <w:rsid w:val="00C10CC6"/>
    <w:rsid w:val="00C122C6"/>
    <w:rsid w:val="00C26785"/>
    <w:rsid w:val="00C303A6"/>
    <w:rsid w:val="00C321D8"/>
    <w:rsid w:val="00C5572A"/>
    <w:rsid w:val="00C64BB1"/>
    <w:rsid w:val="00C73268"/>
    <w:rsid w:val="00C90909"/>
    <w:rsid w:val="00CA1853"/>
    <w:rsid w:val="00CA5DA1"/>
    <w:rsid w:val="00CA5F7D"/>
    <w:rsid w:val="00CB6143"/>
    <w:rsid w:val="00CC517C"/>
    <w:rsid w:val="00CD3839"/>
    <w:rsid w:val="00CD3E28"/>
    <w:rsid w:val="00CD5150"/>
    <w:rsid w:val="00CE4441"/>
    <w:rsid w:val="00CF1ECC"/>
    <w:rsid w:val="00D0363B"/>
    <w:rsid w:val="00D06EC0"/>
    <w:rsid w:val="00D16F57"/>
    <w:rsid w:val="00D17F81"/>
    <w:rsid w:val="00D44690"/>
    <w:rsid w:val="00D44EF3"/>
    <w:rsid w:val="00D47EF4"/>
    <w:rsid w:val="00D54B7C"/>
    <w:rsid w:val="00D622A2"/>
    <w:rsid w:val="00D65294"/>
    <w:rsid w:val="00D82D8C"/>
    <w:rsid w:val="00D83AB0"/>
    <w:rsid w:val="00D86F32"/>
    <w:rsid w:val="00D9398C"/>
    <w:rsid w:val="00D93A4A"/>
    <w:rsid w:val="00DA100A"/>
    <w:rsid w:val="00DA544D"/>
    <w:rsid w:val="00DC6436"/>
    <w:rsid w:val="00DD3977"/>
    <w:rsid w:val="00DE5475"/>
    <w:rsid w:val="00E01DD3"/>
    <w:rsid w:val="00E0225F"/>
    <w:rsid w:val="00E04FAF"/>
    <w:rsid w:val="00E05528"/>
    <w:rsid w:val="00E05FE6"/>
    <w:rsid w:val="00E14D1E"/>
    <w:rsid w:val="00E17AF6"/>
    <w:rsid w:val="00E21CF0"/>
    <w:rsid w:val="00E34D2F"/>
    <w:rsid w:val="00E4266D"/>
    <w:rsid w:val="00E4628F"/>
    <w:rsid w:val="00E47F64"/>
    <w:rsid w:val="00E536C6"/>
    <w:rsid w:val="00E86A98"/>
    <w:rsid w:val="00E9093D"/>
    <w:rsid w:val="00E917FB"/>
    <w:rsid w:val="00E936EF"/>
    <w:rsid w:val="00E93D96"/>
    <w:rsid w:val="00E940AE"/>
    <w:rsid w:val="00E94B51"/>
    <w:rsid w:val="00EA561E"/>
    <w:rsid w:val="00EA5796"/>
    <w:rsid w:val="00EA60AC"/>
    <w:rsid w:val="00EC1128"/>
    <w:rsid w:val="00ED0494"/>
    <w:rsid w:val="00ED2DD9"/>
    <w:rsid w:val="00EE2002"/>
    <w:rsid w:val="00EE4C0F"/>
    <w:rsid w:val="00EF0AB3"/>
    <w:rsid w:val="00EF221A"/>
    <w:rsid w:val="00F00B34"/>
    <w:rsid w:val="00F01FDF"/>
    <w:rsid w:val="00F118F7"/>
    <w:rsid w:val="00F209A0"/>
    <w:rsid w:val="00F20DD2"/>
    <w:rsid w:val="00F3403C"/>
    <w:rsid w:val="00F4121F"/>
    <w:rsid w:val="00F5183A"/>
    <w:rsid w:val="00F5392A"/>
    <w:rsid w:val="00F5787B"/>
    <w:rsid w:val="00F66CD1"/>
    <w:rsid w:val="00F71B7E"/>
    <w:rsid w:val="00FA0EC6"/>
    <w:rsid w:val="00FA4CF3"/>
    <w:rsid w:val="00FB0B21"/>
    <w:rsid w:val="00FB31A9"/>
    <w:rsid w:val="00FB728C"/>
    <w:rsid w:val="00FB777C"/>
    <w:rsid w:val="00FD4E93"/>
    <w:rsid w:val="00FD6BFA"/>
    <w:rsid w:val="00FE0207"/>
    <w:rsid w:val="00FE0439"/>
    <w:rsid w:val="00FE7970"/>
    <w:rsid w:val="020D69A2"/>
    <w:rsid w:val="03782408"/>
    <w:rsid w:val="05F75CF2"/>
    <w:rsid w:val="05FE19DA"/>
    <w:rsid w:val="09300FD4"/>
    <w:rsid w:val="0BC64ACC"/>
    <w:rsid w:val="0BF95F96"/>
    <w:rsid w:val="0DB72510"/>
    <w:rsid w:val="0ED86CB5"/>
    <w:rsid w:val="141A3309"/>
    <w:rsid w:val="145D0D4E"/>
    <w:rsid w:val="15C875E4"/>
    <w:rsid w:val="15DC5260"/>
    <w:rsid w:val="16FE9F60"/>
    <w:rsid w:val="181547B0"/>
    <w:rsid w:val="18B5389C"/>
    <w:rsid w:val="18F008CC"/>
    <w:rsid w:val="19A9497F"/>
    <w:rsid w:val="1B3A219C"/>
    <w:rsid w:val="1C475364"/>
    <w:rsid w:val="1CB2583C"/>
    <w:rsid w:val="1D0A5696"/>
    <w:rsid w:val="1D352131"/>
    <w:rsid w:val="1F6C7721"/>
    <w:rsid w:val="22C04CA6"/>
    <w:rsid w:val="233543D6"/>
    <w:rsid w:val="233A0C92"/>
    <w:rsid w:val="23453169"/>
    <w:rsid w:val="23974B67"/>
    <w:rsid w:val="25254410"/>
    <w:rsid w:val="253D13ED"/>
    <w:rsid w:val="280B23A9"/>
    <w:rsid w:val="298840D6"/>
    <w:rsid w:val="2BBFC5F6"/>
    <w:rsid w:val="2EF6E33E"/>
    <w:rsid w:val="2F7408B5"/>
    <w:rsid w:val="2F9F469A"/>
    <w:rsid w:val="31652F6C"/>
    <w:rsid w:val="321A44B8"/>
    <w:rsid w:val="375F458E"/>
    <w:rsid w:val="38103359"/>
    <w:rsid w:val="38B060BF"/>
    <w:rsid w:val="38CA1CA5"/>
    <w:rsid w:val="3D304CDF"/>
    <w:rsid w:val="3DC651BE"/>
    <w:rsid w:val="3DC8076D"/>
    <w:rsid w:val="3DCE28AD"/>
    <w:rsid w:val="3DDA2514"/>
    <w:rsid w:val="3F9778B0"/>
    <w:rsid w:val="3FAE5A8E"/>
    <w:rsid w:val="3FE27CA8"/>
    <w:rsid w:val="40006CF8"/>
    <w:rsid w:val="42130447"/>
    <w:rsid w:val="43AA04A6"/>
    <w:rsid w:val="4780F8EC"/>
    <w:rsid w:val="4A501367"/>
    <w:rsid w:val="4B504BDE"/>
    <w:rsid w:val="4BF51E77"/>
    <w:rsid w:val="4E894600"/>
    <w:rsid w:val="4EC36C06"/>
    <w:rsid w:val="52187707"/>
    <w:rsid w:val="52345BD2"/>
    <w:rsid w:val="548B6146"/>
    <w:rsid w:val="55011EFD"/>
    <w:rsid w:val="5517702A"/>
    <w:rsid w:val="551D4746"/>
    <w:rsid w:val="559514C2"/>
    <w:rsid w:val="56D93F66"/>
    <w:rsid w:val="57CB490A"/>
    <w:rsid w:val="5A2C5CD8"/>
    <w:rsid w:val="5CC07AA2"/>
    <w:rsid w:val="5F4B47D8"/>
    <w:rsid w:val="5F843946"/>
    <w:rsid w:val="61276463"/>
    <w:rsid w:val="64A17CB3"/>
    <w:rsid w:val="65E34F66"/>
    <w:rsid w:val="663F0A34"/>
    <w:rsid w:val="66557F4D"/>
    <w:rsid w:val="6B0F7EF5"/>
    <w:rsid w:val="6C910EF9"/>
    <w:rsid w:val="6CA04A83"/>
    <w:rsid w:val="70BD61CA"/>
    <w:rsid w:val="72E172F3"/>
    <w:rsid w:val="756336CF"/>
    <w:rsid w:val="76193B99"/>
    <w:rsid w:val="761B2AB3"/>
    <w:rsid w:val="796F7900"/>
    <w:rsid w:val="7A70A0ED"/>
    <w:rsid w:val="7AA829C2"/>
    <w:rsid w:val="7AF5EA9A"/>
    <w:rsid w:val="7CB34CB8"/>
    <w:rsid w:val="7DBB45BC"/>
    <w:rsid w:val="7E4E7467"/>
    <w:rsid w:val="7F2010C2"/>
    <w:rsid w:val="7FFB04AC"/>
    <w:rsid w:val="95BABD47"/>
    <w:rsid w:val="9FEFF61A"/>
    <w:rsid w:val="ABBBCC8A"/>
    <w:rsid w:val="B7AB217D"/>
    <w:rsid w:val="BDFB4266"/>
    <w:rsid w:val="C74849A0"/>
    <w:rsid w:val="CFBF94D1"/>
    <w:rsid w:val="CFC7D6A7"/>
    <w:rsid w:val="EBBFFBDD"/>
    <w:rsid w:val="F6F7E043"/>
    <w:rsid w:val="F7FB385C"/>
    <w:rsid w:val="FBFF74EA"/>
    <w:rsid w:val="FDB6664C"/>
    <w:rsid w:val="FE5BF3DB"/>
    <w:rsid w:val="FF33D6F4"/>
    <w:rsid w:val="FFB5F46A"/>
    <w:rsid w:val="FFBEA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ascii="黑体" w:eastAsia="黑体"/>
      <w:bCs/>
      <w:kern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widowControl w:val="0"/>
      <w:spacing w:line="288" w:lineRule="auto"/>
      <w:ind w:left="1400" w:leftChars="1400" w:firstLine="200" w:firstLineChars="200"/>
      <w:jc w:val="both"/>
    </w:pPr>
    <w:rPr>
      <w:rFonts w:ascii="Times New Roman" w:hAnsi="Times New Roman" w:eastAsia="宋体" w:cs="Times New Roman"/>
      <w:kern w:val="2"/>
      <w:sz w:val="32"/>
      <w:szCs w:val="22"/>
      <w:lang w:val="en-US" w:eastAsia="zh-CN" w:bidi="ar-SA"/>
    </w:rPr>
  </w:style>
  <w:style w:type="paragraph" w:styleId="4">
    <w:name w:val="Normal Indent"/>
    <w:basedOn w:val="1"/>
    <w:qFormat/>
    <w:uiPriority w:val="0"/>
    <w:pPr>
      <w:ind w:firstLine="420" w:firstLineChars="200"/>
    </w:pPr>
  </w:style>
  <w:style w:type="paragraph" w:styleId="5">
    <w:name w:val="annotation text"/>
    <w:basedOn w:val="1"/>
    <w:link w:val="24"/>
    <w:semiHidden/>
    <w:unhideWhenUsed/>
    <w:qFormat/>
    <w:uiPriority w:val="99"/>
    <w:pPr>
      <w:jc w:val="left"/>
    </w:pPr>
  </w:style>
  <w:style w:type="paragraph" w:styleId="6">
    <w:name w:val="Body Text"/>
    <w:basedOn w:val="1"/>
    <w:unhideWhenUsed/>
    <w:qFormat/>
    <w:uiPriority w:val="99"/>
    <w:rPr>
      <w:rFonts w:hint="eastAsia" w:ascii="宋体" w:hAnsi="宋体"/>
      <w:sz w:val="32"/>
      <w:szCs w:val="32"/>
    </w:rPr>
  </w:style>
  <w:style w:type="paragraph" w:styleId="7">
    <w:name w:val="Body Text Indent"/>
    <w:basedOn w:val="1"/>
    <w:qFormat/>
    <w:uiPriority w:val="0"/>
    <w:pPr>
      <w:spacing w:after="120"/>
      <w:ind w:left="420" w:leftChars="200"/>
    </w:pPr>
  </w:style>
  <w:style w:type="paragraph" w:styleId="8">
    <w:name w:val="Plain Text"/>
    <w:basedOn w:val="1"/>
    <w:next w:val="3"/>
    <w:unhideWhenUsed/>
    <w:qFormat/>
    <w:uiPriority w:val="99"/>
    <w:rPr>
      <w:rFonts w:ascii="宋体" w:hAnsi="Courier New" w:eastAsia="宋体" w:cs="Courier New"/>
    </w:rPr>
  </w:style>
  <w:style w:type="paragraph" w:styleId="9">
    <w:name w:val="Balloon Text"/>
    <w:basedOn w:val="1"/>
    <w:link w:val="23"/>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annotation subject"/>
    <w:basedOn w:val="5"/>
    <w:next w:val="5"/>
    <w:link w:val="25"/>
    <w:semiHidden/>
    <w:unhideWhenUsed/>
    <w:qFormat/>
    <w:uiPriority w:val="99"/>
    <w:rPr>
      <w:b/>
      <w:bCs/>
    </w:rPr>
  </w:style>
  <w:style w:type="paragraph" w:styleId="14">
    <w:name w:val="Body Text First Indent 2"/>
    <w:basedOn w:val="7"/>
    <w:qFormat/>
    <w:uiPriority w:val="0"/>
    <w:pPr>
      <w:ind w:firstLine="420" w:firstLineChars="2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paragraph" w:customStyle="1" w:styleId="19">
    <w:name w:val="公文正文"/>
    <w:qFormat/>
    <w:uiPriority w:val="0"/>
    <w:pPr>
      <w:spacing w:line="560" w:lineRule="exact"/>
      <w:ind w:firstLine="640" w:firstLineChars="200"/>
      <w:jc w:val="both"/>
    </w:pPr>
    <w:rPr>
      <w:rFonts w:hint="eastAsia" w:ascii="仿宋_GB2312" w:hAnsi="仿宋_GB2312" w:eastAsia="仿宋_GB2312" w:cs="仿宋_GB2312"/>
      <w:color w:val="000000"/>
      <w:sz w:val="32"/>
      <w:lang w:val="en-US" w:eastAsia="zh-CN" w:bidi="ar-SA"/>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7"/>
    <w:link w:val="9"/>
    <w:semiHidden/>
    <w:qFormat/>
    <w:uiPriority w:val="99"/>
    <w:rPr>
      <w:rFonts w:ascii="Times New Roman" w:hAnsi="Times New Roman" w:eastAsia="宋体" w:cs="Times New Roman"/>
      <w:sz w:val="18"/>
      <w:szCs w:val="18"/>
    </w:rPr>
  </w:style>
  <w:style w:type="character" w:customStyle="1" w:styleId="24">
    <w:name w:val="批注文字 字符"/>
    <w:basedOn w:val="17"/>
    <w:link w:val="5"/>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网聚科技</Company>
  <Pages>12</Pages>
  <Words>2648</Words>
  <Characters>15095</Characters>
  <Lines>125</Lines>
  <Paragraphs>35</Paragraphs>
  <TotalTime>5</TotalTime>
  <ScaleCrop>false</ScaleCrop>
  <LinksUpToDate>false</LinksUpToDate>
  <CharactersWithSpaces>17708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2021-04-04T04:19:00Z</dcterms:created>
  <dc:creator>王爽爽</dc:creator>
  <cp:lastModifiedBy>longhua</cp:lastModifiedBy>
  <cp:lastPrinted>2024-03-01T04:04:00Z</cp:lastPrinted>
  <dcterms:modified xsi:type="dcterms:W3CDTF">2024-05-30T17:36:57Z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0_embed</vt:lpwstr>
  </property>
  <property fmtid="{D5CDD505-2E9C-101B-9397-08002B2CF9AE}" pid="3" name="KSOProductBuildVer">
    <vt:lpwstr>2052-11.8.2.10458</vt:lpwstr>
  </property>
  <property fmtid="{D5CDD505-2E9C-101B-9397-08002B2CF9AE}" pid="4" name="ICV">
    <vt:lpwstr>765FF7404AEF4269860A9B7A1C9F87D0</vt:lpwstr>
  </property>
</Properties>
</file>