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rPr>
        <w:t>2024年龙华区</w:t>
      </w:r>
      <w:r>
        <w:rPr>
          <w:rFonts w:hint="eastAsia" w:ascii="方正小标宋简体" w:hAnsi="方正小标宋简体" w:eastAsia="方正小标宋简体" w:cs="方正小标宋简体"/>
          <w:kern w:val="0"/>
          <w:sz w:val="44"/>
          <w:szCs w:val="44"/>
          <w:highlight w:val="none"/>
          <w:lang w:val="en-US" w:eastAsia="zh-CN"/>
        </w:rPr>
        <w:t>社区文体节系列活动之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kern w:val="0"/>
          <w:sz w:val="44"/>
          <w:szCs w:val="44"/>
          <w:highlight w:val="none"/>
        </w:rPr>
        <w:t>流动图书馆活动项目</w:t>
      </w:r>
      <w:r>
        <w:rPr>
          <w:rFonts w:hint="eastAsia" w:ascii="方正小标宋简体" w:hAnsi="方正小标宋简体" w:eastAsia="方正小标宋简体" w:cs="方正小标宋简体"/>
          <w:sz w:val="44"/>
          <w:szCs w:val="44"/>
          <w:highlight w:val="none"/>
        </w:rPr>
        <w:t>需求书</w:t>
      </w:r>
    </w:p>
    <w:p>
      <w:pPr>
        <w:spacing w:line="560" w:lineRule="exact"/>
        <w:rPr>
          <w:rFonts w:hint="eastAsia" w:ascii="宋体" w:hAnsi="宋体" w:eastAsia="宋体" w:cs="宋体"/>
          <w:highlight w:val="none"/>
        </w:rPr>
      </w:pPr>
    </w:p>
    <w:p>
      <w:pPr>
        <w:numPr>
          <w:ilvl w:val="0"/>
          <w:numId w:val="1"/>
        </w:numPr>
        <w:tabs>
          <w:tab w:val="left" w:pos="1820"/>
        </w:tabs>
        <w:snapToGrid w:val="0"/>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项目目标</w:t>
      </w:r>
    </w:p>
    <w:p>
      <w:pPr>
        <w:spacing w:line="560" w:lineRule="exact"/>
        <w:ind w:firstLine="420" w:firstLineChars="200"/>
        <w:rPr>
          <w:rFonts w:ascii="仿宋_GB2312" w:hAnsi="仿宋" w:eastAsia="仿宋_GB2312" w:cs="仿宋"/>
          <w:sz w:val="32"/>
          <w:szCs w:val="32"/>
          <w:highlight w:val="none"/>
          <w:lang w:val="en"/>
        </w:rPr>
      </w:pPr>
      <w:r>
        <w:rPr>
          <w:highlight w:val="none"/>
          <w:lang w:val="en"/>
        </w:rPr>
        <w:t xml:space="preserve">  </w:t>
      </w:r>
      <w:r>
        <w:rPr>
          <w:rFonts w:hint="eastAsia" w:ascii="仿宋_GB2312" w:hAnsi="仿宋" w:eastAsia="仿宋_GB2312" w:cs="仿宋"/>
          <w:kern w:val="0"/>
          <w:sz w:val="32"/>
          <w:szCs w:val="32"/>
          <w:highlight w:val="none"/>
          <w:shd w:val="clear" w:color="auto" w:fill="FFFFFF"/>
          <w:lang w:val="en-US" w:eastAsia="zh-CN"/>
        </w:rPr>
        <w:t>为进一步营造市民的阅读氛围，提高市民阅读的精神文化，满足市民群众的文化需求，丰富市民阅读文化生活，更好地推进全民阅读工作，发挥龙华图书馆阅读主阵地的作用，推动区、街道、社区三级联动共创效应，我局拟于6-10月开展2024年龙华区社区文体节系列活动之流动图书馆活动，通过“阅读+”模式，在龙华区开展形式多样的阅读推广活动，让书香沁润龙华。</w:t>
      </w:r>
    </w:p>
    <w:p>
      <w:pPr>
        <w:widowControl/>
        <w:tabs>
          <w:tab w:val="left" w:pos="1820"/>
        </w:tabs>
        <w:adjustRightInd w:val="0"/>
        <w:snapToGrid w:val="0"/>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二、时间安排</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仿宋" w:eastAsia="仿宋_GB2312" w:cs="仿宋"/>
          <w:kern w:val="0"/>
          <w:sz w:val="32"/>
          <w:szCs w:val="32"/>
          <w:highlight w:val="none"/>
          <w:shd w:val="clear" w:color="auto" w:fill="FFFFFF"/>
          <w:lang w:val="en-US" w:eastAsia="zh-CN"/>
        </w:rPr>
        <w:t>6-10月</w:t>
      </w:r>
    </w:p>
    <w:p>
      <w:pPr>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三、项目内容及要求</w:t>
      </w:r>
    </w:p>
    <w:p>
      <w:pPr>
        <w:pStyle w:val="7"/>
        <w:spacing w:line="560" w:lineRule="exact"/>
        <w:ind w:firstLine="640"/>
        <w:rPr>
          <w:rFonts w:hint="eastAsia" w:ascii="楷体_GB2312" w:hAnsi="仿宋" w:eastAsia="楷体_GB2312" w:cs="宋体"/>
          <w:color w:val="000000"/>
          <w:kern w:val="0"/>
          <w:sz w:val="32"/>
          <w:szCs w:val="32"/>
          <w:highlight w:val="none"/>
        </w:rPr>
      </w:pPr>
      <w:r>
        <w:rPr>
          <w:rFonts w:hint="eastAsia" w:ascii="楷体_GB2312" w:hAnsi="仿宋" w:eastAsia="楷体_GB2312" w:cs="宋体"/>
          <w:color w:val="000000"/>
          <w:kern w:val="0"/>
          <w:sz w:val="32"/>
          <w:szCs w:val="32"/>
          <w:highlight w:val="none"/>
        </w:rPr>
        <w:t>（一）项目名称</w:t>
      </w:r>
    </w:p>
    <w:p>
      <w:pPr>
        <w:pStyle w:val="7"/>
        <w:spacing w:line="560" w:lineRule="exact"/>
        <w:ind w:firstLine="64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2024年龙华区</w:t>
      </w:r>
      <w:r>
        <w:rPr>
          <w:rFonts w:hint="eastAsia" w:ascii="仿宋_GB2312" w:hAnsi="仿宋" w:eastAsia="仿宋_GB2312" w:cs="仿宋"/>
          <w:sz w:val="32"/>
          <w:szCs w:val="32"/>
          <w:highlight w:val="none"/>
          <w:lang w:val="en-US" w:eastAsia="zh-CN"/>
        </w:rPr>
        <w:t>社区文体节系列活动之</w:t>
      </w:r>
      <w:r>
        <w:rPr>
          <w:rFonts w:hint="eastAsia" w:ascii="仿宋_GB2312" w:hAnsi="仿宋" w:eastAsia="仿宋_GB2312" w:cs="仿宋"/>
          <w:sz w:val="32"/>
          <w:szCs w:val="32"/>
          <w:highlight w:val="none"/>
        </w:rPr>
        <w:t>流动图书馆活动</w:t>
      </w:r>
    </w:p>
    <w:p>
      <w:pPr>
        <w:pStyle w:val="7"/>
        <w:spacing w:line="560" w:lineRule="exact"/>
        <w:ind w:firstLine="640"/>
        <w:rPr>
          <w:rFonts w:hint="eastAsia" w:ascii="楷体_GB2312" w:hAnsi="仿宋" w:eastAsia="楷体_GB2312" w:cs="宋体"/>
          <w:color w:val="000000"/>
          <w:kern w:val="0"/>
          <w:sz w:val="32"/>
          <w:szCs w:val="32"/>
          <w:highlight w:val="none"/>
        </w:rPr>
      </w:pPr>
      <w:r>
        <w:rPr>
          <w:rFonts w:hint="eastAsia" w:ascii="楷体_GB2312" w:hAnsi="仿宋" w:eastAsia="楷体_GB2312" w:cs="宋体"/>
          <w:color w:val="000000"/>
          <w:kern w:val="0"/>
          <w:sz w:val="32"/>
          <w:szCs w:val="32"/>
          <w:highlight w:val="none"/>
        </w:rPr>
        <w:t>（二）项目内容</w:t>
      </w:r>
    </w:p>
    <w:p>
      <w:pPr>
        <w:pStyle w:val="7"/>
        <w:spacing w:line="560" w:lineRule="exact"/>
        <w:ind w:firstLine="64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2024年龙华区</w:t>
      </w:r>
      <w:r>
        <w:rPr>
          <w:rFonts w:hint="eastAsia" w:ascii="仿宋_GB2312" w:hAnsi="仿宋" w:eastAsia="仿宋_GB2312" w:cs="仿宋"/>
          <w:sz w:val="32"/>
          <w:szCs w:val="32"/>
          <w:highlight w:val="none"/>
          <w:lang w:val="en-US" w:eastAsia="zh-CN"/>
        </w:rPr>
        <w:t>社区文体节系列活动之</w:t>
      </w:r>
      <w:r>
        <w:rPr>
          <w:rFonts w:hint="eastAsia" w:ascii="仿宋_GB2312" w:hAnsi="仿宋" w:eastAsia="仿宋_GB2312" w:cs="仿宋"/>
          <w:sz w:val="32"/>
          <w:szCs w:val="32"/>
          <w:highlight w:val="none"/>
        </w:rPr>
        <w:t>流动图书馆活动包含：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围绕“阅传承”“阅成长”“阅时光”“阅美好”“阅生活”五大类别，开展不限于阅读+红色传承、阅读+角色演绎、阅读+创意手工、阅读+艺术体验、阅读+传统体验等阅读推广活动，让阅读更精彩，</w:t>
      </w:r>
      <w:r>
        <w:rPr>
          <w:rFonts w:hint="eastAsia" w:ascii="仿宋_GB2312" w:hAnsi="仿宋" w:eastAsia="仿宋_GB2312" w:cs="仿宋"/>
          <w:kern w:val="0"/>
          <w:sz w:val="32"/>
          <w:szCs w:val="32"/>
          <w:highlight w:val="none"/>
          <w:shd w:val="clear" w:color="auto" w:fill="FFFFFF"/>
          <w:lang w:val="en-US" w:eastAsia="zh-CN"/>
        </w:rPr>
        <w:t>让阅读更丰富，拟开展42场。</w:t>
      </w:r>
    </w:p>
    <w:p>
      <w:pPr>
        <w:spacing w:line="560" w:lineRule="exac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楷体_GB2312" w:hAnsi="仿宋" w:eastAsia="楷体_GB2312" w:cs="宋体"/>
          <w:color w:val="000000"/>
          <w:kern w:val="0"/>
          <w:sz w:val="32"/>
          <w:szCs w:val="32"/>
          <w:highlight w:val="none"/>
        </w:rPr>
        <w:t>（三）具体需求</w:t>
      </w:r>
    </w:p>
    <w:p>
      <w:pPr>
        <w:pStyle w:val="7"/>
        <w:spacing w:line="560" w:lineRule="exact"/>
        <w:ind w:left="0" w:leftChars="0" w:firstLine="640" w:firstLineChars="200"/>
        <w:rPr>
          <w:rFonts w:hint="eastAsia"/>
          <w:highlight w:val="none"/>
        </w:rPr>
      </w:pPr>
      <w:r>
        <w:rPr>
          <w:rFonts w:hint="eastAsia" w:ascii="仿宋_GB2312" w:hAnsi="仿宋" w:eastAsia="仿宋_GB2312" w:cs="仿宋"/>
          <w:sz w:val="32"/>
          <w:szCs w:val="32"/>
          <w:highlight w:val="none"/>
        </w:rPr>
        <w:t>2024年龙华区</w:t>
      </w:r>
      <w:r>
        <w:rPr>
          <w:rFonts w:hint="eastAsia" w:ascii="仿宋_GB2312" w:hAnsi="仿宋" w:eastAsia="仿宋_GB2312" w:cs="仿宋"/>
          <w:sz w:val="32"/>
          <w:szCs w:val="32"/>
          <w:highlight w:val="none"/>
          <w:lang w:val="en-US" w:eastAsia="zh-CN"/>
        </w:rPr>
        <w:t>社区文体节系列活动之</w:t>
      </w:r>
      <w:r>
        <w:rPr>
          <w:rFonts w:hint="eastAsia" w:ascii="仿宋_GB2312" w:hAnsi="仿宋" w:eastAsia="仿宋_GB2312" w:cs="仿宋"/>
          <w:sz w:val="32"/>
          <w:szCs w:val="32"/>
          <w:highlight w:val="none"/>
        </w:rPr>
        <w:t>流动图书馆活动需提供以下服务内容：</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1.负责物料设计，包含活动主海报设计、宣传物料、手举牌等设计；</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2.负责物料制作，包含活动宣传语手举牌，立牌，活动介绍展示；</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3.负责活动的摄影摄像及档案管理，包含42场活动照片拍摄及档案管理工作；</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4.负责</w:t>
      </w:r>
      <w:r>
        <w:rPr>
          <w:rFonts w:hint="eastAsia" w:ascii="仿宋_GB2312" w:hAnsi="仿宋_GB2312" w:eastAsia="仿宋_GB2312" w:cs="仿宋_GB2312"/>
          <w:kern w:val="0"/>
          <w:sz w:val="32"/>
          <w:szCs w:val="32"/>
          <w:highlight w:val="none"/>
          <w:lang w:val="en-US" w:eastAsia="zh-CN"/>
        </w:rPr>
        <w:t>活动所需的</w:t>
      </w:r>
      <w:r>
        <w:rPr>
          <w:rFonts w:hint="eastAsia" w:ascii="仿宋_GB2312" w:hAnsi="仿宋_GB2312" w:eastAsia="仿宋_GB2312" w:cs="仿宋_GB2312"/>
          <w:kern w:val="0"/>
          <w:sz w:val="32"/>
          <w:szCs w:val="32"/>
          <w:highlight w:val="none"/>
        </w:rPr>
        <w:t>设备租赁；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5.负责活动课程内容设计，</w:t>
      </w:r>
      <w:r>
        <w:rPr>
          <w:rFonts w:hint="eastAsia" w:ascii="仿宋_GB2312" w:hAnsi="仿宋_GB2312" w:eastAsia="仿宋_GB2312" w:cs="仿宋_GB2312"/>
          <w:kern w:val="0"/>
          <w:sz w:val="32"/>
          <w:szCs w:val="32"/>
          <w:highlight w:val="none"/>
          <w:lang w:val="en-US" w:eastAsia="zh-CN"/>
        </w:rPr>
        <w:t>需</w:t>
      </w:r>
      <w:r>
        <w:rPr>
          <w:rFonts w:hint="eastAsia" w:ascii="仿宋_GB2312" w:hAnsi="仿宋_GB2312" w:eastAsia="仿宋_GB2312" w:cs="仿宋_GB2312"/>
          <w:kern w:val="0"/>
          <w:sz w:val="32"/>
          <w:szCs w:val="32"/>
          <w:highlight w:val="none"/>
        </w:rPr>
        <w:t>含所有类别课程的具体课程设计及策划</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具体</w:t>
      </w:r>
      <w:r>
        <w:rPr>
          <w:rFonts w:hint="eastAsia" w:ascii="仿宋_GB2312" w:hAnsi="仿宋_GB2312" w:eastAsia="仿宋_GB2312" w:cs="仿宋_GB2312"/>
          <w:sz w:val="32"/>
          <w:szCs w:val="32"/>
          <w:highlight w:val="none"/>
          <w:lang w:val="en-US" w:eastAsia="zh-CN"/>
        </w:rPr>
        <w:t>包含“阅传承”：10场；“阅成长”：8场；“阅时光”：8场；“阅美好”：8场；“阅生活”：8场。</w:t>
      </w:r>
      <w:r>
        <w:rPr>
          <w:rFonts w:hint="eastAsia" w:ascii="仿宋_GB2312" w:hAnsi="仿宋_GB2312" w:eastAsia="仿宋_GB2312" w:cs="仿宋_GB2312"/>
          <w:kern w:val="0"/>
          <w:sz w:val="32"/>
          <w:szCs w:val="32"/>
          <w:highlight w:val="none"/>
          <w:lang w:val="en-US" w:eastAsia="zh-CN"/>
        </w:rPr>
        <w:t>其中“阅传承”需面向所有人员、“阅成长”需面向少年儿童群体、“阅时光”需面向亲子家庭、“阅美好”需面向成年人群体、“阅生活”需面向乐龄长者</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6.负责</w:t>
      </w:r>
      <w:r>
        <w:rPr>
          <w:rFonts w:hint="eastAsia" w:ascii="仿宋_GB2312" w:hAnsi="仿宋_GB2312" w:eastAsia="仿宋_GB2312" w:cs="仿宋_GB2312"/>
          <w:kern w:val="0"/>
          <w:sz w:val="32"/>
          <w:szCs w:val="32"/>
          <w:highlight w:val="none"/>
          <w:lang w:val="en-US" w:eastAsia="zh-CN"/>
        </w:rPr>
        <w:t>活动的</w:t>
      </w:r>
      <w:r>
        <w:rPr>
          <w:rFonts w:hint="eastAsia" w:ascii="仿宋_GB2312" w:hAnsi="仿宋_GB2312" w:eastAsia="仿宋_GB2312" w:cs="仿宋_GB2312"/>
          <w:kern w:val="0"/>
          <w:sz w:val="32"/>
          <w:szCs w:val="32"/>
          <w:highlight w:val="none"/>
        </w:rPr>
        <w:t>场地布置，包含42场活动场地布置及清理、复原；</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7.负责活动手工材料的采买搭配，材料不少于4</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0份；</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负责</w:t>
      </w:r>
      <w:r>
        <w:rPr>
          <w:rFonts w:hint="eastAsia" w:ascii="仿宋_GB2312" w:hAnsi="仿宋_GB2312" w:eastAsia="仿宋_GB2312" w:cs="仿宋_GB2312"/>
          <w:kern w:val="0"/>
          <w:sz w:val="32"/>
          <w:szCs w:val="32"/>
          <w:highlight w:val="none"/>
        </w:rPr>
        <w:t>绘本角色扮演</w:t>
      </w:r>
      <w:r>
        <w:rPr>
          <w:rFonts w:hint="eastAsia" w:ascii="仿宋_GB2312" w:hAnsi="仿宋" w:eastAsia="仿宋_GB2312" w:cs="仿宋"/>
          <w:sz w:val="32"/>
          <w:szCs w:val="32"/>
          <w:highlight w:val="none"/>
        </w:rPr>
        <w:t>内容</w:t>
      </w:r>
      <w:r>
        <w:rPr>
          <w:rFonts w:hint="eastAsia" w:ascii="仿宋_GB2312" w:hAnsi="仿宋" w:eastAsia="仿宋_GB2312" w:cs="仿宋"/>
          <w:sz w:val="32"/>
          <w:szCs w:val="32"/>
          <w:highlight w:val="none"/>
          <w:lang w:val="en-US" w:eastAsia="zh-CN"/>
        </w:rPr>
        <w:t>的</w:t>
      </w:r>
      <w:r>
        <w:rPr>
          <w:rFonts w:hint="eastAsia" w:ascii="仿宋_GB2312" w:hAnsi="仿宋" w:eastAsia="仿宋_GB2312" w:cs="仿宋"/>
          <w:sz w:val="32"/>
          <w:szCs w:val="32"/>
          <w:highlight w:val="none"/>
        </w:rPr>
        <w:t>道具</w:t>
      </w:r>
      <w:r>
        <w:rPr>
          <w:rFonts w:hint="eastAsia" w:ascii="仿宋_GB2312" w:hAnsi="仿宋" w:eastAsia="仿宋_GB2312" w:cs="仿宋"/>
          <w:sz w:val="32"/>
          <w:szCs w:val="32"/>
          <w:highlight w:val="none"/>
          <w:lang w:val="en-US" w:eastAsia="zh-CN"/>
        </w:rPr>
        <w:t>采买和制作</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.负责物料往返运输</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包含42场次活动的物料运输</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  </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负责活动的人员安排，包含讲师和助教。</w:t>
      </w:r>
      <w:r>
        <w:rPr>
          <w:rFonts w:hint="eastAsia" w:ascii="仿宋_GB2312" w:hAnsi="仿宋" w:eastAsia="仿宋_GB2312" w:cs="仿宋"/>
          <w:kern w:val="0"/>
          <w:sz w:val="32"/>
          <w:szCs w:val="32"/>
          <w:highlight w:val="none"/>
          <w:shd w:val="clear" w:color="auto" w:fill="FFFFFF"/>
          <w:lang w:val="en-US" w:eastAsia="zh-CN"/>
        </w:rPr>
        <w:t>其中</w:t>
      </w:r>
      <w:r>
        <w:rPr>
          <w:rFonts w:hint="eastAsia" w:ascii="仿宋_GB2312" w:hAnsi="仿宋_GB2312" w:eastAsia="仿宋_GB2312" w:cs="仿宋_GB2312"/>
          <w:sz w:val="32"/>
          <w:szCs w:val="32"/>
          <w:highlight w:val="none"/>
          <w:lang w:val="en-US" w:eastAsia="zh-CN"/>
        </w:rPr>
        <w:t>“阅传承”的讲师需邀请对中国文化名人大营救有深刻了解的人员；“阅成长”“阅时光”“阅美好”“阅生活”需邀请有丰富教学经验的阅读推广人或同类活动经验丰富的讲师，保障活动开展质量</w:t>
      </w:r>
      <w:r>
        <w:rPr>
          <w:rFonts w:hint="eastAsia" w:ascii="仿宋_GB2312" w:hAnsi="仿宋_GB2312" w:eastAsia="仿宋_GB2312" w:cs="仿宋_GB2312"/>
          <w:kern w:val="0"/>
          <w:sz w:val="32"/>
          <w:szCs w:val="32"/>
          <w:highlight w:val="none"/>
          <w:lang w:val="en-US" w:eastAsia="zh-CN"/>
        </w:rPr>
        <w:t>；</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11.活动现场工作人员工作用餐；</w:t>
      </w:r>
    </w:p>
    <w:p>
      <w:pPr>
        <w:pStyle w:val="2"/>
        <w:spacing w:after="0" w:line="240" w:lineRule="auto"/>
        <w:ind w:left="0" w:leftChars="0" w:right="0" w:righ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.完成主办方要求的其他相关工作；</w:t>
      </w:r>
      <w:r>
        <w:rPr>
          <w:rFonts w:hint="eastAsia" w:ascii="仿宋_GB2312" w:hAnsi="仿宋_GB2312" w:eastAsia="仿宋_GB2312" w:cs="仿宋_GB2312"/>
          <w:kern w:val="0"/>
          <w:sz w:val="32"/>
          <w:szCs w:val="32"/>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其他内容：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textAlignment w:val="auto"/>
        <w:rPr>
          <w:rFonts w:hint="eastAsia"/>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由于供应商原因造成活动物料等质低劣，不能满足甲方要求时，供应商应积极配合完善，其费用由供应商承担；</w:t>
      </w:r>
      <w:r>
        <w:rPr>
          <w:rFonts w:hint="eastAsia"/>
          <w:highlight w:val="none"/>
        </w:rPr>
        <w:t xml:space="preserve">  </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.由于不可抗力因素导致活动延期等，供应商应积极配合。</w:t>
      </w:r>
    </w:p>
    <w:p>
      <w:pPr>
        <w:tabs>
          <w:tab w:val="left" w:pos="1820"/>
        </w:tabs>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四、报价限额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 w:eastAsia="仿宋_GB2312" w:cs="仿宋"/>
          <w:sz w:val="32"/>
          <w:szCs w:val="32"/>
          <w:highlight w:val="none"/>
          <w:lang w:eastAsia="zh-CN"/>
        </w:rPr>
        <w:t>项目报价不得超过</w:t>
      </w:r>
      <w:r>
        <w:rPr>
          <w:rFonts w:hint="eastAsia" w:ascii="仿宋_GB2312" w:hAnsi="仿宋" w:eastAsia="仿宋_GB2312" w:cs="仿宋"/>
          <w:sz w:val="32"/>
          <w:szCs w:val="32"/>
          <w:highlight w:val="none"/>
          <w:lang w:val="en-US" w:eastAsia="zh-CN"/>
        </w:rPr>
        <w:t>25.63</w:t>
      </w:r>
      <w:r>
        <w:rPr>
          <w:rFonts w:hint="eastAsia" w:ascii="仿宋_GB2312" w:hAnsi="仿宋" w:eastAsia="仿宋_GB2312" w:cs="仿宋"/>
          <w:sz w:val="32"/>
          <w:szCs w:val="32"/>
          <w:highlight w:val="none"/>
        </w:rPr>
        <w:t>万元</w:t>
      </w:r>
      <w:r>
        <w:rPr>
          <w:rFonts w:hint="eastAsia" w:ascii="仿宋_GB2312" w:hAnsi="仿宋" w:eastAsia="仿宋_GB2312" w:cs="仿宋"/>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其中各项目报价不得超过对应的单项限额。</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165"/>
        <w:gridCol w:w="1185"/>
        <w:gridCol w:w="742"/>
        <w:gridCol w:w="716"/>
        <w:gridCol w:w="1615"/>
        <w:gridCol w:w="2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07"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165" w:type="dxa"/>
            <w:tcBorders>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课程类别</w:t>
            </w:r>
          </w:p>
        </w:tc>
        <w:tc>
          <w:tcPr>
            <w:tcW w:w="11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项目</w:t>
            </w:r>
          </w:p>
        </w:tc>
        <w:tc>
          <w:tcPr>
            <w:tcW w:w="7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数量</w:t>
            </w:r>
          </w:p>
        </w:tc>
        <w:tc>
          <w:tcPr>
            <w:tcW w:w="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单位</w:t>
            </w:r>
          </w:p>
        </w:tc>
        <w:tc>
          <w:tcPr>
            <w:tcW w:w="16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单项限额（元）</w:t>
            </w:r>
          </w:p>
        </w:tc>
        <w:tc>
          <w:tcPr>
            <w:tcW w:w="2931"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70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116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物料设计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68300 </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活动主海报设计、宣传物料、手举牌等设计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1165" w:type="dxa"/>
            <w:vMerge w:val="continue"/>
            <w:tcBorders>
              <w:top w:val="single" w:color="000000" w:sz="4" w:space="0"/>
              <w:left w:val="nil"/>
              <w:bottom w:val="nil"/>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1185"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物料制作</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活动宣传语手举牌，立牌，活动介绍展示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1165" w:type="dxa"/>
            <w:vMerge w:val="continue"/>
            <w:tcBorders>
              <w:top w:val="single" w:color="000000" w:sz="4" w:space="0"/>
              <w:left w:val="nil"/>
              <w:bottom w:val="nil"/>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摄影摄像及档案管理</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42场活动照片拍摄及档案管理工作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1165" w:type="dxa"/>
            <w:vMerge w:val="continue"/>
            <w:tcBorders>
              <w:top w:val="single" w:color="000000" w:sz="4" w:space="0"/>
              <w:left w:val="nil"/>
              <w:bottom w:val="nil"/>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118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设备租赁</w:t>
            </w:r>
          </w:p>
        </w:tc>
        <w:tc>
          <w:tcPr>
            <w:tcW w:w="74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设备设施租赁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1165" w:type="dxa"/>
            <w:vMerge w:val="continue"/>
            <w:tcBorders>
              <w:top w:val="single" w:color="000000" w:sz="4" w:space="0"/>
              <w:left w:val="nil"/>
              <w:bottom w:val="nil"/>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场地布置</w:t>
            </w:r>
          </w:p>
        </w:tc>
        <w:tc>
          <w:tcPr>
            <w:tcW w:w="7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42场活动场地布置及清理、复原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7"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1165" w:type="dxa"/>
            <w:vMerge w:val="continue"/>
            <w:tcBorders>
              <w:top w:val="single" w:color="000000" w:sz="4" w:space="0"/>
              <w:left w:val="nil"/>
              <w:bottom w:val="single" w:color="auto" w:sz="4" w:space="0"/>
              <w:right w:val="single" w:color="auto"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2"/>
                <w:szCs w:val="22"/>
                <w:highlight w:val="none"/>
                <w:u w:val="none"/>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课程内容设计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含所有类别课程的具体课程设计及策划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11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阅传承</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（故事宣讲）</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讲师劳务费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18000 </w:t>
            </w:r>
          </w:p>
        </w:tc>
        <w:tc>
          <w:tcPr>
            <w:tcW w:w="2931"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default" w:ascii="仿宋_GB2312" w:hAnsi="仿宋_GB2312" w:eastAsia="仿宋_GB2312" w:cs="仿宋_GB2312"/>
                <w:i w:val="0"/>
                <w:iCs w:val="0"/>
                <w:color w:val="000000"/>
                <w:kern w:val="0"/>
                <w:sz w:val="22"/>
                <w:szCs w:val="22"/>
                <w:highlight w:val="none"/>
                <w:u w:val="none"/>
                <w:lang w:val="en-US" w:eastAsia="zh-CN" w:bidi="ar"/>
              </w:rPr>
              <w:t>开展10场次，每场次三课时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11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助教劳务费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vMerge w:val="continue"/>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7" w:type="dxa"/>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阅成长</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讲师劳务费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49600 </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7" w:type="dxa"/>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助教劳务费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07" w:type="dxa"/>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道具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场</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根据绘本角色扮演购买所需道具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11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阅时光</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讲师劳务费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22400</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助教劳务费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手工材料耗材</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160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份</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根据活动内容匹配相应活动手工材料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11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阅美好</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讲师劳务费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36800 </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助教劳务费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手工材料耗材</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160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份</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根据活动内容匹配相应活动手工材料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11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阅生活</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讲师劳务费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33600</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助教劳务费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人次</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开展8场次，每场次两课时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手工材料耗材</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160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份</w:t>
            </w: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根据活动内容匹配相应活动手工材料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11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其他</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物料运输</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27600</w:t>
            </w: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42场次活动的物料运输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11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项目管理</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11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1185" w:type="dxa"/>
            <w:tcBorders>
              <w:top w:val="single" w:color="000000"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工作人员用餐</w:t>
            </w:r>
          </w:p>
        </w:tc>
        <w:tc>
          <w:tcPr>
            <w:tcW w:w="74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71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项</w:t>
            </w:r>
          </w:p>
        </w:tc>
        <w:tc>
          <w:tcPr>
            <w:tcW w:w="16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2931"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42场，每场2人</w:t>
            </w:r>
          </w:p>
        </w:tc>
      </w:tr>
    </w:tbl>
    <w:p>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Cs/>
          <w:sz w:val="32"/>
          <w:szCs w:val="32"/>
          <w:highlight w:val="none"/>
        </w:rPr>
        <w:t>五、</w:t>
      </w:r>
      <w:r>
        <w:rPr>
          <w:rFonts w:hint="eastAsia" w:ascii="黑体" w:hAnsi="黑体" w:eastAsia="黑体" w:cs="黑体"/>
          <w:sz w:val="32"/>
          <w:szCs w:val="32"/>
          <w:highlight w:val="none"/>
        </w:rPr>
        <w:t>供应商的资质要求</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（1）在中国境内注册的独立法人或其他组织（提供营业执照、事业法人证书、社会团体法人登记证书等扫描件）；</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（2）参与本项目投标近三年内（供应商成立不足三年的可从成立之日起算），在经营活动中没有重大违法记录</w:t>
      </w:r>
      <w:bookmarkStart w:id="0" w:name="_GoBack"/>
      <w:bookmarkEnd w:id="0"/>
      <w:r>
        <w:rPr>
          <w:rFonts w:hint="eastAsia" w:ascii="仿宋_GB2312" w:hAnsi="仿宋" w:eastAsia="仿宋_GB2312" w:cs="仿宋"/>
          <w:sz w:val="32"/>
          <w:szCs w:val="32"/>
          <w:highlight w:val="none"/>
        </w:rPr>
        <w:t>以及不存在被有关部门禁止参与政府采购活动且在有效期内的情况；</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六、选定供应商方法</w:t>
      </w:r>
    </w:p>
    <w:p>
      <w:pPr>
        <w:tabs>
          <w:tab w:val="left" w:pos="1820"/>
        </w:tabs>
        <w:adjustRightInd w:val="0"/>
        <w:snapToGrid w:val="0"/>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综合评分法</w:t>
      </w: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七、评分要求</w:t>
      </w:r>
    </w:p>
    <w:p>
      <w:pPr>
        <w:pStyle w:val="8"/>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spacing w:line="560" w:lineRule="exact"/>
        <w:ind w:firstLine="640" w:firstLineChars="200"/>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采取综合评分标准，平均分最高的投标人为本项目中标人。</w:t>
      </w:r>
    </w:p>
    <w:p>
      <w:pPr>
        <w:pStyle w:val="8"/>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（二）评分权重</w:t>
      </w:r>
    </w:p>
    <w:tbl>
      <w:tblPr>
        <w:tblStyle w:val="5"/>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324"/>
        <w:gridCol w:w="207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48"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324"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商务能力</w:t>
            </w:r>
          </w:p>
        </w:tc>
        <w:tc>
          <w:tcPr>
            <w:tcW w:w="2075" w:type="dxa"/>
            <w:noWrap w:val="0"/>
            <w:vAlign w:val="top"/>
          </w:tcPr>
          <w:p>
            <w:pPr>
              <w:pStyle w:val="8"/>
              <w:spacing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技术能力</w:t>
            </w:r>
          </w:p>
        </w:tc>
        <w:tc>
          <w:tcPr>
            <w:tcW w:w="2232"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48"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324"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20分</w:t>
            </w:r>
          </w:p>
        </w:tc>
        <w:tc>
          <w:tcPr>
            <w:tcW w:w="2075"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5</w:t>
            </w:r>
            <w:r>
              <w:rPr>
                <w:rFonts w:hint="eastAsia" w:ascii="仿宋_GB2312" w:hAnsi="仿宋_GB2312" w:eastAsia="仿宋_GB2312" w:cs="仿宋_GB2312"/>
                <w:b w:val="0"/>
                <w:bCs/>
                <w:szCs w:val="24"/>
                <w:highlight w:val="none"/>
              </w:rPr>
              <w:t>0分</w:t>
            </w:r>
          </w:p>
        </w:tc>
        <w:tc>
          <w:tcPr>
            <w:tcW w:w="2232" w:type="dxa"/>
            <w:noWrap w:val="0"/>
            <w:vAlign w:val="top"/>
          </w:tcPr>
          <w:p>
            <w:pPr>
              <w:pStyle w:val="8"/>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30</w:t>
            </w:r>
            <w:r>
              <w:rPr>
                <w:rFonts w:hint="eastAsia" w:ascii="仿宋_GB2312" w:hAnsi="仿宋_GB2312" w:eastAsia="仿宋_GB2312" w:cs="仿宋_GB2312"/>
                <w:b w:val="0"/>
                <w:bCs/>
                <w:szCs w:val="24"/>
                <w:highlight w:val="none"/>
              </w:rPr>
              <w:t>分</w:t>
            </w:r>
          </w:p>
        </w:tc>
      </w:tr>
    </w:tbl>
    <w:p>
      <w:pPr>
        <w:pStyle w:val="8"/>
        <w:spacing w:line="560" w:lineRule="exact"/>
        <w:ind w:firstLine="640" w:firstLineChars="200"/>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（三）评分标准</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1.商务能力</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155"/>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796" w:type="dxa"/>
            <w:gridSpan w:val="3"/>
            <w:noWrap w:val="0"/>
            <w:vAlign w:val="center"/>
          </w:tcPr>
          <w:p>
            <w:pPr>
              <w:widowControl/>
              <w:spacing w:line="560" w:lineRule="exact"/>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项目</w:t>
            </w:r>
          </w:p>
        </w:tc>
        <w:tc>
          <w:tcPr>
            <w:tcW w:w="3955" w:type="dxa"/>
            <w:noWrap w:val="0"/>
            <w:vAlign w:val="center"/>
          </w:tcPr>
          <w:p>
            <w:pPr>
              <w:widowControl/>
              <w:spacing w:line="560" w:lineRule="exact"/>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519" w:type="dxa"/>
            <w:vMerge w:val="restart"/>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商务能力评分</w:t>
            </w:r>
            <w:r>
              <w:rPr>
                <w:rFonts w:hint="eastAsia" w:ascii="仿宋_GB2312" w:hAnsi="仿宋_GB2312" w:eastAsia="仿宋_GB2312" w:cs="仿宋_GB2312"/>
                <w:bCs/>
                <w:sz w:val="24"/>
                <w:szCs w:val="24"/>
                <w:highlight w:val="none"/>
                <w:lang w:val="en-US" w:eastAsia="zh-CN"/>
              </w:rPr>
              <w:t>20</w:t>
            </w:r>
            <w:r>
              <w:rPr>
                <w:rFonts w:hint="eastAsia" w:ascii="仿宋_GB2312" w:hAnsi="仿宋_GB2312" w:eastAsia="仿宋_GB2312" w:cs="仿宋_GB2312"/>
                <w:bCs/>
                <w:sz w:val="24"/>
                <w:szCs w:val="24"/>
                <w:highlight w:val="none"/>
              </w:rPr>
              <w:t>分</w:t>
            </w:r>
          </w:p>
        </w:tc>
        <w:tc>
          <w:tcPr>
            <w:tcW w:w="1122" w:type="dxa"/>
            <w:noWrap w:val="0"/>
            <w:vAlign w:val="center"/>
          </w:tcPr>
          <w:p>
            <w:pPr>
              <w:spacing w:line="400" w:lineRule="exact"/>
              <w:jc w:val="center"/>
              <w:rPr>
                <w:rFonts w:hint="eastAsia" w:eastAsia="仿宋_GB2312"/>
                <w:highlight w:val="none"/>
                <w:lang w:eastAsia="zh-CN"/>
              </w:rPr>
            </w:pPr>
            <w:r>
              <w:rPr>
                <w:rFonts w:hint="eastAsia" w:ascii="仿宋_GB2312" w:hAnsi="仿宋_GB2312" w:eastAsia="仿宋_GB2312" w:cs="仿宋_GB2312"/>
                <w:bCs/>
                <w:sz w:val="24"/>
                <w:szCs w:val="24"/>
                <w:highlight w:val="none"/>
              </w:rPr>
              <w:t>同类项目业绩（10分）</w:t>
            </w:r>
          </w:p>
        </w:tc>
        <w:tc>
          <w:tcPr>
            <w:tcW w:w="315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 w:val="0"/>
                <w:bCs/>
                <w:color w:val="000000"/>
                <w:sz w:val="24"/>
                <w:szCs w:val="24"/>
                <w:highlight w:val="none"/>
                <w:lang w:eastAsia="zh-CN"/>
              </w:rPr>
              <w:t>自20</w:t>
            </w:r>
            <w:r>
              <w:rPr>
                <w:rFonts w:hint="eastAsia" w:ascii="仿宋_GB2312" w:hAnsi="仿宋_GB2312" w:eastAsia="仿宋_GB2312" w:cs="仿宋_GB2312"/>
                <w:b w:val="0"/>
                <w:bCs/>
                <w:color w:val="000000"/>
                <w:sz w:val="24"/>
                <w:szCs w:val="24"/>
                <w:highlight w:val="none"/>
                <w:lang w:val="en-US" w:eastAsia="zh-CN"/>
              </w:rPr>
              <w:t>21</w:t>
            </w:r>
            <w:r>
              <w:rPr>
                <w:rFonts w:hint="eastAsia" w:ascii="仿宋_GB2312" w:hAnsi="仿宋_GB2312" w:eastAsia="仿宋_GB2312" w:cs="仿宋_GB2312"/>
                <w:b w:val="0"/>
                <w:bCs/>
                <w:color w:val="000000"/>
                <w:sz w:val="24"/>
                <w:szCs w:val="24"/>
                <w:highlight w:val="none"/>
                <w:lang w:eastAsia="zh-CN"/>
              </w:rPr>
              <w:t>年1月1日起至本项目投标截止之日止（以合同签约时间为准），投标人提供一个</w:t>
            </w:r>
            <w:r>
              <w:rPr>
                <w:rFonts w:hint="eastAsia" w:ascii="仿宋_GB2312" w:hAnsi="仿宋_GB2312" w:eastAsia="仿宋_GB2312" w:cs="仿宋_GB2312"/>
                <w:b w:val="0"/>
                <w:bCs/>
                <w:color w:val="000000"/>
                <w:sz w:val="24"/>
                <w:szCs w:val="24"/>
                <w:highlight w:val="none"/>
                <w:lang w:val="en-US" w:eastAsia="zh-CN"/>
              </w:rPr>
              <w:t>文化活动</w:t>
            </w:r>
            <w:r>
              <w:rPr>
                <w:rFonts w:hint="eastAsia" w:ascii="仿宋_GB2312" w:hAnsi="仿宋_GB2312" w:eastAsia="仿宋_GB2312" w:cs="仿宋_GB2312"/>
                <w:b w:val="0"/>
                <w:bCs/>
                <w:color w:val="000000"/>
                <w:sz w:val="24"/>
                <w:szCs w:val="24"/>
                <w:highlight w:val="none"/>
                <w:lang w:eastAsia="zh-CN"/>
              </w:rPr>
              <w:t xml:space="preserve">类业绩或集体活动组织业绩得5分，本项最高得分10分。 </w:t>
            </w:r>
          </w:p>
        </w:tc>
        <w:tc>
          <w:tcPr>
            <w:tcW w:w="395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1.投标人提供相关证明资料作为得分依据，提供合同关键信息（包括但不限于：合同名称页、合同主要内容页、合同签订日期页、合同双方签字盖章页</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作为得分依据。</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2.一年一签的长期服务续签合同（即同一中标服务期内或同一个项目只计算为一个业绩），不重复计分。</w:t>
            </w:r>
          </w:p>
          <w:p>
            <w:pPr>
              <w:spacing w:line="400" w:lineRule="exact"/>
              <w:jc w:val="left"/>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Cs/>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诚信评价</w:t>
            </w:r>
          </w:p>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（5分）</w:t>
            </w:r>
          </w:p>
        </w:tc>
        <w:tc>
          <w:tcPr>
            <w:tcW w:w="3155" w:type="dxa"/>
            <w:noWrap w:val="0"/>
            <w:vAlign w:val="center"/>
          </w:tcPr>
          <w:p>
            <w:pPr>
              <w:spacing w:line="400" w:lineRule="exac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投标人在参与政府采购活动中不存在诚信相关问题且不在主管部门相关处理措施实施期限内的。</w:t>
            </w:r>
          </w:p>
        </w:tc>
        <w:tc>
          <w:tcPr>
            <w:tcW w:w="395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提供《诚信承诺函》得5分，未提供不得分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Cs/>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服务承诺</w:t>
            </w:r>
            <w:r>
              <w:rPr>
                <w:rFonts w:hint="eastAsia" w:ascii="仿宋_GB2312" w:hAnsi="仿宋_GB2312" w:eastAsia="仿宋_GB2312" w:cs="仿宋_GB2312"/>
                <w:bCs/>
                <w:sz w:val="24"/>
                <w:szCs w:val="24"/>
                <w:highlight w:val="none"/>
                <w:lang w:eastAsia="zh-CN"/>
              </w:rPr>
              <w:t>书与违约承诺书</w:t>
            </w:r>
          </w:p>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（5分）</w:t>
            </w:r>
          </w:p>
        </w:tc>
        <w:tc>
          <w:tcPr>
            <w:tcW w:w="3155" w:type="dxa"/>
            <w:noWrap w:val="0"/>
            <w:vAlign w:val="center"/>
          </w:tcPr>
          <w:p>
            <w:pPr>
              <w:spacing w:line="400" w:lineRule="exac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根据对项目的理解及自身管理经验，提出项目完成的服务承诺</w:t>
            </w:r>
            <w:r>
              <w:rPr>
                <w:rFonts w:hint="eastAsia" w:ascii="仿宋_GB2312" w:hAnsi="仿宋_GB2312" w:eastAsia="仿宋_GB2312" w:cs="仿宋_GB2312"/>
                <w:bCs/>
                <w:sz w:val="24"/>
                <w:szCs w:val="24"/>
                <w:highlight w:val="none"/>
                <w:lang w:eastAsia="zh-CN"/>
              </w:rPr>
              <w:t>与</w:t>
            </w:r>
            <w:r>
              <w:rPr>
                <w:rFonts w:hint="eastAsia" w:ascii="仿宋_GB2312" w:hAnsi="仿宋_GB2312" w:eastAsia="仿宋_GB2312" w:cs="仿宋_GB2312"/>
                <w:bCs/>
                <w:sz w:val="24"/>
                <w:szCs w:val="24"/>
                <w:highlight w:val="none"/>
              </w:rPr>
              <w:t>承诺满足招标文件要求，保证措施合理且有针对性，有具体的违约责任承诺。</w:t>
            </w:r>
          </w:p>
          <w:p>
            <w:pPr>
              <w:spacing w:line="400" w:lineRule="exact"/>
              <w:rPr>
                <w:rFonts w:hint="eastAsia" w:ascii="仿宋_GB2312" w:hAnsi="仿宋_GB2312" w:eastAsia="仿宋_GB2312" w:cs="仿宋_GB2312"/>
                <w:bCs/>
                <w:sz w:val="24"/>
                <w:szCs w:val="24"/>
                <w:highlight w:val="none"/>
                <w:lang w:eastAsia="zh-CN"/>
              </w:rPr>
            </w:pPr>
          </w:p>
        </w:tc>
        <w:tc>
          <w:tcPr>
            <w:tcW w:w="395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提供《服务承诺函》</w:t>
            </w:r>
            <w:r>
              <w:rPr>
                <w:rFonts w:hint="eastAsia" w:ascii="仿宋_GB2312" w:hAnsi="仿宋_GB2312" w:eastAsia="仿宋_GB2312" w:cs="仿宋_GB2312"/>
                <w:bCs/>
                <w:sz w:val="24"/>
                <w:szCs w:val="24"/>
                <w:highlight w:val="none"/>
                <w:lang w:eastAsia="zh-CN"/>
              </w:rPr>
              <w:t>和</w:t>
            </w:r>
            <w:r>
              <w:rPr>
                <w:rFonts w:hint="eastAsia" w:ascii="仿宋_GB2312" w:hAnsi="仿宋_GB2312" w:eastAsia="仿宋_GB2312" w:cs="仿宋_GB2312"/>
                <w:bCs/>
                <w:sz w:val="24"/>
                <w:szCs w:val="24"/>
                <w:highlight w:val="none"/>
              </w:rPr>
              <w:t>《违约承诺函》得5分，</w:t>
            </w:r>
            <w:r>
              <w:rPr>
                <w:rFonts w:hint="eastAsia" w:ascii="仿宋_GB2312" w:hAnsi="仿宋_GB2312" w:eastAsia="仿宋_GB2312" w:cs="仿宋_GB2312"/>
                <w:bCs/>
                <w:sz w:val="24"/>
                <w:szCs w:val="24"/>
                <w:highlight w:val="none"/>
                <w:lang w:eastAsia="zh-CN"/>
              </w:rPr>
              <w:t>提供一项只得</w:t>
            </w:r>
            <w:r>
              <w:rPr>
                <w:rFonts w:hint="eastAsia" w:ascii="仿宋_GB2312" w:hAnsi="仿宋_GB2312" w:eastAsia="仿宋_GB2312" w:cs="仿宋_GB2312"/>
                <w:bCs/>
                <w:sz w:val="24"/>
                <w:szCs w:val="24"/>
                <w:highlight w:val="none"/>
                <w:lang w:val="en-US" w:eastAsia="zh-CN"/>
              </w:rPr>
              <w:t>2.5分，</w:t>
            </w:r>
            <w:r>
              <w:rPr>
                <w:rFonts w:hint="eastAsia" w:ascii="仿宋_GB2312" w:hAnsi="仿宋_GB2312" w:eastAsia="仿宋_GB2312" w:cs="仿宋_GB2312"/>
                <w:bCs/>
                <w:sz w:val="24"/>
                <w:szCs w:val="24"/>
                <w:highlight w:val="none"/>
              </w:rPr>
              <w:t>未提供</w:t>
            </w:r>
            <w:r>
              <w:rPr>
                <w:rFonts w:hint="eastAsia" w:ascii="仿宋_GB2312" w:hAnsi="仿宋_GB2312" w:eastAsia="仿宋_GB2312" w:cs="仿宋_GB2312"/>
                <w:bCs/>
                <w:sz w:val="24"/>
                <w:szCs w:val="24"/>
                <w:highlight w:val="none"/>
                <w:lang w:eastAsia="zh-CN"/>
              </w:rPr>
              <w:t>或者内容不符</w:t>
            </w:r>
            <w:r>
              <w:rPr>
                <w:rFonts w:hint="eastAsia" w:ascii="仿宋_GB2312" w:hAnsi="仿宋_GB2312" w:eastAsia="仿宋_GB2312" w:cs="仿宋_GB2312"/>
                <w:bCs/>
                <w:sz w:val="24"/>
                <w:szCs w:val="24"/>
                <w:highlight w:val="none"/>
              </w:rPr>
              <w:t>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tc>
      </w:tr>
    </w:tbl>
    <w:p>
      <w:pPr>
        <w:spacing w:line="560" w:lineRule="exact"/>
        <w:ind w:firstLine="480" w:firstLineChars="200"/>
        <w:rPr>
          <w:rFonts w:hint="eastAsia" w:ascii="仿宋_GB2312" w:eastAsia="仿宋_GB2312"/>
          <w:sz w:val="32"/>
          <w:szCs w:val="32"/>
          <w:highlight w:val="none"/>
        </w:rPr>
      </w:pPr>
      <w:r>
        <w:rPr>
          <w:rFonts w:hint="eastAsia" w:ascii="宋体" w:hAnsi="宋体" w:eastAsia="宋体"/>
          <w:bCs/>
          <w:sz w:val="24"/>
          <w:highlight w:val="none"/>
        </w:rPr>
        <w:t>注：</w:t>
      </w:r>
      <w:r>
        <w:rPr>
          <w:rFonts w:hint="eastAsia" w:ascii="宋体" w:hAnsi="宋体"/>
          <w:bCs/>
          <w:sz w:val="24"/>
          <w:highlight w:val="none"/>
        </w:rPr>
        <w:t>不提供证明文件或提供的证明文件不合格者，不得分。</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技术</w:t>
      </w:r>
      <w:r>
        <w:rPr>
          <w:rFonts w:hint="eastAsia" w:ascii="仿宋_GB2312" w:eastAsia="仿宋_GB2312"/>
          <w:sz w:val="32"/>
          <w:szCs w:val="32"/>
          <w:highlight w:val="none"/>
        </w:rPr>
        <w:t>能力</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2910"/>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824" w:type="dxa"/>
            <w:gridSpan w:val="3"/>
            <w:noWrap w:val="0"/>
            <w:vAlign w:val="center"/>
          </w:tcPr>
          <w:p>
            <w:pPr>
              <w:widowControl/>
              <w:spacing w:line="560" w:lineRule="exact"/>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项目</w:t>
            </w:r>
          </w:p>
        </w:tc>
        <w:tc>
          <w:tcPr>
            <w:tcW w:w="3927" w:type="dxa"/>
            <w:noWrap w:val="0"/>
            <w:vAlign w:val="center"/>
          </w:tcPr>
          <w:p>
            <w:pPr>
              <w:widowControl/>
              <w:spacing w:line="560" w:lineRule="exact"/>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9" w:type="dxa"/>
            <w:vMerge w:val="restart"/>
            <w:noWrap w:val="0"/>
            <w:vAlign w:val="center"/>
          </w:tcPr>
          <w:p>
            <w:pPr>
              <w:spacing w:line="560" w:lineRule="exact"/>
              <w:jc w:val="both"/>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技术能力评分</w:t>
            </w:r>
            <w:r>
              <w:rPr>
                <w:rFonts w:hint="eastAsia" w:ascii="仿宋_GB2312" w:hAnsi="仿宋_GB2312" w:eastAsia="仿宋_GB2312" w:cs="仿宋_GB2312"/>
                <w:bCs/>
                <w:sz w:val="24"/>
                <w:szCs w:val="24"/>
                <w:highlight w:val="none"/>
                <w:lang w:val="en-US" w:eastAsia="zh-CN"/>
              </w:rPr>
              <w:t>50</w:t>
            </w:r>
            <w:r>
              <w:rPr>
                <w:rFonts w:hint="eastAsia" w:ascii="仿宋_GB2312" w:hAnsi="仿宋_GB2312" w:eastAsia="仿宋_GB2312" w:cs="仿宋_GB2312"/>
                <w:bCs/>
                <w:sz w:val="24"/>
                <w:szCs w:val="24"/>
                <w:highlight w:val="none"/>
              </w:rPr>
              <w:t>分</w:t>
            </w:r>
          </w:p>
        </w:tc>
        <w:tc>
          <w:tcPr>
            <w:tcW w:w="1395"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实施方案（20分）</w:t>
            </w:r>
          </w:p>
        </w:tc>
        <w:tc>
          <w:tcPr>
            <w:tcW w:w="2910"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根据项目特点，针对服务需求分析、服务定位、服务内容、管理措施等要点进行项目整体设想和策划，编制实施方案。</w:t>
            </w:r>
          </w:p>
        </w:tc>
        <w:tc>
          <w:tcPr>
            <w:tcW w:w="3927"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从内容的覆盖面、科学性、针对性、可操作性等进行评价。本项最高得20分，评价为优得16-20分；评价为良得8-15分；评价为中得1-7分；评价为差不得分。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spacing w:line="560" w:lineRule="exact"/>
              <w:jc w:val="center"/>
              <w:rPr>
                <w:rFonts w:hint="eastAsia" w:ascii="仿宋_GB2312" w:hAnsi="仿宋_GB2312" w:eastAsia="仿宋_GB2312" w:cs="仿宋_GB2312"/>
                <w:bCs/>
                <w:sz w:val="24"/>
                <w:szCs w:val="24"/>
                <w:highlight w:val="none"/>
              </w:rPr>
            </w:pPr>
          </w:p>
        </w:tc>
        <w:tc>
          <w:tcPr>
            <w:tcW w:w="1395"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项目重点难点分析、应对措施及相关的合理化建议</w:t>
            </w:r>
          </w:p>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（15分）</w:t>
            </w:r>
          </w:p>
        </w:tc>
        <w:tc>
          <w:tcPr>
            <w:tcW w:w="2910" w:type="dxa"/>
            <w:noWrap w:val="0"/>
            <w:vAlign w:val="center"/>
          </w:tcPr>
          <w:p>
            <w:pPr>
              <w:spacing w:line="400" w:lineRule="exact"/>
              <w:jc w:val="left"/>
              <w:rPr>
                <w:rFonts w:hint="default"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课程安排的合理性，现场组织的协调性及活动开展重点难点分析、应对措施，且提出合理化安排。</w:t>
            </w:r>
          </w:p>
          <w:p>
            <w:pPr>
              <w:spacing w:line="400" w:lineRule="exact"/>
              <w:jc w:val="left"/>
              <w:rPr>
                <w:rFonts w:hint="eastAsia" w:ascii="仿宋_GB2312" w:hAnsi="仿宋_GB2312" w:eastAsia="仿宋_GB2312" w:cs="仿宋_GB2312"/>
                <w:bCs/>
                <w:kern w:val="2"/>
                <w:sz w:val="24"/>
                <w:szCs w:val="24"/>
                <w:highlight w:val="none"/>
                <w:lang w:val="en-US" w:eastAsia="zh-CN" w:bidi="ar-SA"/>
              </w:rPr>
            </w:pPr>
          </w:p>
        </w:tc>
        <w:tc>
          <w:tcPr>
            <w:tcW w:w="3927"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从内容的覆盖面、科学性、针对性、可操作性等进行评价。本项最高得15分，评价为优得11-15分；评价为良得6-10分；评价为中得1-5分；评价为差不得分。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519" w:type="dxa"/>
            <w:vMerge w:val="continue"/>
            <w:noWrap w:val="0"/>
            <w:vAlign w:val="center"/>
          </w:tcPr>
          <w:p>
            <w:pPr>
              <w:spacing w:line="560" w:lineRule="exact"/>
              <w:jc w:val="center"/>
              <w:rPr>
                <w:rFonts w:hint="eastAsia" w:ascii="仿宋_GB2312" w:hAnsi="仿宋_GB2312" w:eastAsia="仿宋_GB2312" w:cs="仿宋_GB2312"/>
                <w:bCs/>
                <w:sz w:val="24"/>
                <w:szCs w:val="24"/>
                <w:highlight w:val="none"/>
              </w:rPr>
            </w:pPr>
          </w:p>
        </w:tc>
        <w:tc>
          <w:tcPr>
            <w:tcW w:w="1395" w:type="dxa"/>
            <w:noWrap w:val="0"/>
            <w:vAlign w:val="center"/>
          </w:tcPr>
          <w:p>
            <w:pPr>
              <w:pStyle w:val="2"/>
              <w:spacing w:after="0"/>
              <w:ind w:left="0" w:leftChars="0" w:right="0" w:rightChars="0"/>
              <w:jc w:val="center"/>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人员保障措施、安全保障方案及执行（15分）</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根据对项目的理解及自身管理经验，针对本项目提出工作人员配备安排情况（课程人员安排的合理性、活动场地安排的合理性等）保障措施及方案。</w:t>
            </w:r>
          </w:p>
          <w:p>
            <w:pPr>
              <w:spacing w:line="400" w:lineRule="exact"/>
              <w:jc w:val="left"/>
              <w:rPr>
                <w:rFonts w:hint="eastAsia" w:ascii="仿宋_GB2312" w:hAnsi="仿宋_GB2312" w:eastAsia="仿宋_GB2312" w:cs="仿宋_GB2312"/>
                <w:bCs/>
                <w:kern w:val="2"/>
                <w:sz w:val="24"/>
                <w:szCs w:val="24"/>
                <w:highlight w:val="none"/>
                <w:lang w:val="en-US" w:eastAsia="zh-CN" w:bidi="ar-SA"/>
              </w:rPr>
            </w:pPr>
          </w:p>
        </w:tc>
        <w:tc>
          <w:tcPr>
            <w:tcW w:w="3927" w:type="dxa"/>
            <w:noWrap w:val="0"/>
            <w:vAlign w:val="center"/>
          </w:tcPr>
          <w:p>
            <w:pPr>
              <w:spacing w:line="400" w:lineRule="exact"/>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kern w:val="2"/>
                <w:sz w:val="24"/>
                <w:szCs w:val="24"/>
                <w:highlight w:val="none"/>
                <w:lang w:val="en-US" w:eastAsia="zh-CN" w:bidi="ar-SA"/>
              </w:rPr>
              <w:t>从内容的覆盖面、科学性、针对性、可操作性等进行评价。本项最高得15分，评价为优得11-15分；评价为良得6-10分；评价为中得1-5分；评价为差不得分。</w:t>
            </w:r>
          </w:p>
          <w:p>
            <w:pPr>
              <w:pStyle w:val="4"/>
              <w:rPr>
                <w:rFonts w:hint="eastAsia" w:ascii="仿宋_GB2312" w:hAnsi="仿宋_GB2312" w:eastAsia="仿宋_GB2312" w:cs="仿宋_GB2312"/>
                <w:bCs/>
                <w:kern w:val="2"/>
                <w:sz w:val="24"/>
                <w:szCs w:val="24"/>
                <w:highlight w:val="none"/>
                <w:lang w:val="en-US" w:eastAsia="zh-CN" w:bidi="ar-SA"/>
              </w:rPr>
            </w:pPr>
          </w:p>
        </w:tc>
      </w:tr>
    </w:tbl>
    <w:p>
      <w:pPr>
        <w:spacing w:line="560" w:lineRule="exact"/>
        <w:rPr>
          <w:rFonts w:hint="eastAsia" w:ascii="仿宋_GB2312" w:eastAsia="仿宋_GB2312"/>
          <w:color w:val="000000"/>
          <w:sz w:val="32"/>
          <w:szCs w:val="32"/>
          <w:highlight w:val="none"/>
        </w:rPr>
      </w:pP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3.报价</w:t>
      </w:r>
    </w:p>
    <w:p>
      <w:pPr>
        <w:spacing w:line="560" w:lineRule="exact"/>
        <w:ind w:firstLine="640" w:firstLineChars="200"/>
        <w:rPr>
          <w:rFonts w:hint="eastAsia"/>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0分。</w:t>
      </w:r>
      <w:r>
        <w:rPr>
          <w:rFonts w:hint="eastAsia"/>
          <w:highlight w:val="none"/>
        </w:rPr>
        <w:t xml:space="preserve">  </w:t>
      </w:r>
    </w:p>
    <w:p>
      <w:pPr>
        <w:spacing w:line="560" w:lineRule="exact"/>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（四）供应商提供资料清单</w:t>
      </w:r>
    </w:p>
    <w:p>
      <w:pPr>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1.营业执照、事业法人证书、社会团体法人登记证书（加盖公章）；</w:t>
      </w:r>
    </w:p>
    <w:p>
      <w:pPr>
        <w:pStyle w:val="2"/>
        <w:spacing w:after="0" w:line="560" w:lineRule="exact"/>
        <w:ind w:left="0" w:leftChars="0" w:right="0" w:rightChars="0"/>
        <w:rPr>
          <w:highlight w:val="none"/>
        </w:rPr>
      </w:pPr>
      <w:r>
        <w:rPr>
          <w:rFonts w:hint="eastAsia" w:ascii="仿宋_GB2312" w:hAnsi="仿宋" w:eastAsia="仿宋_GB2312"/>
          <w:sz w:val="32"/>
          <w:highlight w:val="none"/>
        </w:rPr>
        <w:t xml:space="preserve">    2.法定代表人身份证复印件（加盖公章）</w:t>
      </w:r>
    </w:p>
    <w:p>
      <w:pPr>
        <w:pStyle w:val="2"/>
        <w:spacing w:after="0" w:line="560" w:lineRule="exact"/>
        <w:ind w:left="0" w:leftChars="0" w:right="0" w:rightChars="0" w:firstLine="640"/>
        <w:rPr>
          <w:rFonts w:hint="eastAsia" w:ascii="仿宋_GB2312" w:hAnsi="仿宋" w:eastAsia="仿宋_GB2312"/>
          <w:sz w:val="32"/>
          <w:highlight w:val="none"/>
        </w:rPr>
      </w:pPr>
      <w:r>
        <w:rPr>
          <w:rFonts w:hint="eastAsia" w:ascii="仿宋_GB2312" w:hAnsi="仿宋" w:eastAsia="仿宋_GB2312"/>
          <w:sz w:val="32"/>
          <w:highlight w:val="none"/>
        </w:rPr>
        <w:t>3.项目报价清单（加盖公章）</w:t>
      </w:r>
    </w:p>
    <w:p>
      <w:pPr>
        <w:pStyle w:val="2"/>
        <w:spacing w:after="0" w:line="560" w:lineRule="exact"/>
        <w:ind w:left="0" w:leftChars="0" w:right="0" w:rightChars="0" w:firstLine="640"/>
        <w:rPr>
          <w:rFonts w:hint="eastAsia" w:ascii="仿宋_GB2312" w:hAnsi="仿宋" w:eastAsia="仿宋_GB2312"/>
          <w:color w:val="FF0000"/>
          <w:sz w:val="32"/>
          <w:highlight w:val="none"/>
        </w:rPr>
      </w:pPr>
      <w:r>
        <w:rPr>
          <w:rFonts w:hint="eastAsia" w:ascii="仿宋_GB2312" w:hAnsi="仿宋" w:eastAsia="仿宋_GB2312"/>
          <w:sz w:val="32"/>
          <w:highlight w:val="none"/>
        </w:rPr>
        <w:t>4.评分规则所需资料（同类业绩证明、方案等）</w:t>
      </w:r>
    </w:p>
    <w:p>
      <w:pPr>
        <w:spacing w:line="560" w:lineRule="exact"/>
        <w:ind w:firstLine="640" w:firstLineChars="200"/>
        <w:rPr>
          <w:rFonts w:ascii="仿宋_GB2312" w:eastAsia="仿宋_GB2312"/>
          <w:color w:val="000000"/>
          <w:sz w:val="32"/>
          <w:szCs w:val="32"/>
          <w:highlight w:val="none"/>
        </w:rPr>
      </w:pPr>
    </w:p>
    <w:p>
      <w:pPr>
        <w:spacing w:line="560" w:lineRule="exact"/>
        <w:ind w:firstLine="640" w:firstLineChars="200"/>
        <w:rPr>
          <w:rFonts w:ascii="仿宋_GB2312" w:eastAsia="仿宋_GB2312"/>
          <w:color w:val="000000"/>
          <w:sz w:val="32"/>
          <w:szCs w:val="32"/>
          <w:highlight w:val="none"/>
        </w:rPr>
      </w:pPr>
    </w:p>
    <w:p>
      <w:pPr>
        <w:spacing w:line="560" w:lineRule="exact"/>
        <w:ind w:firstLine="640" w:firstLineChars="200"/>
        <w:rPr>
          <w:rFonts w:ascii="仿宋_GB2312" w:eastAsia="仿宋_GB2312"/>
          <w:color w:val="000000"/>
          <w:sz w:val="32"/>
          <w:szCs w:val="32"/>
          <w:highlight w:val="none"/>
        </w:rPr>
      </w:pP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注：供应商需邮寄五份密封纸质版投标资料至本单位。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地址：深圳市龙华区维雅德大厦富康行政办公区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电话：0755-23338140</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收件人：吴先生    </w:t>
      </w:r>
    </w:p>
    <w:p>
      <w:pPr>
        <w:spacing w:line="560" w:lineRule="exact"/>
        <w:ind w:firstLine="640" w:firstLineChars="200"/>
        <w:rPr>
          <w:rFonts w:ascii="仿宋_GB2312" w:eastAsia="仿宋_GB2312"/>
          <w:color w:val="000000"/>
          <w:sz w:val="32"/>
          <w:szCs w:val="32"/>
          <w:highlight w:val="none"/>
        </w:rPr>
      </w:pPr>
    </w:p>
    <w:p>
      <w:pPr>
        <w:spacing w:line="560" w:lineRule="exact"/>
        <w:ind w:firstLine="640" w:firstLineChars="200"/>
        <w:rPr>
          <w:rFonts w:ascii="仿宋_GB2312" w:eastAsia="仿宋_GB2312"/>
          <w:color w:val="000000"/>
          <w:sz w:val="32"/>
          <w:szCs w:val="32"/>
          <w:highlight w:val="none"/>
        </w:rPr>
      </w:pPr>
    </w:p>
    <w:p>
      <w:pPr>
        <w:rPr>
          <w:highlight w:val="none"/>
        </w:rPr>
      </w:pP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6273B"/>
    <w:multiLevelType w:val="singleLevel"/>
    <w:tmpl w:val="5EF627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TE0MGQ1Nzc0NDg0MDkwYzRmZmI1M2MxMDZjNDUifQ=="/>
  </w:docVars>
  <w:rsids>
    <w:rsidRoot w:val="7A9E514E"/>
    <w:rsid w:val="02FA438B"/>
    <w:rsid w:val="10137632"/>
    <w:rsid w:val="16594149"/>
    <w:rsid w:val="183D5CC1"/>
    <w:rsid w:val="1DB0070E"/>
    <w:rsid w:val="2321773F"/>
    <w:rsid w:val="27871648"/>
    <w:rsid w:val="3BBF004E"/>
    <w:rsid w:val="438A33B9"/>
    <w:rsid w:val="44A10AF2"/>
    <w:rsid w:val="45DD6321"/>
    <w:rsid w:val="49F161CA"/>
    <w:rsid w:val="4DFE42FC"/>
    <w:rsid w:val="50FD557E"/>
    <w:rsid w:val="56923B11"/>
    <w:rsid w:val="58695FA2"/>
    <w:rsid w:val="594F2284"/>
    <w:rsid w:val="641D3172"/>
    <w:rsid w:val="65DE2083"/>
    <w:rsid w:val="65E1094D"/>
    <w:rsid w:val="6A3168B9"/>
    <w:rsid w:val="6EFC7FC0"/>
    <w:rsid w:val="79C370E0"/>
    <w:rsid w:val="7A9E514E"/>
    <w:rsid w:val="7C52568F"/>
    <w:rsid w:val="7FA7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7">
    <w:name w:val="List Paragraph"/>
    <w:basedOn w:val="1"/>
    <w:qFormat/>
    <w:uiPriority w:val="99"/>
    <w:pPr>
      <w:ind w:firstLine="420" w:firstLineChars="200"/>
    </w:p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2891</Words>
  <Characters>3055</Characters>
  <Lines>0</Lines>
  <Paragraphs>0</Paragraphs>
  <TotalTime>1</TotalTime>
  <ScaleCrop>false</ScaleCrop>
  <LinksUpToDate>false</LinksUpToDate>
  <CharactersWithSpaces>3077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2024-05-08T15:16:00Z</dcterms:created>
  <dc:creator>TSG-1</dc:creator>
  <cp:lastModifiedBy>lxy</cp:lastModifiedBy>
  <cp:lastPrinted>2024-05-15T15:19:00Z</cp:lastPrinted>
  <dcterms:modified xsi:type="dcterms:W3CDTF">2024-05-28T17:36:06Z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0242607F3C29480AADBBFA678C9816FA_13</vt:lpwstr>
  </property>
</Properties>
</file>