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79" w:lineRule="exact"/>
        <w:rPr>
          <w:rFonts w:hint="eastAsia" w:ascii="黑体" w:eastAsia="黑体" w:cs="黑体"/>
          <w:sz w:val="32"/>
          <w:szCs w:val="32"/>
          <w:highlight w:val="none"/>
          <w:u w:val="none"/>
          <w:lang w:bidi="ar-SA"/>
        </w:rPr>
      </w:pPr>
    </w:p>
    <w:p>
      <w:pPr>
        <w:adjustRightInd w:val="0"/>
        <w:snapToGrid w:val="0"/>
        <w:spacing w:after="0" w:line="579" w:lineRule="exact"/>
        <w:rPr>
          <w:rFonts w:hint="eastAsia" w:ascii="黑体" w:eastAsia="黑体" w:cs="黑体"/>
          <w:sz w:val="32"/>
          <w:szCs w:val="32"/>
          <w:highlight w:val="none"/>
          <w:u w:val="none"/>
          <w:lang w:bidi="ar-SA"/>
        </w:rPr>
      </w:pPr>
    </w:p>
    <w:p>
      <w:pPr>
        <w:keepNext w:val="0"/>
        <w:keepLines w:val="0"/>
        <w:pageBreakBefore w:val="0"/>
        <w:widowControl w:val="0"/>
        <w:kinsoku/>
        <w:wordWrap/>
        <w:overflowPunct/>
        <w:topLinePunct w:val="0"/>
        <w:bidi w:val="0"/>
        <w:adjustRightInd w:val="0"/>
        <w:snapToGrid w:val="0"/>
        <w:spacing w:after="0" w:line="560" w:lineRule="exact"/>
        <w:jc w:val="center"/>
        <w:textAlignment w:val="auto"/>
        <w:rPr>
          <w:rFonts w:hint="eastAsia" w:ascii="方正小标宋简体" w:eastAsia="方正小标宋简体" w:cs="方正小标宋简体"/>
          <w:sz w:val="44"/>
          <w:szCs w:val="44"/>
          <w:highlight w:val="none"/>
          <w:u w:val="none"/>
          <w:lang w:bidi="ar-SA"/>
        </w:rPr>
      </w:pPr>
      <w:r>
        <w:rPr>
          <w:rFonts w:hint="eastAsia" w:ascii="方正小标宋简体" w:eastAsia="方正小标宋简体" w:cs="方正小标宋简体"/>
          <w:sz w:val="44"/>
          <w:szCs w:val="44"/>
          <w:highlight w:val="none"/>
          <w:u w:val="none"/>
          <w:lang w:bidi="ar-SA"/>
        </w:rPr>
        <w:t>深圳市2022年本级政府预算(草案)</w:t>
      </w:r>
    </w:p>
    <w:p>
      <w:pPr>
        <w:keepNext w:val="0"/>
        <w:keepLines w:val="0"/>
        <w:pageBreakBefore w:val="0"/>
        <w:widowControl w:val="0"/>
        <w:kinsoku/>
        <w:wordWrap/>
        <w:overflowPunct/>
        <w:topLinePunct w:val="0"/>
        <w:bidi w:val="0"/>
        <w:adjustRightInd w:val="0"/>
        <w:snapToGrid w:val="0"/>
        <w:spacing w:after="0" w:line="560" w:lineRule="exact"/>
        <w:jc w:val="center"/>
        <w:textAlignment w:val="auto"/>
        <w:rPr>
          <w:rFonts w:hint="eastAsia" w:ascii="宋体" w:eastAsia="宋体" w:cs="宋体"/>
          <w:b/>
          <w:sz w:val="32"/>
          <w:szCs w:val="32"/>
          <w:highlight w:val="none"/>
          <w:u w:val="none"/>
          <w:lang w:bidi="ar-SA"/>
        </w:rPr>
      </w:pPr>
    </w:p>
    <w:p>
      <w:pPr>
        <w:keepNext w:val="0"/>
        <w:keepLines w:val="0"/>
        <w:pageBreakBefore w:val="0"/>
        <w:widowControl w:val="0"/>
        <w:kinsoku/>
        <w:wordWrap/>
        <w:overflowPunct/>
        <w:topLinePunct w:val="0"/>
        <w:bidi w:val="0"/>
        <w:adjustRightInd w:val="0"/>
        <w:snapToGrid w:val="0"/>
        <w:spacing w:after="0" w:line="560" w:lineRule="exact"/>
        <w:jc w:val="center"/>
        <w:textAlignment w:val="auto"/>
        <w:rPr>
          <w:rFonts w:hint="eastAsia" w:ascii="宋体" w:eastAsia="宋体" w:cs="宋体"/>
          <w:b/>
          <w:sz w:val="32"/>
          <w:szCs w:val="32"/>
          <w:highlight w:val="none"/>
          <w:u w:val="none"/>
          <w:lang w:bidi="ar-SA"/>
        </w:rPr>
      </w:pPr>
      <w:r>
        <w:rPr>
          <w:rFonts w:hint="eastAsia" w:ascii="宋体" w:eastAsia="宋体" w:cs="宋体"/>
          <w:b/>
          <w:sz w:val="32"/>
          <w:szCs w:val="32"/>
          <w:highlight w:val="none"/>
          <w:u w:val="none"/>
          <w:lang w:bidi="ar-SA"/>
        </w:rPr>
        <w:t xml:space="preserve">第一部分  </w:t>
      </w:r>
      <w:r>
        <w:rPr>
          <w:rFonts w:hint="eastAsia" w:ascii="宋体" w:cs="宋体"/>
          <w:b/>
          <w:sz w:val="32"/>
          <w:szCs w:val="32"/>
          <w:highlight w:val="none"/>
          <w:u w:val="none"/>
          <w:lang w:eastAsia="zh-CN" w:bidi="ar-SA"/>
        </w:rPr>
        <w:t>深圳市</w:t>
      </w:r>
      <w:r>
        <w:rPr>
          <w:rFonts w:hint="eastAsia" w:ascii="宋体" w:eastAsia="宋体" w:cs="宋体"/>
          <w:b/>
          <w:sz w:val="32"/>
          <w:szCs w:val="32"/>
          <w:highlight w:val="none"/>
          <w:u w:val="none"/>
          <w:lang w:bidi="ar-SA"/>
        </w:rPr>
        <w:t>2022年政府预算编制总体考虑</w:t>
      </w:r>
    </w:p>
    <w:p>
      <w:pPr>
        <w:keepNext w:val="0"/>
        <w:keepLines w:val="0"/>
        <w:pageBreakBefore w:val="0"/>
        <w:widowControl w:val="0"/>
        <w:kinsoku/>
        <w:wordWrap/>
        <w:overflowPunct/>
        <w:topLinePunct w:val="0"/>
        <w:bidi w:val="0"/>
        <w:spacing w:after="0" w:line="560" w:lineRule="exact"/>
        <w:ind w:firstLine="627" w:firstLineChars="196"/>
        <w:textAlignment w:val="auto"/>
        <w:rPr>
          <w:rFonts w:hint="eastAsia" w:ascii="黑体" w:eastAsia="黑体" w:cs="黑体"/>
          <w:sz w:val="32"/>
          <w:szCs w:val="32"/>
          <w:highlight w:val="none"/>
          <w:u w:val="none"/>
          <w:lang w:bidi="ar-SA"/>
        </w:rPr>
      </w:pPr>
    </w:p>
    <w:p>
      <w:pPr>
        <w:keepNext w:val="0"/>
        <w:keepLines w:val="0"/>
        <w:pageBreakBefore w:val="0"/>
        <w:widowControl w:val="0"/>
        <w:kinsoku/>
        <w:wordWrap/>
        <w:overflowPunct/>
        <w:topLinePunct w:val="0"/>
        <w:bidi w:val="0"/>
        <w:spacing w:after="0" w:line="560" w:lineRule="exact"/>
        <w:ind w:firstLine="627" w:firstLineChars="196"/>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一、2022年我市财政经济形势</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firstLine="632" w:firstLineChars="200"/>
        <w:textAlignment w:val="auto"/>
        <w:rPr>
          <w:rFonts w:hint="eastAsia" w:ascii="仿宋_GB2312" w:eastAsia="仿宋_GB2312" w:cs="Calibri"/>
          <w:kern w:val="21"/>
          <w:sz w:val="32"/>
          <w:szCs w:val="32"/>
          <w:highlight w:val="none"/>
          <w:u w:val="none"/>
          <w:lang w:bidi="ar-SA"/>
        </w:rPr>
      </w:pPr>
      <w:r>
        <w:rPr>
          <w:rFonts w:hint="eastAsia" w:ascii="仿宋_GB2312" w:eastAsia="仿宋_GB2312" w:cs="仿宋_GB2312"/>
          <w:spacing w:val="-2"/>
          <w:kern w:val="0"/>
          <w:sz w:val="32"/>
          <w:szCs w:val="32"/>
          <w:highlight w:val="none"/>
          <w:u w:val="none"/>
          <w:lang w:bidi="ar-SA"/>
        </w:rPr>
        <w:t>2022年是全面建设社会主义现代化国家、向第二个百年奋斗目标进军新征程的重要一年，是实施“十四五”规划的关键一年，将迎来党的二十大</w:t>
      </w:r>
      <w:r>
        <w:rPr>
          <w:rFonts w:hint="eastAsia" w:ascii="仿宋_GB2312" w:eastAsia="仿宋_GB2312" w:cs="仿宋_GB2312"/>
          <w:spacing w:val="-2"/>
          <w:kern w:val="0"/>
          <w:sz w:val="32"/>
          <w:szCs w:val="32"/>
          <w:highlight w:val="none"/>
          <w:u w:val="none"/>
          <w:lang w:eastAsia="zh-CN" w:bidi="ar-SA"/>
        </w:rPr>
        <w:t>和省第十三次党代会</w:t>
      </w:r>
      <w:r>
        <w:rPr>
          <w:rFonts w:hint="eastAsia" w:ascii="仿宋_GB2312" w:eastAsia="仿宋_GB2312" w:cs="仿宋_GB2312"/>
          <w:spacing w:val="-2"/>
          <w:kern w:val="0"/>
          <w:sz w:val="32"/>
          <w:szCs w:val="32"/>
          <w:highlight w:val="none"/>
          <w:u w:val="none"/>
          <w:lang w:bidi="ar-SA"/>
        </w:rPr>
        <w:t>胜利召开。</w:t>
      </w:r>
      <w:r>
        <w:rPr>
          <w:rFonts w:hint="eastAsia" w:ascii="仿宋_GB2312" w:eastAsia="仿宋_GB2312" w:cs="仿宋_GB2312"/>
          <w:b/>
          <w:bCs/>
          <w:spacing w:val="-2"/>
          <w:kern w:val="0"/>
          <w:sz w:val="32"/>
          <w:szCs w:val="32"/>
          <w:highlight w:val="none"/>
          <w:u w:val="none"/>
          <w:lang w:bidi="ar-SA"/>
        </w:rPr>
        <w:t>从国际形势看，</w:t>
      </w:r>
      <w:r>
        <w:rPr>
          <w:rFonts w:hint="eastAsia" w:ascii="仿宋_GB2312" w:eastAsia="仿宋_GB2312" w:cs="仿宋_GB2312"/>
          <w:spacing w:val="-2"/>
          <w:kern w:val="0"/>
          <w:sz w:val="32"/>
          <w:szCs w:val="32"/>
          <w:highlight w:val="none"/>
          <w:u w:val="none"/>
          <w:lang w:bidi="ar-SA"/>
        </w:rPr>
        <w:t>世纪疫情冲击下，百年变局加速演进，外部环境更趋复杂严峻和不确定</w:t>
      </w:r>
      <w:r>
        <w:rPr>
          <w:rFonts w:hint="eastAsia" w:ascii="宋体" w:hAnsi="宋体" w:eastAsia="仿宋_GB2312" w:cs="宋体"/>
          <w:spacing w:val="-2"/>
          <w:kern w:val="0"/>
          <w:sz w:val="32"/>
          <w:szCs w:val="32"/>
          <w:highlight w:val="none"/>
          <w:u w:val="none"/>
          <w:lang w:bidi="ar-SA"/>
        </w:rPr>
        <w:t>。</w:t>
      </w:r>
      <w:r>
        <w:rPr>
          <w:rFonts w:hint="eastAsia" w:ascii="宋体" w:hAnsi="宋体" w:eastAsia="仿宋_GB2312" w:cs="宋体"/>
          <w:b/>
          <w:bCs/>
          <w:spacing w:val="-2"/>
          <w:kern w:val="0"/>
          <w:sz w:val="32"/>
          <w:szCs w:val="32"/>
          <w:highlight w:val="none"/>
          <w:u w:val="none"/>
          <w:lang w:bidi="ar-SA"/>
        </w:rPr>
        <w:t>从国内形势看，</w:t>
      </w:r>
      <w:r>
        <w:rPr>
          <w:rFonts w:hint="eastAsia" w:ascii="仿宋_GB2312" w:eastAsia="仿宋_GB2312" w:cs="仿宋_GB2312"/>
          <w:spacing w:val="-2"/>
          <w:kern w:val="0"/>
          <w:sz w:val="32"/>
          <w:szCs w:val="32"/>
          <w:highlight w:val="none"/>
          <w:u w:val="none"/>
          <w:lang w:bidi="ar-SA"/>
        </w:rPr>
        <w:t>我国经济发展和疫情防控保持全球领先地位，国家战略科技力量加快壮大，产业链韧性得到提升，改革开放向纵深推进，民生保障有力有效，生态文明建设持续推进，同时我国经济发展面临需求收缩、供给冲击、预期转弱三重压力，但经济韧性强，长期向好的基本面不会改变。</w:t>
      </w:r>
      <w:r>
        <w:rPr>
          <w:rFonts w:hint="eastAsia" w:ascii="宋体" w:hAnsi="宋体" w:eastAsia="仿宋_GB2312" w:cs="宋体"/>
          <w:b/>
          <w:bCs/>
          <w:spacing w:val="-2"/>
          <w:kern w:val="0"/>
          <w:sz w:val="32"/>
          <w:szCs w:val="32"/>
          <w:highlight w:val="none"/>
          <w:u w:val="none"/>
          <w:lang w:bidi="ar-SA"/>
        </w:rPr>
        <w:t>从深圳自身发展看，</w:t>
      </w:r>
      <w:r>
        <w:rPr>
          <w:rFonts w:hint="eastAsia" w:ascii="宋体" w:hAnsi="宋体" w:eastAsia="仿宋_GB2312" w:cs="宋体"/>
          <w:spacing w:val="-2"/>
          <w:kern w:val="0"/>
          <w:sz w:val="32"/>
          <w:szCs w:val="32"/>
          <w:highlight w:val="none"/>
          <w:u w:val="none"/>
          <w:lang w:bidi="ar-SA"/>
        </w:rPr>
        <w:t>习近平</w:t>
      </w:r>
      <w:r>
        <w:rPr>
          <w:rFonts w:hint="eastAsia" w:ascii="仿宋_GB2312" w:eastAsia="仿宋_GB2312" w:cs="仿宋_GB2312"/>
          <w:kern w:val="0"/>
          <w:sz w:val="32"/>
          <w:szCs w:val="32"/>
          <w:highlight w:val="none"/>
          <w:u w:val="none"/>
          <w:lang w:bidi="ar-SA"/>
        </w:rPr>
        <w:t>总书记亲自谋划、亲自推动粤港澳大湾区和深圳先行示范区建设、深圳</w:t>
      </w:r>
      <w:r>
        <w:rPr>
          <w:rFonts w:hint="eastAsia" w:ascii="仿宋_GB2312" w:eastAsia="仿宋_GB2312" w:cs="Calibri"/>
          <w:kern w:val="21"/>
          <w:sz w:val="32"/>
          <w:szCs w:val="32"/>
          <w:highlight w:val="none"/>
          <w:u w:val="none"/>
          <w:lang w:bidi="ar-SA"/>
        </w:rPr>
        <w:t>综合改革试点及全面深化前海改革开放，使深圳成为多重国家战略交汇地。但也要清醒认识到，深圳的发展还存在一些挑战和不足，集中体现在外部环境更趋复杂严峻和不确定，关键核心技术“卡脖子”问题仍然突出，产业发展后劲仍需增强，城市治理现代化水平需持续提升，教育、医疗、住房等民生保障还存在短板。</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firstLine="635" w:firstLineChars="200"/>
        <w:textAlignment w:val="auto"/>
        <w:rPr>
          <w:rFonts w:ascii="宋体" w:hAnsi="宋体" w:eastAsia="仿宋_GB2312" w:cs="黑体"/>
          <w:b/>
          <w:spacing w:val="-2"/>
          <w:kern w:val="0"/>
          <w:sz w:val="32"/>
          <w:szCs w:val="32"/>
          <w:highlight w:val="none"/>
          <w:u w:val="none"/>
          <w:lang w:bidi="ar-SA"/>
        </w:rPr>
      </w:pPr>
      <w:r>
        <w:rPr>
          <w:rFonts w:hint="eastAsia" w:ascii="仿宋_GB2312" w:eastAsia="仿宋_GB2312" w:cs="仿宋_GB2312"/>
          <w:b/>
          <w:bCs/>
          <w:spacing w:val="-2"/>
          <w:kern w:val="0"/>
          <w:sz w:val="32"/>
          <w:szCs w:val="32"/>
          <w:highlight w:val="none"/>
          <w:u w:val="none"/>
          <w:lang w:bidi="ar-SA"/>
        </w:rPr>
        <w:t>从深圳财政收支形势看，收入方面，</w:t>
      </w:r>
      <w:r>
        <w:rPr>
          <w:rFonts w:hint="eastAsia" w:ascii="仿宋_GB2312" w:eastAsia="仿宋_GB2312" w:cs="Calibri"/>
          <w:spacing w:val="-2"/>
          <w:kern w:val="0"/>
          <w:sz w:val="32"/>
          <w:szCs w:val="32"/>
          <w:highlight w:val="none"/>
          <w:u w:val="none"/>
          <w:lang w:bidi="ar-SA"/>
        </w:rPr>
        <w:t>我市经济发展韧性足、潜力大、势头好，随着减税降费政策效应持续释放，市场主体的活力和动力进一步增强，整体经济将继续保持高质量发展，为财政收入持续稳定增长奠定了坚实基础。在国家继续加大</w:t>
      </w:r>
      <w:r>
        <w:rPr>
          <w:rFonts w:hint="eastAsia" w:ascii="仿宋_GB2312" w:eastAsia="仿宋_GB2312" w:cs="Calibri"/>
          <w:spacing w:val="-2"/>
          <w:kern w:val="0"/>
          <w:sz w:val="32"/>
          <w:szCs w:val="32"/>
          <w:highlight w:val="none"/>
          <w:u w:val="none"/>
          <w:lang w:eastAsia="zh-CN" w:bidi="ar-SA"/>
        </w:rPr>
        <w:t>退税</w:t>
      </w:r>
      <w:r>
        <w:rPr>
          <w:rFonts w:hint="eastAsia" w:ascii="仿宋_GB2312" w:eastAsia="仿宋_GB2312" w:cs="Calibri"/>
          <w:spacing w:val="-2"/>
          <w:kern w:val="0"/>
          <w:sz w:val="32"/>
          <w:szCs w:val="32"/>
          <w:highlight w:val="none"/>
          <w:u w:val="none"/>
          <w:lang w:bidi="ar-SA"/>
        </w:rPr>
        <w:t>减税降费政策力度的同时，新的经济下行压力对财政收入增长形成制约，疫情形势持续演变增加收入增长的不确定性。</w:t>
      </w:r>
      <w:r>
        <w:rPr>
          <w:rFonts w:hint="eastAsia" w:ascii="仿宋_GB2312" w:eastAsia="仿宋_GB2312" w:cs="Calibri"/>
          <w:b/>
          <w:bCs/>
          <w:spacing w:val="-2"/>
          <w:kern w:val="0"/>
          <w:sz w:val="32"/>
          <w:szCs w:val="32"/>
          <w:highlight w:val="none"/>
          <w:u w:val="none"/>
          <w:lang w:bidi="ar-SA"/>
        </w:rPr>
        <w:t>支出方面，</w:t>
      </w:r>
      <w:r>
        <w:rPr>
          <w:rFonts w:hint="eastAsia" w:ascii="仿宋_GB2312" w:eastAsia="仿宋_GB2312" w:cs="Calibri"/>
          <w:spacing w:val="-2"/>
          <w:kern w:val="0"/>
          <w:sz w:val="32"/>
          <w:szCs w:val="32"/>
          <w:highlight w:val="none"/>
          <w:u w:val="none"/>
          <w:lang w:bidi="ar-SA"/>
        </w:rPr>
        <w:t>我市加快推进粤港澳大湾区和先行示范区建设，</w:t>
      </w:r>
      <w:r>
        <w:rPr>
          <w:rFonts w:hint="eastAsia" w:ascii="仿宋_GB2312" w:eastAsia="仿宋_GB2312" w:cs="仿宋_GB2312"/>
          <w:spacing w:val="-2"/>
          <w:kern w:val="0"/>
          <w:sz w:val="32"/>
          <w:szCs w:val="32"/>
          <w:highlight w:val="none"/>
          <w:u w:val="none"/>
          <w:lang w:bidi="ar-SA"/>
        </w:rPr>
        <w:t>重点领域和刚性支出需求快速增长，财政预算紧约束、紧平衡特征更加凸显。</w:t>
      </w:r>
    </w:p>
    <w:p>
      <w:pPr>
        <w:keepNext w:val="0"/>
        <w:keepLines w:val="0"/>
        <w:pageBreakBefore w:val="0"/>
        <w:widowControl w:val="0"/>
        <w:kinsoku/>
        <w:wordWrap/>
        <w:overflowPunct/>
        <w:topLinePunct w:val="0"/>
        <w:bidi w:val="0"/>
        <w:spacing w:after="0" w:line="560" w:lineRule="exact"/>
        <w:ind w:firstLine="627" w:firstLineChars="196"/>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二、2022年</w:t>
      </w:r>
      <w:r>
        <w:rPr>
          <w:rFonts w:hint="eastAsia" w:ascii="黑体" w:eastAsia="黑体" w:cs="黑体"/>
          <w:sz w:val="32"/>
          <w:szCs w:val="32"/>
          <w:highlight w:val="none"/>
          <w:u w:val="none"/>
          <w:lang w:eastAsia="zh-CN" w:bidi="ar-SA"/>
        </w:rPr>
        <w:t>政府</w:t>
      </w:r>
      <w:r>
        <w:rPr>
          <w:rFonts w:hint="eastAsia" w:ascii="黑体" w:eastAsia="黑体" w:cs="黑体"/>
          <w:sz w:val="32"/>
          <w:szCs w:val="32"/>
          <w:highlight w:val="none"/>
          <w:u w:val="none"/>
          <w:lang w:bidi="ar-SA"/>
        </w:rPr>
        <w:t>预算编制指导思想和总体考虑</w:t>
      </w:r>
    </w:p>
    <w:p>
      <w:pPr>
        <w:keepNext w:val="0"/>
        <w:keepLines w:val="0"/>
        <w:pageBreakBefore w:val="0"/>
        <w:widowControl w:val="0"/>
        <w:kinsoku/>
        <w:wordWrap/>
        <w:topLinePunct w:val="0"/>
        <w:bidi w:val="0"/>
        <w:spacing w:after="0" w:line="560" w:lineRule="exact"/>
        <w:ind w:firstLine="630" w:firstLineChars="196"/>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sz w:val="32"/>
          <w:szCs w:val="32"/>
          <w:highlight w:val="none"/>
          <w:u w:val="none"/>
          <w:lang w:bidi="ar-SA"/>
        </w:rPr>
        <w:t>2022年市本级</w:t>
      </w:r>
      <w:r>
        <w:rPr>
          <w:rFonts w:hint="eastAsia" w:ascii="仿宋_GB2312" w:eastAsia="仿宋_GB2312" w:cs="仿宋_GB2312"/>
          <w:b/>
          <w:sz w:val="32"/>
          <w:szCs w:val="32"/>
          <w:highlight w:val="none"/>
          <w:u w:val="none"/>
          <w:lang w:eastAsia="zh-CN" w:bidi="ar-SA"/>
        </w:rPr>
        <w:t>政府</w:t>
      </w:r>
      <w:r>
        <w:rPr>
          <w:rFonts w:hint="eastAsia" w:ascii="仿宋_GB2312" w:eastAsia="仿宋_GB2312" w:cs="仿宋_GB2312"/>
          <w:b/>
          <w:sz w:val="32"/>
          <w:szCs w:val="32"/>
          <w:highlight w:val="none"/>
          <w:u w:val="none"/>
          <w:lang w:bidi="ar-SA"/>
        </w:rPr>
        <w:t>预算编制的指导思想是：</w:t>
      </w:r>
      <w:r>
        <w:rPr>
          <w:rFonts w:hint="eastAsia" w:ascii="仿宋_GB2312" w:eastAsia="仿宋_GB2312" w:cs="仿宋_GB2312"/>
          <w:color w:val="000000"/>
          <w:sz w:val="32"/>
          <w:szCs w:val="32"/>
          <w:highlight w:val="none"/>
          <w:u w:val="none"/>
          <w:lang w:bidi="ar-SA"/>
        </w:rPr>
        <w:t>以习近平新时代中国特色社会主义思想为指导，全面贯彻落实党的十九大和十九届历次全会及中央经济工作会议精神，深入贯彻习近平总书记对广东、深圳系列重要讲话和重要指示批示精神，弘扬伟大建党精神，</w:t>
      </w:r>
      <w:r>
        <w:rPr>
          <w:rFonts w:hint="eastAsia" w:ascii="仿宋_GB2312" w:eastAsia="仿宋_GB2312" w:cs="仿宋_GB2312"/>
          <w:color w:val="000000"/>
          <w:sz w:val="32"/>
          <w:szCs w:val="32"/>
          <w:highlight w:val="none"/>
          <w:u w:val="none"/>
          <w:lang w:eastAsia="zh-CN" w:bidi="ar-SA"/>
        </w:rPr>
        <w:t>加强党的全面领导和党的建设，</w:t>
      </w:r>
      <w:r>
        <w:rPr>
          <w:rFonts w:hint="eastAsia" w:ascii="仿宋_GB2312" w:eastAsia="仿宋_GB2312" w:cs="仿宋_GB2312"/>
          <w:color w:val="000000"/>
          <w:sz w:val="32"/>
          <w:szCs w:val="32"/>
          <w:highlight w:val="none"/>
          <w:u w:val="none"/>
          <w:lang w:bidi="ar-SA"/>
        </w:rPr>
        <w:t xml:space="preserve">坚持稳中求进工作总基调, </w:t>
      </w:r>
      <w:r>
        <w:rPr>
          <w:rFonts w:hint="eastAsia" w:ascii="仿宋_GB2312" w:eastAsia="仿宋_GB2312" w:cs="仿宋_GB2312"/>
          <w:color w:val="000000"/>
          <w:sz w:val="32"/>
          <w:szCs w:val="32"/>
          <w:highlight w:val="none"/>
          <w:u w:val="none"/>
          <w:lang w:eastAsia="zh-CN" w:bidi="ar-SA"/>
        </w:rPr>
        <w:t>立足新发展阶段，</w:t>
      </w:r>
      <w:r>
        <w:rPr>
          <w:rFonts w:hint="eastAsia" w:ascii="仿宋_GB2312" w:eastAsia="仿宋_GB2312" w:cs="仿宋_GB2312"/>
          <w:color w:val="000000"/>
          <w:sz w:val="32"/>
          <w:szCs w:val="32"/>
          <w:highlight w:val="none"/>
          <w:u w:val="none"/>
          <w:lang w:bidi="ar-SA"/>
        </w:rPr>
        <w:t>完整、准确、全面贯彻新发展理念,努力成为构建新发展格局的先行示范者，全面深化改革开放，坚持创新驱动发展，推动高质量发展，坚持以供给侧结构性改革为主线，统筹疫情防控和经济社会发展，统筹发展和安全，按照省委十二届十五次全会和省委“1+1+9”工作部署要求，贯彻落实市第七次党代会</w:t>
      </w:r>
      <w:r>
        <w:rPr>
          <w:rFonts w:hint="eastAsia" w:ascii="仿宋_GB2312" w:eastAsia="仿宋_GB2312" w:cs="仿宋_GB2312"/>
          <w:color w:val="000000"/>
          <w:sz w:val="32"/>
          <w:szCs w:val="32"/>
          <w:highlight w:val="none"/>
          <w:u w:val="none"/>
          <w:lang w:eastAsia="zh-CN" w:bidi="ar-SA"/>
        </w:rPr>
        <w:t>、市委七届二次、三次全会</w:t>
      </w:r>
      <w:r>
        <w:rPr>
          <w:rFonts w:hint="eastAsia" w:ascii="仿宋_GB2312" w:eastAsia="仿宋_GB2312" w:cs="仿宋_GB2312"/>
          <w:color w:val="000000"/>
          <w:sz w:val="32"/>
          <w:szCs w:val="32"/>
          <w:highlight w:val="none"/>
          <w:u w:val="none"/>
          <w:lang w:bidi="ar-SA"/>
        </w:rPr>
        <w:t>精神和市委“1+10+10”工作安排，充分发挥“双区”驱动、“双区”叠加、“双改”示范效应，继续做好“六稳”“六保”工作，持续改善民生</w:t>
      </w:r>
      <w:r>
        <w:rPr>
          <w:rFonts w:hint="eastAsia" w:ascii="仿宋_GB2312" w:eastAsia="仿宋_GB2312" w:cs="仿宋_GB2312"/>
          <w:color w:val="000000"/>
          <w:sz w:val="32"/>
          <w:szCs w:val="32"/>
          <w:highlight w:val="none"/>
          <w:u w:val="none"/>
          <w:lang w:eastAsia="zh-CN" w:bidi="ar-SA"/>
        </w:rPr>
        <w:t>，保持经济运行在合理区间，保持社会大局稳定</w:t>
      </w:r>
      <w:r>
        <w:rPr>
          <w:rFonts w:hint="eastAsia" w:ascii="仿宋_GB2312" w:eastAsia="仿宋_GB2312" w:cs="仿宋_GB2312"/>
          <w:color w:val="000000"/>
          <w:sz w:val="32"/>
          <w:szCs w:val="32"/>
          <w:highlight w:val="none"/>
          <w:u w:val="none"/>
          <w:lang w:bidi="ar-SA"/>
        </w:rPr>
        <w:t>；积极的财政政策要提升效能，更加注重精准、可持续, 落实国家减税降费政策，减轻市场主体负担，激发市场主体活力；保持财政支出强度，加快支出进度，牢固树立“大财政、大预算、大资产”理念, 加强财政资源统筹,深化市区财政体制改革，优化支出重点和结构，增强全市重大战略任务财力保障；完善现代财税制度，持续深化预算管理制度改革，逐步推行“五年规划、三年滚动、年度计划”的预算管理体制，建设民生型、战略型、产业型、精准型、协同型等“五型财政”，为奋力建设好中国特色社会主义先行示范区，创建社会主义现代化强国的城市范例，率先实现社会主义现代化提供坚强财力保障和体制机制支撑，以优异成绩迎接党的二十大胜</w:t>
      </w:r>
      <w:r>
        <w:rPr>
          <w:rFonts w:hint="eastAsia" w:ascii="仿宋_GB2312" w:eastAsia="仿宋_GB2312" w:cs="仿宋_GB2312"/>
          <w:color w:val="000000"/>
          <w:kern w:val="0"/>
          <w:sz w:val="32"/>
          <w:szCs w:val="32"/>
          <w:highlight w:val="none"/>
          <w:u w:val="none"/>
          <w:lang w:bidi="ar-SA"/>
        </w:rPr>
        <w:t>利召开。</w:t>
      </w:r>
    </w:p>
    <w:p>
      <w:pPr>
        <w:keepNext w:val="0"/>
        <w:keepLines w:val="0"/>
        <w:pageBreakBefore w:val="0"/>
        <w:widowControl/>
        <w:kinsoku/>
        <w:wordWrap/>
        <w:overflowPunct/>
        <w:topLinePunct w:val="0"/>
        <w:bidi w:val="0"/>
        <w:spacing w:after="0" w:line="560" w:lineRule="exact"/>
        <w:ind w:firstLine="643" w:firstLineChars="200"/>
        <w:textAlignment w:val="auto"/>
        <w:rPr>
          <w:rFonts w:hint="eastAsia" w:ascii="仿宋_GB2312" w:eastAsia="仿宋_GB2312" w:cs="仿宋_GB2312"/>
          <w:bCs/>
          <w:kern w:val="0"/>
          <w:sz w:val="32"/>
          <w:szCs w:val="32"/>
          <w:highlight w:val="none"/>
          <w:u w:val="none"/>
          <w:lang w:bidi="ar-SA"/>
        </w:rPr>
      </w:pPr>
      <w:r>
        <w:rPr>
          <w:rFonts w:hint="eastAsia" w:ascii="仿宋_GB2312" w:eastAsia="仿宋_GB2312" w:cs="仿宋_GB2312"/>
          <w:b/>
          <w:kern w:val="0"/>
          <w:sz w:val="32"/>
          <w:szCs w:val="32"/>
          <w:highlight w:val="none"/>
          <w:u w:val="none"/>
          <w:lang w:bidi="ar-SA"/>
        </w:rPr>
        <w:t>按照上述指导思想，2022年市本级</w:t>
      </w:r>
      <w:r>
        <w:rPr>
          <w:rFonts w:hint="eastAsia" w:ascii="仿宋_GB2312" w:eastAsia="仿宋_GB2312" w:cs="仿宋_GB2312"/>
          <w:b/>
          <w:kern w:val="0"/>
          <w:sz w:val="32"/>
          <w:szCs w:val="32"/>
          <w:highlight w:val="none"/>
          <w:u w:val="none"/>
          <w:lang w:eastAsia="zh-CN" w:bidi="ar-SA"/>
        </w:rPr>
        <w:t>政府</w:t>
      </w:r>
      <w:r>
        <w:rPr>
          <w:rFonts w:hint="eastAsia" w:ascii="仿宋_GB2312" w:eastAsia="仿宋_GB2312" w:cs="仿宋_GB2312"/>
          <w:b/>
          <w:kern w:val="0"/>
          <w:sz w:val="32"/>
          <w:szCs w:val="32"/>
          <w:highlight w:val="none"/>
          <w:u w:val="none"/>
          <w:lang w:bidi="ar-SA"/>
        </w:rPr>
        <w:t xml:space="preserve">预算收支安排的总体考虑是： </w:t>
      </w:r>
    </w:p>
    <w:p>
      <w:pPr>
        <w:pStyle w:val="5"/>
        <w:keepNext w:val="0"/>
        <w:keepLines w:val="0"/>
        <w:pageBreakBefore w:val="0"/>
        <w:widowControl w:val="0"/>
        <w:kinsoku/>
        <w:wordWrap/>
        <w:overflowPunct/>
        <w:topLinePunct w:val="0"/>
        <w:bidi w:val="0"/>
        <w:spacing w:after="0" w:line="560" w:lineRule="exact"/>
        <w:textAlignment w:val="auto"/>
        <w:rPr>
          <w:rFonts w:hint="eastAsia" w:ascii="仿宋_GB2312" w:eastAsia="仿宋_GB2312" w:cs="仿宋_GB2312"/>
          <w:kern w:val="0"/>
          <w:sz w:val="32"/>
          <w:szCs w:val="32"/>
          <w:highlight w:val="none"/>
          <w:u w:val="none"/>
          <w:lang w:bidi="ar-SA"/>
        </w:rPr>
      </w:pPr>
      <w:r>
        <w:rPr>
          <w:rFonts w:hint="eastAsia" w:ascii="楷体_GB2312" w:eastAsia="楷体_GB2312" w:cs="楷体_GB2312"/>
          <w:bCs/>
          <w:kern w:val="0"/>
          <w:sz w:val="32"/>
          <w:szCs w:val="32"/>
          <w:highlight w:val="none"/>
          <w:u w:val="none"/>
          <w:lang w:bidi="ar-SA"/>
        </w:rPr>
        <w:t>（一）坚持培育增量、挖掘存量。</w:t>
      </w:r>
      <w:r>
        <w:rPr>
          <w:rFonts w:hint="eastAsia" w:ascii="仿宋_GB2312" w:eastAsia="仿宋_GB2312"/>
          <w:sz w:val="32"/>
          <w:szCs w:val="32"/>
          <w:highlight w:val="none"/>
          <w:u w:val="none"/>
        </w:rPr>
        <w:t>全面落实各项减税降费政策，</w:t>
      </w:r>
      <w:r>
        <w:rPr>
          <w:rFonts w:hint="eastAsia" w:ascii="仿宋_GB2312" w:eastAsia="仿宋_GB2312" w:cs="仿宋_GB2312"/>
          <w:sz w:val="32"/>
          <w:szCs w:val="32"/>
          <w:highlight w:val="none"/>
          <w:u w:val="none"/>
          <w:lang w:bidi="ar-SA"/>
        </w:rPr>
        <w:t>强化对中小微企业、个体工商户、制造业、风险化解等的支持力度，持续激发市场主体活力，</w:t>
      </w:r>
      <w:r>
        <w:rPr>
          <w:rFonts w:hint="eastAsia" w:ascii="仿宋_GB2312" w:eastAsia="仿宋_GB2312"/>
          <w:sz w:val="32"/>
          <w:szCs w:val="32"/>
          <w:highlight w:val="none"/>
          <w:u w:val="none"/>
        </w:rPr>
        <w:t>努力培植壮大财源</w:t>
      </w:r>
      <w:r>
        <w:rPr>
          <w:rFonts w:hint="eastAsia" w:ascii="宋体" w:hAnsi="宋体" w:eastAsia="仿宋_GB2312" w:cs="宋体"/>
          <w:bCs/>
          <w:snapToGrid w:val="0"/>
          <w:kern w:val="0"/>
          <w:sz w:val="32"/>
          <w:szCs w:val="32"/>
          <w:highlight w:val="none"/>
          <w:u w:val="none"/>
          <w:lang w:bidi="ar-SA"/>
        </w:rPr>
        <w:t>。</w:t>
      </w:r>
      <w:r>
        <w:rPr>
          <w:rFonts w:hint="eastAsia" w:ascii="仿宋_GB2312" w:eastAsia="仿宋_GB2312"/>
          <w:sz w:val="32"/>
          <w:szCs w:val="32"/>
          <w:highlight w:val="none"/>
          <w:u w:val="none"/>
        </w:rPr>
        <w:t>依法依规加强各项税费收入征管，</w:t>
      </w:r>
      <w:r>
        <w:rPr>
          <w:rFonts w:hint="eastAsia" w:ascii="宋体" w:hAnsi="宋体" w:eastAsia="仿宋_GB2312" w:cs="宋体"/>
          <w:bCs/>
          <w:snapToGrid w:val="0"/>
          <w:kern w:val="0"/>
          <w:sz w:val="32"/>
          <w:szCs w:val="32"/>
          <w:highlight w:val="none"/>
          <w:u w:val="none"/>
          <w:lang w:bidi="ar-SA"/>
        </w:rPr>
        <w:t>科学分析预测、</w:t>
      </w:r>
      <w:r>
        <w:rPr>
          <w:rFonts w:hint="eastAsia" w:ascii="宋体" w:hAnsi="宋体" w:eastAsia="仿宋_GB2312"/>
          <w:snapToGrid w:val="0"/>
          <w:kern w:val="0"/>
          <w:sz w:val="32"/>
          <w:szCs w:val="32"/>
          <w:highlight w:val="none"/>
          <w:u w:val="none"/>
        </w:rPr>
        <w:t>实事求是编制收入预算</w:t>
      </w:r>
      <w:r>
        <w:rPr>
          <w:rFonts w:hint="eastAsia" w:ascii="宋体" w:hAnsi="宋体" w:eastAsia="仿宋_GB2312" w:cs="宋体"/>
          <w:bCs/>
          <w:snapToGrid w:val="0"/>
          <w:kern w:val="0"/>
          <w:sz w:val="32"/>
          <w:szCs w:val="32"/>
          <w:highlight w:val="none"/>
          <w:u w:val="none"/>
          <w:lang w:bidi="ar-SA"/>
        </w:rPr>
        <w:t>。</w:t>
      </w:r>
      <w:r>
        <w:rPr>
          <w:rFonts w:hint="eastAsia" w:ascii="仿宋_GB2312" w:eastAsia="仿宋_GB2312" w:cs="仿宋_GB2312"/>
          <w:sz w:val="32"/>
          <w:szCs w:val="32"/>
          <w:highlight w:val="none"/>
          <w:u w:val="none"/>
          <w:lang w:bidi="ar-SA"/>
        </w:rPr>
        <w:t>全面加强政府资金资产资源统筹，</w:t>
      </w:r>
      <w:r>
        <w:rPr>
          <w:rFonts w:hint="eastAsia" w:ascii="仿宋_GB2312" w:eastAsia="仿宋_GB2312" w:cs="仿宋_GB2312"/>
          <w:snapToGrid w:val="0"/>
          <w:kern w:val="0"/>
          <w:sz w:val="32"/>
          <w:szCs w:val="32"/>
          <w:highlight w:val="none"/>
          <w:u w:val="none"/>
          <w:lang w:bidi="ar-SA"/>
        </w:rPr>
        <w:t>大力</w:t>
      </w:r>
      <w:r>
        <w:rPr>
          <w:rFonts w:hint="eastAsia" w:ascii="仿宋_GB2312" w:eastAsia="仿宋_GB2312"/>
          <w:sz w:val="32"/>
          <w:szCs w:val="32"/>
          <w:highlight w:val="none"/>
          <w:u w:val="none"/>
        </w:rPr>
        <w:t>盘活财政预算资金、国有企业资产、政府物业资产、部门存量资金、政府投资基金、土地资源等各类资金资产资源。</w:t>
      </w:r>
      <w:r>
        <w:rPr>
          <w:rFonts w:hint="eastAsia" w:ascii="仿宋_GB2312" w:eastAsia="仿宋_GB2312" w:cs="仿宋_GB2312"/>
          <w:sz w:val="32"/>
          <w:szCs w:val="32"/>
          <w:highlight w:val="none"/>
          <w:u w:val="none"/>
          <w:lang w:bidi="ar-SA"/>
        </w:rPr>
        <w:t>加大地方政府债券发行使用力度，多渠道增强财政统筹保障能力。</w:t>
      </w:r>
    </w:p>
    <w:p>
      <w:pPr>
        <w:pStyle w:val="5"/>
        <w:keepNext w:val="0"/>
        <w:keepLines w:val="0"/>
        <w:pageBreakBefore w:val="0"/>
        <w:widowControl w:val="0"/>
        <w:kinsoku/>
        <w:wordWrap/>
        <w:overflowPunct/>
        <w:topLinePunct w:val="0"/>
        <w:bidi w:val="0"/>
        <w:spacing w:after="0" w:line="560" w:lineRule="exact"/>
        <w:textAlignment w:val="auto"/>
        <w:rPr>
          <w:rFonts w:hint="eastAsia" w:ascii="仿宋_GB2312" w:eastAsia="仿宋_GB2312"/>
          <w:sz w:val="32"/>
          <w:szCs w:val="32"/>
          <w:highlight w:val="none"/>
          <w:u w:val="none"/>
        </w:rPr>
      </w:pPr>
      <w:r>
        <w:rPr>
          <w:rFonts w:hint="eastAsia" w:ascii="楷体_GB2312" w:eastAsia="楷体_GB2312" w:cs="楷体_GB2312"/>
          <w:bCs/>
          <w:kern w:val="0"/>
          <w:sz w:val="32"/>
          <w:szCs w:val="32"/>
          <w:highlight w:val="none"/>
          <w:u w:val="none"/>
          <w:lang w:bidi="ar-SA"/>
        </w:rPr>
        <w:t>（二）坚持优化结构、突出重点。</w:t>
      </w:r>
      <w:r>
        <w:rPr>
          <w:rFonts w:hint="eastAsia" w:ascii="仿宋_GB2312" w:eastAsia="仿宋_GB2312" w:cs="仿宋_GB2312"/>
          <w:sz w:val="32"/>
          <w:szCs w:val="32"/>
          <w:highlight w:val="none"/>
          <w:u w:val="none"/>
          <w:lang w:bidi="ar-SA"/>
        </w:rPr>
        <w:t>积极的财政政策要提升效能，更加注重精准、可持续，保证财政支出强度，加快支出进度，</w:t>
      </w:r>
      <w:r>
        <w:rPr>
          <w:rFonts w:hint="eastAsia" w:ascii="仿宋_GB2312" w:eastAsia="仿宋_GB2312"/>
          <w:sz w:val="32"/>
          <w:szCs w:val="32"/>
          <w:highlight w:val="none"/>
          <w:u w:val="none"/>
        </w:rPr>
        <w:t>突出财政支出公共性、普惠性，</w:t>
      </w:r>
      <w:r>
        <w:rPr>
          <w:rFonts w:hint="eastAsia" w:ascii="仿宋_GB2312" w:eastAsia="仿宋_GB2312" w:cs="仿宋_GB2312"/>
          <w:kern w:val="0"/>
          <w:sz w:val="32"/>
          <w:szCs w:val="32"/>
          <w:highlight w:val="none"/>
          <w:u w:val="none"/>
          <w:lang w:bidi="ar-SA"/>
        </w:rPr>
        <w:t>聚焦粤港澳大湾区和深圳先行示范区建设重大战略和“民生七有”任务目标，集中财力优先投向科技创新、产业升级、绿色低碳等发展所需及教育、医疗、住房等民生所盼领域，增强</w:t>
      </w:r>
      <w:r>
        <w:rPr>
          <w:rFonts w:hint="eastAsia" w:ascii="仿宋_GB2312" w:eastAsia="仿宋_GB2312" w:cs="仿宋_GB2312"/>
          <w:sz w:val="32"/>
          <w:szCs w:val="32"/>
          <w:highlight w:val="none"/>
          <w:u w:val="none"/>
          <w:lang w:bidi="ar-SA"/>
        </w:rPr>
        <w:t>全市重大战略、重点项目和重点区域建设财力保障，</w:t>
      </w:r>
      <w:r>
        <w:rPr>
          <w:rFonts w:hint="eastAsia" w:ascii="仿宋_GB2312" w:eastAsia="仿宋_GB2312" w:cs="仿宋_GB2312"/>
          <w:kern w:val="0"/>
          <w:sz w:val="32"/>
          <w:szCs w:val="32"/>
          <w:highlight w:val="none"/>
          <w:u w:val="none"/>
          <w:lang w:bidi="ar-SA"/>
        </w:rPr>
        <w:t>为深圳实现高质量发展奠定坚实基础</w:t>
      </w:r>
      <w:r>
        <w:rPr>
          <w:rFonts w:hint="eastAsia" w:ascii="仿宋_GB2312" w:eastAsia="仿宋_GB2312"/>
          <w:sz w:val="32"/>
          <w:szCs w:val="32"/>
          <w:highlight w:val="none"/>
          <w:u w:val="none"/>
        </w:rPr>
        <w:t>。</w:t>
      </w:r>
    </w:p>
    <w:p>
      <w:pPr>
        <w:pStyle w:val="5"/>
        <w:keepNext w:val="0"/>
        <w:keepLines w:val="0"/>
        <w:pageBreakBefore w:val="0"/>
        <w:widowControl w:val="0"/>
        <w:kinsoku/>
        <w:wordWrap/>
        <w:overflowPunct/>
        <w:topLinePunct w:val="0"/>
        <w:bidi w:val="0"/>
        <w:spacing w:after="0" w:line="560" w:lineRule="exact"/>
        <w:textAlignment w:val="auto"/>
        <w:rPr>
          <w:rFonts w:hint="eastAsia" w:ascii="仿宋_GB2312" w:eastAsia="仿宋_GB2312" w:cs="仿宋_GB2312"/>
          <w:sz w:val="32"/>
          <w:szCs w:val="32"/>
          <w:highlight w:val="none"/>
          <w:u w:val="none"/>
          <w:lang w:bidi="ar-SA"/>
        </w:rPr>
      </w:pPr>
      <w:r>
        <w:rPr>
          <w:rFonts w:hint="eastAsia" w:ascii="楷体_GB2312" w:eastAsia="楷体_GB2312" w:cs="楷体_GB2312"/>
          <w:bCs/>
          <w:kern w:val="0"/>
          <w:sz w:val="32"/>
          <w:szCs w:val="32"/>
          <w:highlight w:val="none"/>
          <w:u w:val="none"/>
          <w:lang w:bidi="ar-SA"/>
        </w:rPr>
        <w:t>（三）坚持有效市场、有为政府。</w:t>
      </w:r>
      <w:r>
        <w:rPr>
          <w:rFonts w:hint="eastAsia" w:ascii="仿宋_GB2312" w:eastAsia="仿宋_GB2312" w:cs="仿宋_GB2312"/>
          <w:kern w:val="0"/>
          <w:sz w:val="32"/>
          <w:szCs w:val="32"/>
          <w:highlight w:val="none"/>
          <w:u w:val="none"/>
          <w:lang w:bidi="ar-SA"/>
        </w:rPr>
        <w:t>准确把握政府和市场关系，</w:t>
      </w:r>
      <w:r>
        <w:rPr>
          <w:rFonts w:hint="eastAsia" w:ascii="仿宋_GB2312" w:eastAsia="仿宋_GB2312" w:cs="仿宋_GB2312"/>
          <w:sz w:val="32"/>
          <w:szCs w:val="32"/>
          <w:highlight w:val="none"/>
          <w:u w:val="none"/>
          <w:lang w:bidi="ar-SA"/>
        </w:rPr>
        <w:t>充分发挥市场在资源配置中的决定性作用，持续优化市场化法治化国际化营商环境，帮助各类市场主体解决实际困难，激发市场主体发展活力。更好发挥政府作用尤其是财政在资源配置、财力保障和宏观调控等方面的作用，强化对具有正外部性创新发展的支持，严格控制竞争性领域财政投入，优化政府投资方向和结构，完善公用事业运营保障机制。</w:t>
      </w:r>
    </w:p>
    <w:p>
      <w:pPr>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楷体_GB2312"/>
          <w:bCs/>
          <w:kern w:val="0"/>
          <w:sz w:val="32"/>
          <w:szCs w:val="32"/>
          <w:highlight w:val="none"/>
          <w:u w:val="none"/>
          <w:lang w:bidi="ar-SA"/>
        </w:rPr>
        <w:t>（四）坚持厉行节约、提质增效。</w:t>
      </w:r>
      <w:r>
        <w:rPr>
          <w:rFonts w:hint="eastAsia" w:ascii="仿宋_GB2312" w:eastAsia="仿宋_GB2312" w:cs="仿宋_GB2312"/>
          <w:kern w:val="0"/>
          <w:sz w:val="32"/>
          <w:szCs w:val="32"/>
          <w:highlight w:val="none"/>
          <w:u w:val="none"/>
          <w:lang w:bidi="ar-SA"/>
        </w:rPr>
        <w:t>严格落实党政机关坚持过紧日子，严肃财经纪律，勤俭节约办一切事业，坚决压减一般性支出，严控政府性楼堂馆所建设，严禁大拆大建和政绩工程、形象工程，</w:t>
      </w:r>
      <w:r>
        <w:rPr>
          <w:rFonts w:hint="eastAsia" w:ascii="仿宋_GB2312" w:eastAsia="仿宋_GB2312" w:cs="仿宋_GB2312"/>
          <w:sz w:val="32"/>
          <w:szCs w:val="32"/>
          <w:highlight w:val="none"/>
          <w:u w:val="none"/>
          <w:lang w:bidi="ar-SA"/>
        </w:rPr>
        <w:t>腾出更多财力改善基本民生和支持市场主体发展</w:t>
      </w:r>
      <w:r>
        <w:rPr>
          <w:rFonts w:hint="eastAsia" w:ascii="仿宋_GB2312" w:eastAsia="仿宋_GB2312" w:cs="仿宋_GB2312"/>
          <w:kern w:val="0"/>
          <w:sz w:val="32"/>
          <w:szCs w:val="32"/>
          <w:highlight w:val="none"/>
          <w:u w:val="none"/>
          <w:lang w:bidi="ar-SA"/>
        </w:rPr>
        <w:t>。牢固树立“花钱必问效”思想，落实预算安排与项目入库、审计意见、绩效评价、预算执行和资产存量“五挂钩”机制，压减低效支出、取消无效支出、保障重点支出，</w:t>
      </w:r>
      <w:r>
        <w:rPr>
          <w:rFonts w:hint="eastAsia" w:ascii="仿宋_GB2312" w:eastAsia="仿宋_GB2312" w:cs="Calibri"/>
          <w:sz w:val="32"/>
          <w:szCs w:val="32"/>
          <w:highlight w:val="none"/>
          <w:u w:val="none"/>
          <w:lang w:bidi="ar-SA"/>
        </w:rPr>
        <w:t>着力提升预算管理水平和政策实施效果。</w:t>
      </w:r>
      <w:r>
        <w:rPr>
          <w:rFonts w:hint="eastAsia" w:ascii="仿宋_GB2312" w:eastAsia="仿宋_GB2312" w:cs="仿宋_GB2312"/>
          <w:kern w:val="0"/>
          <w:sz w:val="32"/>
          <w:szCs w:val="32"/>
          <w:highlight w:val="none"/>
          <w:u w:val="none"/>
          <w:lang w:bidi="ar-SA"/>
        </w:rPr>
        <w:t>按照项目库预算管理要求，</w:t>
      </w:r>
      <w:r>
        <w:rPr>
          <w:rFonts w:hint="eastAsia" w:ascii="仿宋_GB2312" w:eastAsia="仿宋_GB2312" w:cs="仿宋_GB2312"/>
          <w:kern w:val="0"/>
          <w:sz w:val="32"/>
          <w:szCs w:val="32"/>
          <w:highlight w:val="none"/>
          <w:u w:val="none"/>
          <w:lang w:val="en-US" w:eastAsia="zh-CN" w:bidi="ar-SA"/>
        </w:rPr>
        <w:t>组织市属预算单位编制一级项目绩效目标1600多个和二级项目绩效目标18000多个</w:t>
      </w:r>
      <w:r>
        <w:rPr>
          <w:rFonts w:hint="eastAsia" w:ascii="仿宋_GB2312" w:eastAsia="仿宋_GB2312" w:cs="仿宋_GB2312"/>
          <w:kern w:val="0"/>
          <w:sz w:val="32"/>
          <w:szCs w:val="32"/>
          <w:highlight w:val="none"/>
          <w:u w:val="none"/>
          <w:lang w:bidi="ar-SA"/>
        </w:rPr>
        <w:t>，并持续加大重大政策和重点项目绩效目标公开力度，组织所有预算单位公开重大政策和重点项目绩效目标（详见市级各预算单位部门预算），实现绩效目标和部门预算同步编制、同步审核、同步批复、同步公开。</w:t>
      </w:r>
    </w:p>
    <w:p>
      <w:pPr>
        <w:pStyle w:val="6"/>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highlight w:val="none"/>
          <w:u w:val="none"/>
        </w:rPr>
      </w:pPr>
      <w:r>
        <w:rPr>
          <w:rFonts w:hint="eastAsia"/>
          <w:highlight w:val="none"/>
          <w:u w:val="none"/>
        </w:rPr>
        <w:br w:type="page"/>
      </w:r>
    </w:p>
    <w:p>
      <w:pPr>
        <w:pStyle w:val="6"/>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ascii="宋体" w:eastAsia="宋体" w:cs="黑体"/>
          <w:b/>
          <w:kern w:val="0"/>
          <w:sz w:val="32"/>
          <w:szCs w:val="32"/>
          <w:highlight w:val="none"/>
          <w:u w:val="none"/>
          <w:lang w:bidi="ar-SA"/>
        </w:rPr>
      </w:pPr>
      <w:r>
        <w:rPr>
          <w:rFonts w:hint="eastAsia" w:ascii="宋体" w:eastAsia="宋体" w:cs="黑体"/>
          <w:b/>
          <w:kern w:val="0"/>
          <w:sz w:val="32"/>
          <w:szCs w:val="32"/>
          <w:highlight w:val="none"/>
          <w:u w:val="none"/>
          <w:lang w:bidi="ar-SA"/>
        </w:rPr>
        <w:t xml:space="preserve">第二部分  </w:t>
      </w:r>
      <w:r>
        <w:rPr>
          <w:rFonts w:hint="eastAsia" w:eastAsia="宋体" w:cs="黑体"/>
          <w:b/>
          <w:kern w:val="0"/>
          <w:sz w:val="32"/>
          <w:szCs w:val="32"/>
          <w:highlight w:val="none"/>
          <w:u w:val="none"/>
          <w:lang w:eastAsia="zh-CN" w:bidi="ar-SA"/>
        </w:rPr>
        <w:t>深圳市</w:t>
      </w:r>
      <w:r>
        <w:rPr>
          <w:rFonts w:hint="eastAsia" w:ascii="宋体" w:eastAsia="宋体" w:cs="黑体"/>
          <w:b/>
          <w:kern w:val="0"/>
          <w:sz w:val="32"/>
          <w:szCs w:val="32"/>
          <w:highlight w:val="none"/>
          <w:u w:val="none"/>
          <w:lang w:bidi="ar-SA"/>
        </w:rPr>
        <w:t>2022年本级一般公共预算(草案)</w:t>
      </w:r>
    </w:p>
    <w:p>
      <w:pPr>
        <w:widowControl/>
        <w:snapToGrid w:val="0"/>
        <w:spacing w:after="0" w:line="579" w:lineRule="exact"/>
        <w:ind w:firstLine="643"/>
        <w:rPr>
          <w:rFonts w:hint="eastAsia" w:ascii="黑体" w:eastAsia="黑体" w:cs="黑体"/>
          <w:kern w:val="0"/>
          <w:sz w:val="32"/>
          <w:szCs w:val="32"/>
          <w:highlight w:val="none"/>
          <w:u w:val="none"/>
          <w:lang w:bidi="ar-SA"/>
        </w:rPr>
      </w:pPr>
    </w:p>
    <w:p>
      <w:pPr>
        <w:widowControl/>
        <w:snapToGrid w:val="0"/>
        <w:spacing w:after="0" w:line="579" w:lineRule="exact"/>
        <w:ind w:firstLine="643"/>
        <w:rPr>
          <w:rFonts w:hint="eastAsia" w:ascii="黑体" w:eastAsia="黑体" w:cs="黑体"/>
          <w:kern w:val="0"/>
          <w:sz w:val="32"/>
          <w:szCs w:val="32"/>
          <w:highlight w:val="none"/>
          <w:u w:val="none"/>
          <w:lang w:bidi="ar-SA"/>
        </w:rPr>
      </w:pPr>
      <w:r>
        <w:rPr>
          <w:rFonts w:hint="eastAsia" w:ascii="黑体" w:eastAsia="黑体" w:cs="黑体"/>
          <w:kern w:val="0"/>
          <w:sz w:val="32"/>
          <w:szCs w:val="32"/>
          <w:highlight w:val="none"/>
          <w:u w:val="none"/>
          <w:lang w:bidi="ar-SA"/>
        </w:rPr>
        <w:t>一、2022年全市和市本级一般公共预算收入预计情况</w:t>
      </w:r>
    </w:p>
    <w:p>
      <w:pPr>
        <w:widowControl/>
        <w:snapToGrid w:val="0"/>
        <w:spacing w:after="0" w:line="579" w:lineRule="exact"/>
        <w:ind w:firstLine="640"/>
        <w:rPr>
          <w:rFonts w:hint="eastAsia" w:ascii="楷体_GB2312" w:eastAsia="楷体_GB2312" w:cs="楷体_GB2312"/>
          <w:bCs/>
          <w:kern w:val="0"/>
          <w:sz w:val="32"/>
          <w:szCs w:val="32"/>
          <w:highlight w:val="none"/>
          <w:u w:val="none"/>
          <w:lang w:bidi="ar-SA"/>
        </w:rPr>
      </w:pPr>
      <w:r>
        <w:rPr>
          <w:rFonts w:hint="eastAsia" w:ascii="楷体_GB2312" w:eastAsia="楷体_GB2312" w:cs="楷体_GB2312"/>
          <w:bCs/>
          <w:kern w:val="0"/>
          <w:sz w:val="32"/>
          <w:szCs w:val="32"/>
          <w:highlight w:val="none"/>
          <w:u w:val="none"/>
          <w:lang w:bidi="ar-SA"/>
        </w:rPr>
        <w:t>（一）全市一般公共预算收入情况</w:t>
      </w:r>
    </w:p>
    <w:p>
      <w:pPr>
        <w:widowControl/>
        <w:snapToGrid w:val="0"/>
        <w:spacing w:after="0" w:line="579" w:lineRule="exact"/>
        <w:ind w:firstLine="640"/>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综合考虑2022年全市税收收入和非税收入形势，初步预计2022年全市一般公共预算收入为4471亿元，比2021年执行数增长5%。具体安排如下：</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eastAsia="仿宋_GB2312" w:cs="仿宋_GB2312"/>
          <w:b/>
          <w:bCs/>
          <w:kern w:val="0"/>
          <w:sz w:val="32"/>
          <w:szCs w:val="32"/>
          <w:highlight w:val="none"/>
          <w:u w:val="none"/>
          <w:lang w:bidi="ar-SA"/>
        </w:rPr>
      </w:pPr>
      <w:r>
        <w:rPr>
          <w:rFonts w:hint="eastAsia" w:ascii="仿宋_GB2312" w:eastAsia="仿宋_GB2312" w:cs="仿宋_GB2312"/>
          <w:b/>
          <w:bCs/>
          <w:kern w:val="0"/>
          <w:sz w:val="32"/>
          <w:szCs w:val="32"/>
          <w:highlight w:val="none"/>
          <w:u w:val="none"/>
          <w:lang w:bidi="ar-SA"/>
        </w:rPr>
        <w:t>2022年全市一般公共预算收入预计情况表</w:t>
      </w:r>
    </w:p>
    <w:p>
      <w:pPr>
        <w:keepNext w:val="0"/>
        <w:keepLines w:val="0"/>
        <w:pageBreakBefore w:val="0"/>
        <w:widowControl/>
        <w:tabs>
          <w:tab w:val="right" w:pos="8640"/>
        </w:tabs>
        <w:kinsoku/>
        <w:wordWrap/>
        <w:overflowPunct/>
        <w:topLinePunct w:val="0"/>
        <w:autoSpaceDE/>
        <w:autoSpaceDN/>
        <w:bidi w:val="0"/>
        <w:adjustRightInd/>
        <w:snapToGrid/>
        <w:spacing w:line="580" w:lineRule="exact"/>
        <w:textAlignment w:val="auto"/>
        <w:rPr>
          <w:rFonts w:hint="eastAsia" w:ascii="仿宋_GB2312" w:eastAsia="仿宋_GB2312" w:cs="宋体"/>
          <w:bCs/>
          <w:kern w:val="0"/>
          <w:sz w:val="28"/>
          <w:szCs w:val="28"/>
          <w:highlight w:val="none"/>
          <w:u w:val="none"/>
          <w:lang w:bidi="ar-SA"/>
        </w:rPr>
      </w:pPr>
      <w:r>
        <w:rPr>
          <w:rFonts w:hint="eastAsia" w:ascii="宋体" w:eastAsia="宋体" w:cs="宋体"/>
          <w:bCs/>
          <w:kern w:val="0"/>
          <w:sz w:val="28"/>
          <w:szCs w:val="28"/>
          <w:highlight w:val="none"/>
          <w:u w:val="none"/>
          <w:lang w:bidi="ar-SA"/>
        </w:rPr>
        <w:tab/>
      </w:r>
      <w:r>
        <w:rPr>
          <w:rFonts w:hint="eastAsia" w:ascii="宋体" w:eastAsia="宋体" w:cs="宋体"/>
          <w:bCs/>
          <w:kern w:val="0"/>
          <w:sz w:val="28"/>
          <w:szCs w:val="28"/>
          <w:highlight w:val="none"/>
          <w:u w:val="none"/>
          <w:lang w:bidi="ar-SA"/>
        </w:rPr>
        <w:t xml:space="preserve">                                      </w:t>
      </w:r>
      <w:r>
        <w:rPr>
          <w:rFonts w:hint="eastAsia" w:ascii="宋体" w:eastAsia="宋体" w:cs="宋体"/>
          <w:bCs/>
          <w:kern w:val="0"/>
          <w:sz w:val="30"/>
          <w:szCs w:val="30"/>
          <w:highlight w:val="none"/>
          <w:u w:val="none"/>
          <w:lang w:bidi="ar-SA"/>
        </w:rPr>
        <w:t xml:space="preserve"> </w:t>
      </w:r>
      <w:r>
        <w:rPr>
          <w:rFonts w:hint="eastAsia" w:ascii="仿宋_GB2312" w:eastAsia="仿宋_GB2312" w:cs="宋体"/>
          <w:bCs/>
          <w:kern w:val="0"/>
          <w:sz w:val="28"/>
          <w:szCs w:val="28"/>
          <w:highlight w:val="none"/>
          <w:u w:val="none"/>
          <w:lang w:bidi="ar-SA"/>
        </w:rPr>
        <w:t>单位：亿元</w:t>
      </w:r>
    </w:p>
    <w:tbl>
      <w:tblPr>
        <w:tblStyle w:val="13"/>
        <w:tblW w:w="0" w:type="auto"/>
        <w:jc w:val="center"/>
        <w:tblLayout w:type="fixed"/>
        <w:tblCellMar>
          <w:top w:w="0" w:type="dxa"/>
          <w:left w:w="108" w:type="dxa"/>
          <w:bottom w:w="0" w:type="dxa"/>
          <w:right w:w="108" w:type="dxa"/>
        </w:tblCellMar>
      </w:tblPr>
      <w:tblGrid>
        <w:gridCol w:w="2478"/>
        <w:gridCol w:w="1174"/>
        <w:gridCol w:w="1163"/>
        <w:gridCol w:w="995"/>
        <w:gridCol w:w="1189"/>
        <w:gridCol w:w="1180"/>
      </w:tblGrid>
      <w:tr>
        <w:tblPrEx>
          <w:tblCellMar>
            <w:top w:w="0" w:type="dxa"/>
            <w:left w:w="108" w:type="dxa"/>
            <w:bottom w:w="0" w:type="dxa"/>
            <w:right w:w="108" w:type="dxa"/>
          </w:tblCellMar>
        </w:tblPrEx>
        <w:trPr>
          <w:trHeight w:val="576" w:hRule="atLeast"/>
          <w:jc w:val="center"/>
        </w:trPr>
        <w:tc>
          <w:tcPr>
            <w:tcW w:w="24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8"/>
                <w:szCs w:val="28"/>
                <w:highlight w:val="none"/>
                <w:u w:val="none"/>
                <w:lang w:bidi="ar-SA"/>
              </w:rPr>
            </w:pPr>
            <w:r>
              <w:rPr>
                <w:rFonts w:hint="eastAsia" w:ascii="宋体" w:eastAsia="宋体" w:cs="宋体"/>
                <w:b/>
                <w:bCs/>
                <w:kern w:val="0"/>
                <w:sz w:val="28"/>
                <w:szCs w:val="28"/>
                <w:highlight w:val="none"/>
                <w:u w:val="none"/>
                <w:lang w:bidi="ar-SA"/>
              </w:rPr>
              <w:t>项目</w:t>
            </w:r>
          </w:p>
        </w:tc>
        <w:tc>
          <w:tcPr>
            <w:tcW w:w="233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8"/>
                <w:szCs w:val="28"/>
                <w:highlight w:val="none"/>
                <w:u w:val="none"/>
                <w:lang w:bidi="ar-SA"/>
              </w:rPr>
            </w:pPr>
            <w:r>
              <w:rPr>
                <w:rFonts w:hint="eastAsia" w:ascii="宋体" w:eastAsia="宋体" w:cs="宋体"/>
                <w:b/>
                <w:bCs/>
                <w:kern w:val="0"/>
                <w:sz w:val="28"/>
                <w:szCs w:val="28"/>
                <w:highlight w:val="none"/>
                <w:u w:val="none"/>
                <w:lang w:bidi="ar-SA"/>
              </w:rPr>
              <w:t>2021年执行数</w:t>
            </w:r>
          </w:p>
        </w:tc>
        <w:tc>
          <w:tcPr>
            <w:tcW w:w="336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8"/>
                <w:szCs w:val="28"/>
                <w:highlight w:val="none"/>
                <w:u w:val="none"/>
                <w:lang w:bidi="ar-SA"/>
              </w:rPr>
            </w:pPr>
            <w:r>
              <w:rPr>
                <w:rFonts w:hint="eastAsia" w:ascii="宋体" w:eastAsia="宋体" w:cs="宋体"/>
                <w:b/>
                <w:bCs/>
                <w:kern w:val="0"/>
                <w:sz w:val="28"/>
                <w:szCs w:val="28"/>
                <w:highlight w:val="none"/>
                <w:u w:val="none"/>
                <w:lang w:bidi="ar-SA"/>
              </w:rPr>
              <w:t>2022年预算数</w:t>
            </w:r>
          </w:p>
        </w:tc>
      </w:tr>
      <w:tr>
        <w:tblPrEx>
          <w:tblCellMar>
            <w:top w:w="0" w:type="dxa"/>
            <w:left w:w="108" w:type="dxa"/>
            <w:bottom w:w="0" w:type="dxa"/>
            <w:right w:w="108" w:type="dxa"/>
          </w:tblCellMar>
        </w:tblPrEx>
        <w:trPr>
          <w:trHeight w:val="576" w:hRule="atLeast"/>
          <w:jc w:val="center"/>
        </w:trPr>
        <w:tc>
          <w:tcPr>
            <w:tcW w:w="247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1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规模</w:t>
            </w:r>
          </w:p>
        </w:tc>
        <w:tc>
          <w:tcPr>
            <w:tcW w:w="1163"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增长</w:t>
            </w:r>
          </w:p>
        </w:tc>
        <w:tc>
          <w:tcPr>
            <w:tcW w:w="99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规模</w:t>
            </w:r>
          </w:p>
        </w:tc>
        <w:tc>
          <w:tcPr>
            <w:tcW w:w="1189"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增加</w:t>
            </w:r>
          </w:p>
        </w:tc>
        <w:tc>
          <w:tcPr>
            <w:tcW w:w="118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增长</w:t>
            </w:r>
          </w:p>
        </w:tc>
      </w:tr>
      <w:tr>
        <w:tblPrEx>
          <w:tblCellMar>
            <w:top w:w="0" w:type="dxa"/>
            <w:left w:w="108" w:type="dxa"/>
            <w:bottom w:w="0" w:type="dxa"/>
            <w:right w:w="108" w:type="dxa"/>
          </w:tblCellMar>
        </w:tblPrEx>
        <w:trPr>
          <w:trHeight w:val="589" w:hRule="atLeast"/>
          <w:jc w:val="center"/>
        </w:trPr>
        <w:tc>
          <w:tcPr>
            <w:tcW w:w="247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8"/>
                <w:szCs w:val="28"/>
                <w:highlight w:val="none"/>
                <w:u w:val="none"/>
                <w:lang w:bidi="ar-SA"/>
              </w:rPr>
            </w:pPr>
            <w:r>
              <w:rPr>
                <w:rFonts w:hint="eastAsia" w:ascii="宋体" w:eastAsia="宋体" w:cs="宋体"/>
                <w:b/>
                <w:bCs/>
                <w:kern w:val="0"/>
                <w:sz w:val="28"/>
                <w:szCs w:val="28"/>
                <w:highlight w:val="none"/>
                <w:u w:val="none"/>
                <w:lang w:bidi="ar-SA"/>
              </w:rPr>
              <w:t>公共预算收入合计</w:t>
            </w:r>
          </w:p>
        </w:tc>
        <w:tc>
          <w:tcPr>
            <w:tcW w:w="11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4257.8</w:t>
            </w:r>
          </w:p>
        </w:tc>
        <w:tc>
          <w:tcPr>
            <w:tcW w:w="11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10.4%</w:t>
            </w:r>
          </w:p>
        </w:tc>
        <w:tc>
          <w:tcPr>
            <w:tcW w:w="99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4471</w:t>
            </w:r>
          </w:p>
        </w:tc>
        <w:tc>
          <w:tcPr>
            <w:tcW w:w="118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213.2</w:t>
            </w:r>
          </w:p>
        </w:tc>
        <w:tc>
          <w:tcPr>
            <w:tcW w:w="11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5%</w:t>
            </w:r>
          </w:p>
        </w:tc>
      </w:tr>
      <w:tr>
        <w:tblPrEx>
          <w:tblCellMar>
            <w:top w:w="0" w:type="dxa"/>
            <w:left w:w="108" w:type="dxa"/>
            <w:bottom w:w="0" w:type="dxa"/>
            <w:right w:w="108" w:type="dxa"/>
          </w:tblCellMar>
        </w:tblPrEx>
        <w:trPr>
          <w:trHeight w:val="632" w:hRule="atLeast"/>
          <w:jc w:val="center"/>
        </w:trPr>
        <w:tc>
          <w:tcPr>
            <w:tcW w:w="247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税收收入</w:t>
            </w:r>
          </w:p>
        </w:tc>
        <w:tc>
          <w:tcPr>
            <w:tcW w:w="11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3450.5</w:t>
            </w:r>
          </w:p>
        </w:tc>
        <w:tc>
          <w:tcPr>
            <w:tcW w:w="11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11.8%</w:t>
            </w:r>
          </w:p>
        </w:tc>
        <w:tc>
          <w:tcPr>
            <w:tcW w:w="99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3626</w:t>
            </w:r>
          </w:p>
        </w:tc>
        <w:tc>
          <w:tcPr>
            <w:tcW w:w="118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175.5</w:t>
            </w:r>
          </w:p>
        </w:tc>
        <w:tc>
          <w:tcPr>
            <w:tcW w:w="118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5%</w:t>
            </w:r>
          </w:p>
        </w:tc>
      </w:tr>
      <w:tr>
        <w:tblPrEx>
          <w:tblCellMar>
            <w:top w:w="0" w:type="dxa"/>
            <w:left w:w="108" w:type="dxa"/>
            <w:bottom w:w="0" w:type="dxa"/>
            <w:right w:w="108" w:type="dxa"/>
          </w:tblCellMar>
        </w:tblPrEx>
        <w:trPr>
          <w:trHeight w:val="589" w:hRule="atLeast"/>
          <w:jc w:val="center"/>
        </w:trPr>
        <w:tc>
          <w:tcPr>
            <w:tcW w:w="247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eastAsia="宋体" w:cs="宋体"/>
                <w:b/>
                <w:bCs/>
                <w:kern w:val="0"/>
                <w:sz w:val="24"/>
                <w:szCs w:val="28"/>
                <w:highlight w:val="none"/>
                <w:u w:val="none"/>
                <w:lang w:bidi="ar-SA"/>
              </w:rPr>
            </w:pPr>
            <w:r>
              <w:rPr>
                <w:rFonts w:hint="eastAsia" w:ascii="宋体" w:eastAsia="宋体" w:cs="宋体"/>
                <w:b/>
                <w:bCs/>
                <w:kern w:val="0"/>
                <w:sz w:val="24"/>
                <w:szCs w:val="28"/>
                <w:highlight w:val="none"/>
                <w:u w:val="none"/>
                <w:lang w:bidi="ar-SA"/>
              </w:rPr>
              <w:t>非税收入</w:t>
            </w:r>
          </w:p>
        </w:tc>
        <w:tc>
          <w:tcPr>
            <w:tcW w:w="11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807.3</w:t>
            </w:r>
          </w:p>
        </w:tc>
        <w:tc>
          <w:tcPr>
            <w:tcW w:w="11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4.8%</w:t>
            </w:r>
          </w:p>
        </w:tc>
        <w:tc>
          <w:tcPr>
            <w:tcW w:w="99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845</w:t>
            </w:r>
          </w:p>
        </w:tc>
        <w:tc>
          <w:tcPr>
            <w:tcW w:w="118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37.7</w:t>
            </w:r>
          </w:p>
        </w:tc>
        <w:tc>
          <w:tcPr>
            <w:tcW w:w="118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eastAsia" w:ascii="仿宋_GB2312" w:eastAsia="仿宋_GB2312" w:cs="仿宋_GB2312"/>
                <w:bCs/>
                <w:kern w:val="0"/>
                <w:sz w:val="28"/>
                <w:szCs w:val="28"/>
                <w:highlight w:val="none"/>
                <w:u w:val="none"/>
                <w:lang w:bidi="ar-SA"/>
              </w:rPr>
            </w:pPr>
            <w:r>
              <w:rPr>
                <w:rFonts w:hint="eastAsia" w:ascii="仿宋_GB2312" w:eastAsia="仿宋_GB2312" w:cs="仿宋_GB2312"/>
                <w:bCs/>
                <w:kern w:val="0"/>
                <w:sz w:val="28"/>
                <w:szCs w:val="28"/>
                <w:highlight w:val="none"/>
                <w:u w:val="none"/>
                <w:lang w:bidi="ar-SA"/>
              </w:rPr>
              <w:t>5%</w:t>
            </w:r>
          </w:p>
        </w:tc>
      </w:tr>
    </w:tbl>
    <w:p>
      <w:pPr>
        <w:widowControl/>
        <w:snapToGrid w:val="0"/>
        <w:spacing w:after="200" w:line="580" w:lineRule="exact"/>
        <w:rPr>
          <w:rFonts w:hint="eastAsia" w:ascii="仿宋_GB2312" w:eastAsia="仿宋_GB2312" w:cs="仿宋_GB2312"/>
          <w:kern w:val="0"/>
          <w:sz w:val="32"/>
          <w:szCs w:val="32"/>
          <w:highlight w:val="none"/>
          <w:u w:val="none"/>
          <w:shd w:val="pct10" w:color="auto" w:fill="FFFFFF"/>
          <w:lang w:bidi="ar-SA"/>
        </w:rPr>
      </w:pPr>
    </w:p>
    <w:p>
      <w:pPr>
        <w:keepNext w:val="0"/>
        <w:keepLines w:val="0"/>
        <w:pageBreakBefore w:val="0"/>
        <w:widowControl/>
        <w:kinsoku/>
        <w:wordWrap/>
        <w:overflowPunct/>
        <w:topLinePunct w:val="0"/>
        <w:autoSpaceDE/>
        <w:autoSpaceDN/>
        <w:bidi w:val="0"/>
        <w:adjustRightInd/>
        <w:snapToGrid w:val="0"/>
        <w:spacing w:after="0" w:line="560" w:lineRule="exact"/>
        <w:ind w:left="0" w:firstLine="643" w:firstLineChars="200"/>
        <w:textAlignment w:val="auto"/>
        <w:rPr>
          <w:rFonts w:hint="eastAsia" w:ascii="仿宋_GB2312" w:eastAsia="仿宋_GB2312" w:cs="仿宋_GB2312"/>
          <w:kern w:val="0"/>
          <w:sz w:val="32"/>
          <w:szCs w:val="32"/>
          <w:highlight w:val="yellow"/>
          <w:u w:val="none"/>
          <w:lang w:val="en-US" w:eastAsia="zh-CN" w:bidi="ar-SA"/>
        </w:rPr>
      </w:pPr>
      <w:r>
        <w:rPr>
          <w:rFonts w:hint="eastAsia" w:ascii="仿宋_GB2312" w:eastAsia="仿宋_GB2312" w:cs="仿宋_GB2312"/>
          <w:b/>
          <w:bCs/>
          <w:kern w:val="0"/>
          <w:sz w:val="32"/>
          <w:szCs w:val="32"/>
          <w:highlight w:val="none"/>
          <w:u w:val="none"/>
          <w:lang w:val="en-US" w:eastAsia="zh-CN" w:bidi="ar-SA"/>
        </w:rPr>
        <w:t>1.</w:t>
      </w:r>
      <w:r>
        <w:rPr>
          <w:rFonts w:hint="eastAsia" w:ascii="仿宋_GB2312" w:eastAsia="仿宋_GB2312" w:cs="仿宋_GB2312"/>
          <w:b/>
          <w:bCs/>
          <w:kern w:val="0"/>
          <w:sz w:val="32"/>
          <w:szCs w:val="32"/>
          <w:highlight w:val="none"/>
          <w:u w:val="none"/>
          <w:lang w:bidi="ar-SA"/>
        </w:rPr>
        <w:t>税收收入预计为3626亿元，增长5%。</w:t>
      </w:r>
      <w:r>
        <w:rPr>
          <w:rFonts w:hint="eastAsia" w:ascii="仿宋_GB2312" w:eastAsia="仿宋_GB2312" w:cs="仿宋_GB2312"/>
          <w:kern w:val="0"/>
          <w:sz w:val="32"/>
          <w:szCs w:val="32"/>
          <w:highlight w:val="none"/>
          <w:u w:val="none"/>
          <w:lang w:bidi="ar-SA"/>
        </w:rPr>
        <w:t>我市一流的营商环境吸引了优质税源加速聚集，总部经济、信息技术服务业、战略性新兴产业等主体行业发展态势良好。同时，国家出台实施新的减税降费政策，为确保减税降费政策落实落地，全年税收收入按照增长5%、略低于GDP增速来预计</w:t>
      </w:r>
      <w:r>
        <w:rPr>
          <w:rFonts w:hint="eastAsia" w:ascii="仿宋_GB2312" w:eastAsia="仿宋_GB2312" w:cs="仿宋_GB2312"/>
          <w:kern w:val="0"/>
          <w:sz w:val="32"/>
          <w:szCs w:val="32"/>
          <w:highlight w:val="none"/>
          <w:u w:val="none"/>
          <w:lang w:eastAsia="zh-CN" w:bidi="ar-SA"/>
        </w:rPr>
        <w:t>。</w:t>
      </w:r>
    </w:p>
    <w:p>
      <w:pPr>
        <w:keepNext w:val="0"/>
        <w:keepLines w:val="0"/>
        <w:pageBreakBefore w:val="0"/>
        <w:widowControl/>
        <w:kinsoku/>
        <w:wordWrap/>
        <w:overflowPunct/>
        <w:topLinePunct w:val="0"/>
        <w:autoSpaceDE/>
        <w:autoSpaceDN/>
        <w:bidi w:val="0"/>
        <w:adjustRightInd/>
        <w:snapToGrid w:val="0"/>
        <w:spacing w:after="0" w:line="560" w:lineRule="exact"/>
        <w:ind w:left="0"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bCs/>
          <w:kern w:val="0"/>
          <w:sz w:val="32"/>
          <w:szCs w:val="32"/>
          <w:highlight w:val="none"/>
          <w:u w:val="none"/>
          <w:lang w:bidi="ar-SA"/>
        </w:rPr>
        <w:t>2.非税收入预计为845亿元，增长5%。</w:t>
      </w:r>
      <w:r>
        <w:rPr>
          <w:rFonts w:hint="eastAsia" w:ascii="仿宋_GB2312" w:eastAsia="仿宋_GB2312" w:cs="仿宋_GB2312"/>
          <w:kern w:val="0"/>
          <w:sz w:val="32"/>
          <w:szCs w:val="32"/>
          <w:highlight w:val="none"/>
          <w:u w:val="none"/>
          <w:lang w:bidi="ar-SA"/>
        </w:rPr>
        <w:t>在确保减税降费</w:t>
      </w:r>
      <w:r>
        <w:rPr>
          <w:rFonts w:hint="eastAsia" w:ascii="仿宋_GB2312" w:eastAsia="仿宋_GB2312" w:cs="仿宋_GB2312"/>
          <w:kern w:val="0"/>
          <w:sz w:val="32"/>
          <w:szCs w:val="32"/>
          <w:highlight w:val="none"/>
          <w:u w:val="none"/>
          <w:lang w:eastAsia="zh-CN" w:bidi="ar-SA"/>
        </w:rPr>
        <w:t>政策</w:t>
      </w:r>
      <w:r>
        <w:rPr>
          <w:rFonts w:hint="eastAsia" w:ascii="仿宋_GB2312" w:eastAsia="仿宋_GB2312" w:cs="仿宋_GB2312"/>
          <w:kern w:val="0"/>
          <w:sz w:val="32"/>
          <w:szCs w:val="32"/>
          <w:highlight w:val="none"/>
          <w:u w:val="none"/>
          <w:lang w:bidi="ar-SA"/>
        </w:rPr>
        <w:t>落实到位、不增加市场主体负担的前提下，为保持适当的财政支出强度，将通过依法依规完备手续、市场化处置等方式积极盘活</w:t>
      </w:r>
      <w:r>
        <w:rPr>
          <w:rFonts w:hint="eastAsia" w:ascii="仿宋_GB2312" w:eastAsia="仿宋_GB2312" w:cs="仿宋_GB2312"/>
          <w:kern w:val="0"/>
          <w:sz w:val="32"/>
          <w:szCs w:val="32"/>
          <w:highlight w:val="none"/>
          <w:u w:val="none"/>
          <w:lang w:eastAsia="zh-CN" w:bidi="ar-SA"/>
        </w:rPr>
        <w:t>政府</w:t>
      </w:r>
      <w:r>
        <w:rPr>
          <w:rFonts w:hint="eastAsia" w:ascii="仿宋_GB2312" w:eastAsia="仿宋_GB2312" w:cs="仿宋_GB2312"/>
          <w:kern w:val="0"/>
          <w:sz w:val="32"/>
          <w:szCs w:val="32"/>
          <w:highlight w:val="none"/>
          <w:u w:val="none"/>
          <w:lang w:bidi="ar-SA"/>
        </w:rPr>
        <w:t>存量资产，预计全年资产盘活收入</w:t>
      </w:r>
      <w:r>
        <w:rPr>
          <w:rFonts w:hint="eastAsia" w:ascii="仿宋_GB2312" w:eastAsia="仿宋_GB2312" w:cs="Calibri"/>
          <w:sz w:val="32"/>
          <w:szCs w:val="32"/>
          <w:highlight w:val="none"/>
          <w:u w:val="none"/>
          <w:lang w:bidi="ar-SA"/>
        </w:rPr>
        <w:t>180亿元，</w:t>
      </w:r>
      <w:r>
        <w:rPr>
          <w:rFonts w:hint="eastAsia" w:ascii="仿宋_GB2312" w:eastAsia="仿宋_GB2312" w:cs="仿宋_GB2312"/>
          <w:kern w:val="0"/>
          <w:sz w:val="32"/>
          <w:szCs w:val="32"/>
          <w:highlight w:val="none"/>
          <w:u w:val="none"/>
          <w:lang w:bidi="ar-SA"/>
        </w:rPr>
        <w:t>对冲减税降费的减收压力、提升政府资产资源使用效益，确保财政支出规模与经济社会发展需要相匹配。</w:t>
      </w:r>
    </w:p>
    <w:p>
      <w:pPr>
        <w:keepNext w:val="0"/>
        <w:keepLines w:val="0"/>
        <w:pageBreakBefore w:val="0"/>
        <w:widowControl w:val="0"/>
        <w:kinsoku/>
        <w:wordWrap/>
        <w:overflowPunct/>
        <w:topLinePunct w:val="0"/>
        <w:autoSpaceDE/>
        <w:autoSpaceDN/>
        <w:bidi w:val="0"/>
        <w:adjustRightInd/>
        <w:spacing w:after="0" w:line="560" w:lineRule="exact"/>
        <w:ind w:firstLine="643"/>
        <w:textAlignment w:val="auto"/>
        <w:rPr>
          <w:rFonts w:hint="eastAsia" w:ascii="楷体_GB2312" w:eastAsia="楷体_GB2312" w:cs="仿宋_GB2312"/>
          <w:sz w:val="32"/>
          <w:szCs w:val="32"/>
          <w:highlight w:val="none"/>
          <w:u w:val="none"/>
          <w:lang w:bidi="ar-SA"/>
        </w:rPr>
      </w:pPr>
      <w:r>
        <w:rPr>
          <w:rFonts w:hint="eastAsia" w:ascii="楷体_GB2312" w:eastAsia="楷体_GB2312" w:cs="仿宋_GB2312"/>
          <w:sz w:val="32"/>
          <w:szCs w:val="32"/>
          <w:highlight w:val="none"/>
          <w:u w:val="none"/>
          <w:lang w:bidi="ar-SA"/>
        </w:rPr>
        <w:t>（二）市本级一般公共预算收入情况</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b/>
          <w:kern w:val="0"/>
          <w:sz w:val="32"/>
          <w:szCs w:val="32"/>
          <w:highlight w:val="none"/>
          <w:u w:val="none"/>
          <w:lang w:bidi="ar-SA"/>
        </w:rPr>
      </w:pPr>
      <w:r>
        <w:rPr>
          <w:rFonts w:hint="eastAsia" w:ascii="仿宋_GB2312" w:eastAsia="仿宋_GB2312" w:cs="仿宋_GB2312"/>
          <w:kern w:val="0"/>
          <w:sz w:val="32"/>
          <w:szCs w:val="32"/>
          <w:highlight w:val="none"/>
          <w:u w:val="none"/>
          <w:lang w:bidi="ar-SA"/>
        </w:rPr>
        <w:t>根据全市收入预计情况，暂按第五轮市区财政体制规定的收入划分测算，</w:t>
      </w:r>
      <w:r>
        <w:rPr>
          <w:rFonts w:hint="eastAsia" w:ascii="仿宋_GB2312" w:eastAsia="仿宋_GB2312" w:cs="仿宋_GB2312"/>
          <w:b/>
          <w:kern w:val="0"/>
          <w:sz w:val="32"/>
          <w:szCs w:val="32"/>
          <w:highlight w:val="none"/>
          <w:u w:val="none"/>
          <w:lang w:bidi="ar-SA"/>
        </w:rPr>
        <w:t>预计2022年市本级一般公共预算总收入为3589.3亿元。其中：</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1.市本级一般公共预算收入2570亿元。目前暂按第五轮体制的收入划分情况编制，待出台实施第六轮市区财政体制后，将按新一轮体制对市区收入进行清算。</w:t>
      </w:r>
    </w:p>
    <w:p>
      <w:pPr>
        <w:keepNext w:val="0"/>
        <w:keepLines w:val="0"/>
        <w:pageBreakBefore w:val="0"/>
        <w:widowControl/>
        <w:kinsoku/>
        <w:wordWrap/>
        <w:overflowPunct/>
        <w:topLinePunct w:val="0"/>
        <w:autoSpaceDE/>
        <w:autoSpaceDN/>
        <w:bidi w:val="0"/>
        <w:adjustRightInd/>
        <w:snapToGrid w:val="0"/>
        <w:spacing w:after="0" w:line="560" w:lineRule="exact"/>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 xml:space="preserve">    2.结转结余收入。建议安排77.9亿元，主要是中央和省专项转移支付结转6.24亿元、市本级项目结转71.66亿元。</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3.中央补助收入。建议安排285.4亿元，主要是税收返还208亿元，其他转移支付77.4亿元。</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4.省补助收入。建议安排18.1亿元，主要是燃油税费改革后省对我市原养路费等收入基数返还等补助收入。</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5.区上解收入。建议安排136亿元，主要是分担省定额上解、对口支援分担上解、城建税计提水利基金上解、市区机构改革上解经费等。</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6.调入资金。建议安排497.9亿元，主要包括：按照国务院盘活财政存量资金有关规定，调入预算稳定调节金</w:t>
      </w:r>
      <w:r>
        <w:rPr>
          <w:rFonts w:hint="eastAsia" w:ascii="仿宋_GB2312" w:eastAsia="仿宋_GB2312" w:cs="仿宋_GB2312"/>
          <w:kern w:val="0"/>
          <w:sz w:val="32"/>
          <w:szCs w:val="32"/>
          <w:highlight w:val="none"/>
          <w:u w:val="none"/>
          <w:lang w:val="en-US" w:eastAsia="zh-CN" w:bidi="ar-SA"/>
        </w:rPr>
        <w:t>244</w:t>
      </w:r>
      <w:r>
        <w:rPr>
          <w:rFonts w:hint="eastAsia" w:ascii="仿宋_GB2312" w:eastAsia="仿宋_GB2312" w:cs="仿宋_GB2312"/>
          <w:kern w:val="0"/>
          <w:sz w:val="32"/>
          <w:szCs w:val="32"/>
          <w:highlight w:val="none"/>
          <w:u w:val="none"/>
          <w:lang w:bidi="ar-SA"/>
        </w:rPr>
        <w:t>亿元，调入政府性基金</w:t>
      </w:r>
      <w:r>
        <w:rPr>
          <w:rFonts w:hint="eastAsia" w:ascii="仿宋_GB2312" w:eastAsia="仿宋_GB2312" w:cs="仿宋_GB2312"/>
          <w:kern w:val="0"/>
          <w:sz w:val="32"/>
          <w:szCs w:val="32"/>
          <w:highlight w:val="none"/>
          <w:u w:val="none"/>
          <w:lang w:val="en-US" w:eastAsia="zh-CN" w:bidi="ar-SA"/>
        </w:rPr>
        <w:t>226.3</w:t>
      </w:r>
      <w:r>
        <w:rPr>
          <w:rFonts w:hint="eastAsia" w:ascii="仿宋_GB2312" w:eastAsia="仿宋_GB2312" w:cs="仿宋_GB2312"/>
          <w:kern w:val="0"/>
          <w:sz w:val="32"/>
          <w:szCs w:val="32"/>
          <w:highlight w:val="none"/>
          <w:u w:val="none"/>
          <w:lang w:bidi="ar-SA"/>
        </w:rPr>
        <w:t>亿元，调入国资预算资金27.6亿元。</w:t>
      </w:r>
    </w:p>
    <w:p>
      <w:pPr>
        <w:keepNext w:val="0"/>
        <w:keepLines w:val="0"/>
        <w:pageBreakBefore w:val="0"/>
        <w:widowControl/>
        <w:kinsoku/>
        <w:wordWrap/>
        <w:overflowPunct/>
        <w:topLinePunct w:val="0"/>
        <w:autoSpaceDE/>
        <w:autoSpaceDN/>
        <w:bidi w:val="0"/>
        <w:adjustRightInd/>
        <w:snapToGrid w:val="0"/>
        <w:spacing w:after="0" w:line="560" w:lineRule="exact"/>
        <w:ind w:firstLine="64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kern w:val="0"/>
          <w:sz w:val="32"/>
          <w:szCs w:val="32"/>
          <w:highlight w:val="none"/>
          <w:u w:val="none"/>
          <w:lang w:bidi="ar-SA"/>
        </w:rPr>
        <w:t>7.发行地方政府一般债券。建议安排4亿元，主要</w:t>
      </w:r>
      <w:r>
        <w:rPr>
          <w:rFonts w:hint="eastAsia" w:ascii="仿宋_GB2312" w:eastAsia="仿宋_GB2312" w:cs="仿宋_GB2312"/>
          <w:kern w:val="0"/>
          <w:sz w:val="32"/>
          <w:szCs w:val="32"/>
          <w:highlight w:val="none"/>
          <w:u w:val="none"/>
          <w:lang w:eastAsia="zh-CN" w:bidi="ar-SA"/>
        </w:rPr>
        <w:t>是</w:t>
      </w:r>
      <w:r>
        <w:rPr>
          <w:rFonts w:hint="eastAsia" w:ascii="仿宋_GB2312" w:eastAsia="仿宋_GB2312" w:cs="仿宋_GB2312"/>
          <w:kern w:val="0"/>
          <w:sz w:val="32"/>
          <w:szCs w:val="32"/>
          <w:highlight w:val="none"/>
          <w:u w:val="none"/>
          <w:lang w:bidi="ar-SA"/>
        </w:rPr>
        <w:t>财政部提前下达我市部分新增一般债4亿元。</w:t>
      </w:r>
    </w:p>
    <w:p>
      <w:pPr>
        <w:keepNext w:val="0"/>
        <w:keepLines w:val="0"/>
        <w:pageBreakBefore w:val="0"/>
        <w:widowControl/>
        <w:kinsoku/>
        <w:wordWrap/>
        <w:topLinePunct w:val="0"/>
        <w:bidi w:val="0"/>
        <w:snapToGrid w:val="0"/>
        <w:spacing w:after="0" w:line="560" w:lineRule="exact"/>
        <w:ind w:firstLine="640"/>
        <w:textAlignment w:val="auto"/>
        <w:rPr>
          <w:rFonts w:hint="eastAsia" w:ascii="黑体" w:eastAsia="黑体" w:cs="黑体"/>
          <w:kern w:val="0"/>
          <w:sz w:val="32"/>
          <w:szCs w:val="32"/>
          <w:highlight w:val="none"/>
          <w:u w:val="none"/>
          <w:lang w:bidi="ar-SA"/>
        </w:rPr>
      </w:pPr>
      <w:r>
        <w:rPr>
          <w:rFonts w:hint="eastAsia" w:ascii="黑体" w:eastAsia="黑体" w:cs="黑体"/>
          <w:kern w:val="0"/>
          <w:sz w:val="32"/>
          <w:szCs w:val="32"/>
          <w:highlight w:val="none"/>
          <w:u w:val="none"/>
          <w:lang w:bidi="ar-SA"/>
        </w:rPr>
        <w:t>二、2022年市本级一般公共预算支出预算安排情况</w:t>
      </w:r>
    </w:p>
    <w:p>
      <w:pPr>
        <w:keepNext w:val="0"/>
        <w:keepLines w:val="0"/>
        <w:pageBreakBefore w:val="0"/>
        <w:widowControl w:val="0"/>
        <w:kinsoku/>
        <w:wordWrap/>
        <w:topLinePunct w:val="0"/>
        <w:bidi w:val="0"/>
        <w:snapToGrid w:val="0"/>
        <w:spacing w:line="560" w:lineRule="exact"/>
        <w:ind w:firstLine="640" w:firstLineChars="200"/>
        <w:textAlignment w:val="auto"/>
        <w:rPr>
          <w:rFonts w:hint="eastAsia" w:ascii="仿宋_GB2312" w:eastAsia="仿宋_GB2312" w:cs="Calibri"/>
          <w:kern w:val="0"/>
          <w:sz w:val="32"/>
          <w:szCs w:val="32"/>
          <w:highlight w:val="none"/>
          <w:u w:val="none"/>
          <w:lang w:bidi="ar-SA"/>
        </w:rPr>
      </w:pPr>
      <w:r>
        <w:rPr>
          <w:rFonts w:hint="eastAsia" w:ascii="仿宋_GB2312" w:eastAsia="仿宋_GB2312" w:cs="Calibri"/>
          <w:kern w:val="0"/>
          <w:sz w:val="32"/>
          <w:szCs w:val="32"/>
          <w:highlight w:val="none"/>
          <w:u w:val="none"/>
          <w:lang w:bidi="ar-SA"/>
        </w:rPr>
        <w:t>按照收支平衡的原则，相应安排市本级一般公共预算总支出3589.3亿元，重点聚焦</w:t>
      </w:r>
      <w:r>
        <w:rPr>
          <w:rFonts w:hint="eastAsia" w:ascii="仿宋_GB2312" w:eastAsia="仿宋_GB2312" w:cs="仿宋_GB2312"/>
          <w:sz w:val="32"/>
          <w:szCs w:val="32"/>
          <w:highlight w:val="none"/>
          <w:u w:val="none"/>
          <w:shd w:val="clear" w:color="auto" w:fill="FFFFFF"/>
          <w:lang w:bidi="ar-SA"/>
        </w:rPr>
        <w:t>积极的财政政策提升效能，更加注重精准、可持续：</w:t>
      </w:r>
      <w:r>
        <w:rPr>
          <w:rFonts w:hint="eastAsia" w:ascii="仿宋_GB2312" w:eastAsia="仿宋_GB2312" w:cs="微软雅黑"/>
          <w:sz w:val="32"/>
          <w:szCs w:val="32"/>
          <w:highlight w:val="none"/>
          <w:u w:val="none"/>
          <w:shd w:val="clear" w:color="auto" w:fill="FFFFFF"/>
          <w:lang w:bidi="ar-SA"/>
        </w:rPr>
        <w:t>一方面，保持财政对经济发展的必要支持力度，以更大力度调整优化支出结构，进一步完善政策实施机制，切实提升政策效能和资金效益；另一方面，准确把握好政府和市场关系，兼顾稳增长和防风险需要，合理安排债务、支出规模，把握好时度效。按功能科目主要</w:t>
      </w:r>
      <w:r>
        <w:rPr>
          <w:rFonts w:hint="eastAsia" w:ascii="仿宋_GB2312" w:eastAsia="仿宋_GB2312" w:cs="Calibri"/>
          <w:kern w:val="0"/>
          <w:sz w:val="32"/>
          <w:szCs w:val="32"/>
          <w:highlight w:val="none"/>
          <w:u w:val="none"/>
          <w:lang w:bidi="ar-SA"/>
        </w:rPr>
        <w:t>安排情况如下：</w:t>
      </w:r>
    </w:p>
    <w:p>
      <w:pPr>
        <w:pStyle w:val="21"/>
        <w:keepNext w:val="0"/>
        <w:keepLines w:val="0"/>
        <w:pageBreakBefore w:val="0"/>
        <w:kinsoku/>
        <w:wordWrap/>
        <w:topLinePunct w:val="0"/>
        <w:bidi w:val="0"/>
        <w:adjustRightInd w:val="0"/>
        <w:snapToGrid w:val="0"/>
        <w:spacing w:after="0" w:line="560" w:lineRule="exact"/>
        <w:ind w:firstLine="643"/>
        <w:textAlignment w:val="auto"/>
        <w:rPr>
          <w:rFonts w:hint="eastAsia" w:ascii="仿宋_GB2312" w:eastAsia="仿宋_GB2312" w:cs="仿宋_GB2312"/>
          <w:kern w:val="2"/>
          <w:sz w:val="32"/>
          <w:szCs w:val="32"/>
          <w:highlight w:val="none"/>
          <w:u w:val="none"/>
          <w:lang w:bidi="ar-SA"/>
        </w:rPr>
      </w:pPr>
      <w:r>
        <w:rPr>
          <w:rFonts w:hint="eastAsia" w:ascii="仿宋_GB2312" w:eastAsia="仿宋_GB2312" w:cs="仿宋_GB2312"/>
          <w:b/>
          <w:kern w:val="2"/>
          <w:sz w:val="32"/>
          <w:szCs w:val="32"/>
          <w:highlight w:val="none"/>
          <w:u w:val="none"/>
          <w:lang w:bidi="ar-SA"/>
        </w:rPr>
        <w:t>1.一般公共服务支出。</w:t>
      </w:r>
      <w:r>
        <w:rPr>
          <w:rFonts w:hint="eastAsia" w:ascii="仿宋_GB2312" w:eastAsia="仿宋_GB2312" w:cs="仿宋_GB2312"/>
          <w:kern w:val="2"/>
          <w:sz w:val="32"/>
          <w:szCs w:val="32"/>
          <w:highlight w:val="none"/>
          <w:u w:val="none"/>
          <w:lang w:bidi="ar-SA"/>
        </w:rPr>
        <w:t>反映政府提供一般公共服务的支出，计划安排145.</w:t>
      </w:r>
      <w:r>
        <w:rPr>
          <w:rFonts w:hint="eastAsia" w:ascii="仿宋_GB2312" w:eastAsia="仿宋_GB2312" w:cs="仿宋_GB2312"/>
          <w:kern w:val="2"/>
          <w:sz w:val="32"/>
          <w:szCs w:val="32"/>
          <w:highlight w:val="none"/>
          <w:u w:val="none"/>
          <w:lang w:val="en-US" w:eastAsia="zh-CN" w:bidi="ar-SA"/>
        </w:rPr>
        <w:t>3</w:t>
      </w:r>
      <w:r>
        <w:rPr>
          <w:rFonts w:hint="eastAsia" w:ascii="仿宋_GB2312" w:eastAsia="仿宋_GB2312" w:cs="仿宋_GB2312"/>
          <w:kern w:val="2"/>
          <w:sz w:val="32"/>
          <w:szCs w:val="32"/>
          <w:highlight w:val="none"/>
          <w:u w:val="none"/>
          <w:lang w:bidi="ar-SA"/>
        </w:rPr>
        <w:t>亿元，比2021年年初预算数（下同）增长0.</w:t>
      </w:r>
      <w:r>
        <w:rPr>
          <w:rFonts w:hint="eastAsia" w:ascii="仿宋_GB2312" w:eastAsia="仿宋_GB2312" w:cs="仿宋_GB2312"/>
          <w:kern w:val="2"/>
          <w:sz w:val="32"/>
          <w:szCs w:val="32"/>
          <w:highlight w:val="none"/>
          <w:u w:val="none"/>
          <w:lang w:val="en-US" w:eastAsia="zh-CN" w:bidi="ar-SA"/>
        </w:rPr>
        <w:t>5</w:t>
      </w:r>
      <w:r>
        <w:rPr>
          <w:rFonts w:hint="eastAsia" w:ascii="仿宋_GB2312" w:eastAsia="仿宋_GB2312" w:cs="仿宋_GB2312"/>
          <w:kern w:val="2"/>
          <w:sz w:val="32"/>
          <w:szCs w:val="32"/>
          <w:highlight w:val="none"/>
          <w:u w:val="none"/>
          <w:lang w:bidi="ar-SA"/>
        </w:rPr>
        <w:t>%。与上年相比变动主要</w:t>
      </w:r>
      <w:r>
        <w:rPr>
          <w:rFonts w:hint="eastAsia" w:ascii="仿宋_GB2312" w:eastAsia="仿宋_GB2312" w:cs="仿宋_GB2312"/>
          <w:kern w:val="2"/>
          <w:sz w:val="32"/>
          <w:szCs w:val="32"/>
          <w:highlight w:val="none"/>
          <w:u w:val="none"/>
          <w:lang w:eastAsia="zh-CN" w:bidi="ar-SA"/>
        </w:rPr>
        <w:t>包括</w:t>
      </w:r>
      <w:r>
        <w:rPr>
          <w:rFonts w:hint="eastAsia" w:ascii="仿宋_GB2312" w:eastAsia="仿宋_GB2312" w:cs="仿宋_GB2312"/>
          <w:kern w:val="2"/>
          <w:sz w:val="32"/>
          <w:szCs w:val="32"/>
          <w:highlight w:val="none"/>
          <w:u w:val="none"/>
          <w:lang w:bidi="ar-SA"/>
        </w:rPr>
        <w:t>：</w:t>
      </w:r>
      <w:r>
        <w:rPr>
          <w:rFonts w:hint="eastAsia" w:ascii="仿宋_GB2312" w:eastAsia="仿宋_GB2312" w:cs="仿宋_GB2312"/>
          <w:b/>
          <w:kern w:val="2"/>
          <w:sz w:val="32"/>
          <w:szCs w:val="32"/>
          <w:highlight w:val="none"/>
          <w:u w:val="none"/>
          <w:lang w:bidi="ar-SA"/>
        </w:rPr>
        <w:t>一是</w:t>
      </w:r>
      <w:r>
        <w:rPr>
          <w:rFonts w:hint="eastAsia" w:ascii="仿宋_GB2312" w:eastAsia="仿宋_GB2312" w:cs="仿宋_GB2312"/>
          <w:kern w:val="2"/>
          <w:sz w:val="32"/>
          <w:szCs w:val="32"/>
          <w:highlight w:val="none"/>
          <w:u w:val="none"/>
          <w:lang w:bidi="ar-SA"/>
        </w:rPr>
        <w:t>严格落实党政机关过紧日子</w:t>
      </w:r>
      <w:r>
        <w:rPr>
          <w:rFonts w:hint="eastAsia" w:ascii="仿宋_GB2312" w:eastAsia="仿宋_GB2312" w:cs="仿宋_GB2312"/>
          <w:kern w:val="2"/>
          <w:sz w:val="32"/>
          <w:szCs w:val="32"/>
          <w:highlight w:val="none"/>
          <w:u w:val="none"/>
          <w:lang w:eastAsia="zh-CN" w:bidi="ar-SA"/>
        </w:rPr>
        <w:t>要求</w:t>
      </w:r>
      <w:r>
        <w:rPr>
          <w:rFonts w:hint="eastAsia" w:ascii="仿宋_GB2312" w:eastAsia="仿宋_GB2312" w:cs="仿宋_GB2312"/>
          <w:kern w:val="2"/>
          <w:sz w:val="32"/>
          <w:szCs w:val="32"/>
          <w:highlight w:val="none"/>
          <w:u w:val="none"/>
          <w:lang w:bidi="ar-SA"/>
        </w:rPr>
        <w:t>，严肃财经纪律，大力严控和压减一般性支出，腾出更多财力用于改善基本民生和支持市场主体发展；</w:t>
      </w:r>
      <w:r>
        <w:rPr>
          <w:rFonts w:hint="eastAsia" w:ascii="仿宋_GB2312" w:eastAsia="仿宋_GB2312" w:cs="仿宋_GB2312"/>
          <w:b/>
          <w:kern w:val="2"/>
          <w:sz w:val="32"/>
          <w:szCs w:val="32"/>
          <w:highlight w:val="none"/>
          <w:u w:val="none"/>
          <w:lang w:bidi="ar-SA"/>
        </w:rPr>
        <w:t>二是</w:t>
      </w:r>
      <w:r>
        <w:rPr>
          <w:rFonts w:hint="eastAsia" w:ascii="仿宋_GB2312" w:eastAsia="仿宋_GB2312" w:cs="仿宋_GB2312"/>
          <w:kern w:val="2"/>
          <w:sz w:val="32"/>
          <w:szCs w:val="32"/>
          <w:highlight w:val="none"/>
          <w:u w:val="none"/>
          <w:lang w:bidi="ar-SA"/>
        </w:rPr>
        <w:t>较上年略有增长，主要是为提升各项民生服务数字化水平，新增安排城市大数据中心、政务云二期等智慧城市建设经费。</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2.公共安全支出。</w:t>
      </w:r>
      <w:r>
        <w:rPr>
          <w:rFonts w:hint="eastAsia" w:ascii="仿宋_GB2312" w:eastAsia="仿宋_GB2312" w:cs="仿宋_GB2312"/>
          <w:sz w:val="32"/>
          <w:szCs w:val="32"/>
          <w:highlight w:val="none"/>
          <w:u w:val="none"/>
          <w:lang w:bidi="ar-SA"/>
        </w:rPr>
        <w:t>反映政府维护社会公共安全方面的支出，计划安排131亿元，下降4.3%，主要是安排公检法司等部门履职经费，促进社会大局和谐稳定，深化平安深圳建设</w:t>
      </w:r>
      <w:r>
        <w:rPr>
          <w:rFonts w:hint="eastAsia" w:ascii="仿宋_GB2312" w:eastAsia="仿宋_GB2312" w:cs="仿宋_GB2312"/>
          <w:sz w:val="32"/>
          <w:szCs w:val="32"/>
          <w:highlight w:val="none"/>
          <w:u w:val="none"/>
          <w:lang w:eastAsia="zh-CN" w:bidi="ar-SA"/>
        </w:rPr>
        <w:t>，比上年略有下降原因是公检法司等部门养老保险等费用按照财政部政府收支分类科目调整至“社会保障支出”反映</w:t>
      </w:r>
      <w:r>
        <w:rPr>
          <w:rFonts w:hint="eastAsia" w:ascii="仿宋_GB2312" w:eastAsia="仿宋_GB2312" w:cs="仿宋_GB2312"/>
          <w:sz w:val="32"/>
          <w:szCs w:val="32"/>
          <w:highlight w:val="none"/>
          <w:u w:val="none"/>
          <w:lang w:bidi="ar-SA"/>
        </w:rPr>
        <w:t>。</w:t>
      </w:r>
      <w:r>
        <w:rPr>
          <w:rFonts w:hint="eastAsia" w:ascii="仿宋_GB2312" w:eastAsia="仿宋_GB2312" w:cs="仿宋_GB2312"/>
          <w:b/>
          <w:bCs/>
          <w:sz w:val="32"/>
          <w:szCs w:val="32"/>
          <w:highlight w:val="none"/>
          <w:u w:val="none"/>
          <w:lang w:bidi="ar-SA"/>
        </w:rPr>
        <w:t>主要包括：一是</w:t>
      </w:r>
      <w:r>
        <w:rPr>
          <w:rFonts w:hint="eastAsia" w:ascii="仿宋_GB2312" w:eastAsia="仿宋_GB2312" w:cs="仿宋_GB2312"/>
          <w:sz w:val="32"/>
          <w:szCs w:val="32"/>
          <w:highlight w:val="none"/>
          <w:u w:val="none"/>
          <w:lang w:bidi="ar-SA"/>
        </w:rPr>
        <w:t>安排公安部门支出65.5亿元，支持</w:t>
      </w:r>
      <w:r>
        <w:rPr>
          <w:rFonts w:hint="eastAsia" w:ascii="仿宋_GB2312" w:eastAsia="仿宋_GB2312" w:cs="Times New Roman"/>
          <w:snapToGrid w:val="0"/>
          <w:kern w:val="0"/>
          <w:sz w:val="32"/>
          <w:highlight w:val="none"/>
          <w:u w:val="none"/>
          <w:lang w:bidi="ar-SA"/>
        </w:rPr>
        <w:t>开展各类专项打击整治行动，加强矛盾排查调处和突发事件防范处置；</w:t>
      </w:r>
      <w:r>
        <w:rPr>
          <w:rFonts w:hint="eastAsia" w:ascii="仿宋_GB2312" w:eastAsia="仿宋_GB2312" w:cs="Times New Roman"/>
          <w:b/>
          <w:bCs/>
          <w:snapToGrid w:val="0"/>
          <w:kern w:val="0"/>
          <w:sz w:val="32"/>
          <w:highlight w:val="none"/>
          <w:u w:val="none"/>
          <w:lang w:bidi="ar-SA"/>
        </w:rPr>
        <w:t>二是</w:t>
      </w:r>
      <w:r>
        <w:rPr>
          <w:rFonts w:hint="eastAsia" w:ascii="仿宋_GB2312" w:eastAsia="仿宋_GB2312" w:cs="Times New Roman"/>
          <w:snapToGrid w:val="0"/>
          <w:kern w:val="0"/>
          <w:sz w:val="32"/>
          <w:highlight w:val="none"/>
          <w:u w:val="none"/>
          <w:lang w:bidi="ar-SA"/>
        </w:rPr>
        <w:t>安排法院检察院支出36.4亿元，保障</w:t>
      </w:r>
      <w:r>
        <w:rPr>
          <w:rFonts w:hint="eastAsia" w:ascii="仿宋_GB2312" w:eastAsia="仿宋_GB2312" w:cs="仿宋_GB2312"/>
          <w:sz w:val="32"/>
          <w:szCs w:val="32"/>
          <w:highlight w:val="none"/>
          <w:u w:val="none"/>
          <w:lang w:bidi="ar-SA"/>
        </w:rPr>
        <w:t>市区两级审判机关和检察机关依法独立行使职权；</w:t>
      </w:r>
      <w:r>
        <w:rPr>
          <w:rFonts w:hint="eastAsia" w:ascii="仿宋_GB2312" w:eastAsia="仿宋_GB2312" w:cs="仿宋_GB2312"/>
          <w:b/>
          <w:bCs/>
          <w:sz w:val="32"/>
          <w:szCs w:val="32"/>
          <w:highlight w:val="none"/>
          <w:u w:val="none"/>
          <w:lang w:bidi="ar-SA"/>
        </w:rPr>
        <w:t>三是</w:t>
      </w:r>
      <w:r>
        <w:rPr>
          <w:rFonts w:hint="eastAsia" w:ascii="仿宋_GB2312" w:eastAsia="仿宋_GB2312" w:cs="仿宋_GB2312"/>
          <w:sz w:val="32"/>
          <w:szCs w:val="32"/>
          <w:highlight w:val="none"/>
          <w:u w:val="none"/>
          <w:lang w:bidi="ar-SA"/>
        </w:rPr>
        <w:t>安排司法、监狱等部门支出8.3亿元，统筹推进法治政府建设，保障监狱管理、社区矫正、公共法律服务等工作。</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3.教育支出。</w:t>
      </w:r>
      <w:r>
        <w:rPr>
          <w:rFonts w:hint="eastAsia" w:ascii="仿宋_GB2312" w:eastAsia="仿宋_GB2312" w:cs="仿宋_GB2312"/>
          <w:sz w:val="32"/>
          <w:szCs w:val="32"/>
          <w:highlight w:val="none"/>
          <w:u w:val="none"/>
          <w:lang w:bidi="ar-SA"/>
        </w:rPr>
        <w:t>反映政府教育事务支出，计划安排383.1亿元，加上基础教育学位建设补助、生均经费补助等对区教育转移支付260.3亿元后，用于教育支出的市财政资金达到643.4亿元、增长19.6%</w:t>
      </w:r>
      <w:r>
        <w:rPr>
          <w:rFonts w:hint="eastAsia" w:ascii="仿宋_GB2312" w:eastAsia="仿宋_GB2312" w:cs="仿宋_GB2312"/>
          <w:sz w:val="32"/>
          <w:szCs w:val="32"/>
          <w:highlight w:val="none"/>
          <w:u w:val="none"/>
          <w:lang w:eastAsia="zh-CN" w:bidi="ar-SA"/>
        </w:rPr>
        <w:t>，主要是新增预留基础教育学位建设补助</w:t>
      </w:r>
      <w:r>
        <w:rPr>
          <w:rFonts w:hint="eastAsia" w:ascii="仿宋_GB2312" w:eastAsia="仿宋_GB2312" w:cs="仿宋_GB2312"/>
          <w:sz w:val="32"/>
          <w:szCs w:val="32"/>
          <w:highlight w:val="none"/>
          <w:u w:val="none"/>
          <w:lang w:val="en-US" w:eastAsia="zh-CN" w:bidi="ar-SA"/>
        </w:rPr>
        <w:t>66.9亿元等</w:t>
      </w:r>
      <w:r>
        <w:rPr>
          <w:rFonts w:hint="eastAsia" w:ascii="仿宋_GB2312" w:eastAsia="仿宋_GB2312" w:cs="仿宋_GB2312"/>
          <w:sz w:val="32"/>
          <w:szCs w:val="32"/>
          <w:highlight w:val="none"/>
          <w:u w:val="none"/>
          <w:lang w:bidi="ar-SA"/>
        </w:rPr>
        <w:t>。根据国家有关规定和深圳市区事权划分，按</w:t>
      </w:r>
      <w:r>
        <w:rPr>
          <w:rFonts w:hint="eastAsia" w:ascii="仿宋_GB2312" w:eastAsia="仿宋_GB2312" w:cs="仿宋_GB2312"/>
          <w:bCs/>
          <w:sz w:val="32"/>
          <w:szCs w:val="40"/>
          <w:highlight w:val="none"/>
          <w:u w:val="none"/>
          <w:lang w:bidi="ar-SA"/>
        </w:rPr>
        <w:t>照“义务教育财政足额保障、非义务教育成本合理分担、规范鼓励支持社会力量办学”的思路，</w:t>
      </w:r>
      <w:r>
        <w:rPr>
          <w:rFonts w:hint="eastAsia" w:ascii="仿宋_GB2312" w:eastAsia="仿宋_GB2312" w:cs="仿宋_GB2312"/>
          <w:sz w:val="32"/>
          <w:szCs w:val="32"/>
          <w:highlight w:val="none"/>
          <w:u w:val="none"/>
          <w:lang w:bidi="ar-SA"/>
        </w:rPr>
        <w:t>市本级保障高等教育、新建高中和市属中小学，各区按属地原则保障义务教育、学前教育和各区存量高中，落实国家关于一般公共预算教育支出和生均一般公共预算教育支出只增不减的要求。</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bCs/>
          <w:sz w:val="32"/>
          <w:szCs w:val="40"/>
          <w:highlight w:val="none"/>
          <w:u w:val="none"/>
          <w:lang w:bidi="ar-SA"/>
        </w:rPr>
      </w:pPr>
      <w:r>
        <w:rPr>
          <w:rFonts w:hint="eastAsia" w:ascii="仿宋_GB2312" w:eastAsia="仿宋_GB2312" w:cs="仿宋_GB2312"/>
          <w:b/>
          <w:bCs/>
          <w:sz w:val="32"/>
          <w:szCs w:val="32"/>
          <w:highlight w:val="none"/>
          <w:u w:val="none"/>
          <w:lang w:eastAsia="zh-CN" w:bidi="ar-SA"/>
        </w:rPr>
        <w:t>市本级支出</w:t>
      </w:r>
      <w:r>
        <w:rPr>
          <w:rFonts w:hint="eastAsia" w:ascii="仿宋_GB2312" w:eastAsia="仿宋_GB2312" w:cs="仿宋_GB2312"/>
          <w:b/>
          <w:bCs/>
          <w:sz w:val="32"/>
          <w:szCs w:val="32"/>
          <w:highlight w:val="none"/>
          <w:u w:val="none"/>
          <w:lang w:bidi="ar-SA"/>
        </w:rPr>
        <w:t>主要包括：一是</w:t>
      </w:r>
      <w:r>
        <w:rPr>
          <w:rFonts w:hint="eastAsia" w:ascii="仿宋_GB2312" w:eastAsia="仿宋_GB2312" w:cs="仿宋_GB2312"/>
          <w:bCs/>
          <w:sz w:val="32"/>
          <w:szCs w:val="32"/>
          <w:highlight w:val="none"/>
          <w:u w:val="none"/>
          <w:lang w:bidi="ar-SA"/>
        </w:rPr>
        <w:t>从2022年起，高等院校（含职业院校）预算统一归口纳入市教育局的部门预算</w:t>
      </w:r>
      <w:r>
        <w:rPr>
          <w:rFonts w:hint="eastAsia" w:ascii="仿宋_GB2312" w:eastAsia="仿宋_GB2312" w:cs="仿宋_GB2312"/>
          <w:bCs/>
          <w:sz w:val="32"/>
          <w:szCs w:val="32"/>
          <w:highlight w:val="none"/>
          <w:u w:val="none"/>
          <w:lang w:eastAsia="zh-CN" w:bidi="ar-SA"/>
        </w:rPr>
        <w:t>，安排</w:t>
      </w:r>
      <w:r>
        <w:rPr>
          <w:rFonts w:hint="eastAsia" w:ascii="仿宋_GB2312" w:eastAsia="仿宋_GB2312" w:cs="仿宋_GB2312"/>
          <w:sz w:val="32"/>
          <w:szCs w:val="32"/>
          <w:highlight w:val="none"/>
          <w:u w:val="none"/>
          <w:lang w:bidi="ar-SA"/>
        </w:rPr>
        <w:t>高等教育支出</w:t>
      </w:r>
      <w:r>
        <w:rPr>
          <w:rFonts w:hint="eastAsia" w:ascii="仿宋_GB2312" w:eastAsia="仿宋_GB2312" w:cs="仿宋_GB2312"/>
          <w:sz w:val="32"/>
          <w:szCs w:val="32"/>
          <w:highlight w:val="none"/>
          <w:u w:val="none"/>
          <w:lang w:val="en-US" w:eastAsia="zh-CN" w:bidi="ar-SA"/>
        </w:rPr>
        <w:t>178</w:t>
      </w:r>
      <w:r>
        <w:rPr>
          <w:rFonts w:hint="eastAsia" w:ascii="仿宋_GB2312" w:eastAsia="仿宋_GB2312" w:cs="仿宋_GB2312"/>
          <w:sz w:val="32"/>
          <w:szCs w:val="32"/>
          <w:highlight w:val="none"/>
          <w:u w:val="none"/>
          <w:lang w:bidi="ar-SA"/>
        </w:rPr>
        <w:t>亿元，按照“高水平、有特色，不以数量取胜”的要求，</w:t>
      </w:r>
      <w:r>
        <w:rPr>
          <w:rFonts w:hint="eastAsia" w:ascii="仿宋_GB2312" w:eastAsia="仿宋_GB2312" w:cs="仿宋_GB2312"/>
          <w:bCs/>
          <w:sz w:val="32"/>
          <w:szCs w:val="32"/>
          <w:highlight w:val="none"/>
          <w:u w:val="none"/>
          <w:lang w:bidi="ar-SA"/>
        </w:rPr>
        <w:t>支持打造一批高水平、有特色的高校和学科，推动高等教育发展与城市目标定位、财政承载能力等更好衔接。</w:t>
      </w:r>
      <w:r>
        <w:rPr>
          <w:rFonts w:hint="eastAsia" w:ascii="仿宋_GB2312" w:eastAsia="仿宋_GB2312" w:cs="仿宋_GB2312"/>
          <w:kern w:val="21"/>
          <w:sz w:val="32"/>
          <w:szCs w:val="32"/>
          <w:highlight w:val="none"/>
          <w:u w:val="none"/>
          <w:lang w:bidi="ar-SA"/>
        </w:rPr>
        <w:t>支持深圳大学、</w:t>
      </w:r>
      <w:r>
        <w:rPr>
          <w:rFonts w:hint="eastAsia" w:ascii="仿宋_GB2312" w:eastAsia="仿宋_GB2312" w:cs="仿宋_GB2312"/>
          <w:kern w:val="21"/>
          <w:sz w:val="32"/>
          <w:szCs w:val="32"/>
          <w:highlight w:val="none"/>
          <w:u w:val="none"/>
          <w:lang w:eastAsia="zh-CN" w:bidi="ar-SA"/>
        </w:rPr>
        <w:t>南方科技大学等高校</w:t>
      </w:r>
      <w:r>
        <w:rPr>
          <w:rFonts w:hint="eastAsia" w:ascii="仿宋_GB2312" w:eastAsia="仿宋_GB2312" w:cs="仿宋_GB2312"/>
          <w:kern w:val="21"/>
          <w:sz w:val="32"/>
          <w:szCs w:val="32"/>
          <w:highlight w:val="none"/>
          <w:u w:val="none"/>
          <w:lang w:bidi="ar-SA"/>
        </w:rPr>
        <w:t>创建“双一流”和深圳技术大学建设一流应用型大学，</w:t>
      </w:r>
      <w:r>
        <w:rPr>
          <w:rFonts w:hint="eastAsia" w:ascii="仿宋_GB2312" w:eastAsia="仿宋_GB2312" w:cs="仿宋_GB2312"/>
          <w:color w:val="000000"/>
          <w:kern w:val="21"/>
          <w:sz w:val="32"/>
          <w:szCs w:val="32"/>
          <w:highlight w:val="none"/>
          <w:u w:val="none"/>
          <w:lang w:bidi="ar-SA"/>
        </w:rPr>
        <w:t>开工建设</w:t>
      </w:r>
      <w:r>
        <w:rPr>
          <w:rFonts w:hint="eastAsia" w:ascii="仿宋_GB2312" w:eastAsia="仿宋_GB2312" w:cs="仿宋_GB2312"/>
          <w:color w:val="000000"/>
          <w:kern w:val="21"/>
          <w:sz w:val="32"/>
          <w:szCs w:val="32"/>
          <w:highlight w:val="none"/>
          <w:u w:val="none"/>
          <w:lang w:eastAsia="zh-CN" w:bidi="ar-SA"/>
        </w:rPr>
        <w:t>天津大学</w:t>
      </w:r>
      <w:r>
        <w:rPr>
          <w:rFonts w:hint="eastAsia" w:ascii="仿宋_GB2312" w:eastAsia="仿宋_GB2312" w:cs="仿宋_GB2312"/>
          <w:color w:val="000000"/>
          <w:kern w:val="21"/>
          <w:sz w:val="32"/>
          <w:szCs w:val="32"/>
          <w:highlight w:val="none"/>
          <w:u w:val="none"/>
          <w:lang w:bidi="ar-SA"/>
        </w:rPr>
        <w:t>佐治亚理工深圳学院、</w:t>
      </w:r>
      <w:r>
        <w:rPr>
          <w:rFonts w:hint="eastAsia" w:ascii="仿宋_GB2312" w:eastAsia="仿宋_GB2312" w:cs="仿宋_GB2312"/>
          <w:color w:val="000000"/>
          <w:kern w:val="21"/>
          <w:sz w:val="32"/>
          <w:szCs w:val="32"/>
          <w:highlight w:val="none"/>
          <w:u w:val="none"/>
          <w:lang w:eastAsia="zh-CN" w:bidi="ar-SA"/>
        </w:rPr>
        <w:t>香港中文大学（深圳）医学院</w:t>
      </w:r>
      <w:r>
        <w:rPr>
          <w:rFonts w:hint="eastAsia" w:ascii="仿宋_GB2312" w:eastAsia="仿宋_GB2312" w:cs="仿宋_GB2312"/>
          <w:color w:val="000000"/>
          <w:kern w:val="21"/>
          <w:sz w:val="32"/>
          <w:szCs w:val="32"/>
          <w:highlight w:val="none"/>
          <w:u w:val="none"/>
          <w:lang w:bidi="ar-SA"/>
        </w:rPr>
        <w:t>，</w:t>
      </w:r>
      <w:r>
        <w:rPr>
          <w:rFonts w:hint="eastAsia" w:ascii="仿宋_GB2312" w:eastAsia="仿宋_GB2312" w:cs="仿宋_GB2312"/>
          <w:color w:val="000000"/>
          <w:kern w:val="21"/>
          <w:sz w:val="32"/>
          <w:szCs w:val="32"/>
          <w:highlight w:val="none"/>
          <w:u w:val="none"/>
          <w:lang w:eastAsia="zh-CN" w:bidi="ar-SA"/>
        </w:rPr>
        <w:t>加快</w:t>
      </w:r>
      <w:r>
        <w:rPr>
          <w:rFonts w:hint="eastAsia" w:ascii="仿宋_GB2312" w:eastAsia="仿宋_GB2312" w:cs="仿宋_GB2312"/>
          <w:color w:val="000000"/>
          <w:kern w:val="21"/>
          <w:sz w:val="32"/>
          <w:szCs w:val="32"/>
          <w:highlight w:val="none"/>
          <w:u w:val="none"/>
          <w:lang w:bidi="ar-SA"/>
        </w:rPr>
        <w:t>筹建海洋大学</w:t>
      </w:r>
      <w:r>
        <w:rPr>
          <w:rFonts w:hint="eastAsia" w:ascii="仿宋_GB2312" w:eastAsia="仿宋_GB2312" w:cs="仿宋_GB2312"/>
          <w:color w:val="000000"/>
          <w:kern w:val="21"/>
          <w:sz w:val="32"/>
          <w:szCs w:val="32"/>
          <w:highlight w:val="none"/>
          <w:u w:val="none"/>
          <w:lang w:eastAsia="zh-CN" w:bidi="ar-SA"/>
        </w:rPr>
        <w:t>、香港大学（深圳）</w:t>
      </w:r>
      <w:r>
        <w:rPr>
          <w:rFonts w:hint="eastAsia" w:ascii="仿宋_GB2312" w:eastAsia="仿宋_GB2312" w:cs="仿宋_GB2312"/>
          <w:kern w:val="21"/>
          <w:sz w:val="32"/>
          <w:szCs w:val="32"/>
          <w:highlight w:val="none"/>
          <w:u w:val="none"/>
          <w:lang w:bidi="ar-SA"/>
        </w:rPr>
        <w:t>。建立“生均+项目+绩效”的投入制度，</w:t>
      </w:r>
      <w:r>
        <w:rPr>
          <w:rFonts w:hint="eastAsia" w:ascii="仿宋_GB2312" w:eastAsia="仿宋_GB2312" w:cs="Times New Roman"/>
          <w:sz w:val="32"/>
          <w:szCs w:val="32"/>
          <w:highlight w:val="none"/>
          <w:u w:val="none"/>
          <w:lang w:bidi="ar-SA"/>
        </w:rPr>
        <w:t>将财政投入与高校的办学质量、科研创新、成果转化等指标挂钩。</w:t>
      </w:r>
      <w:r>
        <w:rPr>
          <w:rFonts w:hint="eastAsia" w:ascii="仿宋_GB2312" w:eastAsia="仿宋_GB2312" w:cs="仿宋_GB2312"/>
          <w:b/>
          <w:bCs/>
          <w:kern w:val="21"/>
          <w:sz w:val="32"/>
          <w:szCs w:val="32"/>
          <w:highlight w:val="none"/>
          <w:u w:val="none"/>
          <w:lang w:bidi="ar-SA"/>
        </w:rPr>
        <w:t>二</w:t>
      </w:r>
      <w:r>
        <w:rPr>
          <w:rFonts w:hint="eastAsia" w:ascii="仿宋_GB2312" w:eastAsia="仿宋_GB2312" w:cs="仿宋_GB2312"/>
          <w:b/>
          <w:bCs/>
          <w:sz w:val="32"/>
          <w:szCs w:val="32"/>
          <w:highlight w:val="none"/>
          <w:u w:val="none"/>
          <w:lang w:bidi="ar-SA"/>
        </w:rPr>
        <w:t>是</w:t>
      </w:r>
      <w:r>
        <w:rPr>
          <w:rFonts w:hint="eastAsia" w:ascii="仿宋_GB2312" w:eastAsia="仿宋_GB2312" w:cs="仿宋_GB2312"/>
          <w:kern w:val="21"/>
          <w:sz w:val="32"/>
          <w:szCs w:val="32"/>
          <w:highlight w:val="none"/>
          <w:u w:val="none"/>
          <w:lang w:bidi="ar-SA"/>
        </w:rPr>
        <w:t>小学、初中和高中等教育支出88.6亿元，</w:t>
      </w:r>
      <w:r>
        <w:rPr>
          <w:rFonts w:hint="eastAsia" w:ascii="仿宋_GB2312" w:eastAsia="仿宋_GB2312" w:cs="仿宋_GB2312"/>
          <w:bCs/>
          <w:sz w:val="32"/>
          <w:szCs w:val="40"/>
          <w:highlight w:val="none"/>
          <w:u w:val="none"/>
          <w:lang w:bidi="ar-SA"/>
        </w:rPr>
        <w:t>支持开展百万学位建设攻坚计划，新增基础教育学位20万个，加大名校长、名园长、骨干教师引进培养力度，推进义务教育集团化办学，严格执行中小学校建设和配置标准，实现优质教育资源扩面提质。</w:t>
      </w:r>
      <w:r>
        <w:rPr>
          <w:rFonts w:hint="eastAsia" w:ascii="仿宋_GB2312" w:eastAsia="仿宋_GB2312" w:cs="仿宋_GB2312"/>
          <w:b/>
          <w:bCs/>
          <w:sz w:val="32"/>
          <w:szCs w:val="32"/>
          <w:highlight w:val="none"/>
          <w:u w:val="none"/>
          <w:lang w:bidi="ar-SA"/>
        </w:rPr>
        <w:t>三是</w:t>
      </w:r>
      <w:r>
        <w:rPr>
          <w:rFonts w:hint="eastAsia" w:ascii="仿宋_GB2312" w:eastAsia="仿宋_GB2312" w:cs="仿宋_GB2312"/>
          <w:sz w:val="32"/>
          <w:szCs w:val="32"/>
          <w:highlight w:val="none"/>
          <w:u w:val="none"/>
          <w:lang w:bidi="ar-SA"/>
        </w:rPr>
        <w:t>职业教育支出37.5亿元，</w:t>
      </w:r>
      <w:r>
        <w:rPr>
          <w:rFonts w:hint="eastAsia" w:ascii="仿宋_GB2312" w:eastAsia="仿宋_GB2312" w:cs="仿宋_GB2312"/>
          <w:kern w:val="21"/>
          <w:sz w:val="32"/>
          <w:szCs w:val="32"/>
          <w:highlight w:val="none"/>
          <w:u w:val="none"/>
          <w:lang w:bidi="ar-SA"/>
        </w:rPr>
        <w:t>支持深圳职业技术学院、深圳信息职业技术学院建设本科层次职业院校，培育产教融合试点企业约40家、建成示范性特色产业学院10个，</w:t>
      </w:r>
      <w:r>
        <w:rPr>
          <w:rFonts w:hint="eastAsia" w:ascii="仿宋_GB2312" w:eastAsia="仿宋_GB2312" w:cs="仿宋_GB2312"/>
          <w:kern w:val="21"/>
          <w:sz w:val="32"/>
          <w:szCs w:val="32"/>
          <w:highlight w:val="none"/>
          <w:u w:val="none"/>
          <w:lang w:eastAsia="zh-CN" w:bidi="ar-SA"/>
        </w:rPr>
        <w:t>加快</w:t>
      </w:r>
      <w:r>
        <w:rPr>
          <w:rFonts w:hint="eastAsia" w:ascii="仿宋_GB2312" w:eastAsia="仿宋_GB2312" w:cs="仿宋_GB2312"/>
          <w:kern w:val="21"/>
          <w:sz w:val="32"/>
          <w:szCs w:val="32"/>
          <w:highlight w:val="none"/>
          <w:u w:val="none"/>
          <w:lang w:bidi="ar-SA"/>
        </w:rPr>
        <w:t>建设国家产教融合型试点城市。</w:t>
      </w:r>
      <w:r>
        <w:rPr>
          <w:rFonts w:hint="eastAsia" w:ascii="仿宋_GB2312" w:eastAsia="仿宋_GB2312" w:cs="仿宋_GB2312"/>
          <w:b/>
          <w:sz w:val="32"/>
          <w:szCs w:val="40"/>
          <w:highlight w:val="none"/>
          <w:u w:val="none"/>
          <w:lang w:bidi="ar-SA"/>
        </w:rPr>
        <w:t>四是</w:t>
      </w:r>
      <w:r>
        <w:rPr>
          <w:rFonts w:hint="eastAsia" w:ascii="仿宋_GB2312" w:eastAsia="仿宋_GB2312" w:cs="仿宋_GB2312"/>
          <w:bCs/>
          <w:sz w:val="32"/>
          <w:szCs w:val="40"/>
          <w:highlight w:val="none"/>
          <w:u w:val="none"/>
          <w:lang w:bidi="ar-SA"/>
        </w:rPr>
        <w:t>学前教育支出5.1亿元，</w:t>
      </w:r>
      <w:r>
        <w:rPr>
          <w:rFonts w:hint="eastAsia" w:ascii="仿宋_GB2312" w:eastAsia="仿宋_GB2312" w:cs="仿宋_GB2312"/>
          <w:color w:val="000000"/>
          <w:sz w:val="32"/>
          <w:szCs w:val="32"/>
          <w:highlight w:val="none"/>
          <w:u w:val="none"/>
          <w:lang w:bidi="ar-SA"/>
        </w:rPr>
        <w:t>建立完善对市属幼儿园稳定的投入政策体系，推动全市公办园和普惠性民办园在园儿童占比达85%以上。</w:t>
      </w:r>
    </w:p>
    <w:p>
      <w:pPr>
        <w:keepNext w:val="0"/>
        <w:keepLines w:val="0"/>
        <w:pageBreakBefore w:val="0"/>
        <w:widowControl w:val="0"/>
        <w:kinsoku/>
        <w:wordWrap/>
        <w:topLinePunct w:val="0"/>
        <w:bidi w:val="0"/>
        <w:adjustRightInd w:val="0"/>
        <w:snapToGrid w:val="0"/>
        <w:spacing w:line="560" w:lineRule="exact"/>
        <w:ind w:firstLine="643" w:firstLineChars="200"/>
        <w:jc w:val="left"/>
        <w:textAlignment w:val="auto"/>
        <w:rPr>
          <w:rFonts w:hint="eastAsia" w:ascii="仿宋_GB2312" w:eastAsia="仿宋_GB2312" w:cs="Times New Roman"/>
          <w:sz w:val="32"/>
          <w:szCs w:val="32"/>
          <w:highlight w:val="none"/>
          <w:u w:val="none"/>
          <w:lang w:bidi="ar-SA"/>
        </w:rPr>
      </w:pPr>
      <w:r>
        <w:rPr>
          <w:rFonts w:hint="eastAsia" w:ascii="仿宋_GB2312" w:eastAsia="仿宋_GB2312" w:cs="仿宋_GB2312"/>
          <w:b/>
          <w:kern w:val="0"/>
          <w:sz w:val="32"/>
          <w:szCs w:val="32"/>
          <w:highlight w:val="none"/>
          <w:u w:val="none"/>
          <w:lang w:bidi="ar-SA"/>
        </w:rPr>
        <w:t>4.科学技术支出。</w:t>
      </w:r>
      <w:r>
        <w:rPr>
          <w:rFonts w:hint="eastAsia" w:ascii="仿宋_GB2312" w:eastAsia="仿宋_GB2312" w:cs="仿宋_GB2312"/>
          <w:kern w:val="0"/>
          <w:sz w:val="32"/>
          <w:szCs w:val="32"/>
          <w:highlight w:val="none"/>
          <w:u w:val="none"/>
          <w:lang w:bidi="ar-SA"/>
        </w:rPr>
        <w:t>反映政府用于科学技术方面的支出，计划安排376.6亿元，剔除上年一次性安排的重大科技项目支出40亿元后，比上年增长12.6%。</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kern w:val="0"/>
          <w:sz w:val="32"/>
          <w:szCs w:val="32"/>
          <w:highlight w:val="none"/>
          <w:u w:val="none"/>
          <w:lang w:bidi="ar-SA"/>
        </w:rPr>
        <w:t>：</w:t>
      </w:r>
      <w:r>
        <w:rPr>
          <w:rFonts w:hint="eastAsia" w:ascii="仿宋_GB2312" w:eastAsia="仿宋_GB2312" w:cs="Times New Roman"/>
          <w:b/>
          <w:sz w:val="32"/>
          <w:highlight w:val="none"/>
          <w:u w:val="none"/>
          <w:lang w:bidi="ar-SA"/>
        </w:rPr>
        <w:t>一是</w:t>
      </w:r>
      <w:r>
        <w:rPr>
          <w:rFonts w:hint="eastAsia" w:ascii="仿宋_GB2312" w:eastAsia="仿宋_GB2312" w:cs="Times New Roman"/>
          <w:sz w:val="32"/>
          <w:highlight w:val="none"/>
          <w:u w:val="none"/>
          <w:lang w:bidi="ar-SA"/>
        </w:rPr>
        <w:t>安排科技重大项目支出</w:t>
      </w:r>
      <w:r>
        <w:rPr>
          <w:rFonts w:hint="eastAsia" w:ascii="仿宋_GB2312" w:eastAsia="仿宋_GB2312" w:cs="Times New Roman"/>
          <w:sz w:val="32"/>
          <w:highlight w:val="none"/>
          <w:u w:val="none"/>
          <w:lang w:val="en-US" w:eastAsia="zh-CN" w:bidi="ar-SA"/>
        </w:rPr>
        <w:t>13</w:t>
      </w:r>
      <w:r>
        <w:rPr>
          <w:rFonts w:hint="eastAsia" w:ascii="仿宋_GB2312" w:eastAsia="仿宋_GB2312" w:cs="Times New Roman"/>
          <w:sz w:val="32"/>
          <w:highlight w:val="none"/>
          <w:u w:val="none"/>
          <w:lang w:bidi="ar-SA"/>
        </w:rPr>
        <w:t>2.5亿元，集中力量聚焦战略性新兴产业领域共性核心技术、关键零部件和高端装备等领域，实施技术攻关重点项目</w:t>
      </w:r>
      <w:r>
        <w:rPr>
          <w:rFonts w:hint="eastAsia" w:ascii="仿宋_GB2312" w:eastAsia="仿宋_GB2312" w:cs="Times New Roman"/>
          <w:sz w:val="32"/>
          <w:highlight w:val="none"/>
          <w:u w:val="none"/>
          <w:lang w:eastAsia="zh-CN" w:bidi="ar-SA"/>
        </w:rPr>
        <w:t>，推动</w:t>
      </w:r>
      <w:r>
        <w:rPr>
          <w:rFonts w:hint="eastAsia" w:ascii="仿宋_GB2312" w:eastAsia="仿宋_GB2312" w:cs="Times New Roman"/>
          <w:sz w:val="32"/>
          <w:highlight w:val="none"/>
          <w:u w:val="none"/>
          <w:lang w:bidi="ar-SA"/>
        </w:rPr>
        <w:t>加快重大先进制造业项目落地；</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w:t>
      </w:r>
      <w:r>
        <w:rPr>
          <w:rFonts w:hint="eastAsia" w:ascii="仿宋_GB2312" w:eastAsia="仿宋_GB2312" w:cs="Times New Roman"/>
          <w:kern w:val="0"/>
          <w:sz w:val="32"/>
          <w:szCs w:val="32"/>
          <w:highlight w:val="none"/>
          <w:u w:val="none"/>
          <w:lang w:bidi="ar-SA"/>
        </w:rPr>
        <w:t>科技研发资金134亿元，</w:t>
      </w:r>
      <w:r>
        <w:rPr>
          <w:rFonts w:hint="eastAsia" w:ascii="仿宋_GB2312" w:eastAsia="仿宋_GB2312" w:cs="Times New Roman"/>
          <w:kern w:val="21"/>
          <w:sz w:val="32"/>
          <w:szCs w:val="32"/>
          <w:highlight w:val="none"/>
          <w:u w:val="none"/>
          <w:lang w:bidi="ar-SA"/>
        </w:rPr>
        <w:t>着力提升原始创新和协同创新能力，支持深入推进鹏城实验室、深圳湾实验室、粤港澳大湾区量子科学中心等重大创新平台建设。其中投入基础研究与应用基础研究领域的资金提高</w:t>
      </w:r>
      <w:r>
        <w:rPr>
          <w:rFonts w:hint="eastAsia" w:ascii="仿宋_GB2312" w:eastAsia="仿宋_GB2312" w:cs="Times New Roman"/>
          <w:kern w:val="21"/>
          <w:sz w:val="32"/>
          <w:szCs w:val="32"/>
          <w:highlight w:val="none"/>
          <w:u w:val="none"/>
          <w:lang w:val="zh-CN" w:eastAsia="zh-CN" w:bidi="ar-SA"/>
        </w:rPr>
        <w:t>到65亿元，占市级科技研发资金支出的比重</w:t>
      </w:r>
      <w:r>
        <w:rPr>
          <w:rFonts w:hint="eastAsia" w:ascii="仿宋_GB2312" w:eastAsia="仿宋_GB2312" w:cs="Times New Roman"/>
          <w:kern w:val="21"/>
          <w:sz w:val="32"/>
          <w:szCs w:val="32"/>
          <w:highlight w:val="none"/>
          <w:u w:val="none"/>
          <w:lang w:bidi="ar-SA"/>
        </w:rPr>
        <w:t>高于《深圳经济特区科技创新条例》中不低于百分之三十的要求，</w:t>
      </w:r>
      <w:r>
        <w:rPr>
          <w:rFonts w:hint="eastAsia" w:ascii="仿宋_GB2312" w:eastAsia="仿宋_GB2312" w:cs="Times New Roman"/>
          <w:kern w:val="21"/>
          <w:sz w:val="32"/>
          <w:szCs w:val="32"/>
          <w:highlight w:val="none"/>
          <w:u w:val="none"/>
          <w:lang w:eastAsia="zh-CN" w:bidi="ar-SA"/>
        </w:rPr>
        <w:t>力争</w:t>
      </w:r>
      <w:r>
        <w:rPr>
          <w:rFonts w:hint="eastAsia" w:ascii="仿宋_GB2312" w:eastAsia="仿宋_GB2312" w:cs="Times New Roman"/>
          <w:kern w:val="21"/>
          <w:sz w:val="32"/>
          <w:highlight w:val="none"/>
          <w:u w:val="none"/>
          <w:lang w:bidi="ar-SA"/>
        </w:rPr>
        <w:t>基础研究占全社会研发投入比重提高到5%以上</w:t>
      </w:r>
      <w:r>
        <w:rPr>
          <w:rFonts w:hint="eastAsia" w:ascii="仿宋_GB2312" w:eastAsia="仿宋_GB2312" w:cs="Times New Roman"/>
          <w:kern w:val="0"/>
          <w:sz w:val="32"/>
          <w:szCs w:val="32"/>
          <w:highlight w:val="none"/>
          <w:u w:val="none"/>
          <w:lang w:bidi="ar-SA"/>
        </w:rPr>
        <w:t>；</w:t>
      </w:r>
      <w:r>
        <w:rPr>
          <w:rFonts w:hint="eastAsia" w:ascii="仿宋_GB2312" w:eastAsia="仿宋_GB2312" w:cs="Times New Roman"/>
          <w:b/>
          <w:sz w:val="32"/>
          <w:highlight w:val="none"/>
          <w:u w:val="none"/>
          <w:lang w:bidi="ar-SA"/>
        </w:rPr>
        <w:t>三是</w:t>
      </w:r>
      <w:r>
        <w:rPr>
          <w:rFonts w:hint="eastAsia" w:ascii="仿宋_GB2312" w:eastAsia="仿宋_GB2312" w:cs="Times New Roman"/>
          <w:kern w:val="21"/>
          <w:sz w:val="32"/>
          <w:highlight w:val="none"/>
          <w:u w:val="none"/>
          <w:lang w:bidi="ar-SA"/>
        </w:rPr>
        <w:t>安排科技领域政府投资项目23.3亿元，</w:t>
      </w:r>
      <w:r>
        <w:rPr>
          <w:rFonts w:hint="eastAsia" w:ascii="仿宋_GB2312" w:eastAsia="仿宋_GB2312" w:cs="Times New Roman"/>
          <w:sz w:val="32"/>
          <w:szCs w:val="32"/>
          <w:highlight w:val="none"/>
          <w:u w:val="none"/>
          <w:lang w:bidi="ar-SA"/>
        </w:rPr>
        <w:t>加快推进鹏城实验室石壁龙园区一期、“鹏城云脑Ⅱ扩展型”、深圳综合粒子设施配套等重大科技基础设施项目建设。</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bCs/>
          <w:sz w:val="32"/>
          <w:szCs w:val="32"/>
          <w:highlight w:val="none"/>
          <w:u w:val="none"/>
          <w:lang w:bidi="ar-SA"/>
        </w:rPr>
        <w:t>5.文化旅游体育与传媒支出。</w:t>
      </w:r>
      <w:r>
        <w:rPr>
          <w:rFonts w:hint="eastAsia" w:ascii="仿宋_GB2312" w:eastAsia="仿宋_GB2312" w:cs="仿宋_GB2312"/>
          <w:sz w:val="32"/>
          <w:szCs w:val="32"/>
          <w:highlight w:val="none"/>
          <w:u w:val="none"/>
          <w:lang w:bidi="ar-SA"/>
        </w:rPr>
        <w:t>反映政府在文化、文物、旅游、体育、广播影视、新闻出版等方面的支出，计划安排55.3亿元，增长13.1%，主要是新增安排深圳市少年宫更新改造、荔香路综合文体中心等政府投资项目8亿元。</w:t>
      </w:r>
      <w:r>
        <w:rPr>
          <w:rFonts w:hint="eastAsia" w:ascii="仿宋_GB2312" w:eastAsia="仿宋_GB2312" w:cs="仿宋_GB2312"/>
          <w:b/>
          <w:bCs/>
          <w:sz w:val="32"/>
          <w:szCs w:val="32"/>
          <w:highlight w:val="none"/>
          <w:u w:val="none"/>
          <w:lang w:bidi="ar-SA"/>
        </w:rPr>
        <w:t>主要包括：</w:t>
      </w:r>
      <w:r>
        <w:rPr>
          <w:rFonts w:hint="eastAsia" w:ascii="仿宋_GB2312" w:eastAsia="仿宋_GB2312" w:cs="仿宋_GB2312"/>
          <w:b/>
          <w:sz w:val="32"/>
          <w:szCs w:val="32"/>
          <w:highlight w:val="none"/>
          <w:u w:val="none"/>
          <w:lang w:bidi="ar-SA"/>
        </w:rPr>
        <w:t>一是</w:t>
      </w:r>
      <w:r>
        <w:rPr>
          <w:rFonts w:hint="eastAsia" w:ascii="仿宋_GB2312" w:eastAsia="仿宋_GB2312" w:cs="仿宋_GB2312"/>
          <w:sz w:val="32"/>
          <w:szCs w:val="32"/>
          <w:highlight w:val="none"/>
          <w:u w:val="none"/>
          <w:lang w:bidi="ar-SA"/>
        </w:rPr>
        <w:t>安排文化和旅游支出26亿元，主要是</w:t>
      </w:r>
      <w:r>
        <w:rPr>
          <w:rFonts w:hint="eastAsia" w:ascii="仿宋_GB2312" w:eastAsia="仿宋_GB2312" w:cs="Times New Roman"/>
          <w:sz w:val="32"/>
          <w:highlight w:val="none"/>
          <w:u w:val="none"/>
          <w:lang w:bidi="ar-SA"/>
        </w:rPr>
        <w:t>支持创作一批重大文艺精品，合理保障“新时代十大文化设施”建设经费，推动深圳音乐学院、自然博物馆开工建设和科技馆新馆、美术馆新馆等加快建设</w:t>
      </w:r>
      <w:r>
        <w:rPr>
          <w:rFonts w:hint="eastAsia" w:ascii="仿宋_GB2312" w:eastAsia="仿宋_GB2312" w:cs="仿宋_GB2312"/>
          <w:sz w:val="32"/>
          <w:szCs w:val="32"/>
          <w:highlight w:val="none"/>
          <w:u w:val="none"/>
          <w:lang w:bidi="ar-SA"/>
        </w:rPr>
        <w:t>；</w:t>
      </w:r>
      <w:r>
        <w:rPr>
          <w:rFonts w:hint="eastAsia" w:ascii="仿宋_GB2312" w:eastAsia="仿宋_GB2312" w:cs="仿宋_GB2312"/>
          <w:b/>
          <w:bCs/>
          <w:sz w:val="32"/>
          <w:szCs w:val="32"/>
          <w:highlight w:val="none"/>
          <w:u w:val="none"/>
          <w:lang w:bidi="ar-SA"/>
        </w:rPr>
        <w:t>二</w:t>
      </w:r>
      <w:r>
        <w:rPr>
          <w:rFonts w:hint="eastAsia" w:ascii="仿宋_GB2312" w:eastAsia="仿宋_GB2312" w:cs="仿宋_GB2312"/>
          <w:b/>
          <w:sz w:val="32"/>
          <w:szCs w:val="32"/>
          <w:highlight w:val="none"/>
          <w:u w:val="none"/>
          <w:lang w:bidi="ar-SA"/>
        </w:rPr>
        <w:t>是</w:t>
      </w:r>
      <w:r>
        <w:rPr>
          <w:rFonts w:hint="eastAsia" w:ascii="仿宋_GB2312" w:eastAsia="仿宋_GB2312" w:cs="仿宋_GB2312"/>
          <w:bCs/>
          <w:sz w:val="32"/>
          <w:szCs w:val="32"/>
          <w:highlight w:val="none"/>
          <w:u w:val="none"/>
          <w:lang w:bidi="ar-SA"/>
        </w:rPr>
        <w:t>安排体育支出10亿元</w:t>
      </w:r>
      <w:r>
        <w:rPr>
          <w:rFonts w:hint="eastAsia" w:ascii="仿宋_GB2312" w:eastAsia="仿宋_GB2312" w:cs="仿宋_GB2312"/>
          <w:sz w:val="32"/>
          <w:szCs w:val="32"/>
          <w:highlight w:val="none"/>
          <w:u w:val="none"/>
          <w:lang w:bidi="ar-SA"/>
        </w:rPr>
        <w:t>，支持</w:t>
      </w:r>
      <w:r>
        <w:rPr>
          <w:rFonts w:hint="eastAsia" w:ascii="仿宋_GB2312" w:eastAsia="仿宋_GB2312" w:cs="仿宋_GB2312"/>
          <w:sz w:val="32"/>
          <w:szCs w:val="32"/>
          <w:highlight w:val="none"/>
          <w:u w:val="none"/>
          <w:lang w:eastAsia="zh-CN" w:bidi="ar-SA"/>
        </w:rPr>
        <w:t>建设国际</w:t>
      </w:r>
      <w:r>
        <w:rPr>
          <w:rFonts w:hint="eastAsia" w:ascii="仿宋_GB2312" w:eastAsia="仿宋_GB2312" w:cs="仿宋_GB2312"/>
          <w:sz w:val="32"/>
          <w:szCs w:val="32"/>
          <w:highlight w:val="none"/>
          <w:u w:val="none"/>
          <w:lang w:bidi="ar-SA"/>
        </w:rPr>
        <w:t>著名体育城市，加快推进市体育中心改造提升工程、青少年足球训练基地建设，</w:t>
      </w:r>
      <w:r>
        <w:rPr>
          <w:rFonts w:hint="eastAsia" w:ascii="仿宋_GB2312" w:eastAsia="仿宋_GB2312" w:cs="Times New Roman"/>
          <w:sz w:val="32"/>
          <w:highlight w:val="none"/>
          <w:u w:val="none"/>
          <w:lang w:bidi="ar-SA"/>
        </w:rPr>
        <w:t>推动新改建便民运动场地80个</w:t>
      </w:r>
      <w:r>
        <w:rPr>
          <w:rFonts w:hint="eastAsia" w:ascii="仿宋_GB2312" w:eastAsia="仿宋_GB2312" w:cs="Times New Roman"/>
          <w:sz w:val="32"/>
          <w:highlight w:val="none"/>
          <w:u w:val="none"/>
          <w:lang w:eastAsia="zh-CN" w:bidi="ar-SA"/>
        </w:rPr>
        <w:t>以上</w:t>
      </w:r>
      <w:r>
        <w:rPr>
          <w:rFonts w:hint="eastAsia" w:ascii="仿宋_GB2312" w:eastAsia="仿宋_GB2312" w:cs="Times New Roman"/>
          <w:sz w:val="32"/>
          <w:highlight w:val="none"/>
          <w:u w:val="none"/>
          <w:lang w:bidi="ar-SA"/>
        </w:rPr>
        <w:t>，</w:t>
      </w:r>
      <w:r>
        <w:rPr>
          <w:rFonts w:hint="eastAsia" w:ascii="仿宋_GB2312" w:eastAsia="仿宋_GB2312" w:cs="Times New Roman"/>
          <w:sz w:val="32"/>
          <w:highlight w:val="none"/>
          <w:u w:val="none"/>
          <w:lang w:eastAsia="zh-CN" w:bidi="ar-SA"/>
        </w:rPr>
        <w:t>推动</w:t>
      </w:r>
      <w:r>
        <w:rPr>
          <w:rFonts w:hint="eastAsia" w:ascii="仿宋_GB2312" w:eastAsia="仿宋_GB2312" w:cs="Times New Roman"/>
          <w:sz w:val="32"/>
          <w:highlight w:val="none"/>
          <w:u w:val="none"/>
          <w:lang w:bidi="ar-SA"/>
        </w:rPr>
        <w:t>实现全市文体设施“开放共享、一键预约”全覆盖。</w:t>
      </w:r>
      <w:r>
        <w:rPr>
          <w:rFonts w:hint="eastAsia" w:ascii="仿宋_GB2312" w:eastAsia="仿宋_GB2312" w:cs="仿宋_GB2312"/>
          <w:b/>
          <w:bCs/>
          <w:sz w:val="32"/>
          <w:szCs w:val="32"/>
          <w:highlight w:val="none"/>
          <w:u w:val="none"/>
          <w:lang w:bidi="ar-SA"/>
        </w:rPr>
        <w:t>三是</w:t>
      </w:r>
      <w:r>
        <w:rPr>
          <w:rFonts w:hint="eastAsia" w:ascii="仿宋_GB2312" w:eastAsia="仿宋_GB2312" w:cs="仿宋_GB2312"/>
          <w:sz w:val="32"/>
          <w:szCs w:val="32"/>
          <w:highlight w:val="none"/>
          <w:u w:val="none"/>
          <w:lang w:bidi="ar-SA"/>
        </w:rPr>
        <w:t>安排新闻出版电影、广播电视</w:t>
      </w:r>
      <w:r>
        <w:rPr>
          <w:rFonts w:hint="eastAsia" w:ascii="仿宋_GB2312" w:eastAsia="仿宋_GB2312" w:cs="仿宋_GB2312"/>
          <w:sz w:val="32"/>
          <w:szCs w:val="32"/>
          <w:highlight w:val="none"/>
          <w:u w:val="none"/>
          <w:lang w:eastAsia="zh-CN" w:bidi="ar-SA"/>
        </w:rPr>
        <w:t>等</w:t>
      </w:r>
      <w:r>
        <w:rPr>
          <w:rFonts w:hint="eastAsia" w:ascii="仿宋_GB2312" w:eastAsia="仿宋_GB2312" w:cs="仿宋_GB2312"/>
          <w:sz w:val="32"/>
          <w:szCs w:val="32"/>
          <w:highlight w:val="none"/>
          <w:u w:val="none"/>
          <w:lang w:bidi="ar-SA"/>
        </w:rPr>
        <w:t>其他文化旅游体育与传媒等支出17.7亿元，提升公共文化服务质量和城市文化软实力，推进媒体融合发展和改革转型。</w:t>
      </w:r>
    </w:p>
    <w:p>
      <w:pPr>
        <w:keepNext w:val="0"/>
        <w:keepLines w:val="0"/>
        <w:pageBreakBefore w:val="0"/>
        <w:widowControl w:val="0"/>
        <w:kinsoku/>
        <w:wordWrap/>
        <w:topLinePunct w:val="0"/>
        <w:bidi w:val="0"/>
        <w:spacing w:line="560" w:lineRule="exact"/>
        <w:ind w:firstLine="643" w:firstLineChars="200"/>
        <w:textAlignment w:val="auto"/>
        <w:rPr>
          <w:rFonts w:hint="eastAsia" w:ascii="仿宋_GB2312" w:eastAsia="仿宋_GB2312" w:cs="仿宋"/>
          <w:sz w:val="32"/>
          <w:szCs w:val="32"/>
          <w:highlight w:val="none"/>
          <w:u w:val="none"/>
          <w:lang w:bidi="ar-SA"/>
        </w:rPr>
      </w:pPr>
      <w:r>
        <w:rPr>
          <w:rFonts w:hint="eastAsia" w:ascii="仿宋_GB2312" w:eastAsia="仿宋_GB2312" w:cs="仿宋_GB2312"/>
          <w:b/>
          <w:bCs/>
          <w:sz w:val="32"/>
          <w:szCs w:val="32"/>
          <w:highlight w:val="none"/>
          <w:u w:val="none"/>
          <w:lang w:bidi="ar-SA"/>
        </w:rPr>
        <w:t>6.社会保障和就业支出。</w:t>
      </w:r>
      <w:r>
        <w:rPr>
          <w:rFonts w:hint="eastAsia" w:ascii="仿宋_GB2312" w:eastAsia="仿宋_GB2312" w:cs="仿宋_GB2312"/>
          <w:sz w:val="32"/>
          <w:szCs w:val="32"/>
          <w:highlight w:val="none"/>
          <w:u w:val="none"/>
          <w:lang w:bidi="ar-SA"/>
        </w:rPr>
        <w:t>反映政府在社会保障与就业方面的支出，计划安排122.9亿元，增长23.8%，</w:t>
      </w:r>
      <w:r>
        <w:rPr>
          <w:rFonts w:hint="eastAsia" w:ascii="仿宋_GB2312" w:eastAsia="仿宋_GB2312" w:cs="仿宋_GB2312"/>
          <w:sz w:val="32"/>
          <w:highlight w:val="none"/>
          <w:u w:val="none"/>
          <w:lang w:val="zh-CN" w:eastAsia="zh-CN" w:bidi="ar-SA"/>
        </w:rPr>
        <w:t>强化兜底民生保障，</w:t>
      </w:r>
      <w:r>
        <w:rPr>
          <w:rFonts w:hint="eastAsia" w:ascii="仿宋_GB2312" w:eastAsia="仿宋_GB2312" w:cs="仿宋_GB2312"/>
          <w:sz w:val="32"/>
          <w:szCs w:val="32"/>
          <w:highlight w:val="none"/>
          <w:u w:val="none"/>
          <w:shd w:val="clear" w:color="auto" w:fill="FFFFFF"/>
          <w:lang w:bidi="ar-SA"/>
        </w:rPr>
        <w:t>落实好就业优先政策，</w:t>
      </w:r>
      <w:r>
        <w:rPr>
          <w:rFonts w:hint="eastAsia" w:ascii="仿宋_GB2312" w:eastAsia="仿宋_GB2312" w:cs="Times New Roman"/>
          <w:sz w:val="32"/>
          <w:szCs w:val="32"/>
          <w:highlight w:val="none"/>
          <w:u w:val="none"/>
          <w:lang w:bidi="ar-SA"/>
        </w:rPr>
        <w:t>推动构建</w:t>
      </w:r>
      <w:r>
        <w:rPr>
          <w:rFonts w:hint="eastAsia" w:ascii="仿宋_GB2312" w:eastAsia="仿宋_GB2312" w:cs="仿宋_GB2312"/>
          <w:snapToGrid w:val="0"/>
          <w:kern w:val="0"/>
          <w:sz w:val="32"/>
          <w:szCs w:val="32"/>
          <w:highlight w:val="none"/>
          <w:u w:val="none"/>
          <w:lang w:bidi="ar-SA"/>
        </w:rPr>
        <w:t>“1336”等</w:t>
      </w:r>
      <w:r>
        <w:rPr>
          <w:rFonts w:hint="eastAsia" w:ascii="仿宋_GB2312" w:eastAsia="仿宋_GB2312" w:cs="Times New Roman"/>
          <w:sz w:val="32"/>
          <w:szCs w:val="32"/>
          <w:highlight w:val="none"/>
          <w:u w:val="none"/>
          <w:lang w:bidi="ar-SA"/>
        </w:rPr>
        <w:t>高水平养老服务体系，</w:t>
      </w:r>
      <w:r>
        <w:rPr>
          <w:rFonts w:hint="eastAsia" w:ascii="仿宋_GB2312" w:eastAsia="仿宋_GB2312" w:cs="仿宋_GB2312"/>
          <w:sz w:val="32"/>
          <w:szCs w:val="32"/>
          <w:highlight w:val="none"/>
          <w:u w:val="none"/>
          <w:lang w:bidi="ar-SA"/>
        </w:rPr>
        <w:t>提升残疾人保障服务水平，完善低保对象和流浪乞讨人员救助等社会救助体制机制。</w:t>
      </w:r>
      <w:r>
        <w:rPr>
          <w:rFonts w:hint="eastAsia" w:ascii="仿宋_GB2312" w:eastAsia="仿宋_GB2312" w:cs="仿宋_GB2312"/>
          <w:b/>
          <w:bCs/>
          <w:sz w:val="32"/>
          <w:szCs w:val="32"/>
          <w:highlight w:val="none"/>
          <w:u w:val="none"/>
          <w:lang w:bidi="ar-SA"/>
        </w:rPr>
        <w:t>主要包括：一是</w:t>
      </w:r>
      <w:r>
        <w:rPr>
          <w:rFonts w:hint="eastAsia" w:ascii="仿宋_GB2312" w:eastAsia="仿宋_GB2312" w:cs="仿宋_GB2312"/>
          <w:sz w:val="32"/>
          <w:szCs w:val="32"/>
          <w:highlight w:val="none"/>
          <w:u w:val="none"/>
          <w:lang w:bidi="ar-SA"/>
        </w:rPr>
        <w:t>安排人力资源和社会保障事务48.2亿元，重点用于高层次人才奖励和新引进人才租房补贴等，优化人才发展环境；</w:t>
      </w:r>
      <w:r>
        <w:rPr>
          <w:rFonts w:hint="eastAsia" w:ascii="仿宋_GB2312" w:eastAsia="仿宋_GB2312" w:cs="仿宋"/>
          <w:b/>
          <w:bCs/>
          <w:sz w:val="32"/>
          <w:szCs w:val="32"/>
          <w:highlight w:val="none"/>
          <w:u w:val="none"/>
          <w:lang w:bidi="ar-SA"/>
        </w:rPr>
        <w:t>二是</w:t>
      </w:r>
      <w:r>
        <w:rPr>
          <w:rFonts w:hint="eastAsia" w:ascii="仿宋_GB2312" w:eastAsia="仿宋_GB2312" w:cs="仿宋"/>
          <w:sz w:val="32"/>
          <w:szCs w:val="32"/>
          <w:highlight w:val="none"/>
          <w:u w:val="none"/>
          <w:lang w:bidi="ar-SA"/>
        </w:rPr>
        <w:t>安排退役安置和退役军人事务支出8.2亿元，落实中央政策进一步提高退役军人安置和生活待遇；</w:t>
      </w:r>
      <w:r>
        <w:rPr>
          <w:rFonts w:hint="eastAsia" w:ascii="仿宋_GB2312" w:eastAsia="仿宋_GB2312" w:cs="仿宋"/>
          <w:b/>
          <w:bCs/>
          <w:sz w:val="32"/>
          <w:szCs w:val="32"/>
          <w:highlight w:val="none"/>
          <w:u w:val="none"/>
          <w:lang w:bidi="ar-SA"/>
        </w:rPr>
        <w:t>三是</w:t>
      </w:r>
      <w:r>
        <w:rPr>
          <w:rFonts w:hint="eastAsia" w:ascii="仿宋_GB2312" w:eastAsia="仿宋_GB2312" w:cs="Times New Roman"/>
          <w:sz w:val="32"/>
          <w:szCs w:val="32"/>
          <w:highlight w:val="none"/>
          <w:u w:val="none"/>
          <w:lang w:bidi="ar-SA"/>
        </w:rPr>
        <w:t>安排就业专项资金、残疾人就业保障金12.7亿元，大力实施就业优先政策，帮助残疾人等弱势群体更好融入社会。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5" w:firstLineChars="200"/>
        <w:textAlignment w:val="auto"/>
        <w:rPr>
          <w:rFonts w:ascii="宋体" w:hAnsi="宋体" w:eastAsia="仿宋_GB2312" w:cs="Calibri"/>
          <w:spacing w:val="-2"/>
          <w:kern w:val="0"/>
          <w:sz w:val="32"/>
          <w:highlight w:val="none"/>
          <w:u w:val="none"/>
          <w:lang w:bidi="ar-SA"/>
        </w:rPr>
      </w:pPr>
      <w:r>
        <w:rPr>
          <w:rFonts w:ascii="宋体" w:hAnsi="宋体" w:eastAsia="仿宋_GB2312" w:cs="仿宋_GB2312"/>
          <w:b/>
          <w:bCs/>
          <w:spacing w:val="-2"/>
          <w:kern w:val="0"/>
          <w:sz w:val="32"/>
          <w:szCs w:val="32"/>
          <w:highlight w:val="none"/>
          <w:u w:val="none"/>
          <w:lang w:bidi="ar-SA"/>
        </w:rPr>
        <w:t>7.</w:t>
      </w:r>
      <w:r>
        <w:rPr>
          <w:rFonts w:hint="eastAsia" w:ascii="宋体" w:hAnsi="宋体" w:eastAsia="仿宋_GB2312" w:cs="仿宋_GB2312"/>
          <w:b/>
          <w:bCs/>
          <w:spacing w:val="-2"/>
          <w:kern w:val="0"/>
          <w:sz w:val="32"/>
          <w:szCs w:val="32"/>
          <w:highlight w:val="none"/>
          <w:u w:val="none"/>
          <w:lang w:bidi="ar-SA"/>
        </w:rPr>
        <w:t>卫生健康支出。</w:t>
      </w:r>
      <w:r>
        <w:rPr>
          <w:rFonts w:hint="eastAsia" w:ascii="仿宋_GB2312" w:eastAsia="仿宋_GB2312" w:cs="仿宋_GB2312"/>
          <w:spacing w:val="-2"/>
          <w:kern w:val="0"/>
          <w:sz w:val="32"/>
          <w:szCs w:val="32"/>
          <w:highlight w:val="none"/>
          <w:u w:val="none"/>
          <w:lang w:bidi="ar-SA"/>
        </w:rPr>
        <w:t>反映政府卫生健康方面的支出，计划安排237.6亿元，增长18.5%。</w:t>
      </w:r>
      <w:r>
        <w:rPr>
          <w:rFonts w:hint="eastAsia" w:ascii="仿宋_GB2312" w:eastAsia="仿宋_GB2312" w:cs="仿宋_GB2312"/>
          <w:b/>
          <w:spacing w:val="-2"/>
          <w:kern w:val="0"/>
          <w:sz w:val="32"/>
          <w:szCs w:val="32"/>
          <w:highlight w:val="none"/>
          <w:u w:val="none"/>
          <w:lang w:bidi="ar-SA"/>
        </w:rPr>
        <w:t>主要包括：一是</w:t>
      </w:r>
      <w:r>
        <w:rPr>
          <w:rFonts w:hint="eastAsia" w:ascii="仿宋_GB2312" w:eastAsia="仿宋_GB2312" w:cs="仿宋_GB2312"/>
          <w:bCs/>
          <w:spacing w:val="-2"/>
          <w:kern w:val="0"/>
          <w:sz w:val="32"/>
          <w:szCs w:val="32"/>
          <w:highlight w:val="none"/>
          <w:u w:val="none"/>
          <w:lang w:bidi="ar-SA"/>
        </w:rPr>
        <w:t>安排吉华医院、新华医院、市中医院光明院区、大鹏新区人民医院、中山大学附属第七医院等项目，安排公立医院支出122亿元，加快补齐医疗卫生短板；</w:t>
      </w:r>
      <w:r>
        <w:rPr>
          <w:rFonts w:hint="eastAsia" w:ascii="仿宋_GB2312" w:eastAsia="仿宋_GB2312" w:cs="仿宋_GB2312"/>
          <w:b/>
          <w:spacing w:val="-2"/>
          <w:kern w:val="0"/>
          <w:sz w:val="32"/>
          <w:szCs w:val="32"/>
          <w:highlight w:val="none"/>
          <w:u w:val="none"/>
          <w:lang w:bidi="ar-SA"/>
        </w:rPr>
        <w:t>二是</w:t>
      </w:r>
      <w:r>
        <w:rPr>
          <w:rFonts w:hint="eastAsia" w:ascii="仿宋_GB2312" w:eastAsia="仿宋_GB2312" w:cs="仿宋_GB2312"/>
          <w:bCs/>
          <w:spacing w:val="-2"/>
          <w:kern w:val="0"/>
          <w:sz w:val="32"/>
          <w:szCs w:val="32"/>
          <w:highlight w:val="none"/>
          <w:u w:val="none"/>
          <w:lang w:bidi="ar-SA"/>
        </w:rPr>
        <w:t>安排基本医疗保险财政补助27.4亿元，对本市符合条件的少年儿童、学生和本市户籍非从业居民参加医疗保险给予适当补贴；</w:t>
      </w:r>
      <w:r>
        <w:rPr>
          <w:rFonts w:hint="eastAsia" w:ascii="仿宋_GB2312" w:eastAsia="仿宋_GB2312" w:cs="仿宋_GB2312"/>
          <w:b/>
          <w:spacing w:val="-2"/>
          <w:kern w:val="0"/>
          <w:sz w:val="32"/>
          <w:szCs w:val="32"/>
          <w:highlight w:val="none"/>
          <w:u w:val="none"/>
          <w:lang w:bidi="ar-SA"/>
        </w:rPr>
        <w:t>三是</w:t>
      </w:r>
      <w:r>
        <w:rPr>
          <w:rFonts w:hint="eastAsia" w:ascii="仿宋_GB2312" w:eastAsia="仿宋_GB2312" w:cs="仿宋_GB2312"/>
          <w:bCs/>
          <w:spacing w:val="-2"/>
          <w:kern w:val="0"/>
          <w:sz w:val="32"/>
          <w:szCs w:val="32"/>
          <w:highlight w:val="none"/>
          <w:u w:val="none"/>
          <w:lang w:bidi="ar-SA"/>
        </w:rPr>
        <w:t xml:space="preserve">安排公共卫生资金25.5亿元，主要用于重大和基本公共卫生服务、突发公共卫生事件应急处理、疾病预防控制、应急救治、采供血等项目。  </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8.节能环保支出。</w:t>
      </w:r>
      <w:r>
        <w:rPr>
          <w:rFonts w:hint="eastAsia" w:ascii="仿宋_GB2312" w:eastAsia="仿宋_GB2312" w:cs="仿宋_GB2312"/>
          <w:sz w:val="32"/>
          <w:szCs w:val="32"/>
          <w:highlight w:val="none"/>
          <w:u w:val="none"/>
          <w:lang w:bidi="ar-SA"/>
        </w:rPr>
        <w:t>反映政府节能环保方面的支出，计划安排161.3亿元，增长1.8%，</w:t>
      </w:r>
      <w:r>
        <w:rPr>
          <w:rFonts w:hint="eastAsia" w:ascii="仿宋_GB2312" w:eastAsia="仿宋_GB2312" w:cs="宋体"/>
          <w:kern w:val="0"/>
          <w:sz w:val="32"/>
          <w:szCs w:val="32"/>
          <w:highlight w:val="none"/>
          <w:u w:val="none"/>
          <w:lang w:bidi="ar-SA"/>
        </w:rPr>
        <w:t>推动提升宜居城市品质</w:t>
      </w:r>
      <w:r>
        <w:rPr>
          <w:rFonts w:hint="eastAsia" w:ascii="仿宋_GB2312" w:eastAsia="仿宋_GB2312" w:cs="仿宋_GB2312"/>
          <w:sz w:val="32"/>
          <w:szCs w:val="32"/>
          <w:highlight w:val="none"/>
          <w:u w:val="none"/>
          <w:lang w:bidi="ar-SA"/>
        </w:rPr>
        <w:t>。</w:t>
      </w:r>
      <w:r>
        <w:rPr>
          <w:rFonts w:hint="eastAsia" w:ascii="仿宋_GB2312" w:eastAsia="仿宋_GB2312" w:cs="仿宋_GB2312"/>
          <w:b/>
          <w:bCs/>
          <w:sz w:val="32"/>
          <w:szCs w:val="32"/>
          <w:highlight w:val="none"/>
          <w:u w:val="none"/>
          <w:lang w:bidi="ar-SA"/>
        </w:rPr>
        <w:t>主要包括：一是</w:t>
      </w:r>
      <w:r>
        <w:rPr>
          <w:rFonts w:hint="eastAsia" w:ascii="仿宋_GB2312" w:eastAsia="仿宋_GB2312" w:cs="宋体"/>
          <w:kern w:val="0"/>
          <w:sz w:val="32"/>
          <w:szCs w:val="32"/>
          <w:highlight w:val="none"/>
          <w:u w:val="none"/>
          <w:lang w:bidi="ar-SA"/>
        </w:rPr>
        <w:t>安排公交运营补贴75亿元，</w:t>
      </w:r>
      <w:r>
        <w:rPr>
          <w:rFonts w:hint="eastAsia" w:ascii="仿宋_GB2312" w:eastAsia="仿宋_GB2312" w:cs="宋体"/>
          <w:kern w:val="0"/>
          <w:sz w:val="32"/>
          <w:szCs w:val="32"/>
          <w:highlight w:val="none"/>
          <w:u w:val="none"/>
          <w:lang w:val="zh-CN" w:eastAsia="zh-CN" w:bidi="ar-SA"/>
        </w:rPr>
        <w:t>健全完善我市公交扶持机制和政策，突出优服务、提效能、降成本、保安全，压实公交运营企业主体责任，强化运营管理，压缩成本费用，整合低效线路，提升运力效能，推动公交行业全面协调可持续发展；</w:t>
      </w:r>
      <w:r>
        <w:rPr>
          <w:rFonts w:hint="eastAsia" w:ascii="仿宋_GB2312" w:eastAsia="仿宋_GB2312" w:cs="仿宋_GB2312"/>
          <w:b/>
          <w:bCs/>
          <w:sz w:val="32"/>
          <w:szCs w:val="32"/>
          <w:highlight w:val="none"/>
          <w:u w:val="none"/>
          <w:lang w:bidi="ar-SA"/>
        </w:rPr>
        <w:t>二是</w:t>
      </w:r>
      <w:r>
        <w:rPr>
          <w:rFonts w:hint="eastAsia" w:ascii="仿宋_GB2312" w:eastAsia="仿宋_GB2312" w:cs="仿宋_GB2312"/>
          <w:sz w:val="32"/>
          <w:szCs w:val="32"/>
          <w:highlight w:val="none"/>
          <w:u w:val="none"/>
          <w:lang w:bidi="ar-SA"/>
        </w:rPr>
        <w:t>安排新能源汽车推广应用补贴35亿元，推动新增新能源汽车</w:t>
      </w:r>
      <w:r>
        <w:rPr>
          <w:rFonts w:hint="eastAsia" w:ascii="仿宋_GB2312" w:eastAsia="仿宋_GB2312" w:cs="仿宋_GB2312"/>
          <w:sz w:val="32"/>
          <w:szCs w:val="32"/>
          <w:highlight w:val="none"/>
          <w:u w:val="none"/>
          <w:lang w:val="en-US" w:eastAsia="zh-CN" w:bidi="ar-SA"/>
        </w:rPr>
        <w:t>11.5</w:t>
      </w:r>
      <w:r>
        <w:rPr>
          <w:rFonts w:hint="eastAsia" w:ascii="仿宋_GB2312" w:eastAsia="仿宋_GB2312" w:cs="仿宋_GB2312"/>
          <w:sz w:val="32"/>
          <w:szCs w:val="32"/>
          <w:highlight w:val="none"/>
          <w:u w:val="none"/>
          <w:lang w:bidi="ar-SA"/>
        </w:rPr>
        <w:t>万辆，加快非道路移动机械、</w:t>
      </w:r>
      <w:r>
        <w:rPr>
          <w:rFonts w:hint="eastAsia" w:ascii="仿宋_GB2312" w:eastAsia="仿宋_GB2312" w:cs="仿宋_GB2312"/>
          <w:sz w:val="32"/>
          <w:szCs w:val="32"/>
          <w:highlight w:val="none"/>
          <w:u w:val="none"/>
          <w:lang w:eastAsia="zh-CN" w:bidi="ar-SA"/>
        </w:rPr>
        <w:t>港口作业</w:t>
      </w:r>
      <w:r>
        <w:rPr>
          <w:rFonts w:hint="eastAsia" w:ascii="仿宋_GB2312" w:eastAsia="仿宋_GB2312" w:cs="仿宋_GB2312"/>
          <w:sz w:val="32"/>
          <w:szCs w:val="32"/>
          <w:highlight w:val="none"/>
          <w:u w:val="none"/>
          <w:lang w:bidi="ar-SA"/>
        </w:rPr>
        <w:t>机械、泥头车、环卫车等新能源化；</w:t>
      </w:r>
      <w:r>
        <w:rPr>
          <w:rFonts w:hint="eastAsia" w:ascii="仿宋_GB2312" w:eastAsia="仿宋_GB2312" w:cs="仿宋_GB2312"/>
          <w:b/>
          <w:bCs/>
          <w:sz w:val="32"/>
          <w:szCs w:val="32"/>
          <w:highlight w:val="none"/>
          <w:u w:val="none"/>
          <w:lang w:bidi="ar-SA"/>
        </w:rPr>
        <w:t>三是</w:t>
      </w:r>
      <w:r>
        <w:rPr>
          <w:rFonts w:hint="eastAsia" w:ascii="仿宋_GB2312" w:eastAsia="仿宋_GB2312" w:cs="仿宋_GB2312"/>
          <w:sz w:val="32"/>
          <w:szCs w:val="32"/>
          <w:highlight w:val="none"/>
          <w:u w:val="none"/>
          <w:lang w:bidi="ar-SA"/>
        </w:rPr>
        <w:t>安排污水处理费补贴23亿元，</w:t>
      </w:r>
      <w:r>
        <w:rPr>
          <w:rFonts w:hint="eastAsia" w:ascii="仿宋_GB2312" w:eastAsia="仿宋_GB2312" w:cs="Times New Roman"/>
          <w:spacing w:val="-2"/>
          <w:kern w:val="0"/>
          <w:sz w:val="32"/>
          <w:szCs w:val="32"/>
          <w:highlight w:val="none"/>
          <w:u w:val="none"/>
          <w:lang w:val="en-US" w:eastAsia="zh-CN" w:bidi="ar-SA"/>
        </w:rPr>
        <w:t>保障市政排水设施正常运行，深入推进污水处理量和处理浓度“双提升”</w:t>
      </w:r>
      <w:r>
        <w:rPr>
          <w:rFonts w:hint="eastAsia" w:ascii="仿宋_GB2312" w:eastAsia="仿宋_GB2312" w:cs="仿宋_GB2312"/>
          <w:sz w:val="32"/>
          <w:szCs w:val="32"/>
          <w:highlight w:val="none"/>
          <w:u w:val="none"/>
          <w:lang w:bidi="ar-SA"/>
        </w:rPr>
        <w:t>，</w:t>
      </w:r>
      <w:r>
        <w:rPr>
          <w:rFonts w:hint="eastAsia" w:ascii="仿宋_GB2312" w:eastAsia="仿宋_GB2312" w:cs="宋体"/>
          <w:kern w:val="0"/>
          <w:sz w:val="32"/>
          <w:highlight w:val="none"/>
          <w:u w:val="none"/>
          <w:lang w:bidi="ar-SA"/>
        </w:rPr>
        <w:t>将污水处理厂进水污染物浓度、污染物削减量和污泥无害化处置率等核心指标纳入市政排水设施运行质量的主要考核范围，</w:t>
      </w:r>
      <w:r>
        <w:rPr>
          <w:rFonts w:hint="eastAsia" w:ascii="仿宋_GB2312" w:eastAsia="仿宋_GB2312" w:cs="仿宋_GB2312"/>
          <w:sz w:val="32"/>
          <w:szCs w:val="32"/>
          <w:highlight w:val="none"/>
          <w:u w:val="none"/>
          <w:lang w:bidi="ar-SA"/>
        </w:rPr>
        <w:t>探索建立政府、企业、个人等多方科学合理分担的污水收集处理机制。</w:t>
      </w:r>
    </w:p>
    <w:p>
      <w:pPr>
        <w:keepNext w:val="0"/>
        <w:keepLines w:val="0"/>
        <w:pageBreakBefore w:val="0"/>
        <w:widowControl w:val="0"/>
        <w:kinsoku/>
        <w:wordWrap/>
        <w:topLinePunct w:val="0"/>
        <w:bidi w:val="0"/>
        <w:adjustRightInd w:val="0"/>
        <w:snapToGrid w:val="0"/>
        <w:spacing w:line="560" w:lineRule="exact"/>
        <w:ind w:firstLine="645"/>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9.城乡社区支出。</w:t>
      </w:r>
      <w:r>
        <w:rPr>
          <w:rFonts w:hint="eastAsia" w:ascii="仿宋_GB2312" w:eastAsia="仿宋_GB2312" w:cs="仿宋_GB2312"/>
          <w:sz w:val="32"/>
          <w:szCs w:val="32"/>
          <w:highlight w:val="none"/>
          <w:u w:val="none"/>
          <w:lang w:bidi="ar-SA"/>
        </w:rPr>
        <w:t>反映政府城乡社区事务支出，计划安排157.1亿元，增长37.7%，主要是增加安排轨道交通等政府投资项目。</w:t>
      </w:r>
      <w:r>
        <w:rPr>
          <w:rFonts w:hint="eastAsia" w:ascii="仿宋_GB2312" w:eastAsia="仿宋_GB2312" w:cs="仿宋_GB2312"/>
          <w:b/>
          <w:bCs/>
          <w:sz w:val="32"/>
          <w:szCs w:val="32"/>
          <w:highlight w:val="none"/>
          <w:u w:val="none"/>
          <w:lang w:bidi="ar-SA"/>
        </w:rPr>
        <w:t>主要包括：</w:t>
      </w:r>
      <w:r>
        <w:rPr>
          <w:rFonts w:hint="eastAsia" w:ascii="仿宋_GB2312" w:eastAsia="仿宋_GB2312" w:cs="仿宋_GB2312"/>
          <w:b/>
          <w:sz w:val="32"/>
          <w:szCs w:val="32"/>
          <w:highlight w:val="none"/>
          <w:u w:val="none"/>
          <w:lang w:bidi="ar-SA"/>
        </w:rPr>
        <w:t>一是</w:t>
      </w:r>
      <w:r>
        <w:rPr>
          <w:rFonts w:hint="eastAsia" w:ascii="仿宋_GB2312" w:eastAsia="仿宋_GB2312" w:cs="仿宋_GB2312"/>
          <w:sz w:val="32"/>
          <w:szCs w:val="32"/>
          <w:highlight w:val="none"/>
          <w:u w:val="none"/>
          <w:lang w:bidi="ar-SA"/>
        </w:rPr>
        <w:t>安排城乡社区</w:t>
      </w:r>
      <w:r>
        <w:rPr>
          <w:rFonts w:hint="eastAsia" w:ascii="仿宋_GB2312" w:eastAsia="仿宋_GB2312" w:cs="仿宋_GB2312"/>
          <w:sz w:val="32"/>
          <w:szCs w:val="32"/>
          <w:highlight w:val="none"/>
          <w:u w:val="none"/>
          <w:lang w:eastAsia="zh-CN" w:bidi="ar-SA"/>
        </w:rPr>
        <w:t>领域</w:t>
      </w:r>
      <w:r>
        <w:rPr>
          <w:rFonts w:hint="eastAsia" w:ascii="仿宋_GB2312" w:eastAsia="仿宋_GB2312" w:cs="仿宋_GB2312"/>
          <w:sz w:val="32"/>
          <w:szCs w:val="32"/>
          <w:highlight w:val="none"/>
          <w:u w:val="none"/>
          <w:lang w:bidi="ar-SA"/>
        </w:rPr>
        <w:t>基建投资支出106亿元，加快轨道交通、城际铁路、综合管廊等基础设施建设；</w:t>
      </w:r>
      <w:r>
        <w:rPr>
          <w:rFonts w:hint="eastAsia" w:ascii="仿宋_GB2312" w:eastAsia="仿宋_GB2312" w:cs="仿宋_GB2312"/>
          <w:b/>
          <w:sz w:val="32"/>
          <w:szCs w:val="32"/>
          <w:highlight w:val="none"/>
          <w:u w:val="none"/>
          <w:lang w:bidi="ar-SA"/>
        </w:rPr>
        <w:t>二是</w:t>
      </w:r>
      <w:r>
        <w:rPr>
          <w:rFonts w:hint="eastAsia" w:ascii="仿宋_GB2312" w:eastAsia="仿宋_GB2312" w:cs="仿宋_GB2312"/>
          <w:sz w:val="32"/>
          <w:szCs w:val="32"/>
          <w:highlight w:val="none"/>
          <w:u w:val="none"/>
          <w:lang w:bidi="ar-SA"/>
        </w:rPr>
        <w:t>安排高速公路回购资金11.5亿元，降低市民交通出行成本；</w:t>
      </w:r>
      <w:r>
        <w:rPr>
          <w:rFonts w:hint="eastAsia" w:ascii="仿宋_GB2312" w:eastAsia="仿宋_GB2312" w:cs="仿宋_GB2312"/>
          <w:b/>
          <w:bCs/>
          <w:sz w:val="32"/>
          <w:szCs w:val="32"/>
          <w:highlight w:val="none"/>
          <w:u w:val="none"/>
          <w:lang w:bidi="ar-SA"/>
        </w:rPr>
        <w:t>三是</w:t>
      </w:r>
      <w:r>
        <w:rPr>
          <w:rFonts w:hint="eastAsia" w:ascii="仿宋_GB2312" w:eastAsia="仿宋_GB2312" w:cs="仿宋_GB2312"/>
          <w:sz w:val="32"/>
          <w:szCs w:val="32"/>
          <w:highlight w:val="none"/>
          <w:u w:val="none"/>
          <w:lang w:bidi="ar-SA"/>
        </w:rPr>
        <w:t>安排生活垃圾处理、道路清扫等城乡社区环境卫生支出15.6亿元。</w:t>
      </w:r>
    </w:p>
    <w:p>
      <w:pPr>
        <w:keepNext w:val="0"/>
        <w:keepLines w:val="0"/>
        <w:pageBreakBefore w:val="0"/>
        <w:widowControl w:val="0"/>
        <w:kinsoku/>
        <w:wordWrap/>
        <w:topLinePunct w:val="0"/>
        <w:bidi w:val="0"/>
        <w:adjustRightInd w:val="0"/>
        <w:snapToGrid w:val="0"/>
        <w:spacing w:line="560" w:lineRule="exact"/>
        <w:ind w:firstLine="645"/>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10.农林水支出。</w:t>
      </w:r>
      <w:r>
        <w:rPr>
          <w:rFonts w:hint="eastAsia" w:ascii="仿宋_GB2312" w:eastAsia="仿宋_GB2312" w:cs="仿宋_GB2312"/>
          <w:sz w:val="32"/>
          <w:szCs w:val="32"/>
          <w:highlight w:val="none"/>
          <w:u w:val="none"/>
          <w:lang w:bidi="ar-SA"/>
        </w:rPr>
        <w:t>反映政府农林水事务支出，计划安排7</w:t>
      </w:r>
      <w:r>
        <w:rPr>
          <w:rFonts w:hint="eastAsia" w:ascii="仿宋_GB2312" w:eastAsia="仿宋_GB2312" w:cs="仿宋_GB2312"/>
          <w:sz w:val="32"/>
          <w:szCs w:val="32"/>
          <w:highlight w:val="none"/>
          <w:u w:val="none"/>
          <w:lang w:val="en-US" w:eastAsia="zh-CN" w:bidi="ar-SA"/>
        </w:rPr>
        <w:t>3.8</w:t>
      </w:r>
      <w:r>
        <w:rPr>
          <w:rFonts w:hint="eastAsia" w:ascii="仿宋_GB2312" w:eastAsia="仿宋_GB2312" w:cs="仿宋_GB2312"/>
          <w:sz w:val="32"/>
          <w:szCs w:val="32"/>
          <w:highlight w:val="none"/>
          <w:u w:val="none"/>
          <w:lang w:bidi="ar-SA"/>
        </w:rPr>
        <w:t>亿元，增长</w:t>
      </w:r>
      <w:r>
        <w:rPr>
          <w:rFonts w:hint="eastAsia" w:ascii="仿宋_GB2312" w:eastAsia="仿宋_GB2312" w:cs="仿宋_GB2312"/>
          <w:sz w:val="32"/>
          <w:szCs w:val="32"/>
          <w:highlight w:val="none"/>
          <w:u w:val="none"/>
          <w:lang w:val="en-US" w:eastAsia="zh-CN" w:bidi="ar-SA"/>
        </w:rPr>
        <w:t>29.5</w:t>
      </w:r>
      <w:r>
        <w:rPr>
          <w:rFonts w:hint="eastAsia" w:ascii="仿宋_GB2312" w:eastAsia="仿宋_GB2312" w:cs="仿宋_GB2312"/>
          <w:sz w:val="32"/>
          <w:szCs w:val="32"/>
          <w:highlight w:val="none"/>
          <w:u w:val="none"/>
          <w:lang w:bidi="ar-SA"/>
        </w:rPr>
        <w:t>%，主要是水利领域政府投资项目支出</w:t>
      </w:r>
      <w:r>
        <w:rPr>
          <w:rFonts w:hint="eastAsia" w:ascii="仿宋_GB2312" w:eastAsia="仿宋_GB2312" w:cs="仿宋_GB2312"/>
          <w:sz w:val="32"/>
          <w:szCs w:val="32"/>
          <w:highlight w:val="none"/>
          <w:u w:val="none"/>
          <w:lang w:eastAsia="zh-CN" w:bidi="ar-SA"/>
        </w:rPr>
        <w:t>比上年</w:t>
      </w:r>
      <w:r>
        <w:rPr>
          <w:rFonts w:hint="eastAsia" w:ascii="仿宋_GB2312" w:eastAsia="仿宋_GB2312" w:cs="仿宋_GB2312"/>
          <w:sz w:val="32"/>
          <w:szCs w:val="32"/>
          <w:highlight w:val="none"/>
          <w:u w:val="none"/>
          <w:lang w:bidi="ar-SA"/>
        </w:rPr>
        <w:t>增加</w:t>
      </w:r>
      <w:r>
        <w:rPr>
          <w:rFonts w:hint="eastAsia" w:ascii="仿宋_GB2312" w:eastAsia="仿宋_GB2312" w:cs="仿宋_GB2312"/>
          <w:sz w:val="32"/>
          <w:szCs w:val="32"/>
          <w:highlight w:val="none"/>
          <w:u w:val="none"/>
          <w:lang w:val="en-US" w:eastAsia="zh-CN" w:bidi="ar-SA"/>
        </w:rPr>
        <w:t>14.3亿元</w:t>
      </w:r>
      <w:r>
        <w:rPr>
          <w:rFonts w:hint="eastAsia" w:ascii="仿宋_GB2312" w:eastAsia="仿宋_GB2312" w:cs="仿宋_GB2312"/>
          <w:sz w:val="32"/>
          <w:szCs w:val="32"/>
          <w:highlight w:val="none"/>
          <w:u w:val="none"/>
          <w:lang w:bidi="ar-SA"/>
        </w:rPr>
        <w:t>。</w:t>
      </w:r>
      <w:r>
        <w:rPr>
          <w:rFonts w:hint="eastAsia" w:ascii="仿宋_GB2312" w:eastAsia="仿宋_GB2312" w:cs="仿宋_GB2312"/>
          <w:b/>
          <w:bCs/>
          <w:sz w:val="32"/>
          <w:szCs w:val="32"/>
          <w:highlight w:val="none"/>
          <w:u w:val="none"/>
          <w:lang w:bidi="ar-SA"/>
        </w:rPr>
        <w:t>主要包括</w:t>
      </w:r>
      <w:r>
        <w:rPr>
          <w:rFonts w:hint="eastAsia" w:ascii="仿宋_GB2312" w:eastAsia="仿宋_GB2312" w:cs="仿宋_GB2312"/>
          <w:sz w:val="32"/>
          <w:szCs w:val="32"/>
          <w:highlight w:val="none"/>
          <w:u w:val="none"/>
          <w:lang w:bidi="ar-SA"/>
        </w:rPr>
        <w:t>：</w:t>
      </w:r>
      <w:r>
        <w:rPr>
          <w:rFonts w:hint="eastAsia" w:ascii="仿宋_GB2312" w:eastAsia="仿宋_GB2312" w:cs="仿宋_GB2312"/>
          <w:b/>
          <w:bCs/>
          <w:sz w:val="32"/>
          <w:szCs w:val="32"/>
          <w:highlight w:val="none"/>
          <w:u w:val="none"/>
          <w:lang w:bidi="ar-SA"/>
        </w:rPr>
        <w:t>一是</w:t>
      </w:r>
      <w:r>
        <w:rPr>
          <w:rFonts w:hint="eastAsia" w:ascii="仿宋_GB2312" w:eastAsia="仿宋_GB2312" w:cs="仿宋_GB2312"/>
          <w:sz w:val="32"/>
          <w:szCs w:val="32"/>
          <w:highlight w:val="none"/>
          <w:u w:val="none"/>
          <w:lang w:bidi="ar-SA"/>
        </w:rPr>
        <w:t>安排水利支出60.1亿元</w:t>
      </w:r>
      <w:r>
        <w:rPr>
          <w:rFonts w:hint="eastAsia" w:ascii="仿宋_GB2312" w:eastAsia="仿宋_GB2312" w:cs="仿宋_GB2312"/>
          <w:sz w:val="32"/>
          <w:szCs w:val="32"/>
          <w:highlight w:val="none"/>
          <w:u w:val="none"/>
          <w:lang w:eastAsia="zh-CN" w:bidi="ar-SA"/>
        </w:rPr>
        <w:t>，</w:t>
      </w:r>
      <w:r>
        <w:rPr>
          <w:rFonts w:hint="eastAsia" w:ascii="仿宋_GB2312" w:eastAsia="仿宋_GB2312" w:cs="仿宋_GB2312"/>
          <w:sz w:val="32"/>
          <w:szCs w:val="32"/>
          <w:highlight w:val="none"/>
          <w:u w:val="none"/>
          <w:lang w:bidi="ar-SA"/>
        </w:rPr>
        <w:t>其中珠江三角洲水资源配置工程、罗田水库—铁岗水库输水隧洞工程等水利领域政府投资项目31.5亿元，加快推进水库除险加固工程，</w:t>
      </w:r>
      <w:r>
        <w:rPr>
          <w:rFonts w:hint="eastAsia" w:ascii="仿宋_GB2312" w:eastAsia="仿宋_GB2312" w:cs="Times New Roman"/>
          <w:sz w:val="32"/>
          <w:highlight w:val="none"/>
          <w:u w:val="none"/>
          <w:lang w:bidi="ar-SA"/>
        </w:rPr>
        <w:t>全力保障供水安全、防洪安全；</w:t>
      </w:r>
      <w:r>
        <w:rPr>
          <w:rFonts w:hint="eastAsia" w:ascii="仿宋_GB2312" w:eastAsia="仿宋_GB2312" w:cs="仿宋_GB2312"/>
          <w:sz w:val="32"/>
          <w:szCs w:val="32"/>
          <w:highlight w:val="none"/>
          <w:u w:val="none"/>
          <w:lang w:bidi="ar-SA"/>
        </w:rPr>
        <w:t>安排水务发展专项</w:t>
      </w:r>
      <w:r>
        <w:rPr>
          <w:rFonts w:hint="eastAsia" w:ascii="仿宋_GB2312" w:eastAsia="仿宋_GB2312" w:cs="仿宋_GB2312"/>
          <w:sz w:val="32"/>
          <w:szCs w:val="32"/>
          <w:highlight w:val="none"/>
          <w:u w:val="none"/>
          <w:lang w:eastAsia="zh-CN" w:bidi="ar-SA"/>
        </w:rPr>
        <w:t>资金市本级支出</w:t>
      </w:r>
      <w:r>
        <w:rPr>
          <w:rFonts w:hint="eastAsia" w:ascii="仿宋_GB2312" w:eastAsia="仿宋_GB2312" w:cs="仿宋_GB2312"/>
          <w:sz w:val="32"/>
          <w:szCs w:val="32"/>
          <w:highlight w:val="none"/>
          <w:u w:val="none"/>
          <w:lang w:val="en-US" w:eastAsia="zh-CN" w:bidi="ar-SA"/>
        </w:rPr>
        <w:t>8.3</w:t>
      </w:r>
      <w:r>
        <w:rPr>
          <w:rFonts w:hint="eastAsia" w:ascii="仿宋_GB2312" w:eastAsia="仿宋_GB2312" w:cs="仿宋_GB2312"/>
          <w:sz w:val="32"/>
          <w:szCs w:val="32"/>
          <w:highlight w:val="none"/>
          <w:u w:val="none"/>
          <w:lang w:bidi="ar-SA"/>
        </w:rPr>
        <w:t>亿元，支持开展二次供水设施改造、优质饮用水入户等工程，让更多市民喝上放心水、优质水。</w:t>
      </w:r>
      <w:r>
        <w:rPr>
          <w:rFonts w:hint="eastAsia" w:ascii="仿宋_GB2312" w:eastAsia="仿宋_GB2312" w:cs="仿宋_GB2312"/>
          <w:b/>
          <w:bCs/>
          <w:sz w:val="32"/>
          <w:szCs w:val="32"/>
          <w:highlight w:val="none"/>
          <w:u w:val="none"/>
          <w:lang w:bidi="ar-SA"/>
        </w:rPr>
        <w:t>二是</w:t>
      </w:r>
      <w:r>
        <w:rPr>
          <w:rFonts w:hint="eastAsia" w:ascii="仿宋_GB2312" w:eastAsia="仿宋_GB2312" w:cs="仿宋_GB2312"/>
          <w:sz w:val="32"/>
          <w:szCs w:val="32"/>
          <w:highlight w:val="none"/>
          <w:u w:val="none"/>
          <w:lang w:bidi="ar-SA"/>
        </w:rPr>
        <w:t>安排农业农村支出</w:t>
      </w:r>
      <w:r>
        <w:rPr>
          <w:rFonts w:hint="eastAsia" w:ascii="仿宋_GB2312" w:eastAsia="仿宋_GB2312" w:cs="仿宋_GB2312"/>
          <w:sz w:val="32"/>
          <w:szCs w:val="32"/>
          <w:highlight w:val="none"/>
          <w:u w:val="none"/>
          <w:lang w:val="en-US" w:eastAsia="zh-CN" w:bidi="ar-SA"/>
        </w:rPr>
        <w:t>8.5</w:t>
      </w:r>
      <w:r>
        <w:rPr>
          <w:rFonts w:hint="eastAsia" w:ascii="仿宋_GB2312" w:eastAsia="仿宋_GB2312" w:cs="仿宋_GB2312"/>
          <w:sz w:val="32"/>
          <w:szCs w:val="32"/>
          <w:highlight w:val="none"/>
          <w:u w:val="none"/>
          <w:lang w:bidi="ar-SA"/>
        </w:rPr>
        <w:t>亿元，</w:t>
      </w:r>
      <w:r>
        <w:rPr>
          <w:rFonts w:hint="eastAsia" w:ascii="Times New Roman" w:hAnsi="Times New Roman" w:eastAsia="仿宋_GB2312" w:cs="Times New Roman"/>
          <w:sz w:val="32"/>
          <w:szCs w:val="32"/>
          <w:highlight w:val="none"/>
          <w:u w:val="none"/>
          <w:lang w:bidi="ar-SA"/>
        </w:rPr>
        <w:t>推动我市农业高质量、现代化发展，保障</w:t>
      </w:r>
      <w:r>
        <w:rPr>
          <w:rFonts w:ascii="Times New Roman" w:hAnsi="Times New Roman" w:eastAsia="仿宋_GB2312" w:cs="Times New Roman"/>
          <w:sz w:val="32"/>
          <w:szCs w:val="32"/>
          <w:highlight w:val="none"/>
          <w:u w:val="none"/>
          <w:lang w:bidi="ar-SA"/>
        </w:rPr>
        <w:t>“</w:t>
      </w:r>
      <w:r>
        <w:rPr>
          <w:rFonts w:hint="eastAsia" w:ascii="Times New Roman" w:hAnsi="Times New Roman" w:eastAsia="仿宋_GB2312" w:cs="Times New Roman"/>
          <w:sz w:val="32"/>
          <w:szCs w:val="32"/>
          <w:highlight w:val="none"/>
          <w:u w:val="none"/>
          <w:lang w:bidi="ar-SA"/>
        </w:rPr>
        <w:t>菜篮子</w:t>
      </w:r>
      <w:r>
        <w:rPr>
          <w:rFonts w:ascii="Times New Roman" w:hAnsi="Times New Roman" w:eastAsia="仿宋_GB2312" w:cs="Times New Roman"/>
          <w:sz w:val="32"/>
          <w:szCs w:val="32"/>
          <w:highlight w:val="none"/>
          <w:u w:val="none"/>
          <w:lang w:bidi="ar-SA"/>
        </w:rPr>
        <w:t>”</w:t>
      </w:r>
      <w:r>
        <w:rPr>
          <w:rFonts w:hint="eastAsia" w:ascii="Times New Roman" w:hAnsi="Times New Roman" w:eastAsia="仿宋_GB2312" w:cs="Times New Roman"/>
          <w:sz w:val="32"/>
          <w:szCs w:val="32"/>
          <w:highlight w:val="none"/>
          <w:u w:val="none"/>
          <w:lang w:bidi="ar-SA"/>
        </w:rPr>
        <w:t>产品稳定供应，强化食品安全保障，促进从农田到餐桌的大农业、大食品、大健康全链条产业发展</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11.交通运输支出。</w:t>
      </w:r>
      <w:r>
        <w:rPr>
          <w:rFonts w:hint="eastAsia" w:ascii="仿宋_GB2312" w:eastAsia="仿宋_GB2312" w:cs="仿宋_GB2312"/>
          <w:kern w:val="0"/>
          <w:sz w:val="32"/>
          <w:szCs w:val="32"/>
          <w:highlight w:val="none"/>
          <w:u w:val="none"/>
          <w:lang w:bidi="ar-SA"/>
        </w:rPr>
        <w:t>反映政府用于交通运输方面的支出，计划安排208.9亿元，增长24.7%，主要是</w:t>
      </w:r>
      <w:r>
        <w:rPr>
          <w:rFonts w:hint="eastAsia" w:ascii="仿宋_GB2312" w:eastAsia="仿宋_GB2312" w:cs="Times New Roman"/>
          <w:sz w:val="32"/>
          <w:highlight w:val="none"/>
          <w:u w:val="none"/>
          <w:lang w:bidi="ar-SA"/>
        </w:rPr>
        <w:t>持续增强枢纽城市功能，</w:t>
      </w:r>
      <w:r>
        <w:rPr>
          <w:rFonts w:hint="eastAsia" w:ascii="仿宋_GB2312" w:eastAsia="仿宋_GB2312" w:cs="仿宋_GB2312"/>
          <w:kern w:val="0"/>
          <w:sz w:val="32"/>
          <w:szCs w:val="32"/>
          <w:highlight w:val="none"/>
          <w:u w:val="none"/>
          <w:lang w:bidi="ar-SA"/>
        </w:rPr>
        <w:t>妈湾跨海通道、深中通道等高快速路建设项目资金增加。</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安排公路水路运输支出160.</w:t>
      </w:r>
      <w:r>
        <w:rPr>
          <w:rFonts w:hint="eastAsia" w:ascii="仿宋_GB2312" w:eastAsia="仿宋_GB2312" w:cs="仿宋_GB2312"/>
          <w:kern w:val="0"/>
          <w:sz w:val="32"/>
          <w:szCs w:val="32"/>
          <w:highlight w:val="none"/>
          <w:u w:val="none"/>
          <w:lang w:val="en-US" w:eastAsia="zh-CN" w:bidi="ar-SA"/>
        </w:rPr>
        <w:t>8</w:t>
      </w:r>
      <w:r>
        <w:rPr>
          <w:rFonts w:hint="eastAsia" w:ascii="仿宋_GB2312" w:eastAsia="仿宋_GB2312" w:cs="仿宋_GB2312"/>
          <w:kern w:val="0"/>
          <w:sz w:val="32"/>
          <w:szCs w:val="32"/>
          <w:highlight w:val="none"/>
          <w:u w:val="none"/>
          <w:lang w:bidi="ar-SA"/>
        </w:rPr>
        <w:t>亿元，</w:t>
      </w:r>
      <w:r>
        <w:rPr>
          <w:rFonts w:hint="eastAsia" w:ascii="仿宋_GB2312" w:eastAsia="仿宋_GB2312" w:cs="仿宋_GB2312"/>
          <w:sz w:val="32"/>
          <w:szCs w:val="32"/>
          <w:highlight w:val="none"/>
          <w:u w:val="none"/>
          <w:lang w:bidi="ar-SA"/>
        </w:rPr>
        <w:t>重点推进深中通道、妈湾跨海通道、机荷高速改扩建等交通工程建设</w:t>
      </w:r>
      <w:r>
        <w:rPr>
          <w:rFonts w:hint="eastAsia" w:ascii="仿宋_GB2312" w:eastAsia="仿宋_GB2312" w:cs="仿宋_GB2312"/>
          <w:kern w:val="0"/>
          <w:sz w:val="32"/>
          <w:szCs w:val="32"/>
          <w:highlight w:val="none"/>
          <w:u w:val="none"/>
          <w:lang w:bidi="ar-SA"/>
        </w:rPr>
        <w:t>；</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安排铁路运输支出18.5亿元，</w:t>
      </w:r>
      <w:r>
        <w:rPr>
          <w:rFonts w:hint="eastAsia" w:ascii="仿宋_GB2312" w:eastAsia="仿宋_GB2312" w:cs="仿宋_GB2312"/>
          <w:sz w:val="32"/>
          <w:szCs w:val="32"/>
          <w:highlight w:val="none"/>
          <w:u w:val="none"/>
          <w:lang w:bidi="ar-SA"/>
        </w:rPr>
        <w:t>加快推进深汕高铁、穗莞深城际、深大城际等项目</w:t>
      </w:r>
      <w:r>
        <w:rPr>
          <w:rFonts w:hint="eastAsia" w:ascii="仿宋_GB2312" w:eastAsia="仿宋_GB2312" w:cs="仿宋_GB2312"/>
          <w:kern w:val="0"/>
          <w:sz w:val="32"/>
          <w:szCs w:val="32"/>
          <w:highlight w:val="none"/>
          <w:u w:val="none"/>
          <w:lang w:bidi="ar-SA"/>
        </w:rPr>
        <w:t>建设；</w:t>
      </w:r>
      <w:r>
        <w:rPr>
          <w:rFonts w:hint="eastAsia" w:ascii="仿宋_GB2312" w:eastAsia="仿宋_GB2312" w:cs="仿宋_GB2312"/>
          <w:b/>
          <w:kern w:val="0"/>
          <w:sz w:val="32"/>
          <w:szCs w:val="32"/>
          <w:highlight w:val="none"/>
          <w:u w:val="none"/>
          <w:lang w:bidi="ar-SA"/>
        </w:rPr>
        <w:t>三是</w:t>
      </w:r>
      <w:r>
        <w:rPr>
          <w:rFonts w:hint="eastAsia" w:ascii="仿宋_GB2312" w:eastAsia="仿宋_GB2312" w:cs="仿宋_GB2312"/>
          <w:kern w:val="0"/>
          <w:sz w:val="32"/>
          <w:szCs w:val="32"/>
          <w:highlight w:val="none"/>
          <w:u w:val="none"/>
          <w:lang w:bidi="ar-SA"/>
        </w:rPr>
        <w:t>安排其他交通运输支出26.3亿元，加快推动综合停车场等交通基础设施建设。</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12.资源勘探工业信息等支出。</w:t>
      </w:r>
      <w:r>
        <w:rPr>
          <w:rFonts w:hint="eastAsia" w:ascii="仿宋_GB2312" w:eastAsia="仿宋_GB2312" w:cs="仿宋_GB2312"/>
          <w:kern w:val="0"/>
          <w:sz w:val="32"/>
          <w:szCs w:val="32"/>
          <w:highlight w:val="none"/>
          <w:u w:val="none"/>
          <w:lang w:bidi="ar-SA"/>
        </w:rPr>
        <w:t>反映政府用于制造业、中小企业发展、工业和信息产业监管等方面的支出，计划安排116.6亿元，增长32.7%，主要是新增安排工业园区供电环境综合升级改造资金28.5亿元。</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安排制造业支出53.5亿元，支持工业企业扩大产能，推动工业园区供电环境综合升级改造，降低企业经营成本、</w:t>
      </w:r>
      <w:r>
        <w:rPr>
          <w:rFonts w:hint="eastAsia" w:ascii="仿宋_GB2312" w:eastAsia="仿宋_GB2312" w:cs="Times New Roman"/>
          <w:sz w:val="32"/>
          <w:szCs w:val="32"/>
          <w:highlight w:val="none"/>
          <w:u w:val="none"/>
          <w:lang w:bidi="ar-SA"/>
        </w:rPr>
        <w:t>强化制造业基础能力、</w:t>
      </w:r>
      <w:r>
        <w:rPr>
          <w:rFonts w:hint="eastAsia" w:ascii="仿宋_GB2312" w:eastAsia="仿宋_GB2312" w:cs="Times New Roman"/>
          <w:kern w:val="0"/>
          <w:sz w:val="32"/>
          <w:szCs w:val="32"/>
          <w:highlight w:val="none"/>
          <w:u w:val="none"/>
          <w:lang w:bidi="ar-SA"/>
        </w:rPr>
        <w:t>提升全产业链现代化水平，</w:t>
      </w:r>
      <w:r>
        <w:rPr>
          <w:rFonts w:hint="eastAsia" w:ascii="仿宋_GB2312" w:eastAsia="仿宋_GB2312" w:cs="仿宋_GB2312"/>
          <w:sz w:val="32"/>
          <w:szCs w:val="32"/>
          <w:highlight w:val="none"/>
          <w:u w:val="none"/>
          <w:lang w:bidi="ar-SA"/>
        </w:rPr>
        <w:t>夯实制造强市建设基础</w:t>
      </w:r>
      <w:r>
        <w:rPr>
          <w:rFonts w:hint="eastAsia" w:ascii="仿宋_GB2312" w:eastAsia="仿宋_GB2312" w:cs="仿宋_GB2312"/>
          <w:kern w:val="0"/>
          <w:sz w:val="32"/>
          <w:szCs w:val="32"/>
          <w:highlight w:val="none"/>
          <w:u w:val="none"/>
          <w:lang w:bidi="ar-SA"/>
        </w:rPr>
        <w:t>；</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安排工业和信息产业监管支出42.1亿元，支持企业提升竞争力，</w:t>
      </w:r>
      <w:r>
        <w:rPr>
          <w:rFonts w:hint="eastAsia" w:ascii="仿宋_GB2312" w:eastAsia="仿宋_GB2312" w:cs="Times New Roman"/>
          <w:kern w:val="0"/>
          <w:sz w:val="32"/>
          <w:szCs w:val="32"/>
          <w:highlight w:val="none"/>
          <w:u w:val="none"/>
          <w:lang w:bidi="ar-SA"/>
        </w:rPr>
        <w:t>培育更多“专精特新”企业。</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楷体_GB2312"/>
          <w:snapToGrid w:val="0"/>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13.商业服务业等支出。</w:t>
      </w:r>
      <w:r>
        <w:rPr>
          <w:rFonts w:hint="eastAsia" w:ascii="仿宋_GB2312" w:eastAsia="仿宋_GB2312" w:cs="仿宋_GB2312"/>
          <w:kern w:val="0"/>
          <w:sz w:val="32"/>
          <w:szCs w:val="32"/>
          <w:highlight w:val="none"/>
          <w:u w:val="none"/>
          <w:lang w:bidi="ar-SA"/>
        </w:rPr>
        <w:t>反映政府用于商业服务业等方面的支出，计划安排66亿元，下降3.3%。</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安排支持商贸流通领域发展资金19.6亿元，支持</w:t>
      </w:r>
      <w:r>
        <w:rPr>
          <w:rFonts w:hint="eastAsia" w:ascii="仿宋_GB2312" w:eastAsia="仿宋_GB2312" w:cs="Times New Roman"/>
          <w:kern w:val="0"/>
          <w:sz w:val="32"/>
          <w:szCs w:val="32"/>
          <w:highlight w:val="none"/>
          <w:u w:val="none"/>
          <w:lang w:bidi="ar-SA"/>
        </w:rPr>
        <w:t>国际消费和贸易中心城市建设</w:t>
      </w:r>
      <w:r>
        <w:rPr>
          <w:rFonts w:hint="eastAsia" w:ascii="仿宋_GB2312" w:eastAsia="仿宋_GB2312" w:cs="仿宋_GB2312"/>
          <w:kern w:val="0"/>
          <w:sz w:val="32"/>
          <w:szCs w:val="32"/>
          <w:highlight w:val="none"/>
          <w:u w:val="none"/>
          <w:lang w:bidi="ar-SA"/>
        </w:rPr>
        <w:t>，</w:t>
      </w:r>
      <w:r>
        <w:rPr>
          <w:rFonts w:hint="eastAsia" w:ascii="仿宋_GB2312" w:eastAsia="仿宋_GB2312" w:cs="楷体_GB2312"/>
          <w:bCs/>
          <w:snapToGrid w:val="0"/>
          <w:kern w:val="0"/>
          <w:sz w:val="32"/>
          <w:szCs w:val="32"/>
          <w:highlight w:val="none"/>
          <w:u w:val="none"/>
          <w:lang w:bidi="ar-SA"/>
        </w:rPr>
        <w:t>壮大商贸领域重点企业，挖掘电子商务和网络零售潜力，促进消费升级，</w:t>
      </w:r>
      <w:r>
        <w:rPr>
          <w:rFonts w:hint="eastAsia" w:ascii="仿宋_GB2312" w:eastAsia="仿宋_GB2312" w:cs="楷体_GB2312"/>
          <w:snapToGrid w:val="0"/>
          <w:kern w:val="0"/>
          <w:sz w:val="32"/>
          <w:szCs w:val="32"/>
          <w:highlight w:val="none"/>
          <w:u w:val="none"/>
          <w:lang w:bidi="ar-SA"/>
        </w:rPr>
        <w:t>培育和引进更多大型外贸企业，支持中小型外贸企业开拓国际市场，更好构建新发展格局；</w:t>
      </w:r>
      <w:r>
        <w:rPr>
          <w:rFonts w:hint="eastAsia" w:ascii="仿宋_GB2312" w:eastAsia="仿宋_GB2312" w:cs="楷体_GB2312"/>
          <w:b/>
          <w:snapToGrid w:val="0"/>
          <w:kern w:val="0"/>
          <w:sz w:val="32"/>
          <w:szCs w:val="32"/>
          <w:highlight w:val="none"/>
          <w:u w:val="none"/>
          <w:lang w:bidi="ar-SA"/>
        </w:rPr>
        <w:t>二是</w:t>
      </w:r>
      <w:r>
        <w:rPr>
          <w:rFonts w:hint="eastAsia" w:ascii="仿宋_GB2312" w:eastAsia="仿宋_GB2312" w:cs="楷体_GB2312"/>
          <w:snapToGrid w:val="0"/>
          <w:kern w:val="0"/>
          <w:sz w:val="32"/>
          <w:szCs w:val="32"/>
          <w:highlight w:val="none"/>
          <w:u w:val="none"/>
          <w:lang w:bidi="ar-SA"/>
        </w:rPr>
        <w:t>安排支持</w:t>
      </w:r>
      <w:r>
        <w:rPr>
          <w:rFonts w:hint="eastAsia" w:ascii="仿宋_GB2312" w:eastAsia="仿宋_GB2312" w:cs="仿宋_GB2312"/>
          <w:sz w:val="32"/>
          <w:szCs w:val="32"/>
          <w:highlight w:val="none"/>
          <w:u w:val="none"/>
          <w:lang w:bidi="ar-SA"/>
        </w:rPr>
        <w:t>外贸稳定增长</w:t>
      </w:r>
      <w:r>
        <w:rPr>
          <w:rFonts w:hint="eastAsia" w:ascii="仿宋_GB2312" w:eastAsia="仿宋_GB2312" w:cs="Times New Roman"/>
          <w:kern w:val="0"/>
          <w:sz w:val="32"/>
          <w:szCs w:val="32"/>
          <w:highlight w:val="none"/>
          <w:u w:val="none"/>
          <w:lang w:bidi="ar-SA"/>
        </w:rPr>
        <w:t>15亿元，</w:t>
      </w:r>
      <w:r>
        <w:rPr>
          <w:rFonts w:hint="eastAsia" w:ascii="仿宋_GB2312" w:eastAsia="仿宋_GB2312" w:cs="仿宋_GB2312"/>
          <w:bCs/>
          <w:sz w:val="32"/>
          <w:szCs w:val="32"/>
          <w:highlight w:val="none"/>
          <w:u w:val="none"/>
          <w:lang w:bidi="ar-SA"/>
        </w:rPr>
        <w:t>多渠道降低外贸企业经营成本，完善外贸公共服务体系；</w:t>
      </w:r>
      <w:r>
        <w:rPr>
          <w:rFonts w:hint="eastAsia" w:ascii="仿宋_GB2312" w:eastAsia="仿宋_GB2312" w:cs="楷体_GB2312"/>
          <w:b/>
          <w:snapToGrid w:val="0"/>
          <w:kern w:val="0"/>
          <w:sz w:val="32"/>
          <w:szCs w:val="32"/>
          <w:highlight w:val="none"/>
          <w:u w:val="none"/>
          <w:lang w:bidi="ar-SA"/>
        </w:rPr>
        <w:t>三是</w:t>
      </w:r>
      <w:r>
        <w:rPr>
          <w:rFonts w:hint="eastAsia" w:ascii="仿宋_GB2312" w:eastAsia="仿宋_GB2312" w:cs="楷体_GB2312"/>
          <w:snapToGrid w:val="0"/>
          <w:kern w:val="0"/>
          <w:sz w:val="32"/>
          <w:szCs w:val="32"/>
          <w:highlight w:val="none"/>
          <w:u w:val="none"/>
          <w:lang w:bidi="ar-SA"/>
        </w:rPr>
        <w:t>安排前海现代服务业高质量发展资金23.9亿元，加强与香港在现代金融、数字时尚、专业服务、交流交往等领域合作，充分释放“扩区”效应。</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Times New Roman"/>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14.金融支出。</w:t>
      </w:r>
      <w:r>
        <w:rPr>
          <w:rFonts w:hint="eastAsia" w:ascii="仿宋_GB2312" w:eastAsia="仿宋_GB2312" w:cs="仿宋_GB2312"/>
          <w:kern w:val="0"/>
          <w:sz w:val="32"/>
          <w:szCs w:val="32"/>
          <w:highlight w:val="none"/>
          <w:u w:val="none"/>
          <w:lang w:bidi="ar-SA"/>
        </w:rPr>
        <w:t>反映政府用于金融方面的支出，计划安排5.7亿元，下降4.1%。主要用于金融发展专项资金支出，</w:t>
      </w:r>
      <w:r>
        <w:rPr>
          <w:rFonts w:hint="eastAsia" w:ascii="仿宋_GB2312" w:eastAsia="仿宋_GB2312" w:cs="Times New Roman"/>
          <w:sz w:val="32"/>
          <w:highlight w:val="none"/>
          <w:u w:val="none"/>
          <w:lang w:bidi="ar-SA"/>
        </w:rPr>
        <w:t>吸引具有国际影响力的金融项目、机构和平台落户，推动</w:t>
      </w:r>
      <w:r>
        <w:rPr>
          <w:rFonts w:hint="eastAsia" w:ascii="仿宋_GB2312" w:eastAsia="仿宋_GB2312" w:cs="Times New Roman"/>
          <w:sz w:val="32"/>
          <w:szCs w:val="32"/>
          <w:highlight w:val="none"/>
          <w:u w:val="none"/>
          <w:lang w:bidi="ar-SA"/>
        </w:rPr>
        <w:t>科技与金融深度融合，攻关金融科技前沿关键技术，鼓励金融更好服务实体经济，</w:t>
      </w:r>
      <w:r>
        <w:rPr>
          <w:rFonts w:hint="eastAsia" w:ascii="仿宋_GB2312" w:eastAsia="仿宋_GB2312" w:cs="Times New Roman"/>
          <w:kern w:val="0"/>
          <w:sz w:val="32"/>
          <w:szCs w:val="32"/>
          <w:highlight w:val="none"/>
          <w:u w:val="none"/>
          <w:lang w:bidi="ar-SA"/>
        </w:rPr>
        <w:t>推动</w:t>
      </w:r>
      <w:r>
        <w:rPr>
          <w:rFonts w:hint="eastAsia" w:ascii="仿宋_GB2312" w:eastAsia="仿宋_GB2312" w:cs="仿宋_GB2312"/>
          <w:bCs/>
          <w:kern w:val="0"/>
          <w:sz w:val="32"/>
          <w:szCs w:val="32"/>
          <w:highlight w:val="none"/>
          <w:u w:val="none"/>
          <w:lang w:bidi="ar-SA"/>
        </w:rPr>
        <w:t>建设有影响力的全球金融创新中心</w:t>
      </w:r>
      <w:r>
        <w:rPr>
          <w:rFonts w:hint="eastAsia" w:ascii="仿宋_GB2312" w:eastAsia="仿宋_GB2312" w:cs="Times New Roman"/>
          <w:kern w:val="0"/>
          <w:sz w:val="32"/>
          <w:szCs w:val="32"/>
          <w:highlight w:val="none"/>
          <w:u w:val="none"/>
          <w:lang w:bidi="ar-SA"/>
        </w:rPr>
        <w:t>。</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Times New Roman"/>
          <w:b/>
          <w:kern w:val="0"/>
          <w:sz w:val="32"/>
          <w:szCs w:val="32"/>
          <w:highlight w:val="none"/>
          <w:u w:val="none"/>
          <w:lang w:bidi="ar-SA"/>
        </w:rPr>
        <w:t>15.援助其他地区支出。</w:t>
      </w:r>
      <w:r>
        <w:rPr>
          <w:rFonts w:hint="eastAsia" w:ascii="仿宋_GB2312" w:eastAsia="仿宋_GB2312" w:cs="仿宋_GB2312"/>
          <w:kern w:val="0"/>
          <w:sz w:val="32"/>
          <w:szCs w:val="32"/>
          <w:highlight w:val="none"/>
          <w:u w:val="none"/>
          <w:lang w:bidi="ar-SA"/>
        </w:rPr>
        <w:t>反映政府用于其他地区帮扶、援助等方面的支出</w:t>
      </w:r>
      <w:r>
        <w:rPr>
          <w:rFonts w:hint="eastAsia" w:ascii="仿宋_GB2312" w:eastAsia="仿宋_GB2312" w:cs="仿宋_GB2312"/>
          <w:kern w:val="0"/>
          <w:sz w:val="32"/>
          <w:szCs w:val="32"/>
          <w:highlight w:val="none"/>
          <w:u w:val="none"/>
          <w:lang w:eastAsia="zh-CN" w:bidi="ar-SA"/>
        </w:rPr>
        <w:t>。</w:t>
      </w:r>
      <w:r>
        <w:rPr>
          <w:rFonts w:hint="eastAsia" w:ascii="仿宋_GB2312" w:eastAsia="仿宋_GB2312" w:cs="仿宋_GB2312"/>
          <w:sz w:val="32"/>
          <w:szCs w:val="32"/>
          <w:highlight w:val="none"/>
          <w:u w:val="none"/>
          <w:lang w:bidi="ar-SA"/>
        </w:rPr>
        <w:t>根据2020年9月中办、国办印发的《关于调整完善土地出让收入使用范围优先支持乡村振兴的意见》，市财政援助其他地区支出由一般公共预算调整为在政府性基金预算中安排。</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sz w:val="32"/>
          <w:szCs w:val="32"/>
          <w:highlight w:val="none"/>
          <w:u w:val="none"/>
          <w:lang w:bidi="ar-SA"/>
        </w:rPr>
        <w:t>市本级在政府性基金预算中安排援助其他地区支出4</w:t>
      </w:r>
      <w:r>
        <w:rPr>
          <w:rFonts w:hint="eastAsia" w:ascii="仿宋_GB2312" w:eastAsia="仿宋_GB2312" w:cs="仿宋_GB2312"/>
          <w:sz w:val="32"/>
          <w:szCs w:val="32"/>
          <w:highlight w:val="none"/>
          <w:u w:val="none"/>
          <w:lang w:val="en-US" w:eastAsia="zh-CN" w:bidi="ar-SA"/>
        </w:rPr>
        <w:t>8.3</w:t>
      </w:r>
      <w:r>
        <w:rPr>
          <w:rFonts w:hint="eastAsia" w:ascii="仿宋_GB2312" w:eastAsia="仿宋_GB2312" w:cs="仿宋_GB2312"/>
          <w:sz w:val="32"/>
          <w:szCs w:val="32"/>
          <w:highlight w:val="none"/>
          <w:u w:val="none"/>
          <w:lang w:bidi="ar-SA"/>
        </w:rPr>
        <w:t>亿元，</w:t>
      </w:r>
      <w:r>
        <w:rPr>
          <w:rFonts w:hint="eastAsia" w:ascii="仿宋_GB2312" w:eastAsia="仿宋_GB2312" w:cs="仿宋_GB2312"/>
          <w:kern w:val="0"/>
          <w:sz w:val="32"/>
          <w:szCs w:val="32"/>
          <w:highlight w:val="none"/>
          <w:u w:val="none"/>
          <w:lang w:bidi="ar-SA"/>
        </w:rPr>
        <w:t>增长2</w:t>
      </w:r>
      <w:r>
        <w:rPr>
          <w:rFonts w:hint="eastAsia" w:ascii="仿宋_GB2312" w:eastAsia="仿宋_GB2312" w:cs="仿宋_GB2312"/>
          <w:kern w:val="0"/>
          <w:sz w:val="32"/>
          <w:szCs w:val="32"/>
          <w:highlight w:val="none"/>
          <w:u w:val="none"/>
          <w:lang w:val="en-US" w:eastAsia="zh-CN" w:bidi="ar-SA"/>
        </w:rPr>
        <w:t>3.</w:t>
      </w:r>
      <w:r>
        <w:rPr>
          <w:rFonts w:hint="eastAsia" w:ascii="仿宋_GB2312" w:eastAsia="仿宋_GB2312" w:cs="仿宋_GB2312"/>
          <w:kern w:val="0"/>
          <w:sz w:val="32"/>
          <w:szCs w:val="32"/>
          <w:highlight w:val="none"/>
          <w:u w:val="none"/>
          <w:lang w:bidi="ar-SA"/>
        </w:rPr>
        <w:t>5%，主要是落实</w:t>
      </w:r>
      <w:r>
        <w:rPr>
          <w:rFonts w:hint="eastAsia" w:ascii="仿宋_GB2312" w:eastAsia="仿宋_GB2312" w:cs="仿宋_GB2312"/>
          <w:color w:val="000000"/>
          <w:sz w:val="32"/>
          <w:szCs w:val="32"/>
          <w:highlight w:val="none"/>
          <w:u w:val="none"/>
          <w:lang w:bidi="ar-SA"/>
        </w:rPr>
        <w:t>广东省乡村振兴驻镇帮镇扶村工作方案要求，安排</w:t>
      </w:r>
      <w:r>
        <w:rPr>
          <w:rFonts w:hint="eastAsia" w:ascii="仿宋_GB2312" w:eastAsia="仿宋_GB2312" w:cs="仿宋_GB2312"/>
          <w:kern w:val="0"/>
          <w:sz w:val="32"/>
          <w:szCs w:val="32"/>
          <w:highlight w:val="none"/>
          <w:u w:val="none"/>
          <w:lang w:bidi="ar-SA"/>
        </w:rPr>
        <w:t>驻镇帮镇扶村支出18.9亿元，</w:t>
      </w:r>
      <w:r>
        <w:rPr>
          <w:rFonts w:hint="eastAsia" w:ascii="仿宋_GB2312" w:eastAsia="仿宋_GB2312" w:cs="仿宋_GB2312"/>
          <w:kern w:val="0"/>
          <w:sz w:val="32"/>
          <w:szCs w:val="32"/>
          <w:highlight w:val="none"/>
          <w:u w:val="none"/>
          <w:lang w:eastAsia="zh-CN" w:bidi="ar-SA"/>
        </w:rPr>
        <w:t>较</w:t>
      </w:r>
      <w:r>
        <w:rPr>
          <w:rFonts w:hint="eastAsia" w:ascii="仿宋_GB2312" w:eastAsia="仿宋_GB2312" w:cs="仿宋_GB2312"/>
          <w:kern w:val="0"/>
          <w:sz w:val="32"/>
          <w:szCs w:val="32"/>
          <w:highlight w:val="none"/>
          <w:u w:val="none"/>
          <w:lang w:val="en-US" w:eastAsia="zh-CN" w:bidi="ar-SA"/>
        </w:rPr>
        <w:t>2021年</w:t>
      </w:r>
      <w:r>
        <w:rPr>
          <w:rFonts w:hint="eastAsia" w:ascii="仿宋_GB2312" w:eastAsia="仿宋_GB2312" w:cs="仿宋_GB2312"/>
          <w:kern w:val="0"/>
          <w:sz w:val="32"/>
          <w:szCs w:val="32"/>
          <w:highlight w:val="none"/>
          <w:u w:val="none"/>
          <w:lang w:eastAsia="zh-CN" w:bidi="ar-SA"/>
        </w:rPr>
        <w:t>年初预算</w:t>
      </w:r>
      <w:r>
        <w:rPr>
          <w:rFonts w:hint="eastAsia" w:ascii="仿宋_GB2312" w:eastAsia="仿宋_GB2312" w:cs="仿宋_GB2312"/>
          <w:kern w:val="0"/>
          <w:sz w:val="32"/>
          <w:szCs w:val="32"/>
          <w:highlight w:val="none"/>
          <w:u w:val="none"/>
          <w:lang w:bidi="ar-SA"/>
        </w:rPr>
        <w:t>增加12.8亿元。</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安排汕头、河源、汕尾等驻镇帮镇扶村和对口帮扶河源、汕尾支出22亿元，更好支持粤东地区协调发展、落实乡村振兴战略；</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安排对口援疆支出12亿元；</w:t>
      </w:r>
      <w:r>
        <w:rPr>
          <w:rFonts w:hint="eastAsia" w:ascii="仿宋_GB2312" w:eastAsia="仿宋_GB2312" w:cs="仿宋_GB2312"/>
          <w:b/>
          <w:kern w:val="0"/>
          <w:sz w:val="32"/>
          <w:szCs w:val="32"/>
          <w:highlight w:val="none"/>
          <w:u w:val="none"/>
          <w:lang w:bidi="ar-SA"/>
        </w:rPr>
        <w:t>三是</w:t>
      </w:r>
      <w:r>
        <w:rPr>
          <w:rFonts w:hint="eastAsia" w:ascii="仿宋_GB2312" w:eastAsia="仿宋_GB2312" w:cs="仿宋_GB2312"/>
          <w:kern w:val="0"/>
          <w:sz w:val="32"/>
          <w:szCs w:val="32"/>
          <w:highlight w:val="none"/>
          <w:u w:val="none"/>
          <w:lang w:bidi="ar-SA"/>
        </w:rPr>
        <w:t>安排广西百色、河池、南宁、桂林等对口协作支出11亿元。</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16.自然资源海洋气象等支出。</w:t>
      </w:r>
      <w:r>
        <w:rPr>
          <w:rFonts w:hint="eastAsia" w:ascii="仿宋_GB2312" w:eastAsia="仿宋_GB2312" w:cs="仿宋_GB2312"/>
          <w:kern w:val="0"/>
          <w:sz w:val="32"/>
          <w:szCs w:val="32"/>
          <w:highlight w:val="none"/>
          <w:u w:val="none"/>
          <w:lang w:bidi="ar-SA"/>
        </w:rPr>
        <w:t>反映政府用于自然资源、海洋、测绘、气象等方面的支出，计划安排</w:t>
      </w:r>
      <w:r>
        <w:rPr>
          <w:rFonts w:hint="eastAsia" w:ascii="仿宋_GB2312" w:eastAsia="仿宋_GB2312" w:cs="仿宋_GB2312"/>
          <w:kern w:val="0"/>
          <w:sz w:val="32"/>
          <w:szCs w:val="32"/>
          <w:highlight w:val="none"/>
          <w:u w:val="none"/>
          <w:lang w:val="en-US" w:eastAsia="zh-CN" w:bidi="ar-SA"/>
        </w:rPr>
        <w:t>20</w:t>
      </w:r>
      <w:r>
        <w:rPr>
          <w:rFonts w:hint="eastAsia" w:ascii="仿宋_GB2312" w:eastAsia="仿宋_GB2312" w:cs="仿宋_GB2312"/>
          <w:kern w:val="0"/>
          <w:sz w:val="32"/>
          <w:szCs w:val="32"/>
          <w:highlight w:val="none"/>
          <w:u w:val="none"/>
          <w:lang w:bidi="ar-SA"/>
        </w:rPr>
        <w:t>亿元，下降</w:t>
      </w:r>
      <w:r>
        <w:rPr>
          <w:rFonts w:hint="eastAsia" w:ascii="仿宋_GB2312" w:eastAsia="仿宋_GB2312" w:cs="仿宋_GB2312"/>
          <w:kern w:val="0"/>
          <w:sz w:val="32"/>
          <w:szCs w:val="32"/>
          <w:highlight w:val="none"/>
          <w:u w:val="none"/>
          <w:lang w:val="en-US" w:eastAsia="zh-CN" w:bidi="ar-SA"/>
        </w:rPr>
        <w:t>4.5</w:t>
      </w:r>
      <w:r>
        <w:rPr>
          <w:rFonts w:hint="eastAsia" w:ascii="仿宋_GB2312" w:eastAsia="仿宋_GB2312" w:cs="仿宋_GB2312"/>
          <w:kern w:val="0"/>
          <w:sz w:val="32"/>
          <w:szCs w:val="32"/>
          <w:highlight w:val="none"/>
          <w:u w:val="none"/>
          <w:lang w:bidi="ar-SA"/>
        </w:rPr>
        <w:t>%。</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安排自然资源事务</w:t>
      </w:r>
      <w:r>
        <w:rPr>
          <w:rFonts w:hint="eastAsia" w:ascii="仿宋_GB2312" w:eastAsia="仿宋_GB2312" w:cs="仿宋_GB2312"/>
          <w:kern w:val="0"/>
          <w:sz w:val="32"/>
          <w:szCs w:val="32"/>
          <w:highlight w:val="none"/>
          <w:u w:val="none"/>
          <w:lang w:val="en-US" w:eastAsia="zh-CN" w:bidi="ar-SA"/>
        </w:rPr>
        <w:t>16.7</w:t>
      </w:r>
      <w:r>
        <w:rPr>
          <w:rFonts w:hint="eastAsia" w:ascii="仿宋_GB2312" w:eastAsia="仿宋_GB2312" w:cs="仿宋_GB2312"/>
          <w:kern w:val="0"/>
          <w:sz w:val="32"/>
          <w:szCs w:val="32"/>
          <w:highlight w:val="none"/>
          <w:u w:val="none"/>
          <w:lang w:bidi="ar-SA"/>
        </w:rPr>
        <w:t>亿元，用于基础测绘与地理信息监管、自然资源调查与确权登记等；</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安排气象事务2.2亿元，用于预报预测、装备保障维护等。</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bCs/>
          <w:sz w:val="32"/>
          <w:szCs w:val="40"/>
          <w:highlight w:val="none"/>
          <w:u w:val="none"/>
          <w:lang w:bidi="ar-SA"/>
        </w:rPr>
      </w:pPr>
      <w:r>
        <w:rPr>
          <w:rFonts w:hint="eastAsia" w:ascii="仿宋_GB2312" w:eastAsia="仿宋_GB2312" w:cs="仿宋_GB2312"/>
          <w:b/>
          <w:kern w:val="0"/>
          <w:sz w:val="32"/>
          <w:szCs w:val="32"/>
          <w:highlight w:val="none"/>
          <w:u w:val="none"/>
          <w:lang w:bidi="ar-SA"/>
        </w:rPr>
        <w:t>17.住房保障支出。</w:t>
      </w:r>
      <w:r>
        <w:rPr>
          <w:rFonts w:hint="eastAsia" w:ascii="仿宋_GB2312" w:eastAsia="仿宋_GB2312" w:cs="仿宋_GB2312"/>
          <w:kern w:val="0"/>
          <w:sz w:val="32"/>
          <w:szCs w:val="32"/>
          <w:highlight w:val="none"/>
          <w:u w:val="none"/>
          <w:lang w:bidi="ar-SA"/>
        </w:rPr>
        <w:t>反映政府用于住房方面的支出，计划安排66.7亿元，与上年基本持平。除一般公共预算安排的资金外，我市还多渠道筹集资金，</w:t>
      </w:r>
      <w:r>
        <w:rPr>
          <w:rFonts w:hint="eastAsia" w:ascii="仿宋_GB2312" w:eastAsia="仿宋_GB2312" w:cs="仿宋_GB2312"/>
          <w:bCs/>
          <w:sz w:val="32"/>
          <w:szCs w:val="40"/>
          <w:highlight w:val="none"/>
          <w:u w:val="none"/>
          <w:lang w:bidi="ar-SA"/>
        </w:rPr>
        <w:t>支持加快完善以公共租赁住房、保障性租赁住房和共有产权住房为主体的住房保障体系，</w:t>
      </w:r>
      <w:r>
        <w:rPr>
          <w:rFonts w:hint="eastAsia" w:ascii="仿宋_GB2312" w:eastAsia="仿宋_GB2312" w:cs="仿宋_GB2312"/>
          <w:b/>
          <w:sz w:val="32"/>
          <w:szCs w:val="40"/>
          <w:highlight w:val="none"/>
          <w:u w:val="none"/>
          <w:lang w:bidi="ar-SA"/>
        </w:rPr>
        <w:t>主要包括：</w:t>
      </w:r>
      <w:r>
        <w:rPr>
          <w:rFonts w:hint="eastAsia" w:ascii="仿宋_GB2312" w:eastAsia="仿宋_GB2312" w:cs="仿宋_GB2312"/>
          <w:b/>
          <w:bCs/>
          <w:sz w:val="32"/>
          <w:szCs w:val="40"/>
          <w:highlight w:val="none"/>
          <w:u w:val="none"/>
          <w:lang w:bidi="ar-SA"/>
        </w:rPr>
        <w:t>一是</w:t>
      </w:r>
      <w:r>
        <w:rPr>
          <w:rFonts w:hint="eastAsia" w:ascii="仿宋_GB2312" w:eastAsia="仿宋_GB2312" w:cs="仿宋_GB2312"/>
          <w:bCs/>
          <w:sz w:val="32"/>
          <w:szCs w:val="40"/>
          <w:highlight w:val="none"/>
          <w:u w:val="none"/>
          <w:lang w:bidi="ar-SA"/>
        </w:rPr>
        <w:t>支持开展大规模公共住房建设行动，</w:t>
      </w:r>
      <w:r>
        <w:rPr>
          <w:rFonts w:hint="eastAsia" w:ascii="仿宋_GB2312" w:eastAsia="仿宋_GB2312" w:cs="仿宋_GB2312"/>
          <w:bCs/>
          <w:color w:val="000000"/>
          <w:sz w:val="32"/>
          <w:szCs w:val="32"/>
          <w:highlight w:val="none"/>
          <w:u w:val="none"/>
          <w:lang w:eastAsia="zh-CN" w:bidi="ar-SA"/>
        </w:rPr>
        <w:t>通过市区两级</w:t>
      </w:r>
      <w:r>
        <w:rPr>
          <w:rFonts w:hint="eastAsia" w:ascii="仿宋_GB2312" w:eastAsia="仿宋_GB2312" w:cs="仿宋_GB2312"/>
          <w:bCs/>
          <w:color w:val="000000"/>
          <w:sz w:val="32"/>
          <w:szCs w:val="32"/>
          <w:highlight w:val="none"/>
          <w:u w:val="none"/>
          <w:lang w:bidi="ar-SA"/>
        </w:rPr>
        <w:t>财政</w:t>
      </w:r>
      <w:r>
        <w:rPr>
          <w:rFonts w:hint="eastAsia" w:ascii="仿宋_GB2312" w:eastAsia="仿宋_GB2312" w:cs="仿宋_GB2312"/>
          <w:bCs/>
          <w:color w:val="000000"/>
          <w:sz w:val="32"/>
          <w:szCs w:val="32"/>
          <w:highlight w:val="none"/>
          <w:u w:val="none"/>
          <w:lang w:eastAsia="zh-CN" w:bidi="ar-SA"/>
        </w:rPr>
        <w:t>投入、</w:t>
      </w:r>
      <w:r>
        <w:rPr>
          <w:rFonts w:hint="eastAsia" w:ascii="仿宋_GB2312" w:eastAsia="仿宋_GB2312" w:cs="仿宋_GB2312"/>
          <w:bCs/>
          <w:color w:val="000000"/>
          <w:sz w:val="32"/>
          <w:szCs w:val="32"/>
          <w:highlight w:val="none"/>
          <w:u w:val="none"/>
          <w:lang w:bidi="ar-SA"/>
        </w:rPr>
        <w:t>社会投资</w:t>
      </w:r>
      <w:r>
        <w:rPr>
          <w:rFonts w:hint="eastAsia" w:ascii="仿宋_GB2312" w:eastAsia="仿宋_GB2312" w:cs="仿宋_GB2312"/>
          <w:bCs/>
          <w:color w:val="000000"/>
          <w:sz w:val="32"/>
          <w:szCs w:val="32"/>
          <w:highlight w:val="none"/>
          <w:u w:val="none"/>
          <w:lang w:eastAsia="zh-CN" w:bidi="ar-SA"/>
        </w:rPr>
        <w:t>等方式多渠道筹集资金，推动完成公共住房投资</w:t>
      </w:r>
      <w:r>
        <w:rPr>
          <w:rFonts w:hint="eastAsia" w:ascii="仿宋_GB2312" w:eastAsia="仿宋_GB2312" w:cs="仿宋_GB2312"/>
          <w:bCs/>
          <w:color w:val="000000"/>
          <w:sz w:val="32"/>
          <w:szCs w:val="32"/>
          <w:highlight w:val="none"/>
          <w:u w:val="none"/>
          <w:lang w:val="en-US" w:eastAsia="zh-CN" w:bidi="ar-SA"/>
        </w:rPr>
        <w:t>390亿元，</w:t>
      </w:r>
      <w:r>
        <w:rPr>
          <w:rFonts w:hint="eastAsia" w:ascii="仿宋_GB2312" w:eastAsia="仿宋_GB2312" w:cs="仿宋_GB2312"/>
          <w:bCs/>
          <w:color w:val="000000"/>
          <w:sz w:val="32"/>
          <w:szCs w:val="32"/>
          <w:highlight w:val="none"/>
          <w:u w:val="none"/>
          <w:lang w:bidi="ar-SA"/>
        </w:rPr>
        <w:t>落实公共住房有关费用减免和低价优惠政策，支持公共住房项目，建设筹集公共住房11万套（间）</w:t>
      </w:r>
      <w:r>
        <w:rPr>
          <w:rFonts w:hint="eastAsia" w:ascii="仿宋_GB2312" w:eastAsia="仿宋_GB2312" w:cs="仿宋_GB2312"/>
          <w:bCs/>
          <w:color w:val="000000"/>
          <w:sz w:val="32"/>
          <w:szCs w:val="32"/>
          <w:highlight w:val="none"/>
          <w:u w:val="none"/>
          <w:lang w:eastAsia="zh-CN" w:bidi="ar-SA"/>
        </w:rPr>
        <w:t>、供应分配</w:t>
      </w:r>
      <w:r>
        <w:rPr>
          <w:rFonts w:hint="eastAsia" w:ascii="仿宋_GB2312" w:eastAsia="仿宋_GB2312" w:cs="仿宋_GB2312"/>
          <w:bCs/>
          <w:color w:val="000000"/>
          <w:sz w:val="32"/>
          <w:szCs w:val="32"/>
          <w:highlight w:val="none"/>
          <w:u w:val="none"/>
          <w:lang w:val="en-US" w:eastAsia="zh-CN" w:bidi="ar-SA"/>
        </w:rPr>
        <w:t>5.5万套（间）</w:t>
      </w:r>
      <w:r>
        <w:rPr>
          <w:rFonts w:hint="eastAsia" w:ascii="仿宋_GB2312" w:eastAsia="仿宋_GB2312" w:cs="仿宋_GB2312"/>
          <w:bCs/>
          <w:sz w:val="32"/>
          <w:szCs w:val="40"/>
          <w:highlight w:val="none"/>
          <w:u w:val="none"/>
          <w:lang w:bidi="ar-SA"/>
        </w:rPr>
        <w:t>；</w:t>
      </w:r>
      <w:r>
        <w:rPr>
          <w:rFonts w:hint="eastAsia" w:ascii="仿宋_GB2312" w:eastAsia="仿宋_GB2312" w:cs="仿宋_GB2312"/>
          <w:b/>
          <w:bCs/>
          <w:sz w:val="32"/>
          <w:szCs w:val="40"/>
          <w:highlight w:val="none"/>
          <w:u w:val="none"/>
          <w:lang w:bidi="ar-SA"/>
        </w:rPr>
        <w:t>二是</w:t>
      </w:r>
      <w:r>
        <w:rPr>
          <w:rFonts w:hint="eastAsia" w:ascii="仿宋_GB2312" w:eastAsia="仿宋_GB2312" w:cs="仿宋_GB2312"/>
          <w:bCs/>
          <w:sz w:val="32"/>
          <w:szCs w:val="40"/>
          <w:highlight w:val="none"/>
          <w:u w:val="none"/>
          <w:lang w:bidi="ar-SA"/>
        </w:rPr>
        <w:t>支持开展老旧小区改造行动，对2000年以前建成的老旧小区开展水电气等基础设施改造、加装电梯等公共配套完善工作，推动老旧小区改造300个</w:t>
      </w:r>
      <w:r>
        <w:rPr>
          <w:rFonts w:hint="eastAsia" w:ascii="仿宋_GB2312" w:eastAsia="仿宋_GB2312" w:cs="仿宋_GB2312"/>
          <w:bCs/>
          <w:color w:val="000000"/>
          <w:sz w:val="32"/>
          <w:szCs w:val="32"/>
          <w:highlight w:val="none"/>
          <w:u w:val="none"/>
          <w:lang w:val="en-US" w:eastAsia="zh-CN" w:bidi="ar-SA"/>
        </w:rPr>
        <w:t>以上</w:t>
      </w:r>
      <w:r>
        <w:rPr>
          <w:rFonts w:hint="eastAsia" w:ascii="仿宋_GB2312" w:eastAsia="仿宋_GB2312" w:cs="仿宋_GB2312"/>
          <w:bCs/>
          <w:sz w:val="32"/>
          <w:szCs w:val="40"/>
          <w:highlight w:val="none"/>
          <w:u w:val="none"/>
          <w:lang w:bidi="ar-SA"/>
        </w:rPr>
        <w:t>；</w:t>
      </w:r>
      <w:r>
        <w:rPr>
          <w:rFonts w:hint="eastAsia" w:ascii="仿宋_GB2312" w:eastAsia="仿宋_GB2312" w:cs="仿宋_GB2312"/>
          <w:b/>
          <w:bCs/>
          <w:sz w:val="32"/>
          <w:szCs w:val="40"/>
          <w:highlight w:val="none"/>
          <w:u w:val="none"/>
          <w:lang w:bidi="ar-SA"/>
        </w:rPr>
        <w:t>三是</w:t>
      </w:r>
      <w:r>
        <w:rPr>
          <w:rFonts w:hint="eastAsia" w:ascii="仿宋_GB2312" w:eastAsia="仿宋_GB2312" w:cs="仿宋_GB2312"/>
          <w:bCs/>
          <w:sz w:val="32"/>
          <w:szCs w:val="40"/>
          <w:highlight w:val="none"/>
          <w:u w:val="none"/>
          <w:lang w:val="en-US" w:eastAsia="zh-CN" w:bidi="ar-SA"/>
        </w:rPr>
        <w:t>支持发展住房租赁市场，开展货币化补贴行动</w:t>
      </w:r>
      <w:r>
        <w:rPr>
          <w:rFonts w:hint="eastAsia" w:ascii="仿宋_GB2312" w:eastAsia="仿宋_GB2312" w:cs="仿宋_GB2312"/>
          <w:bCs/>
          <w:sz w:val="32"/>
          <w:szCs w:val="40"/>
          <w:highlight w:val="none"/>
          <w:u w:val="none"/>
          <w:lang w:bidi="ar-SA"/>
        </w:rPr>
        <w:t>，出台覆盖特困人员、低保家庭、中低收入人员等住房困难人群的住房租赁补贴政策，推动实物保障与租赁补贴并举。</w:t>
      </w:r>
    </w:p>
    <w:p>
      <w:pPr>
        <w:keepNext w:val="0"/>
        <w:keepLines w:val="0"/>
        <w:pageBreakBefore w:val="0"/>
        <w:widowControl/>
        <w:kinsoku/>
        <w:wordWrap/>
        <w:topLinePunct w:val="0"/>
        <w:bidi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18.粮油物资储备支出。</w:t>
      </w:r>
      <w:r>
        <w:rPr>
          <w:rFonts w:hint="eastAsia" w:ascii="仿宋_GB2312" w:eastAsia="仿宋_GB2312" w:cs="仿宋_GB2312"/>
          <w:kern w:val="0"/>
          <w:sz w:val="32"/>
          <w:szCs w:val="32"/>
          <w:highlight w:val="none"/>
          <w:u w:val="none"/>
          <w:lang w:bidi="ar-SA"/>
        </w:rPr>
        <w:t>反映政府用于粮油物资储备方面的支出，计划安排11.5亿元、增长0.4%。主要是对粮油、活体猪、冻猪肉、食盐、药品等物资储备企业的政策性补贴，</w:t>
      </w:r>
      <w:r>
        <w:rPr>
          <w:rFonts w:hint="eastAsia" w:ascii="仿宋_GB2312" w:eastAsia="仿宋_GB2312" w:cs="黑体"/>
          <w:bCs/>
          <w:sz w:val="32"/>
          <w:highlight w:val="none"/>
          <w:u w:val="none"/>
          <w:lang w:bidi="ar-SA"/>
        </w:rPr>
        <w:t>支持海吉星农产品物流园建设和深汕粮库、平湖粮库改扩建等建设，</w:t>
      </w:r>
      <w:r>
        <w:rPr>
          <w:rFonts w:hint="eastAsia" w:ascii="仿宋_GB2312" w:eastAsia="仿宋_GB2312" w:cs="黑体"/>
          <w:bCs/>
          <w:sz w:val="32"/>
          <w:highlight w:val="none"/>
          <w:u w:val="none"/>
          <w:lang w:eastAsia="zh-CN" w:bidi="ar-SA"/>
        </w:rPr>
        <w:t>推动</w:t>
      </w:r>
      <w:r>
        <w:rPr>
          <w:rFonts w:hint="eastAsia" w:ascii="仿宋_GB2312" w:eastAsia="仿宋_GB2312" w:cs="仿宋_GB2312"/>
          <w:sz w:val="32"/>
          <w:szCs w:val="32"/>
          <w:highlight w:val="none"/>
          <w:u w:val="none"/>
          <w:lang w:bidi="ar-SA"/>
        </w:rPr>
        <w:t>粮食保障能力提升至8个月。</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19.灾害防治及应急管理支出。</w:t>
      </w:r>
      <w:r>
        <w:rPr>
          <w:rFonts w:hint="eastAsia" w:ascii="仿宋_GB2312" w:eastAsia="仿宋_GB2312" w:cs="仿宋_GB2312"/>
          <w:kern w:val="0"/>
          <w:sz w:val="32"/>
          <w:szCs w:val="32"/>
          <w:highlight w:val="none"/>
          <w:u w:val="none"/>
          <w:lang w:bidi="ar-SA"/>
        </w:rPr>
        <w:t>反映政府用于自然灾害防治、安全生产监管及应急管理等方面的支出，计划安排8亿元，下降42.2%，减少原因：</w:t>
      </w:r>
      <w:r>
        <w:rPr>
          <w:rFonts w:hint="eastAsia" w:ascii="仿宋_GB2312" w:eastAsia="仿宋_GB2312" w:cs="仿宋_GB2312"/>
          <w:b/>
          <w:bCs/>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2021年安排安全研究院保障资金1.5亿元，因政策到期2022年不再安排；</w:t>
      </w:r>
      <w:r>
        <w:rPr>
          <w:rFonts w:hint="eastAsia" w:ascii="仿宋_GB2312" w:eastAsia="仿宋_GB2312" w:cs="仿宋_GB2312"/>
          <w:b/>
          <w:bCs/>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2021年一次性安排消防装备更新补充二期等政府投资项目4.3亿。</w:t>
      </w:r>
      <w:r>
        <w:rPr>
          <w:rFonts w:hint="eastAsia" w:ascii="仿宋_GB2312" w:eastAsia="仿宋_GB2312" w:cs="仿宋_GB2312"/>
          <w:b/>
          <w:bCs/>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消防救援事务4.</w:t>
      </w:r>
      <w:r>
        <w:rPr>
          <w:rFonts w:hint="eastAsia" w:ascii="仿宋_GB2312" w:eastAsia="仿宋_GB2312" w:cs="仿宋_GB2312"/>
          <w:kern w:val="0"/>
          <w:sz w:val="32"/>
          <w:szCs w:val="32"/>
          <w:highlight w:val="none"/>
          <w:u w:val="none"/>
          <w:lang w:val="en-US" w:eastAsia="zh-CN" w:bidi="ar-SA"/>
        </w:rPr>
        <w:t>2</w:t>
      </w:r>
      <w:r>
        <w:rPr>
          <w:rFonts w:hint="eastAsia" w:ascii="仿宋_GB2312" w:eastAsia="仿宋_GB2312" w:cs="仿宋_GB2312"/>
          <w:kern w:val="0"/>
          <w:sz w:val="32"/>
          <w:szCs w:val="32"/>
          <w:highlight w:val="none"/>
          <w:u w:val="none"/>
          <w:lang w:bidi="ar-SA"/>
        </w:rPr>
        <w:t>亿元，支持消防装备更新、消防训练、消防指挥网络建设等。</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应急管理事务3.6亿元，支持安全生产管理、巨灾保险等。</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20.预备费。</w:t>
      </w:r>
      <w:r>
        <w:rPr>
          <w:rFonts w:hint="eastAsia" w:ascii="仿宋_GB2312" w:eastAsia="仿宋_GB2312" w:cs="仿宋_GB2312"/>
          <w:kern w:val="0"/>
          <w:sz w:val="32"/>
          <w:szCs w:val="32"/>
          <w:highlight w:val="none"/>
          <w:u w:val="none"/>
          <w:lang w:bidi="ar-SA"/>
        </w:rPr>
        <w:t>反映政府用于自然灾害等突发事件处理及其他难以预见开支方面的支出，计划安排60亿元，与上年持平。</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21.其他支出。</w:t>
      </w:r>
      <w:r>
        <w:rPr>
          <w:rFonts w:hint="eastAsia" w:ascii="仿宋_GB2312" w:eastAsia="仿宋_GB2312" w:cs="仿宋_GB2312"/>
          <w:kern w:val="0"/>
          <w:sz w:val="32"/>
          <w:szCs w:val="32"/>
          <w:highlight w:val="none"/>
          <w:u w:val="none"/>
          <w:lang w:bidi="ar-SA"/>
        </w:rPr>
        <w:t>反映政府用于其他方面的支出，计划安排63.</w:t>
      </w:r>
      <w:r>
        <w:rPr>
          <w:rFonts w:hint="eastAsia" w:ascii="仿宋_GB2312" w:eastAsia="仿宋_GB2312" w:cs="仿宋_GB2312"/>
          <w:kern w:val="0"/>
          <w:sz w:val="32"/>
          <w:szCs w:val="32"/>
          <w:highlight w:val="none"/>
          <w:u w:val="none"/>
          <w:lang w:val="en-US" w:eastAsia="zh-CN" w:bidi="ar-SA"/>
        </w:rPr>
        <w:t>4</w:t>
      </w:r>
      <w:r>
        <w:rPr>
          <w:rFonts w:hint="eastAsia" w:ascii="仿宋_GB2312" w:eastAsia="仿宋_GB2312" w:cs="仿宋_GB2312"/>
          <w:kern w:val="0"/>
          <w:sz w:val="32"/>
          <w:szCs w:val="32"/>
          <w:highlight w:val="none"/>
          <w:u w:val="none"/>
          <w:lang w:bidi="ar-SA"/>
        </w:rPr>
        <w:t>亿元，减少12.</w:t>
      </w:r>
      <w:r>
        <w:rPr>
          <w:rFonts w:hint="eastAsia" w:ascii="仿宋_GB2312" w:eastAsia="仿宋_GB2312" w:cs="仿宋_GB2312"/>
          <w:kern w:val="0"/>
          <w:sz w:val="32"/>
          <w:szCs w:val="32"/>
          <w:highlight w:val="none"/>
          <w:u w:val="none"/>
          <w:lang w:val="en-US" w:eastAsia="zh-CN" w:bidi="ar-SA"/>
        </w:rPr>
        <w:t>5</w:t>
      </w:r>
      <w:r>
        <w:rPr>
          <w:rFonts w:hint="eastAsia" w:ascii="仿宋_GB2312" w:eastAsia="仿宋_GB2312" w:cs="仿宋_GB2312"/>
          <w:kern w:val="0"/>
          <w:sz w:val="32"/>
          <w:szCs w:val="32"/>
          <w:highlight w:val="none"/>
          <w:u w:val="none"/>
          <w:lang w:bidi="ar-SA"/>
        </w:rPr>
        <w:t>%。</w:t>
      </w:r>
      <w:r>
        <w:rPr>
          <w:rFonts w:hint="eastAsia" w:ascii="仿宋_GB2312" w:eastAsia="仿宋_GB2312" w:cs="仿宋_GB2312"/>
          <w:b/>
          <w:bCs/>
          <w:kern w:val="0"/>
          <w:sz w:val="32"/>
          <w:szCs w:val="32"/>
          <w:highlight w:val="none"/>
          <w:u w:val="none"/>
          <w:lang w:bidi="ar-SA"/>
        </w:rPr>
        <w:t>主要包括：一</w:t>
      </w:r>
      <w:r>
        <w:rPr>
          <w:rFonts w:hint="eastAsia" w:ascii="仿宋_GB2312" w:eastAsia="仿宋_GB2312" w:cs="仿宋_GB2312"/>
          <w:b/>
          <w:kern w:val="0"/>
          <w:sz w:val="32"/>
          <w:szCs w:val="32"/>
          <w:highlight w:val="none"/>
          <w:u w:val="none"/>
          <w:lang w:bidi="ar-SA"/>
        </w:rPr>
        <w:t>是</w:t>
      </w:r>
      <w:r>
        <w:rPr>
          <w:rFonts w:hint="eastAsia" w:ascii="仿宋_GB2312" w:eastAsia="仿宋_GB2312" w:cs="仿宋_GB2312"/>
          <w:kern w:val="0"/>
          <w:sz w:val="32"/>
          <w:szCs w:val="32"/>
          <w:highlight w:val="none"/>
          <w:u w:val="none"/>
          <w:lang w:bidi="ar-SA"/>
        </w:rPr>
        <w:t>安排预算准备金30亿元。年度预算执行中将根据实际使用方向列入相关支出科目；</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安排政府投资项目前期费、项目调节金和工程结算款等28.1亿元。</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22.债务付息及债务发行费用支出。</w:t>
      </w:r>
      <w:r>
        <w:rPr>
          <w:rFonts w:hint="eastAsia" w:ascii="仿宋_GB2312" w:eastAsia="仿宋_GB2312" w:cs="仿宋_GB2312"/>
          <w:kern w:val="0"/>
          <w:sz w:val="32"/>
          <w:szCs w:val="32"/>
          <w:highlight w:val="none"/>
          <w:u w:val="none"/>
          <w:lang w:bidi="ar-SA"/>
        </w:rPr>
        <w:t>反映政府用于债务利息及发行费用方面的支出，计划安排3亿元，下降26.8%，主要是2022年</w:t>
      </w:r>
      <w:r>
        <w:rPr>
          <w:rFonts w:hint="eastAsia" w:ascii="仿宋_GB2312" w:eastAsia="仿宋_GB2312" w:cs="仿宋_GB2312"/>
          <w:kern w:val="0"/>
          <w:sz w:val="32"/>
          <w:szCs w:val="32"/>
          <w:highlight w:val="none"/>
          <w:u w:val="none"/>
          <w:lang w:eastAsia="zh-CN" w:bidi="ar-SA"/>
        </w:rPr>
        <w:t>一般债券</w:t>
      </w:r>
      <w:r>
        <w:rPr>
          <w:rFonts w:hint="eastAsia" w:ascii="仿宋_GB2312" w:eastAsia="仿宋_GB2312" w:cs="仿宋_GB2312"/>
          <w:kern w:val="0"/>
          <w:sz w:val="32"/>
          <w:szCs w:val="32"/>
          <w:highlight w:val="none"/>
          <w:u w:val="none"/>
          <w:lang w:bidi="ar-SA"/>
        </w:rPr>
        <w:t>付息规模有所下降。</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b/>
          <w:bCs/>
          <w:kern w:val="0"/>
          <w:sz w:val="32"/>
          <w:szCs w:val="32"/>
          <w:highlight w:val="none"/>
          <w:u w:val="none"/>
          <w:lang w:bidi="ar-SA"/>
        </w:rPr>
      </w:pPr>
      <w:r>
        <w:rPr>
          <w:rFonts w:hint="eastAsia" w:ascii="仿宋_GB2312" w:eastAsia="仿宋_GB2312" w:cs="仿宋_GB2312"/>
          <w:b/>
          <w:kern w:val="0"/>
          <w:sz w:val="32"/>
          <w:szCs w:val="32"/>
          <w:highlight w:val="none"/>
          <w:u w:val="none"/>
          <w:lang w:bidi="ar-SA"/>
        </w:rPr>
        <w:t>23.转移性支出。</w:t>
      </w:r>
      <w:r>
        <w:rPr>
          <w:rFonts w:hint="eastAsia" w:ascii="仿宋_GB2312" w:eastAsia="仿宋_GB2312" w:cs="仿宋_GB2312"/>
          <w:kern w:val="0"/>
          <w:sz w:val="32"/>
          <w:szCs w:val="32"/>
          <w:highlight w:val="none"/>
          <w:u w:val="none"/>
          <w:lang w:bidi="ar-SA"/>
        </w:rPr>
        <w:t>反映政府间的转移支付以及不同性质资金之间的调拨支出，计划安排1110亿元、增长23.4%</w:t>
      </w:r>
      <w:r>
        <w:rPr>
          <w:rFonts w:hint="eastAsia" w:ascii="仿宋_GB2312" w:eastAsia="仿宋_GB2312" w:cs="仿宋_GB2312"/>
          <w:kern w:val="0"/>
          <w:sz w:val="32"/>
          <w:szCs w:val="32"/>
          <w:highlight w:val="none"/>
          <w:u w:val="none"/>
          <w:lang w:eastAsia="zh-CN" w:bidi="ar-SA"/>
        </w:rPr>
        <w:t>，主要是补助区支出增加</w:t>
      </w:r>
      <w:r>
        <w:rPr>
          <w:rFonts w:hint="eastAsia" w:ascii="仿宋_GB2312" w:eastAsia="仿宋_GB2312" w:cs="仿宋_GB2312"/>
          <w:kern w:val="0"/>
          <w:sz w:val="32"/>
          <w:szCs w:val="32"/>
          <w:highlight w:val="none"/>
          <w:u w:val="none"/>
          <w:lang w:bidi="ar-SA"/>
        </w:rPr>
        <w:t>。</w:t>
      </w:r>
      <w:r>
        <w:rPr>
          <w:rFonts w:hint="eastAsia" w:ascii="仿宋_GB2312" w:eastAsia="仿宋_GB2312" w:cs="仿宋_GB2312"/>
          <w:b/>
          <w:bCs/>
          <w:kern w:val="0"/>
          <w:sz w:val="32"/>
          <w:szCs w:val="32"/>
          <w:highlight w:val="none"/>
          <w:u w:val="none"/>
          <w:lang w:bidi="ar-SA"/>
        </w:rPr>
        <w:t>主要包括：</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（1）上解中央支出160亿元。</w:t>
      </w:r>
      <w:r>
        <w:rPr>
          <w:rFonts w:hint="eastAsia" w:ascii="仿宋_GB2312" w:eastAsia="仿宋_GB2312" w:cs="仿宋_GB2312"/>
          <w:kern w:val="0"/>
          <w:sz w:val="32"/>
          <w:szCs w:val="32"/>
          <w:highlight w:val="none"/>
          <w:u w:val="none"/>
          <w:lang w:bidi="ar-SA"/>
        </w:rPr>
        <w:t>包括：出口退税超基数负担上解，税务机构改革经费基数上划，分领域财政事权与支出责任划分改革基数上划等。</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Times New Roman"/>
          <w:snapToGrid w:val="0"/>
          <w:kern w:val="0"/>
          <w:sz w:val="32"/>
          <w:highlight w:val="none"/>
          <w:u w:val="none"/>
          <w:lang w:bidi="ar-SA"/>
        </w:rPr>
      </w:pPr>
      <w:r>
        <w:rPr>
          <w:rFonts w:hint="eastAsia" w:ascii="仿宋_GB2312" w:eastAsia="仿宋_GB2312" w:cs="仿宋_GB2312"/>
          <w:b/>
          <w:kern w:val="0"/>
          <w:sz w:val="32"/>
          <w:szCs w:val="32"/>
          <w:highlight w:val="none"/>
          <w:u w:val="none"/>
          <w:lang w:bidi="ar-SA"/>
        </w:rPr>
        <w:t>（2）上解省支出260亿元。</w:t>
      </w:r>
      <w:r>
        <w:rPr>
          <w:rFonts w:hint="eastAsia" w:ascii="仿宋_GB2312" w:eastAsia="仿宋_GB2312" w:cs="仿宋_GB2312"/>
          <w:kern w:val="0"/>
          <w:sz w:val="32"/>
          <w:szCs w:val="32"/>
          <w:highlight w:val="none"/>
          <w:u w:val="none"/>
          <w:lang w:bidi="ar-SA"/>
        </w:rPr>
        <w:t>包括：对省定额上解，</w:t>
      </w:r>
      <w:r>
        <w:rPr>
          <w:rFonts w:hint="eastAsia" w:ascii="仿宋_GB2312" w:eastAsia="仿宋_GB2312" w:cs="Times New Roman"/>
          <w:snapToGrid w:val="0"/>
          <w:kern w:val="0"/>
          <w:sz w:val="32"/>
          <w:highlight w:val="none"/>
          <w:u w:val="none"/>
          <w:lang w:bidi="ar-SA"/>
        </w:rPr>
        <w:t>地方教育附加、土地出让收益计提教育资金和农田水利建设资金等三项资金的省统筹上解</w:t>
      </w:r>
      <w:r>
        <w:rPr>
          <w:rFonts w:hint="eastAsia" w:ascii="仿宋_GB2312" w:eastAsia="仿宋_GB2312" w:cs="Times New Roman"/>
          <w:snapToGrid w:val="0"/>
          <w:kern w:val="0"/>
          <w:sz w:val="32"/>
          <w:highlight w:val="none"/>
          <w:u w:val="none"/>
          <w:lang w:eastAsia="zh-CN" w:bidi="ar-SA"/>
        </w:rPr>
        <w:t>，</w:t>
      </w:r>
      <w:r>
        <w:rPr>
          <w:rFonts w:hint="eastAsia" w:ascii="仿宋_GB2312" w:eastAsia="仿宋_GB2312" w:cs="Times New Roman"/>
          <w:snapToGrid w:val="0"/>
          <w:kern w:val="0"/>
          <w:sz w:val="32"/>
          <w:highlight w:val="none"/>
          <w:u w:val="none"/>
          <w:lang w:bidi="ar-SA"/>
        </w:rPr>
        <w:t>土地出让收入用于农业农村的省统筹上解等。</w:t>
      </w:r>
    </w:p>
    <w:p>
      <w:pPr>
        <w:keepNext w:val="0"/>
        <w:keepLines w:val="0"/>
        <w:pageBreakBefore w:val="0"/>
        <w:widowControl w:val="0"/>
        <w:kinsoku/>
        <w:wordWrap/>
        <w:topLinePunct w:val="0"/>
        <w:bidi w:val="0"/>
        <w:adjustRightInd w:val="0"/>
        <w:snapToGrid w:val="0"/>
        <w:spacing w:line="560" w:lineRule="exact"/>
        <w:ind w:firstLine="643" w:firstLineChars="200"/>
        <w:textAlignment w:val="auto"/>
        <w:rPr>
          <w:rFonts w:hint="eastAsia" w:ascii="仿宋_GB2312" w:eastAsia="仿宋_GB2312" w:cs="仿宋_GB2312"/>
          <w:kern w:val="0"/>
          <w:sz w:val="32"/>
          <w:szCs w:val="32"/>
          <w:highlight w:val="none"/>
          <w:u w:val="none"/>
          <w:lang w:bidi="ar-SA"/>
        </w:rPr>
      </w:pPr>
      <w:r>
        <w:rPr>
          <w:rFonts w:hint="eastAsia" w:ascii="仿宋_GB2312" w:eastAsia="仿宋_GB2312" w:cs="仿宋_GB2312"/>
          <w:b/>
          <w:kern w:val="0"/>
          <w:sz w:val="32"/>
          <w:szCs w:val="32"/>
          <w:highlight w:val="none"/>
          <w:u w:val="none"/>
          <w:lang w:bidi="ar-SA"/>
        </w:rPr>
        <w:t>（3）补助区支出690亿元，增加210.6亿元</w:t>
      </w:r>
      <w:r>
        <w:rPr>
          <w:rFonts w:hint="eastAsia" w:ascii="仿宋_GB2312" w:eastAsia="仿宋_GB2312" w:cs="仿宋_GB2312"/>
          <w:b/>
          <w:kern w:val="0"/>
          <w:sz w:val="32"/>
          <w:szCs w:val="32"/>
          <w:highlight w:val="none"/>
          <w:u w:val="none"/>
          <w:lang w:eastAsia="zh-CN" w:bidi="ar-SA"/>
        </w:rPr>
        <w:t>，主要是新增预留基础教育学位建设补助、均衡性转移支付等</w:t>
      </w:r>
      <w:r>
        <w:rPr>
          <w:rFonts w:hint="eastAsia" w:ascii="仿宋_GB2312" w:eastAsia="仿宋_GB2312" w:cs="仿宋_GB2312"/>
          <w:b/>
          <w:kern w:val="0"/>
          <w:sz w:val="32"/>
          <w:szCs w:val="32"/>
          <w:highlight w:val="none"/>
          <w:u w:val="none"/>
          <w:lang w:bidi="ar-SA"/>
        </w:rPr>
        <w:t>。</w:t>
      </w:r>
      <w:r>
        <w:rPr>
          <w:rFonts w:hint="eastAsia" w:ascii="仿宋_GB2312" w:eastAsia="仿宋_GB2312" w:cs="仿宋_GB2312"/>
          <w:kern w:val="0"/>
          <w:sz w:val="32"/>
          <w:szCs w:val="32"/>
          <w:highlight w:val="none"/>
          <w:u w:val="none"/>
          <w:lang w:bidi="ar-SA"/>
        </w:rPr>
        <w:t>主要包括：</w:t>
      </w:r>
      <w:r>
        <w:rPr>
          <w:rFonts w:hint="eastAsia" w:ascii="仿宋_GB2312" w:eastAsia="仿宋_GB2312" w:cs="仿宋_GB2312"/>
          <w:b/>
          <w:kern w:val="0"/>
          <w:sz w:val="32"/>
          <w:szCs w:val="32"/>
          <w:highlight w:val="none"/>
          <w:u w:val="none"/>
          <w:lang w:bidi="ar-SA"/>
        </w:rPr>
        <w:t>一是</w:t>
      </w:r>
      <w:r>
        <w:rPr>
          <w:rFonts w:hint="eastAsia" w:ascii="仿宋_GB2312" w:eastAsia="仿宋_GB2312" w:cs="仿宋_GB2312"/>
          <w:kern w:val="0"/>
          <w:sz w:val="32"/>
          <w:szCs w:val="32"/>
          <w:highlight w:val="none"/>
          <w:u w:val="none"/>
          <w:lang w:bidi="ar-SA"/>
        </w:rPr>
        <w:t>教育费附加、地方教育附加、</w:t>
      </w:r>
      <w:r>
        <w:rPr>
          <w:rFonts w:hint="eastAsia" w:ascii="仿宋_GB2312" w:eastAsia="仿宋_GB2312" w:cs="Times New Roman"/>
          <w:snapToGrid w:val="0"/>
          <w:kern w:val="0"/>
          <w:sz w:val="32"/>
          <w:highlight w:val="none"/>
          <w:u w:val="none"/>
          <w:lang w:bidi="ar-SA"/>
        </w:rPr>
        <w:t>土地出让收益</w:t>
      </w:r>
      <w:r>
        <w:rPr>
          <w:rFonts w:hint="eastAsia" w:ascii="仿宋_GB2312" w:eastAsia="仿宋_GB2312" w:cs="仿宋_GB2312"/>
          <w:kern w:val="0"/>
          <w:sz w:val="32"/>
          <w:szCs w:val="32"/>
          <w:highlight w:val="none"/>
          <w:u w:val="none"/>
          <w:lang w:bidi="ar-SA"/>
        </w:rPr>
        <w:t>计提教育资金等教育类转移支付260.3亿元，进一步完善义务教育经费财政全额保障机制；</w:t>
      </w:r>
      <w:r>
        <w:rPr>
          <w:rFonts w:hint="eastAsia" w:ascii="仿宋_GB2312" w:eastAsia="仿宋_GB2312" w:cs="仿宋_GB2312"/>
          <w:b/>
          <w:kern w:val="0"/>
          <w:sz w:val="32"/>
          <w:szCs w:val="32"/>
          <w:highlight w:val="none"/>
          <w:u w:val="none"/>
          <w:lang w:bidi="ar-SA"/>
        </w:rPr>
        <w:t>二是</w:t>
      </w:r>
      <w:r>
        <w:rPr>
          <w:rFonts w:hint="eastAsia" w:ascii="仿宋_GB2312" w:eastAsia="仿宋_GB2312" w:cs="仿宋_GB2312"/>
          <w:kern w:val="0"/>
          <w:sz w:val="32"/>
          <w:szCs w:val="32"/>
          <w:highlight w:val="none"/>
          <w:u w:val="none"/>
          <w:lang w:bidi="ar-SA"/>
        </w:rPr>
        <w:t>社会保障、生态环保、城市管理等社会类支出55.8亿元，支持民生微实事、残疾人就业保障、住宅小区排水管理等；</w:t>
      </w:r>
      <w:r>
        <w:rPr>
          <w:rFonts w:hint="eastAsia" w:ascii="仿宋_GB2312" w:eastAsia="仿宋_GB2312" w:cs="仿宋_GB2312"/>
          <w:b/>
          <w:kern w:val="0"/>
          <w:sz w:val="32"/>
          <w:szCs w:val="32"/>
          <w:highlight w:val="none"/>
          <w:u w:val="none"/>
          <w:lang w:bidi="ar-SA"/>
        </w:rPr>
        <w:t>三是</w:t>
      </w:r>
      <w:r>
        <w:rPr>
          <w:rFonts w:hint="eastAsia" w:ascii="仿宋_GB2312" w:eastAsia="仿宋_GB2312" w:cs="仿宋_GB2312"/>
          <w:kern w:val="0"/>
          <w:sz w:val="32"/>
          <w:szCs w:val="32"/>
          <w:highlight w:val="none"/>
          <w:u w:val="none"/>
          <w:lang w:bidi="ar-SA"/>
        </w:rPr>
        <w:t>科技和产业类转移支付45.6亿元，支持</w:t>
      </w:r>
      <w:r>
        <w:rPr>
          <w:rFonts w:hint="eastAsia" w:ascii="仿宋_GB2312" w:eastAsia="仿宋_GB2312" w:cs="Times New Roman"/>
          <w:color w:val="000000"/>
          <w:kern w:val="21"/>
          <w:sz w:val="32"/>
          <w:szCs w:val="32"/>
          <w:highlight w:val="none"/>
          <w:u w:val="none"/>
          <w:lang w:bidi="ar-SA"/>
        </w:rPr>
        <w:t>大湾区综合性国家科学中心建设</w:t>
      </w:r>
      <w:r>
        <w:rPr>
          <w:rFonts w:hint="eastAsia" w:ascii="仿宋_GB2312" w:eastAsia="仿宋_GB2312" w:cs="仿宋_GB2312"/>
          <w:kern w:val="0"/>
          <w:sz w:val="32"/>
          <w:szCs w:val="32"/>
          <w:highlight w:val="none"/>
          <w:u w:val="none"/>
          <w:lang w:bidi="ar-SA"/>
        </w:rPr>
        <w:t>、新引进人才等；</w:t>
      </w:r>
      <w:r>
        <w:rPr>
          <w:rFonts w:hint="eastAsia" w:ascii="仿宋_GB2312" w:eastAsia="仿宋_GB2312" w:cs="仿宋_GB2312"/>
          <w:b/>
          <w:kern w:val="0"/>
          <w:sz w:val="32"/>
          <w:szCs w:val="32"/>
          <w:highlight w:val="none"/>
          <w:u w:val="none"/>
          <w:lang w:bidi="ar-SA"/>
        </w:rPr>
        <w:t>四是</w:t>
      </w:r>
      <w:r>
        <w:rPr>
          <w:rFonts w:hint="eastAsia" w:ascii="仿宋_GB2312" w:eastAsia="仿宋_GB2312" w:cs="仿宋_GB2312"/>
          <w:kern w:val="0"/>
          <w:sz w:val="32"/>
          <w:szCs w:val="32"/>
          <w:highlight w:val="none"/>
          <w:u w:val="none"/>
          <w:lang w:bidi="ar-SA"/>
        </w:rPr>
        <w:t>其他转移支付200.3亿元，加大对各区支持力度，探索建立均衡性转移支付制度，提升基层公共服务保障能力。</w:t>
      </w:r>
    </w:p>
    <w:p>
      <w:pPr>
        <w:snapToGrid w:val="0"/>
        <w:spacing w:line="600" w:lineRule="exact"/>
        <w:ind w:firstLine="643" w:firstLineChars="200"/>
        <w:rPr>
          <w:rFonts w:hint="eastAsia" w:ascii="仿宋_GB2312" w:eastAsia="仿宋_GB2312" w:cs="KaiTi_GB2312"/>
          <w:b/>
          <w:sz w:val="32"/>
          <w:szCs w:val="32"/>
          <w:highlight w:val="none"/>
          <w:lang w:bidi="ar-SA"/>
        </w:rPr>
      </w:pPr>
      <w:r>
        <w:rPr>
          <w:rFonts w:hint="eastAsia" w:ascii="仿宋_GB2312" w:eastAsia="仿宋_GB2312" w:cs="KaiTi_GB2312"/>
          <w:b/>
          <w:sz w:val="32"/>
          <w:szCs w:val="32"/>
          <w:highlight w:val="none"/>
          <w:lang w:bidi="ar-SA"/>
        </w:rPr>
        <w:t>2022年市本级一般公共预算支出按政府经济分类科目主要安排如下：</w:t>
      </w:r>
    </w:p>
    <w:p>
      <w:pPr>
        <w:snapToGrid w:val="0"/>
        <w:spacing w:line="600" w:lineRule="exact"/>
        <w:ind w:firstLine="643"/>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1.机关工资福利支出。</w:t>
      </w:r>
      <w:r>
        <w:rPr>
          <w:rFonts w:hint="eastAsia" w:ascii="仿宋_GB2312" w:eastAsia="仿宋_GB2312" w:cs="仿宋_GB2312"/>
          <w:sz w:val="32"/>
          <w:szCs w:val="32"/>
          <w:highlight w:val="none"/>
          <w:lang w:bidi="ar-SA"/>
        </w:rPr>
        <w:t>反映机关和参照公务员法管理的事业单位（以下简称参公事业单位）在职职工和编制外长期聘用人员的各类劳动报酬，以及为上述人员缴纳的各项社会保险费等。计划安排179.5亿元，下降2.7%，主要是上年一次性安排机关事业单位养老保险（试点）基金缺口5.42亿元，2022年不再安排。</w:t>
      </w:r>
    </w:p>
    <w:p>
      <w:pPr>
        <w:snapToGrid w:val="0"/>
        <w:spacing w:line="600" w:lineRule="exact"/>
        <w:ind w:firstLine="643"/>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2.机关商品和服务支出。</w:t>
      </w:r>
      <w:r>
        <w:rPr>
          <w:rFonts w:hint="eastAsia" w:ascii="仿宋_GB2312" w:eastAsia="仿宋_GB2312" w:cs="仿宋_GB2312"/>
          <w:sz w:val="32"/>
          <w:szCs w:val="32"/>
          <w:highlight w:val="none"/>
          <w:lang w:bidi="ar-SA"/>
        </w:rPr>
        <w:t>反映机关和参公事业单位购买商品和服务的各类支出，不包括用于购置固定资产、战略性和应急性物资储备等资本性支出。计划安排2</w:t>
      </w:r>
      <w:r>
        <w:rPr>
          <w:rFonts w:hint="eastAsia" w:ascii="仿宋_GB2312" w:eastAsia="仿宋_GB2312" w:cs="仿宋_GB2312"/>
          <w:sz w:val="32"/>
          <w:szCs w:val="32"/>
          <w:highlight w:val="none"/>
          <w:lang w:val="en-US" w:eastAsia="zh-CN" w:bidi="ar-SA"/>
        </w:rPr>
        <w:t>39</w:t>
      </w:r>
      <w:r>
        <w:rPr>
          <w:rFonts w:hint="eastAsia" w:ascii="仿宋_GB2312" w:eastAsia="仿宋_GB2312" w:cs="仿宋_GB2312"/>
          <w:sz w:val="32"/>
          <w:szCs w:val="32"/>
          <w:highlight w:val="none"/>
          <w:lang w:bidi="ar-SA"/>
        </w:rPr>
        <w:t>亿元，增长4.</w:t>
      </w:r>
      <w:r>
        <w:rPr>
          <w:rFonts w:hint="eastAsia" w:ascii="仿宋_GB2312" w:eastAsia="仿宋_GB2312" w:cs="仿宋_GB2312"/>
          <w:sz w:val="32"/>
          <w:szCs w:val="32"/>
          <w:highlight w:val="none"/>
          <w:lang w:val="en-US" w:eastAsia="zh-CN" w:bidi="ar-SA"/>
        </w:rPr>
        <w:t>4</w:t>
      </w:r>
      <w:r>
        <w:rPr>
          <w:rFonts w:hint="eastAsia" w:ascii="仿宋_GB2312" w:eastAsia="仿宋_GB2312" w:cs="仿宋_GB2312"/>
          <w:sz w:val="32"/>
          <w:szCs w:val="32"/>
          <w:highlight w:val="none"/>
          <w:lang w:bidi="ar-SA"/>
        </w:rPr>
        <w:t>%，主要是市场监管领域食药品监测</w:t>
      </w:r>
      <w:r>
        <w:rPr>
          <w:rFonts w:hint="eastAsia" w:ascii="仿宋_GB2312" w:eastAsia="仿宋_GB2312" w:cs="仿宋_GB2312"/>
          <w:sz w:val="32"/>
          <w:szCs w:val="32"/>
          <w:highlight w:val="none"/>
          <w:lang w:eastAsia="zh-CN" w:bidi="ar-SA"/>
        </w:rPr>
        <w:t>，</w:t>
      </w:r>
      <w:r>
        <w:rPr>
          <w:rFonts w:hint="eastAsia" w:ascii="仿宋_GB2312" w:eastAsia="仿宋_GB2312" w:cs="仿宋_GB2312"/>
          <w:sz w:val="32"/>
          <w:szCs w:val="32"/>
          <w:highlight w:val="none"/>
          <w:lang w:bidi="ar-SA"/>
        </w:rPr>
        <w:t>国土自然资源规划部门的勘查、调查、测绘等履职经费增加。</w:t>
      </w:r>
    </w:p>
    <w:p>
      <w:pPr>
        <w:snapToGrid w:val="0"/>
        <w:spacing w:line="600" w:lineRule="exact"/>
        <w:ind w:firstLine="643"/>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3.机关资本性支出（一）。</w:t>
      </w:r>
      <w:r>
        <w:rPr>
          <w:rFonts w:hint="eastAsia" w:ascii="仿宋_GB2312" w:eastAsia="仿宋_GB2312" w:cs="仿宋_GB2312"/>
          <w:sz w:val="32"/>
          <w:szCs w:val="32"/>
          <w:highlight w:val="none"/>
          <w:lang w:bidi="ar-SA"/>
        </w:rPr>
        <w:t>反映机关和参公事业单位资本性支出，主要是机关和参公事业单位用于道路、桥梁、水坝和机场等公共基础设施建设方面的支出。计划安排22.8亿元，下降45.8%，主要是高速公路回购资金较</w:t>
      </w:r>
      <w:r>
        <w:rPr>
          <w:rFonts w:hint="eastAsia" w:ascii="仿宋_GB2312" w:eastAsia="仿宋_GB2312" w:cs="仿宋_GB2312"/>
          <w:sz w:val="32"/>
          <w:szCs w:val="32"/>
          <w:highlight w:val="none"/>
          <w:lang w:val="en-US" w:eastAsia="zh-CN" w:bidi="ar-SA"/>
        </w:rPr>
        <w:t>2021</w:t>
      </w:r>
      <w:r>
        <w:rPr>
          <w:rFonts w:hint="eastAsia" w:ascii="仿宋_GB2312" w:eastAsia="仿宋_GB2312" w:cs="仿宋_GB2312"/>
          <w:sz w:val="32"/>
          <w:szCs w:val="32"/>
          <w:highlight w:val="none"/>
          <w:lang w:bidi="ar-SA"/>
        </w:rPr>
        <w:t>年</w:t>
      </w:r>
      <w:r>
        <w:rPr>
          <w:rFonts w:hint="eastAsia" w:ascii="仿宋_GB2312" w:eastAsia="仿宋_GB2312" w:cs="仿宋_GB2312"/>
          <w:sz w:val="32"/>
          <w:szCs w:val="32"/>
          <w:highlight w:val="none"/>
          <w:lang w:eastAsia="zh-CN" w:bidi="ar-SA"/>
        </w:rPr>
        <w:t>预算</w:t>
      </w:r>
      <w:r>
        <w:rPr>
          <w:rFonts w:hint="eastAsia" w:ascii="仿宋_GB2312" w:eastAsia="仿宋_GB2312" w:cs="仿宋_GB2312"/>
          <w:sz w:val="32"/>
          <w:szCs w:val="32"/>
          <w:highlight w:val="none"/>
          <w:lang w:bidi="ar-SA"/>
        </w:rPr>
        <w:t>减少</w:t>
      </w:r>
      <w:r>
        <w:rPr>
          <w:rFonts w:hint="eastAsia" w:ascii="仿宋_GB2312" w:eastAsia="仿宋_GB2312" w:cs="仿宋_GB2312"/>
          <w:sz w:val="32"/>
          <w:szCs w:val="32"/>
          <w:highlight w:val="none"/>
          <w:lang w:val="en-US" w:eastAsia="zh-CN" w:bidi="ar-SA"/>
        </w:rPr>
        <w:t>12.5</w:t>
      </w:r>
      <w:r>
        <w:rPr>
          <w:rFonts w:hint="eastAsia" w:ascii="仿宋_GB2312" w:eastAsia="仿宋_GB2312" w:cs="仿宋_GB2312"/>
          <w:sz w:val="32"/>
          <w:szCs w:val="32"/>
          <w:highlight w:val="none"/>
          <w:lang w:bidi="ar-SA"/>
        </w:rPr>
        <w:t>亿元。</w:t>
      </w:r>
    </w:p>
    <w:p>
      <w:pPr>
        <w:snapToGrid w:val="0"/>
        <w:spacing w:line="600" w:lineRule="exact"/>
        <w:ind w:firstLine="643"/>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4.机关资本性支出（二）。</w:t>
      </w:r>
      <w:r>
        <w:rPr>
          <w:rFonts w:hint="eastAsia" w:ascii="仿宋_GB2312" w:eastAsia="仿宋_GB2312" w:cs="仿宋_GB2312"/>
          <w:sz w:val="32"/>
          <w:szCs w:val="32"/>
          <w:highlight w:val="none"/>
          <w:lang w:bidi="ar-SA"/>
        </w:rPr>
        <w:t>反映切块由发展改革部门安排的基本建设支出中机关和参公事业单位资本性支出，主要是机关和参公事业单位用于道路、桥梁、水坝和机场等公共基础设施建设方面的支出。计划安排73.2亿元，增长3.6%，主要是加快推进智慧城市建设以及法检公安系统的信息化工程建设等。</w:t>
      </w:r>
    </w:p>
    <w:p>
      <w:pPr>
        <w:snapToGrid w:val="0"/>
        <w:spacing w:line="600" w:lineRule="exact"/>
        <w:ind w:firstLine="643"/>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5.对事业单位经常性补助。</w:t>
      </w:r>
      <w:r>
        <w:rPr>
          <w:rFonts w:hint="eastAsia" w:ascii="仿宋_GB2312" w:eastAsia="仿宋_GB2312" w:cs="仿宋_GB2312"/>
          <w:sz w:val="32"/>
          <w:szCs w:val="32"/>
          <w:highlight w:val="none"/>
          <w:lang w:bidi="ar-SA"/>
        </w:rPr>
        <w:t>反映对事业单位（不含参公事业单位）的经常性补助支出。计划安排437.8亿元，增长8.8%，主要是教育、医疗领域</w:t>
      </w:r>
      <w:r>
        <w:rPr>
          <w:rFonts w:hint="eastAsia" w:ascii="仿宋_GB2312" w:eastAsia="仿宋_GB2312" w:cs="仿宋_GB2312"/>
          <w:sz w:val="32"/>
          <w:szCs w:val="32"/>
          <w:highlight w:val="none"/>
          <w:lang w:val="zh-CN" w:eastAsia="zh-CN" w:bidi="ar-SA"/>
        </w:rPr>
        <w:t>履职经费增加</w:t>
      </w:r>
      <w:r>
        <w:rPr>
          <w:rFonts w:hint="eastAsia" w:ascii="仿宋_GB2312" w:eastAsia="仿宋_GB2312" w:cs="仿宋_GB2312"/>
          <w:sz w:val="32"/>
          <w:szCs w:val="32"/>
          <w:highlight w:val="none"/>
          <w:lang w:bidi="ar-SA"/>
        </w:rPr>
        <w:t>。</w:t>
      </w:r>
    </w:p>
    <w:p>
      <w:pPr>
        <w:snapToGrid w:val="0"/>
        <w:spacing w:line="600" w:lineRule="exact"/>
        <w:ind w:firstLine="643"/>
        <w:rPr>
          <w:rFonts w:hint="eastAsia" w:ascii="仿宋_GB2312" w:eastAsia="仿宋_GB2312" w:cs="仿宋_GB2312"/>
          <w:sz w:val="32"/>
          <w:szCs w:val="32"/>
          <w:highlight w:val="none"/>
          <w:lang w:eastAsia="zh-CN" w:bidi="ar-SA"/>
        </w:rPr>
      </w:pPr>
      <w:r>
        <w:rPr>
          <w:rFonts w:hint="eastAsia" w:ascii="仿宋_GB2312" w:eastAsia="仿宋_GB2312" w:cs="仿宋_GB2312"/>
          <w:b/>
          <w:sz w:val="32"/>
          <w:szCs w:val="32"/>
          <w:highlight w:val="none"/>
          <w:lang w:bidi="ar-SA"/>
        </w:rPr>
        <w:t>6.对事业单位资本性补助。</w:t>
      </w:r>
      <w:r>
        <w:rPr>
          <w:rFonts w:hint="eastAsia" w:ascii="仿宋_GB2312" w:eastAsia="仿宋_GB2312" w:cs="仿宋_GB2312"/>
          <w:sz w:val="32"/>
          <w:szCs w:val="32"/>
          <w:highlight w:val="none"/>
          <w:lang w:bidi="ar-SA"/>
        </w:rPr>
        <w:t>反映对事业单位（不含参公事业单位）的资本性补助支出。计划安排39</w:t>
      </w:r>
      <w:r>
        <w:rPr>
          <w:rFonts w:hint="eastAsia" w:ascii="仿宋_GB2312" w:eastAsia="仿宋_GB2312" w:cs="仿宋_GB2312"/>
          <w:sz w:val="32"/>
          <w:szCs w:val="32"/>
          <w:highlight w:val="none"/>
          <w:lang w:val="en-US" w:eastAsia="zh-CN" w:bidi="ar-SA"/>
        </w:rPr>
        <w:t>6.4</w:t>
      </w:r>
      <w:r>
        <w:rPr>
          <w:rFonts w:hint="eastAsia" w:ascii="仿宋_GB2312" w:eastAsia="仿宋_GB2312" w:cs="仿宋_GB2312"/>
          <w:sz w:val="32"/>
          <w:szCs w:val="32"/>
          <w:highlight w:val="none"/>
          <w:lang w:bidi="ar-SA"/>
        </w:rPr>
        <w:t>亿元，增长3.</w:t>
      </w:r>
      <w:r>
        <w:rPr>
          <w:rFonts w:hint="eastAsia" w:ascii="仿宋_GB2312" w:eastAsia="仿宋_GB2312" w:cs="仿宋_GB2312"/>
          <w:sz w:val="32"/>
          <w:szCs w:val="32"/>
          <w:highlight w:val="none"/>
          <w:lang w:val="en-US" w:eastAsia="zh-CN" w:bidi="ar-SA"/>
        </w:rPr>
        <w:t>2</w:t>
      </w:r>
      <w:r>
        <w:rPr>
          <w:rFonts w:hint="eastAsia" w:ascii="仿宋_GB2312" w:eastAsia="仿宋_GB2312" w:cs="仿宋_GB2312"/>
          <w:sz w:val="32"/>
          <w:szCs w:val="32"/>
          <w:highlight w:val="none"/>
          <w:lang w:bidi="ar-SA"/>
        </w:rPr>
        <w:t>%，主要是</w:t>
      </w:r>
      <w:r>
        <w:rPr>
          <w:rFonts w:hint="eastAsia" w:ascii="仿宋_GB2312" w:eastAsia="仿宋_GB2312" w:cs="仿宋_GB2312"/>
          <w:sz w:val="32"/>
          <w:szCs w:val="32"/>
          <w:highlight w:val="none"/>
          <w:lang w:val="zh-CN" w:eastAsia="zh-CN" w:bidi="ar-SA"/>
        </w:rPr>
        <w:t>交通运输领域、卫生健康领域政府投资项目支出增加</w:t>
      </w:r>
      <w:r>
        <w:rPr>
          <w:rFonts w:hint="eastAsia" w:ascii="仿宋_GB2312" w:eastAsia="仿宋_GB2312" w:cs="仿宋_GB2312"/>
          <w:sz w:val="32"/>
          <w:szCs w:val="32"/>
          <w:highlight w:val="none"/>
          <w:lang w:eastAsia="zh-CN" w:bidi="ar-SA"/>
        </w:rPr>
        <w:t>，主要用于教育、卫生健康、交通等领域政府投资项目及设施设备购置。</w:t>
      </w:r>
    </w:p>
    <w:p>
      <w:pPr>
        <w:snapToGrid w:val="0"/>
        <w:spacing w:line="60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7.对企业补助。</w:t>
      </w:r>
      <w:r>
        <w:rPr>
          <w:rFonts w:hint="eastAsia" w:ascii="仿宋_GB2312" w:eastAsia="仿宋_GB2312" w:cs="仿宋_GB2312"/>
          <w:sz w:val="32"/>
          <w:szCs w:val="32"/>
          <w:highlight w:val="none"/>
          <w:lang w:bidi="ar-SA"/>
        </w:rPr>
        <w:t>反映政府对各类企业的补助支出。计划安排709.7亿元，增长14%。</w:t>
      </w:r>
      <w:r>
        <w:rPr>
          <w:rFonts w:hint="eastAsia" w:ascii="仿宋_GB2312" w:eastAsia="仿宋_GB2312" w:cs="仿宋_GB2312"/>
          <w:kern w:val="0"/>
          <w:sz w:val="32"/>
          <w:szCs w:val="32"/>
          <w:highlight w:val="none"/>
          <w:lang w:bidi="ar-SA"/>
        </w:rPr>
        <w:t>主要是新增安排工业园区供电环境综合升级改造资金28.5亿元、中央下达新能源汽车推广应用节能减排补助资金增加19.3亿元、制造业高质量发展</w:t>
      </w:r>
      <w:r>
        <w:rPr>
          <w:rFonts w:hint="eastAsia" w:ascii="仿宋_GB2312" w:eastAsia="仿宋_GB2312" w:cs="仿宋_GB2312"/>
          <w:kern w:val="0"/>
          <w:sz w:val="32"/>
          <w:szCs w:val="32"/>
          <w:highlight w:val="none"/>
          <w:lang w:eastAsia="zh-CN" w:bidi="ar-SA"/>
        </w:rPr>
        <w:t>扶持</w:t>
      </w:r>
      <w:r>
        <w:rPr>
          <w:rFonts w:hint="eastAsia" w:ascii="仿宋_GB2312" w:eastAsia="仿宋_GB2312" w:cs="仿宋_GB2312"/>
          <w:kern w:val="0"/>
          <w:sz w:val="32"/>
          <w:szCs w:val="32"/>
          <w:highlight w:val="none"/>
          <w:lang w:bidi="ar-SA"/>
        </w:rPr>
        <w:t>资金增加7.3亿元等</w:t>
      </w:r>
      <w:r>
        <w:rPr>
          <w:rFonts w:hint="eastAsia" w:ascii="仿宋_GB2312" w:eastAsia="仿宋_GB2312" w:cs="仿宋_GB2312"/>
          <w:kern w:val="0"/>
          <w:sz w:val="32"/>
          <w:szCs w:val="32"/>
          <w:highlight w:val="none"/>
          <w:lang w:eastAsia="zh-CN" w:bidi="ar-SA"/>
        </w:rPr>
        <w:t>，</w:t>
      </w:r>
      <w:r>
        <w:rPr>
          <w:rFonts w:hint="eastAsia" w:ascii="仿宋_GB2312" w:eastAsia="仿宋_GB2312" w:cs="仿宋_GB2312"/>
          <w:kern w:val="0"/>
          <w:sz w:val="32"/>
          <w:szCs w:val="32"/>
          <w:highlight w:val="none"/>
          <w:lang w:bidi="ar-SA"/>
        </w:rPr>
        <w:t>支持工业企业扩大产能，</w:t>
      </w:r>
      <w:r>
        <w:rPr>
          <w:rFonts w:hint="eastAsia" w:ascii="仿宋_GB2312" w:eastAsia="仿宋_GB2312" w:cs="仿宋_GB2312"/>
          <w:snapToGrid w:val="0"/>
          <w:kern w:val="0"/>
          <w:sz w:val="32"/>
          <w:szCs w:val="32"/>
          <w:highlight w:val="none"/>
          <w:lang w:bidi="ar-SA"/>
        </w:rPr>
        <w:t>支持重大产业项目落地</w:t>
      </w:r>
      <w:r>
        <w:rPr>
          <w:rFonts w:hint="eastAsia" w:ascii="仿宋_GB2312" w:eastAsia="仿宋_GB2312" w:cs="仿宋_GB2312"/>
          <w:kern w:val="0"/>
          <w:sz w:val="32"/>
          <w:szCs w:val="32"/>
          <w:highlight w:val="none"/>
          <w:lang w:bidi="ar-SA"/>
        </w:rPr>
        <w:t>，</w:t>
      </w:r>
      <w:r>
        <w:rPr>
          <w:rFonts w:hint="eastAsia" w:ascii="仿宋_GB2312" w:eastAsia="仿宋_GB2312" w:cs="仿宋_GB2312"/>
          <w:bCs/>
          <w:kern w:val="21"/>
          <w:sz w:val="32"/>
          <w:szCs w:val="32"/>
          <w:highlight w:val="none"/>
          <w:lang w:val="zh-CN" w:eastAsia="zh-CN" w:bidi="ar-SA"/>
        </w:rPr>
        <w:t>加快构建现代产业体系</w:t>
      </w:r>
      <w:r>
        <w:rPr>
          <w:rFonts w:hint="eastAsia" w:ascii="仿宋_GB2312" w:eastAsia="仿宋_GB2312" w:cs="楷体"/>
          <w:bCs/>
          <w:sz w:val="32"/>
          <w:szCs w:val="32"/>
          <w:highlight w:val="none"/>
          <w:lang w:bidi="ar-SA"/>
        </w:rPr>
        <w:t>，</w:t>
      </w:r>
      <w:r>
        <w:rPr>
          <w:rFonts w:hint="eastAsia" w:ascii="仿宋_GB2312" w:eastAsia="仿宋_GB2312" w:cs="仿宋_GB2312"/>
          <w:bCs/>
          <w:sz w:val="32"/>
          <w:szCs w:val="32"/>
          <w:highlight w:val="none"/>
          <w:lang w:bidi="ar-SA"/>
        </w:rPr>
        <w:t>打造制造业高质量发展深圳样本。</w:t>
      </w:r>
    </w:p>
    <w:p>
      <w:pPr>
        <w:snapToGrid w:val="0"/>
        <w:spacing w:line="60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8.对企业资本性支出。</w:t>
      </w:r>
      <w:r>
        <w:rPr>
          <w:rFonts w:hint="eastAsia" w:ascii="仿宋_GB2312" w:eastAsia="仿宋_GB2312" w:cs="仿宋_GB2312"/>
          <w:sz w:val="32"/>
          <w:szCs w:val="32"/>
          <w:highlight w:val="none"/>
          <w:lang w:bidi="ar-SA"/>
        </w:rPr>
        <w:t>反映政府对各类企业的资本性支出。计划安排131.9亿元，增长105.4%。主要是地铁集团、特建发集团等企业实施的政府投资项目</w:t>
      </w:r>
      <w:r>
        <w:rPr>
          <w:rFonts w:hint="eastAsia" w:ascii="仿宋_GB2312" w:eastAsia="仿宋_GB2312" w:cs="仿宋_GB2312"/>
          <w:sz w:val="32"/>
          <w:szCs w:val="32"/>
          <w:highlight w:val="none"/>
          <w:lang w:eastAsia="zh-CN" w:bidi="ar-SA"/>
        </w:rPr>
        <w:t>增加</w:t>
      </w:r>
      <w:r>
        <w:rPr>
          <w:rFonts w:hint="eastAsia" w:ascii="仿宋_GB2312" w:eastAsia="仿宋_GB2312" w:cs="仿宋_GB2312"/>
          <w:sz w:val="32"/>
          <w:szCs w:val="32"/>
          <w:highlight w:val="none"/>
          <w:lang w:bidi="ar-SA"/>
        </w:rPr>
        <w:t>，加快轨道交通、城际铁路以及城市枢纽等基础设施建设。</w:t>
      </w:r>
    </w:p>
    <w:p>
      <w:pPr>
        <w:snapToGrid w:val="0"/>
        <w:spacing w:line="60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9.对个人和家庭的补助。</w:t>
      </w:r>
      <w:r>
        <w:rPr>
          <w:rFonts w:hint="eastAsia" w:ascii="仿宋_GB2312" w:eastAsia="仿宋_GB2312" w:cs="仿宋_GB2312"/>
          <w:sz w:val="32"/>
          <w:szCs w:val="32"/>
          <w:highlight w:val="none"/>
          <w:lang w:bidi="ar-SA"/>
        </w:rPr>
        <w:t>反映政府用于对个人和家庭的补助支出。计划安排151.2亿元，下降5.9%，主要是</w:t>
      </w:r>
      <w:r>
        <w:rPr>
          <w:rFonts w:hint="eastAsia" w:ascii="仿宋_GB2312" w:eastAsia="仿宋_GB2312" w:cs="宋体"/>
          <w:color w:val="000000"/>
          <w:kern w:val="0"/>
          <w:sz w:val="32"/>
          <w:highlight w:val="none"/>
          <w:lang w:bidi="ar-SA"/>
        </w:rPr>
        <w:t>根据中办国办印发的《关于调整完善土地出让收入使用范围优先支持乡村振兴的意见</w:t>
      </w:r>
      <w:r>
        <w:rPr>
          <w:rFonts w:hint="eastAsia" w:ascii="仿宋_GB2312" w:eastAsia="仿宋_GB2312" w:cs="宋体"/>
          <w:color w:val="000000"/>
          <w:spacing w:val="2"/>
          <w:kern w:val="0"/>
          <w:sz w:val="32"/>
          <w:highlight w:val="none"/>
          <w:lang w:bidi="ar-SA"/>
        </w:rPr>
        <w:t>》</w:t>
      </w:r>
      <w:r>
        <w:rPr>
          <w:rFonts w:hint="eastAsia" w:ascii="仿宋_GB2312" w:eastAsia="仿宋_GB2312" w:cs="宋体"/>
          <w:color w:val="000000"/>
          <w:kern w:val="0"/>
          <w:sz w:val="32"/>
          <w:highlight w:val="none"/>
          <w:lang w:bidi="ar-SA"/>
        </w:rPr>
        <w:t>有关要求，援助其他地区支出由一般公共预算调整</w:t>
      </w:r>
      <w:r>
        <w:rPr>
          <w:rFonts w:hint="eastAsia" w:ascii="仿宋_GB2312" w:eastAsia="仿宋_GB2312" w:cs="宋体"/>
          <w:color w:val="000000"/>
          <w:kern w:val="0"/>
          <w:sz w:val="32"/>
          <w:highlight w:val="none"/>
          <w:lang w:eastAsia="zh-CN" w:bidi="ar-SA"/>
        </w:rPr>
        <w:t>至</w:t>
      </w:r>
      <w:r>
        <w:rPr>
          <w:rFonts w:hint="eastAsia" w:ascii="仿宋_GB2312" w:eastAsia="仿宋_GB2312" w:cs="宋体"/>
          <w:color w:val="000000"/>
          <w:kern w:val="0"/>
          <w:sz w:val="32"/>
          <w:highlight w:val="none"/>
          <w:lang w:bidi="ar-SA"/>
        </w:rPr>
        <w:t>政府性基金预算安排。</w:t>
      </w:r>
    </w:p>
    <w:p>
      <w:pPr>
        <w:snapToGrid w:val="0"/>
        <w:spacing w:line="60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10.对社会保障基金补助。</w:t>
      </w:r>
      <w:r>
        <w:rPr>
          <w:rFonts w:hint="eastAsia" w:ascii="仿宋_GB2312" w:eastAsia="仿宋_GB2312" w:cs="仿宋_GB2312"/>
          <w:sz w:val="32"/>
          <w:szCs w:val="32"/>
          <w:highlight w:val="none"/>
          <w:lang w:bidi="ar-SA"/>
        </w:rPr>
        <w:t>反映政府对社会保险基金的补助以及补充全国社会保障基金的支出，计划安排23.1亿元。</w:t>
      </w:r>
    </w:p>
    <w:p>
      <w:pPr>
        <w:snapToGrid w:val="0"/>
        <w:spacing w:line="62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11.债务利息及费用支出。</w:t>
      </w:r>
      <w:r>
        <w:rPr>
          <w:rFonts w:hint="eastAsia" w:ascii="仿宋_GB2312" w:eastAsia="仿宋_GB2312" w:cs="仿宋_GB2312"/>
          <w:sz w:val="32"/>
          <w:szCs w:val="32"/>
          <w:highlight w:val="none"/>
          <w:lang w:bidi="ar-SA"/>
        </w:rPr>
        <w:t>反映政府债务利息及费用支出，计划安排3亿元。</w:t>
      </w:r>
    </w:p>
    <w:p>
      <w:pPr>
        <w:snapToGrid w:val="0"/>
        <w:spacing w:line="62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12.债务还本支出。</w:t>
      </w:r>
      <w:r>
        <w:rPr>
          <w:rFonts w:hint="eastAsia" w:ascii="仿宋_GB2312" w:eastAsia="仿宋_GB2312" w:cs="仿宋_GB2312"/>
          <w:sz w:val="32"/>
          <w:szCs w:val="32"/>
          <w:highlight w:val="none"/>
          <w:lang w:bidi="ar-SA"/>
        </w:rPr>
        <w:t>反映政府债务还本支出。根据政府债务偿还计划安排，2022年无需安排</w:t>
      </w:r>
      <w:r>
        <w:rPr>
          <w:rFonts w:hint="eastAsia" w:ascii="仿宋_GB2312" w:eastAsia="仿宋_GB2312" w:cs="仿宋_GB2312"/>
          <w:sz w:val="32"/>
          <w:szCs w:val="32"/>
          <w:highlight w:val="none"/>
          <w:lang w:eastAsia="zh-CN" w:bidi="ar-SA"/>
        </w:rPr>
        <w:t>一般债券</w:t>
      </w:r>
      <w:r>
        <w:rPr>
          <w:rFonts w:hint="eastAsia" w:ascii="仿宋_GB2312" w:eastAsia="仿宋_GB2312" w:cs="仿宋_GB2312"/>
          <w:sz w:val="32"/>
          <w:szCs w:val="32"/>
          <w:highlight w:val="none"/>
          <w:lang w:bidi="ar-SA"/>
        </w:rPr>
        <w:t>还本支出。</w:t>
      </w:r>
    </w:p>
    <w:p>
      <w:pPr>
        <w:snapToGrid w:val="0"/>
        <w:spacing w:line="62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13.转移性支出。</w:t>
      </w:r>
      <w:r>
        <w:rPr>
          <w:rFonts w:hint="eastAsia" w:ascii="仿宋_GB2312" w:eastAsia="仿宋_GB2312" w:cs="仿宋_GB2312"/>
          <w:sz w:val="32"/>
          <w:szCs w:val="32"/>
          <w:highlight w:val="none"/>
          <w:lang w:bidi="ar-SA"/>
        </w:rPr>
        <w:t>反映政府间的转移性支出。计划安排1110亿元，增长2</w:t>
      </w:r>
      <w:r>
        <w:rPr>
          <w:rFonts w:hint="eastAsia" w:ascii="仿宋_GB2312" w:eastAsia="仿宋_GB2312" w:cs="仿宋_GB2312"/>
          <w:sz w:val="32"/>
          <w:szCs w:val="32"/>
          <w:highlight w:val="none"/>
          <w:lang w:val="en-US" w:eastAsia="zh-CN" w:bidi="ar-SA"/>
        </w:rPr>
        <w:t>3.4</w:t>
      </w:r>
      <w:r>
        <w:rPr>
          <w:rFonts w:hint="eastAsia" w:ascii="仿宋_GB2312" w:eastAsia="仿宋_GB2312" w:cs="仿宋_GB2312"/>
          <w:sz w:val="32"/>
          <w:szCs w:val="32"/>
          <w:highlight w:val="none"/>
          <w:lang w:bidi="ar-SA"/>
        </w:rPr>
        <w:t>%，其中上解中央和省支出420亿元，补助区支出690亿元，主要是</w:t>
      </w:r>
      <w:r>
        <w:rPr>
          <w:rFonts w:hint="eastAsia" w:ascii="仿宋_GB2312" w:eastAsia="仿宋_GB2312" w:cs="仿宋_GB2312"/>
          <w:kern w:val="0"/>
          <w:sz w:val="32"/>
          <w:szCs w:val="32"/>
          <w:highlight w:val="none"/>
          <w:lang w:bidi="ar-SA"/>
        </w:rPr>
        <w:t>完善义务教育经费财政全额保障机制，</w:t>
      </w:r>
      <w:r>
        <w:rPr>
          <w:rFonts w:hint="eastAsia" w:ascii="仿宋_GB2312" w:eastAsia="仿宋_GB2312" w:cs="仿宋_GB2312"/>
          <w:kern w:val="0"/>
          <w:sz w:val="32"/>
          <w:szCs w:val="32"/>
          <w:highlight w:val="none"/>
          <w:lang w:eastAsia="zh-CN" w:bidi="ar-SA"/>
        </w:rPr>
        <w:t>增加</w:t>
      </w:r>
      <w:r>
        <w:rPr>
          <w:rFonts w:hint="eastAsia" w:ascii="仿宋_GB2312" w:eastAsia="仿宋_GB2312" w:cs="仿宋_GB2312"/>
          <w:kern w:val="0"/>
          <w:sz w:val="32"/>
          <w:szCs w:val="32"/>
          <w:highlight w:val="none"/>
          <w:lang w:bidi="ar-SA"/>
        </w:rPr>
        <w:t>预留66.9亿元</w:t>
      </w:r>
      <w:r>
        <w:rPr>
          <w:rFonts w:hint="eastAsia" w:ascii="仿宋_GB2312" w:eastAsia="仿宋_GB2312" w:cs="仿宋_GB2312"/>
          <w:kern w:val="0"/>
          <w:sz w:val="32"/>
          <w:szCs w:val="32"/>
          <w:highlight w:val="none"/>
          <w:lang w:eastAsia="zh-CN" w:bidi="ar-SA"/>
        </w:rPr>
        <w:t>，</w:t>
      </w:r>
      <w:r>
        <w:rPr>
          <w:rFonts w:hint="eastAsia" w:ascii="仿宋_GB2312" w:eastAsia="仿宋_GB2312" w:cs="仿宋_GB2312"/>
          <w:bCs/>
          <w:sz w:val="32"/>
          <w:szCs w:val="32"/>
          <w:highlight w:val="none"/>
          <w:u w:val="none"/>
          <w:lang w:bidi="ar-SA"/>
        </w:rPr>
        <w:t>年度执行中将根据市政府决策部署</w:t>
      </w:r>
      <w:r>
        <w:rPr>
          <w:rFonts w:hint="eastAsia" w:ascii="仿宋_GB2312" w:eastAsia="仿宋_GB2312" w:cs="仿宋_GB2312"/>
          <w:kern w:val="0"/>
          <w:sz w:val="32"/>
          <w:szCs w:val="32"/>
          <w:highlight w:val="none"/>
          <w:lang w:bidi="ar-SA"/>
        </w:rPr>
        <w:t>用于支持义务教育学位建设</w:t>
      </w:r>
      <w:r>
        <w:rPr>
          <w:rFonts w:hint="eastAsia" w:ascii="仿宋_GB2312" w:eastAsia="仿宋_GB2312" w:cs="仿宋_GB2312"/>
          <w:kern w:val="0"/>
          <w:sz w:val="32"/>
          <w:szCs w:val="32"/>
          <w:highlight w:val="none"/>
          <w:lang w:eastAsia="zh-CN" w:bidi="ar-SA"/>
        </w:rPr>
        <w:t>；</w:t>
      </w:r>
      <w:r>
        <w:rPr>
          <w:rFonts w:hint="eastAsia" w:ascii="仿宋_GB2312" w:eastAsia="仿宋_GB2312" w:cs="仿宋_GB2312"/>
          <w:kern w:val="0"/>
          <w:sz w:val="32"/>
          <w:szCs w:val="32"/>
          <w:highlight w:val="none"/>
          <w:lang w:bidi="ar-SA"/>
        </w:rPr>
        <w:t>安排其他转移支付，</w:t>
      </w:r>
      <w:r>
        <w:rPr>
          <w:rFonts w:hint="eastAsia" w:ascii="仿宋_GB2312" w:eastAsia="仿宋_GB2312" w:cs="仿宋_GB2312"/>
          <w:sz w:val="32"/>
          <w:szCs w:val="32"/>
          <w:highlight w:val="none"/>
          <w:lang w:bidi="ar-SA"/>
        </w:rPr>
        <w:t>加大对各区支持力度，探索建立均衡性转移支付制度，提升基层公共服务保障能力。</w:t>
      </w:r>
    </w:p>
    <w:p>
      <w:pPr>
        <w:snapToGrid w:val="0"/>
        <w:spacing w:line="620" w:lineRule="exact"/>
        <w:ind w:firstLine="643" w:firstLineChars="200"/>
        <w:rPr>
          <w:rFonts w:hint="eastAsia" w:ascii="仿宋_GB2312" w:eastAsia="仿宋_GB2312" w:cs="仿宋_GB2312"/>
          <w:sz w:val="32"/>
          <w:szCs w:val="32"/>
          <w:highlight w:val="none"/>
          <w:lang w:bidi="ar-SA"/>
        </w:rPr>
      </w:pPr>
      <w:r>
        <w:rPr>
          <w:rFonts w:hint="eastAsia" w:ascii="仿宋_GB2312" w:eastAsia="仿宋_GB2312" w:cs="仿宋_GB2312"/>
          <w:b/>
          <w:sz w:val="32"/>
          <w:szCs w:val="32"/>
          <w:highlight w:val="none"/>
          <w:lang w:bidi="ar-SA"/>
        </w:rPr>
        <w:t>14.预备费及预留。</w:t>
      </w:r>
      <w:r>
        <w:rPr>
          <w:rFonts w:hint="eastAsia" w:ascii="仿宋_GB2312" w:eastAsia="仿宋_GB2312" w:cs="仿宋_GB2312"/>
          <w:sz w:val="32"/>
          <w:szCs w:val="32"/>
          <w:highlight w:val="none"/>
          <w:lang w:bidi="ar-SA"/>
        </w:rPr>
        <w:t>计划安排106.1亿元，下降10.5%。预留支出主要包括预备费60亿元、预算准备金30亿元等。</w:t>
      </w:r>
    </w:p>
    <w:p>
      <w:pPr>
        <w:adjustRightInd w:val="0"/>
        <w:snapToGrid w:val="0"/>
        <w:spacing w:line="620" w:lineRule="exact"/>
        <w:ind w:firstLine="643" w:firstLineChars="200"/>
        <w:rPr>
          <w:highlight w:val="none"/>
        </w:rPr>
      </w:pPr>
      <w:r>
        <w:rPr>
          <w:rFonts w:hint="eastAsia" w:ascii="仿宋_GB2312" w:eastAsia="仿宋_GB2312" w:cs="仿宋_GB2312"/>
          <w:b/>
          <w:sz w:val="32"/>
          <w:szCs w:val="32"/>
          <w:highlight w:val="none"/>
          <w:lang w:bidi="ar-SA"/>
        </w:rPr>
        <w:t>15.其他支出。</w:t>
      </w:r>
      <w:r>
        <w:rPr>
          <w:rFonts w:hint="eastAsia" w:ascii="仿宋_GB2312" w:eastAsia="仿宋_GB2312" w:cs="仿宋_GB2312"/>
          <w:sz w:val="32"/>
          <w:szCs w:val="32"/>
          <w:highlight w:val="none"/>
          <w:lang w:bidi="ar-SA"/>
        </w:rPr>
        <w:t>反映不能划分到上述经济科目的其他支出。计划安排5.5亿元，下降82.5%，主要是</w:t>
      </w:r>
      <w:r>
        <w:rPr>
          <w:rFonts w:hint="eastAsia" w:ascii="仿宋_GB2312" w:eastAsia="仿宋_GB2312" w:cs="仿宋_GB2312"/>
          <w:sz w:val="32"/>
          <w:szCs w:val="32"/>
          <w:highlight w:val="none"/>
          <w:lang w:eastAsia="zh-CN" w:bidi="ar-SA"/>
        </w:rPr>
        <w:t>相关支出根据实际使用</w:t>
      </w:r>
      <w:r>
        <w:rPr>
          <w:rFonts w:hint="eastAsia" w:ascii="仿宋_GB2312" w:eastAsia="仿宋_GB2312" w:cs="仿宋_GB2312"/>
          <w:sz w:val="32"/>
          <w:szCs w:val="32"/>
          <w:highlight w:val="none"/>
          <w:lang w:bidi="ar-SA"/>
        </w:rPr>
        <w:t>方向</w:t>
      </w:r>
      <w:r>
        <w:rPr>
          <w:rFonts w:hint="eastAsia" w:ascii="仿宋_GB2312" w:eastAsia="仿宋_GB2312" w:cs="仿宋_GB2312"/>
          <w:sz w:val="32"/>
          <w:szCs w:val="32"/>
          <w:highlight w:val="none"/>
          <w:lang w:eastAsia="zh-CN" w:bidi="ar-SA"/>
        </w:rPr>
        <w:t>调整至</w:t>
      </w:r>
      <w:r>
        <w:rPr>
          <w:rFonts w:hint="eastAsia" w:ascii="仿宋_GB2312" w:eastAsia="仿宋_GB2312" w:cs="仿宋_GB2312"/>
          <w:sz w:val="32"/>
          <w:szCs w:val="32"/>
          <w:highlight w:val="none"/>
          <w:lang w:bidi="ar-SA"/>
        </w:rPr>
        <w:t>前述</w:t>
      </w:r>
      <w:r>
        <w:rPr>
          <w:rFonts w:hint="eastAsia" w:ascii="仿宋_GB2312" w:eastAsia="仿宋_GB2312" w:cs="仿宋_GB2312"/>
          <w:sz w:val="32"/>
          <w:szCs w:val="32"/>
          <w:highlight w:val="none"/>
          <w:lang w:eastAsia="zh-CN" w:bidi="ar-SA"/>
        </w:rPr>
        <w:t>各类支出经济分类</w:t>
      </w:r>
      <w:r>
        <w:rPr>
          <w:rFonts w:hint="eastAsia" w:ascii="仿宋_GB2312" w:eastAsia="仿宋_GB2312" w:cs="仿宋_GB2312"/>
          <w:sz w:val="32"/>
          <w:szCs w:val="32"/>
          <w:highlight w:val="none"/>
          <w:lang w:bidi="ar-SA"/>
        </w:rPr>
        <w:t>科目</w:t>
      </w:r>
      <w:r>
        <w:rPr>
          <w:rFonts w:hint="eastAsia" w:ascii="仿宋_GB2312" w:eastAsia="仿宋_GB2312" w:cs="仿宋_GB2312"/>
          <w:sz w:val="32"/>
          <w:szCs w:val="32"/>
          <w:highlight w:val="none"/>
          <w:lang w:eastAsia="zh-CN" w:bidi="ar-SA"/>
        </w:rPr>
        <w:t>中</w:t>
      </w:r>
      <w:r>
        <w:rPr>
          <w:rFonts w:hint="eastAsia" w:ascii="仿宋_GB2312" w:eastAsia="仿宋_GB2312" w:cs="仿宋_GB2312"/>
          <w:sz w:val="32"/>
          <w:szCs w:val="32"/>
          <w:highlight w:val="none"/>
          <w:lang w:bidi="ar-SA"/>
        </w:rPr>
        <w:t>反映。</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三、</w:t>
      </w:r>
      <w:r>
        <w:rPr>
          <w:rFonts w:hint="eastAsia" w:ascii="黑体" w:eastAsia="黑体" w:cs="宋体"/>
          <w:kern w:val="0"/>
          <w:sz w:val="32"/>
          <w:szCs w:val="32"/>
          <w:highlight w:val="none"/>
          <w:u w:val="none"/>
          <w:lang w:val="zh-CN" w:eastAsia="zh-CN" w:bidi="ar-SA"/>
        </w:rPr>
        <w:t>全市政府债务情况</w:t>
      </w:r>
    </w:p>
    <w:p>
      <w:pPr>
        <w:keepNext w:val="0"/>
        <w:keepLines w:val="0"/>
        <w:pageBreakBefore w:val="0"/>
        <w:widowControl w:val="0"/>
        <w:kinsoku/>
        <w:wordWrap/>
        <w:topLinePunct w:val="0"/>
        <w:bidi w:val="0"/>
        <w:spacing w:line="560" w:lineRule="exact"/>
        <w:ind w:firstLine="640" w:firstLineChars="200"/>
        <w:textAlignment w:val="auto"/>
        <w:rPr>
          <w:rFonts w:hint="eastAsia" w:ascii="楷体_GB2312" w:eastAsia="楷体_GB2312" w:cs="Times New Roman"/>
          <w:bCs/>
          <w:sz w:val="32"/>
          <w:szCs w:val="32"/>
          <w:highlight w:val="none"/>
          <w:u w:val="none"/>
          <w:lang w:bidi="ar-SA"/>
        </w:rPr>
      </w:pPr>
      <w:r>
        <w:rPr>
          <w:rFonts w:hint="eastAsia" w:ascii="楷体_GB2312" w:eastAsia="楷体_GB2312" w:cs="Times New Roman"/>
          <w:bCs/>
          <w:sz w:val="32"/>
          <w:szCs w:val="32"/>
          <w:highlight w:val="none"/>
          <w:u w:val="none"/>
          <w:lang w:bidi="ar-SA"/>
        </w:rPr>
        <w:t>（一）2021年底地方政府债务限额余额情况</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截至2021年底，全市地方政府债务限额1626.2亿元，其中一般债务限额278.7亿元、专项债务限额1347.5亿元。</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2021年全市地方政府债务余额为1420亿元，控制在债务限额以内，其中市本级478.7亿元、区级941.3亿元。按照债务类型划分，政府一般债务余额115.9亿元，其中市本级74.4亿元、区级41.5亿元；政府专项债务余额1304.1亿元，其中市本级404.3亿元、区级899.8亿元。</w:t>
      </w:r>
    </w:p>
    <w:p>
      <w:pPr>
        <w:keepNext w:val="0"/>
        <w:keepLines w:val="0"/>
        <w:pageBreakBefore w:val="0"/>
        <w:widowControl w:val="0"/>
        <w:kinsoku/>
        <w:wordWrap/>
        <w:topLinePunct w:val="0"/>
        <w:bidi w:val="0"/>
        <w:spacing w:line="560" w:lineRule="exact"/>
        <w:ind w:firstLine="640" w:firstLineChars="200"/>
        <w:textAlignment w:val="auto"/>
        <w:rPr>
          <w:rFonts w:hint="eastAsia" w:ascii="楷体_GB2312" w:eastAsia="楷体_GB2312" w:cs="Times New Roman"/>
          <w:bCs/>
          <w:sz w:val="32"/>
          <w:szCs w:val="32"/>
          <w:highlight w:val="none"/>
          <w:u w:val="none"/>
          <w:lang w:bidi="ar-SA"/>
        </w:rPr>
      </w:pPr>
      <w:r>
        <w:rPr>
          <w:rFonts w:hint="eastAsia" w:ascii="楷体_GB2312" w:eastAsia="楷体_GB2312" w:cs="Times New Roman"/>
          <w:bCs/>
          <w:sz w:val="32"/>
          <w:szCs w:val="32"/>
          <w:highlight w:val="none"/>
          <w:u w:val="none"/>
          <w:lang w:bidi="ar-SA"/>
        </w:rPr>
        <w:t>（二）地方政府债券发行和偿还情况</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仿宋_GB2312" w:eastAsia="仿宋_GB2312" w:cs="Times New Roman"/>
          <w:color w:val="000000"/>
          <w:sz w:val="32"/>
          <w:szCs w:val="32"/>
          <w:highlight w:val="none"/>
          <w:u w:val="none"/>
          <w:lang w:bidi="ar-SA"/>
        </w:rPr>
      </w:pPr>
      <w:r>
        <w:rPr>
          <w:rFonts w:hint="eastAsia" w:ascii="仿宋_GB2312" w:eastAsia="仿宋_GB2312" w:cs="Times New Roman"/>
          <w:sz w:val="32"/>
          <w:szCs w:val="32"/>
          <w:highlight w:val="none"/>
          <w:u w:val="none"/>
          <w:lang w:bidi="ar-SA"/>
        </w:rPr>
        <w:t>2021年</w:t>
      </w:r>
      <w:r>
        <w:rPr>
          <w:rFonts w:hint="eastAsia" w:ascii="仿宋_GB2312" w:eastAsia="仿宋_GB2312" w:cs="Times New Roman"/>
          <w:sz w:val="32"/>
          <w:szCs w:val="32"/>
          <w:highlight w:val="none"/>
          <w:u w:val="none"/>
          <w:lang w:eastAsia="zh-CN" w:bidi="ar-SA"/>
        </w:rPr>
        <w:t>，</w:t>
      </w:r>
      <w:r>
        <w:rPr>
          <w:rFonts w:hint="eastAsia" w:ascii="仿宋_GB2312" w:eastAsia="仿宋_GB2312" w:cs="Times New Roman"/>
          <w:sz w:val="32"/>
          <w:szCs w:val="32"/>
          <w:highlight w:val="none"/>
          <w:u w:val="none"/>
          <w:lang w:bidi="ar-SA"/>
        </w:rPr>
        <w:t>全市发行地方政府债券586.2亿元，其中一般债券69.2亿元，专项债券517亿元。发行一般债券69.2亿元中，新增一般债券12亿元，再融资一般债券57.2亿元。</w:t>
      </w:r>
      <w:r>
        <w:rPr>
          <w:rFonts w:hint="eastAsia" w:ascii="仿宋_GB2312" w:eastAsia="仿宋_GB2312" w:cs="Times New Roman"/>
          <w:color w:val="000000"/>
          <w:sz w:val="32"/>
          <w:szCs w:val="32"/>
          <w:highlight w:val="none"/>
          <w:u w:val="none"/>
          <w:lang w:bidi="ar-SA"/>
        </w:rPr>
        <w:t>新增债券资金主要投向城市轨道交通、城镇污水垃圾处理、卫生健康、产业园区基础设施、铁路、城镇老旧小区改造、保障性租赁住房、文化旅游、教育等重点领域。</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仿宋_GB2312" w:eastAsia="仿宋_GB2312" w:cs="宋体"/>
          <w:kern w:val="0"/>
          <w:sz w:val="32"/>
          <w:szCs w:val="32"/>
          <w:highlight w:val="none"/>
          <w:u w:val="none"/>
          <w:lang w:bidi="ar-SA"/>
        </w:rPr>
      </w:pPr>
      <w:r>
        <w:rPr>
          <w:rFonts w:hint="eastAsia" w:ascii="仿宋_GB2312" w:eastAsia="仿宋_GB2312" w:cs="Times New Roman"/>
          <w:sz w:val="32"/>
          <w:szCs w:val="32"/>
          <w:highlight w:val="none"/>
          <w:u w:val="none"/>
          <w:lang w:bidi="ar-SA"/>
        </w:rPr>
        <w:t>2021年，全市共偿还地方政府债务本金47.4亿元，其中一般债务22.2亿元，专项债务25.2亿元。</w:t>
      </w:r>
      <w:r>
        <w:rPr>
          <w:rFonts w:hint="eastAsia" w:ascii="仿宋_GB2312" w:eastAsia="仿宋_GB2312" w:cs="宋体"/>
          <w:kern w:val="0"/>
          <w:sz w:val="32"/>
          <w:szCs w:val="32"/>
          <w:highlight w:val="none"/>
          <w:u w:val="none"/>
          <w:lang w:val="zh-CN" w:eastAsia="zh-CN" w:bidi="ar-SA"/>
        </w:rPr>
        <w:t>支付地方政府债券利息</w:t>
      </w:r>
      <w:r>
        <w:rPr>
          <w:rFonts w:hint="eastAsia" w:ascii="仿宋_GB2312" w:eastAsia="仿宋_GB2312" w:cs="宋体"/>
          <w:kern w:val="0"/>
          <w:sz w:val="32"/>
          <w:szCs w:val="32"/>
          <w:highlight w:val="none"/>
          <w:u w:val="none"/>
          <w:lang w:bidi="ar-SA"/>
        </w:rPr>
        <w:t>31.8</w:t>
      </w:r>
      <w:r>
        <w:rPr>
          <w:rFonts w:hint="eastAsia" w:ascii="仿宋_GB2312" w:eastAsia="仿宋_GB2312" w:cs="宋体"/>
          <w:kern w:val="0"/>
          <w:sz w:val="32"/>
          <w:szCs w:val="32"/>
          <w:highlight w:val="none"/>
          <w:u w:val="none"/>
          <w:lang w:val="zh-CN" w:eastAsia="zh-CN" w:bidi="ar-SA"/>
        </w:rPr>
        <w:t>亿元，其中一般债券利息</w:t>
      </w:r>
      <w:r>
        <w:rPr>
          <w:rFonts w:hint="eastAsia" w:ascii="仿宋_GB2312" w:eastAsia="仿宋_GB2312" w:cs="宋体"/>
          <w:kern w:val="0"/>
          <w:sz w:val="32"/>
          <w:szCs w:val="32"/>
          <w:highlight w:val="none"/>
          <w:u w:val="none"/>
          <w:lang w:bidi="ar-SA"/>
        </w:rPr>
        <w:t>2.3</w:t>
      </w:r>
      <w:r>
        <w:rPr>
          <w:rFonts w:hint="eastAsia" w:ascii="仿宋_GB2312" w:eastAsia="仿宋_GB2312" w:cs="宋体"/>
          <w:kern w:val="0"/>
          <w:sz w:val="32"/>
          <w:szCs w:val="32"/>
          <w:highlight w:val="none"/>
          <w:u w:val="none"/>
          <w:lang w:val="zh-CN" w:eastAsia="zh-CN" w:bidi="ar-SA"/>
        </w:rPr>
        <w:t>亿元，专项债券利息</w:t>
      </w:r>
      <w:r>
        <w:rPr>
          <w:rFonts w:hint="eastAsia" w:ascii="仿宋_GB2312" w:eastAsia="仿宋_GB2312" w:cs="宋体"/>
          <w:kern w:val="0"/>
          <w:sz w:val="32"/>
          <w:szCs w:val="32"/>
          <w:highlight w:val="none"/>
          <w:u w:val="none"/>
          <w:lang w:bidi="ar-SA"/>
        </w:rPr>
        <w:t>29.5</w:t>
      </w:r>
      <w:r>
        <w:rPr>
          <w:rFonts w:hint="eastAsia" w:ascii="仿宋_GB2312" w:eastAsia="仿宋_GB2312" w:cs="宋体"/>
          <w:kern w:val="0"/>
          <w:sz w:val="32"/>
          <w:szCs w:val="32"/>
          <w:highlight w:val="none"/>
          <w:u w:val="none"/>
          <w:lang w:val="zh-CN" w:eastAsia="zh-CN" w:bidi="ar-SA"/>
        </w:rPr>
        <w:t>亿元。</w:t>
      </w:r>
      <w:r>
        <w:rPr>
          <w:rFonts w:hint="eastAsia" w:ascii="仿宋_GB2312" w:eastAsia="仿宋_GB2312" w:cs="宋体"/>
          <w:kern w:val="0"/>
          <w:sz w:val="32"/>
          <w:szCs w:val="32"/>
          <w:highlight w:val="none"/>
          <w:u w:val="none"/>
          <w:lang w:bidi="ar-SA"/>
        </w:rPr>
        <w:t xml:space="preserve"> </w:t>
      </w:r>
    </w:p>
    <w:p>
      <w:pPr>
        <w:keepNext w:val="0"/>
        <w:keepLines w:val="0"/>
        <w:pageBreakBefore w:val="0"/>
        <w:widowControl w:val="0"/>
        <w:kinsoku/>
        <w:wordWrap/>
        <w:topLinePunct w:val="0"/>
        <w:bidi w:val="0"/>
        <w:spacing w:line="560" w:lineRule="exact"/>
        <w:ind w:firstLine="640" w:firstLineChars="200"/>
        <w:textAlignment w:val="auto"/>
        <w:rPr>
          <w:rFonts w:hint="eastAsia" w:ascii="楷体_GB2312" w:eastAsia="楷体_GB2312" w:cs="Times New Roman"/>
          <w:bCs/>
          <w:sz w:val="32"/>
          <w:szCs w:val="32"/>
          <w:highlight w:val="none"/>
          <w:u w:val="none"/>
          <w:lang w:bidi="ar-SA"/>
        </w:rPr>
      </w:pPr>
      <w:r>
        <w:rPr>
          <w:rFonts w:hint="eastAsia" w:ascii="楷体_GB2312" w:eastAsia="楷体_GB2312" w:cs="Times New Roman"/>
          <w:bCs/>
          <w:sz w:val="32"/>
          <w:szCs w:val="32"/>
          <w:highlight w:val="none"/>
          <w:u w:val="none"/>
          <w:lang w:bidi="ar-SA"/>
        </w:rPr>
        <w:t>（三）中央提前下达2022年部分债券新增额度分配情况</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cs="Times New Roman"/>
          <w:bCs/>
          <w:sz w:val="32"/>
          <w:szCs w:val="32"/>
          <w:highlight w:val="none"/>
          <w:u w:val="none"/>
          <w:lang w:bidi="ar-SA"/>
        </w:rPr>
      </w:pPr>
      <w:r>
        <w:rPr>
          <w:rFonts w:hint="eastAsia" w:ascii="仿宋_GB2312" w:eastAsia="仿宋_GB2312" w:cs="Times New Roman"/>
          <w:sz w:val="32"/>
          <w:szCs w:val="32"/>
          <w:highlight w:val="none"/>
          <w:u w:val="none"/>
          <w:lang w:bidi="ar-SA"/>
        </w:rPr>
        <w:t>根据《财政部关于提前下达2022年新增债务限额和下达2021年剩余新增债务限额的通知》（财预〔2021〕177号），经国务院同意，财政部提前下达我市部分2022年新增地方政府债务限额246亿元，其中一般债4亿元、专项债242亿元</w:t>
      </w:r>
      <w:r>
        <w:rPr>
          <w:rFonts w:hint="eastAsia" w:ascii="仿宋_GB2312" w:eastAsia="仿宋_GB2312" w:cs="Times New Roman"/>
          <w:bCs/>
          <w:sz w:val="32"/>
          <w:szCs w:val="32"/>
          <w:highlight w:val="none"/>
          <w:u w:val="none"/>
          <w:lang w:bidi="ar-SA"/>
        </w:rPr>
        <w:t>。根据中央经济工作会议要求，结合国家发展改革委、财政部项目审核情况，以及各区专项债券项目上半年预计支出规模，本次提前下达新增债券限额分配如下：</w:t>
      </w:r>
    </w:p>
    <w:p>
      <w:pPr>
        <w:keepNext w:val="0"/>
        <w:keepLines w:val="0"/>
        <w:pageBreakBefore w:val="0"/>
        <w:widowControl w:val="0"/>
        <w:kinsoku/>
        <w:wordWrap/>
        <w:topLinePunct w:val="0"/>
        <w:bidi w:val="0"/>
        <w:spacing w:line="560" w:lineRule="exact"/>
        <w:ind w:firstLine="640"/>
        <w:textAlignment w:val="auto"/>
        <w:rPr>
          <w:rFonts w:hint="eastAsia" w:ascii="仿宋_GB2312" w:eastAsia="仿宋_GB2312" w:cs="Times New Roman"/>
          <w:bCs/>
          <w:sz w:val="32"/>
          <w:szCs w:val="32"/>
          <w:highlight w:val="none"/>
          <w:u w:val="none"/>
          <w:lang w:bidi="ar-SA"/>
        </w:rPr>
      </w:pPr>
      <w:r>
        <w:rPr>
          <w:rFonts w:hint="eastAsia" w:ascii="仿宋_GB2312" w:eastAsia="仿宋_GB2312" w:cs="Times New Roman"/>
          <w:bCs/>
          <w:sz w:val="32"/>
          <w:szCs w:val="32"/>
          <w:highlight w:val="none"/>
          <w:u w:val="none"/>
          <w:lang w:bidi="ar-SA"/>
        </w:rPr>
        <w:t>1.一般债券4亿元，</w:t>
      </w:r>
      <w:r>
        <w:rPr>
          <w:rStyle w:val="16"/>
          <w:rFonts w:hint="eastAsia" w:ascii="仿宋_GB2312" w:eastAsia="仿宋_GB2312" w:cs="Times New Roman"/>
          <w:sz w:val="32"/>
          <w:szCs w:val="32"/>
          <w:highlight w:val="none"/>
          <w:u w:val="none"/>
          <w:lang w:bidi="ar-SA"/>
        </w:rPr>
        <w:t>分配罗湖区和盐田区各2亿元，主要用于基础教育等没有收益的市政建设工程，具体发债项目由区政府确定后报同级人大或人大常委会审议</w:t>
      </w:r>
      <w:r>
        <w:rPr>
          <w:rFonts w:hint="eastAsia" w:ascii="仿宋_GB2312" w:eastAsia="仿宋_GB2312" w:cs="Times New Roman"/>
          <w:bCs/>
          <w:sz w:val="32"/>
          <w:szCs w:val="32"/>
          <w:highlight w:val="none"/>
          <w:u w:val="none"/>
          <w:lang w:bidi="ar-SA"/>
        </w:rPr>
        <w:t>批准</w:t>
      </w:r>
      <w:r>
        <w:rPr>
          <w:rStyle w:val="16"/>
          <w:rFonts w:hint="eastAsia" w:ascii="仿宋_GB2312" w:eastAsia="仿宋_GB2312" w:cs="Times New Roman"/>
          <w:sz w:val="32"/>
          <w:szCs w:val="32"/>
          <w:highlight w:val="none"/>
          <w:u w:val="none"/>
          <w:lang w:bidi="ar-SA"/>
        </w:rPr>
        <w:t>。</w:t>
      </w:r>
    </w:p>
    <w:p>
      <w:pPr>
        <w:keepNext w:val="0"/>
        <w:keepLines w:val="0"/>
        <w:pageBreakBefore w:val="0"/>
        <w:widowControl w:val="0"/>
        <w:kinsoku/>
        <w:wordWrap/>
        <w:topLinePunct w:val="0"/>
        <w:bidi w:val="0"/>
        <w:spacing w:line="560" w:lineRule="exact"/>
        <w:ind w:firstLine="640"/>
        <w:textAlignment w:val="auto"/>
        <w:rPr>
          <w:rFonts w:hint="eastAsia" w:ascii="仿宋_GB2312" w:eastAsia="仿宋_GB2312" w:cs="Times New Roman"/>
          <w:bCs/>
          <w:sz w:val="32"/>
          <w:szCs w:val="32"/>
          <w:highlight w:val="none"/>
          <w:u w:val="none"/>
          <w:lang w:bidi="ar-SA"/>
        </w:rPr>
      </w:pPr>
      <w:r>
        <w:rPr>
          <w:rFonts w:hint="eastAsia" w:ascii="仿宋_GB2312" w:eastAsia="仿宋_GB2312" w:cs="Times New Roman"/>
          <w:bCs/>
          <w:sz w:val="32"/>
          <w:szCs w:val="32"/>
          <w:highlight w:val="none"/>
          <w:u w:val="none"/>
          <w:lang w:bidi="ar-SA"/>
        </w:rPr>
        <w:t>2.专项债券242亿元，分配市本级</w:t>
      </w:r>
      <w:r>
        <w:rPr>
          <w:rStyle w:val="16"/>
          <w:rFonts w:hint="eastAsia" w:ascii="仿宋_GB2312" w:eastAsia="仿宋_GB2312" w:cs="Times New Roman"/>
          <w:bCs/>
          <w:sz w:val="32"/>
          <w:szCs w:val="32"/>
          <w:highlight w:val="none"/>
          <w:u w:val="none"/>
          <w:lang w:bidi="ar-SA"/>
        </w:rPr>
        <w:t>76.3</w:t>
      </w:r>
      <w:r>
        <w:rPr>
          <w:rFonts w:hint="eastAsia" w:ascii="仿宋_GB2312" w:eastAsia="仿宋_GB2312" w:cs="Times New Roman"/>
          <w:bCs/>
          <w:sz w:val="32"/>
          <w:szCs w:val="32"/>
          <w:highlight w:val="none"/>
          <w:u w:val="none"/>
          <w:lang w:bidi="ar-SA"/>
        </w:rPr>
        <w:t>亿元，包括</w:t>
      </w:r>
      <w:r>
        <w:rPr>
          <w:rFonts w:hint="eastAsia" w:ascii="仿宋_GB2312" w:eastAsia="仿宋_GB2312" w:cs="宋体"/>
          <w:kern w:val="0"/>
          <w:sz w:val="32"/>
          <w:highlight w:val="none"/>
          <w:u w:val="none"/>
          <w:lang w:bidi="ar-SA"/>
        </w:rPr>
        <w:t>轨道交通四期工程项目38亿元、城际铁路项目31.8亿元、市属医院医疗设备购置项目4.2亿元、深港合作区深方园区项目0.5亿元、前海深港科技创新生态谷和集中供冷等项目1.8亿元</w:t>
      </w:r>
      <w:r>
        <w:rPr>
          <w:rFonts w:hint="eastAsia" w:ascii="仿宋_GB2312" w:eastAsia="仿宋_GB2312" w:cs="Times New Roman"/>
          <w:sz w:val="32"/>
          <w:szCs w:val="32"/>
          <w:highlight w:val="none"/>
          <w:u w:val="none"/>
          <w:lang w:bidi="ar-SA"/>
        </w:rPr>
        <w:t>；分配区级</w:t>
      </w:r>
      <w:r>
        <w:rPr>
          <w:rStyle w:val="16"/>
          <w:rFonts w:hint="eastAsia" w:ascii="仿宋_GB2312" w:eastAsia="仿宋_GB2312" w:cs="Times New Roman"/>
          <w:bCs/>
          <w:sz w:val="32"/>
          <w:szCs w:val="32"/>
          <w:highlight w:val="none"/>
          <w:u w:val="none"/>
          <w:lang w:bidi="ar-SA"/>
        </w:rPr>
        <w:t>165.7亿元</w:t>
      </w:r>
      <w:r>
        <w:rPr>
          <w:rFonts w:hint="eastAsia" w:ascii="仿宋_GB2312" w:eastAsia="仿宋_GB2312" w:cs="Times New Roman"/>
          <w:sz w:val="32"/>
          <w:szCs w:val="32"/>
          <w:highlight w:val="none"/>
          <w:u w:val="none"/>
          <w:lang w:bidi="ar-SA"/>
        </w:rPr>
        <w:t>，包括</w:t>
      </w:r>
      <w:r>
        <w:rPr>
          <w:rStyle w:val="16"/>
          <w:rFonts w:hint="eastAsia" w:ascii="仿宋_GB2312" w:eastAsia="仿宋_GB2312" w:cs="Times New Roman"/>
          <w:sz w:val="32"/>
          <w:szCs w:val="32"/>
          <w:highlight w:val="none"/>
          <w:u w:val="none"/>
          <w:lang w:bidi="ar-SA"/>
        </w:rPr>
        <w:t>福田区18亿元，罗湖区10.35亿元，南山区10亿元，宝安区25亿元，龙岗区17亿元，盐田区4.13元，龙华区35亿元，坪山区20亿元，光明区20亿元，大鹏新区0.62亿元，深汕特别合作区5.6亿元</w:t>
      </w:r>
      <w:r>
        <w:rPr>
          <w:rFonts w:hint="eastAsia" w:ascii="仿宋_GB2312" w:eastAsia="仿宋_GB2312" w:cs="Times New Roman"/>
          <w:sz w:val="32"/>
          <w:szCs w:val="32"/>
          <w:highlight w:val="none"/>
          <w:u w:val="none"/>
          <w:lang w:bidi="ar-SA"/>
        </w:rPr>
        <w:t>。发行项目</w:t>
      </w:r>
      <w:r>
        <w:rPr>
          <w:rFonts w:hint="eastAsia" w:ascii="仿宋_GB2312" w:eastAsia="仿宋_GB2312" w:cs="Times New Roman"/>
          <w:bCs/>
          <w:sz w:val="32"/>
          <w:szCs w:val="32"/>
          <w:highlight w:val="none"/>
          <w:u w:val="none"/>
          <w:lang w:bidi="ar-SA"/>
        </w:rPr>
        <w:t>由区政府按要求确定并报同级人大或人大常委会审议批准。</w:t>
      </w:r>
    </w:p>
    <w:p>
      <w:pPr>
        <w:keepNext w:val="0"/>
        <w:keepLines w:val="0"/>
        <w:pageBreakBefore w:val="0"/>
        <w:widowControl w:val="0"/>
        <w:kinsoku/>
        <w:wordWrap/>
        <w:topLinePunct w:val="0"/>
        <w:autoSpaceDE w:val="0"/>
        <w:autoSpaceDN w:val="0"/>
        <w:bidi w:val="0"/>
        <w:adjustRightInd w:val="0"/>
        <w:spacing w:line="560" w:lineRule="exact"/>
        <w:ind w:firstLine="640" w:firstLineChars="200"/>
        <w:textAlignment w:val="auto"/>
        <w:rPr>
          <w:rFonts w:hint="eastAsia" w:ascii="楷体_GB2312" w:eastAsia="楷体_GB2312" w:cs="宋体"/>
          <w:bCs/>
          <w:kern w:val="0"/>
          <w:sz w:val="32"/>
          <w:szCs w:val="32"/>
          <w:highlight w:val="none"/>
          <w:u w:val="none"/>
          <w:lang w:val="zh-CN" w:eastAsia="zh-CN" w:bidi="ar-SA"/>
        </w:rPr>
      </w:pPr>
      <w:r>
        <w:rPr>
          <w:rFonts w:hint="eastAsia" w:ascii="楷体_GB2312" w:eastAsia="楷体_GB2312" w:cs="宋体"/>
          <w:bCs/>
          <w:kern w:val="0"/>
          <w:sz w:val="32"/>
          <w:szCs w:val="32"/>
          <w:highlight w:val="none"/>
          <w:u w:val="none"/>
          <w:lang w:val="zh-CN" w:eastAsia="zh-CN" w:bidi="ar-SA"/>
        </w:rPr>
        <w:t>（四）202</w:t>
      </w:r>
      <w:r>
        <w:rPr>
          <w:rFonts w:hint="eastAsia" w:ascii="楷体_GB2312" w:eastAsia="楷体_GB2312" w:cs="宋体"/>
          <w:bCs/>
          <w:kern w:val="0"/>
          <w:sz w:val="32"/>
          <w:szCs w:val="32"/>
          <w:highlight w:val="none"/>
          <w:u w:val="none"/>
          <w:lang w:bidi="ar-SA"/>
        </w:rPr>
        <w:t>2</w:t>
      </w:r>
      <w:r>
        <w:rPr>
          <w:rFonts w:hint="eastAsia" w:ascii="楷体_GB2312" w:eastAsia="楷体_GB2312" w:cs="宋体"/>
          <w:bCs/>
          <w:kern w:val="0"/>
          <w:sz w:val="32"/>
          <w:szCs w:val="32"/>
          <w:highlight w:val="none"/>
          <w:u w:val="none"/>
          <w:lang w:val="zh-CN" w:eastAsia="zh-CN" w:bidi="ar-SA"/>
        </w:rPr>
        <w:t>年政府债务还本付息支出预算安排情况</w:t>
      </w:r>
    </w:p>
    <w:p>
      <w:pPr>
        <w:keepNext w:val="0"/>
        <w:keepLines w:val="0"/>
        <w:pageBreakBefore w:val="0"/>
        <w:widowControl w:val="0"/>
        <w:kinsoku/>
        <w:wordWrap/>
        <w:topLinePunct w:val="0"/>
        <w:autoSpaceDE w:val="0"/>
        <w:autoSpaceDN w:val="0"/>
        <w:bidi w:val="0"/>
        <w:adjustRightInd w:val="0"/>
        <w:spacing w:line="560" w:lineRule="exact"/>
        <w:ind w:firstLine="640" w:firstLineChars="200"/>
        <w:textAlignment w:val="auto"/>
        <w:rPr>
          <w:rFonts w:hint="eastAsia" w:ascii="仿宋_GB2312" w:eastAsia="仿宋_GB2312" w:cs="宋体"/>
          <w:kern w:val="0"/>
          <w:sz w:val="32"/>
          <w:szCs w:val="32"/>
          <w:highlight w:val="none"/>
          <w:u w:val="none"/>
          <w:lang w:val="zh-CN" w:eastAsia="zh-CN" w:bidi="ar-SA"/>
        </w:rPr>
      </w:pPr>
      <w:r>
        <w:rPr>
          <w:rFonts w:hint="eastAsia" w:ascii="仿宋_GB2312" w:eastAsia="仿宋_GB2312" w:cs="宋体"/>
          <w:kern w:val="0"/>
          <w:sz w:val="32"/>
          <w:szCs w:val="32"/>
          <w:highlight w:val="none"/>
          <w:u w:val="none"/>
          <w:lang w:val="zh-CN" w:eastAsia="zh-CN" w:bidi="ar-SA"/>
        </w:rPr>
        <w:t>2022年，我市地方政府债券还本预算数为55.9亿元，全部为专项债券还本金额，其中市本级专项债券还本预算数21.9亿元。</w:t>
      </w:r>
    </w:p>
    <w:p>
      <w:pPr>
        <w:keepNext w:val="0"/>
        <w:keepLines w:val="0"/>
        <w:pageBreakBefore w:val="0"/>
        <w:widowControl w:val="0"/>
        <w:kinsoku/>
        <w:wordWrap/>
        <w:topLinePunct w:val="0"/>
        <w:autoSpaceDE w:val="0"/>
        <w:autoSpaceDN w:val="0"/>
        <w:bidi w:val="0"/>
        <w:adjustRightInd w:val="0"/>
        <w:spacing w:line="560" w:lineRule="exact"/>
        <w:ind w:firstLine="640" w:firstLineChars="200"/>
        <w:textAlignment w:val="auto"/>
        <w:rPr>
          <w:rFonts w:hint="eastAsia" w:ascii="仿宋_GB2312" w:eastAsia="仿宋_GB2312" w:cs="宋体"/>
          <w:kern w:val="0"/>
          <w:sz w:val="32"/>
          <w:szCs w:val="32"/>
          <w:highlight w:val="none"/>
          <w:u w:val="none"/>
          <w:lang w:val="zh-CN" w:eastAsia="zh-CN" w:bidi="ar-SA"/>
        </w:rPr>
      </w:pPr>
      <w:r>
        <w:rPr>
          <w:rFonts w:hint="eastAsia" w:ascii="仿宋_GB2312" w:eastAsia="仿宋_GB2312" w:cs="宋体"/>
          <w:kern w:val="0"/>
          <w:sz w:val="32"/>
          <w:szCs w:val="32"/>
          <w:highlight w:val="none"/>
          <w:u w:val="none"/>
          <w:lang w:val="zh-CN" w:eastAsia="zh-CN" w:bidi="ar-SA"/>
        </w:rPr>
        <w:t>2022年，我市地方政府债券付息预算数53亿元，其中一般债券付息</w:t>
      </w:r>
      <w:r>
        <w:rPr>
          <w:rFonts w:hint="eastAsia" w:ascii="仿宋_GB2312" w:eastAsia="仿宋_GB2312" w:cs="宋体"/>
          <w:kern w:val="0"/>
          <w:sz w:val="32"/>
          <w:szCs w:val="32"/>
          <w:highlight w:val="none"/>
          <w:u w:val="none"/>
          <w:lang w:val="en-US" w:eastAsia="zh-CN" w:bidi="ar-SA"/>
        </w:rPr>
        <w:t>3.8</w:t>
      </w:r>
      <w:r>
        <w:rPr>
          <w:rFonts w:hint="eastAsia" w:ascii="仿宋_GB2312" w:eastAsia="仿宋_GB2312" w:cs="宋体"/>
          <w:kern w:val="0"/>
          <w:sz w:val="32"/>
          <w:szCs w:val="32"/>
          <w:highlight w:val="none"/>
          <w:u w:val="none"/>
          <w:lang w:val="zh-CN" w:eastAsia="zh-CN" w:bidi="ar-SA"/>
        </w:rPr>
        <w:t>亿元，专项债券付息49.2亿元；市本级地方政府债券付息预算数21.</w:t>
      </w:r>
      <w:r>
        <w:rPr>
          <w:rFonts w:hint="eastAsia" w:ascii="仿宋_GB2312" w:eastAsia="仿宋_GB2312" w:cs="宋体"/>
          <w:kern w:val="0"/>
          <w:sz w:val="32"/>
          <w:szCs w:val="32"/>
          <w:highlight w:val="none"/>
          <w:u w:val="none"/>
          <w:lang w:val="en-US" w:eastAsia="zh-CN" w:bidi="ar-SA"/>
        </w:rPr>
        <w:t>2</w:t>
      </w:r>
      <w:r>
        <w:rPr>
          <w:rFonts w:hint="eastAsia" w:ascii="仿宋_GB2312" w:eastAsia="仿宋_GB2312" w:cs="宋体"/>
          <w:kern w:val="0"/>
          <w:sz w:val="32"/>
          <w:szCs w:val="32"/>
          <w:highlight w:val="none"/>
          <w:u w:val="none"/>
          <w:lang w:val="zh-CN" w:eastAsia="zh-CN" w:bidi="ar-SA"/>
        </w:rPr>
        <w:t>亿元，其中一般债券付息</w:t>
      </w:r>
      <w:r>
        <w:rPr>
          <w:rFonts w:hint="eastAsia" w:ascii="仿宋_GB2312" w:eastAsia="仿宋_GB2312" w:cs="宋体"/>
          <w:kern w:val="0"/>
          <w:sz w:val="32"/>
          <w:szCs w:val="32"/>
          <w:highlight w:val="none"/>
          <w:u w:val="none"/>
          <w:lang w:val="en-US" w:eastAsia="zh-CN" w:bidi="ar-SA"/>
        </w:rPr>
        <w:t>2.5</w:t>
      </w:r>
      <w:r>
        <w:rPr>
          <w:rFonts w:hint="eastAsia" w:ascii="仿宋_GB2312" w:eastAsia="仿宋_GB2312" w:cs="宋体"/>
          <w:kern w:val="0"/>
          <w:sz w:val="32"/>
          <w:szCs w:val="32"/>
          <w:highlight w:val="none"/>
          <w:u w:val="none"/>
          <w:lang w:val="zh-CN" w:eastAsia="zh-CN" w:bidi="ar-SA"/>
        </w:rPr>
        <w:t>亿元，专项债券付息18.7亿元。</w:t>
      </w:r>
    </w:p>
    <w:p>
      <w:pPr>
        <w:keepNext w:val="0"/>
        <w:keepLines w:val="0"/>
        <w:pageBreakBefore w:val="0"/>
        <w:widowControl w:val="0"/>
        <w:kinsoku/>
        <w:wordWrap/>
        <w:topLinePunct w:val="0"/>
        <w:autoSpaceDE w:val="0"/>
        <w:autoSpaceDN w:val="0"/>
        <w:bidi w:val="0"/>
        <w:adjustRightInd w:val="0"/>
        <w:spacing w:line="560" w:lineRule="exact"/>
        <w:textAlignment w:val="auto"/>
        <w:rPr>
          <w:rFonts w:hint="eastAsia" w:ascii="楷体_GB2312" w:eastAsia="楷体_GB2312" w:cs="楷体_GB2312"/>
          <w:b/>
          <w:sz w:val="32"/>
          <w:szCs w:val="32"/>
          <w:highlight w:val="none"/>
          <w:u w:val="none"/>
          <w:lang w:bidi="ar-SA"/>
        </w:rPr>
      </w:pPr>
      <w:r>
        <w:rPr>
          <w:rFonts w:hint="eastAsia" w:ascii="楷体_GB2312" w:eastAsia="楷体_GB2312" w:cs="宋体"/>
          <w:b/>
          <w:kern w:val="0"/>
          <w:sz w:val="32"/>
          <w:szCs w:val="32"/>
          <w:highlight w:val="none"/>
          <w:u w:val="none"/>
          <w:lang w:bidi="ar-SA"/>
        </w:rPr>
        <w:t xml:space="preserve">    </w:t>
      </w:r>
      <w:r>
        <w:rPr>
          <w:rFonts w:hint="eastAsia" w:ascii="楷体_GB2312" w:eastAsia="楷体_GB2312" w:cs="宋体"/>
          <w:bCs/>
          <w:kern w:val="0"/>
          <w:sz w:val="32"/>
          <w:szCs w:val="32"/>
          <w:highlight w:val="none"/>
          <w:u w:val="none"/>
          <w:lang w:val="zh-CN" w:eastAsia="zh-CN" w:bidi="ar-SA"/>
        </w:rPr>
        <w:t>（五）</w:t>
      </w:r>
      <w:r>
        <w:rPr>
          <w:rFonts w:hint="eastAsia" w:ascii="楷体_GB2312" w:eastAsia="楷体_GB2312" w:cs="楷体_GB2312"/>
          <w:bCs/>
          <w:sz w:val="32"/>
          <w:szCs w:val="32"/>
          <w:highlight w:val="none"/>
          <w:u w:val="none"/>
          <w:lang w:bidi="ar-SA"/>
        </w:rPr>
        <w:t>地方政府债务风险情况</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仿宋_GB2312" w:eastAsia="仿宋_GB2312" w:cs="宋体"/>
          <w:kern w:val="0"/>
          <w:sz w:val="32"/>
          <w:szCs w:val="32"/>
          <w:highlight w:val="none"/>
          <w:u w:val="none"/>
          <w:lang w:val="zh-CN" w:eastAsia="zh-CN" w:bidi="ar-SA"/>
        </w:rPr>
      </w:pPr>
      <w:r>
        <w:rPr>
          <w:rFonts w:hint="eastAsia" w:ascii="仿宋_GB2312" w:eastAsia="仿宋_GB2312" w:cs="宋体"/>
          <w:kern w:val="0"/>
          <w:sz w:val="32"/>
          <w:szCs w:val="32"/>
          <w:highlight w:val="none"/>
          <w:u w:val="none"/>
          <w:lang w:val="zh-CN" w:eastAsia="zh-CN" w:bidi="ar-SA"/>
        </w:rPr>
        <w:t>总体来看，我市政府债务风险指标在全国范围内处于较低水平，同时严格落实将债券对应到项目、用项目收益偿还债券本息的要求，能够有效控制债务风险。经财政部统一测算，202</w:t>
      </w:r>
      <w:r>
        <w:rPr>
          <w:rFonts w:hint="eastAsia" w:ascii="仿宋_GB2312" w:eastAsia="仿宋_GB2312" w:cs="宋体"/>
          <w:kern w:val="0"/>
          <w:sz w:val="32"/>
          <w:szCs w:val="32"/>
          <w:highlight w:val="none"/>
          <w:u w:val="none"/>
          <w:lang w:bidi="ar-SA"/>
        </w:rPr>
        <w:t>0</w:t>
      </w:r>
      <w:r>
        <w:rPr>
          <w:rFonts w:hint="eastAsia" w:ascii="仿宋_GB2312" w:eastAsia="仿宋_GB2312" w:cs="宋体"/>
          <w:kern w:val="0"/>
          <w:sz w:val="32"/>
          <w:szCs w:val="32"/>
          <w:highlight w:val="none"/>
          <w:u w:val="none"/>
          <w:lang w:val="zh-CN" w:eastAsia="zh-CN" w:bidi="ar-SA"/>
        </w:rPr>
        <w:t>年底我市</w:t>
      </w:r>
      <w:r>
        <w:rPr>
          <w:rFonts w:hint="eastAsia" w:ascii="仿宋_GB2312" w:eastAsia="仿宋_GB2312" w:cs="宋体"/>
          <w:kern w:val="0"/>
          <w:sz w:val="32"/>
          <w:szCs w:val="32"/>
          <w:highlight w:val="none"/>
          <w:u w:val="none"/>
          <w:lang w:bidi="ar-SA"/>
        </w:rPr>
        <w:t>法定</w:t>
      </w:r>
      <w:r>
        <w:rPr>
          <w:rFonts w:hint="eastAsia" w:ascii="仿宋_GB2312" w:eastAsia="仿宋_GB2312" w:cs="宋体"/>
          <w:kern w:val="0"/>
          <w:sz w:val="32"/>
          <w:szCs w:val="32"/>
          <w:highlight w:val="none"/>
          <w:u w:val="none"/>
          <w:lang w:val="zh-CN" w:eastAsia="zh-CN" w:bidi="ar-SA"/>
        </w:rPr>
        <w:t>债务率为</w:t>
      </w:r>
      <w:r>
        <w:rPr>
          <w:rFonts w:hint="eastAsia" w:ascii="仿宋_GB2312" w:eastAsia="仿宋_GB2312" w:cs="宋体"/>
          <w:kern w:val="0"/>
          <w:sz w:val="32"/>
          <w:szCs w:val="32"/>
          <w:highlight w:val="none"/>
          <w:u w:val="none"/>
          <w:lang w:bidi="ar-SA"/>
        </w:rPr>
        <w:t>13.63</w:t>
      </w:r>
      <w:r>
        <w:rPr>
          <w:rFonts w:hint="eastAsia" w:ascii="仿宋_GB2312" w:eastAsia="仿宋_GB2312" w:cs="宋体"/>
          <w:kern w:val="0"/>
          <w:sz w:val="32"/>
          <w:szCs w:val="32"/>
          <w:highlight w:val="none"/>
          <w:u w:val="none"/>
          <w:lang w:val="zh-CN" w:eastAsia="zh-CN" w:bidi="ar-SA"/>
        </w:rPr>
        <w:t>%，债务风险属于绿色区间，在全国处于较低水平。</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黑体" w:eastAsia="黑体" w:cs="黑体"/>
          <w:kern w:val="0"/>
          <w:sz w:val="32"/>
          <w:szCs w:val="32"/>
          <w:highlight w:val="none"/>
          <w:u w:val="none"/>
          <w:lang w:bidi="ar-SA"/>
        </w:rPr>
      </w:pPr>
      <w:r>
        <w:rPr>
          <w:rFonts w:hint="eastAsia" w:ascii="黑体" w:eastAsia="黑体" w:cs="黑体"/>
          <w:kern w:val="0"/>
          <w:sz w:val="32"/>
          <w:szCs w:val="32"/>
          <w:highlight w:val="none"/>
          <w:u w:val="none"/>
          <w:lang w:val="zh-CN" w:eastAsia="zh-CN" w:bidi="ar-SA"/>
        </w:rPr>
        <w:t>四、</w:t>
      </w:r>
      <w:r>
        <w:rPr>
          <w:rFonts w:hint="eastAsia" w:ascii="黑体" w:eastAsia="黑体" w:cs="黑体"/>
          <w:kern w:val="0"/>
          <w:sz w:val="32"/>
          <w:szCs w:val="32"/>
          <w:highlight w:val="none"/>
          <w:u w:val="none"/>
          <w:lang w:bidi="ar-SA"/>
        </w:rPr>
        <w:t>202</w:t>
      </w:r>
      <w:r>
        <w:rPr>
          <w:rFonts w:hint="eastAsia" w:ascii="黑体" w:eastAsia="黑体" w:cs="黑体"/>
          <w:kern w:val="0"/>
          <w:sz w:val="32"/>
          <w:szCs w:val="32"/>
          <w:highlight w:val="none"/>
          <w:u w:val="none"/>
          <w:lang w:val="en-US" w:eastAsia="zh-CN" w:bidi="ar-SA"/>
        </w:rPr>
        <w:t>2</w:t>
      </w:r>
      <w:r>
        <w:rPr>
          <w:rFonts w:hint="eastAsia" w:ascii="黑体" w:eastAsia="黑体" w:cs="黑体"/>
          <w:kern w:val="0"/>
          <w:sz w:val="32"/>
          <w:szCs w:val="32"/>
          <w:highlight w:val="none"/>
          <w:u w:val="none"/>
          <w:lang w:bidi="ar-SA"/>
        </w:rPr>
        <w:t>年市本级“三公”经费预算控制数情况</w:t>
      </w:r>
    </w:p>
    <w:p>
      <w:pPr>
        <w:keepNext w:val="0"/>
        <w:keepLines w:val="0"/>
        <w:pageBreakBefore w:val="0"/>
        <w:widowControl w:val="0"/>
        <w:kinsoku/>
        <w:wordWrap/>
        <w:overflowPunct w:val="0"/>
        <w:topLinePunct w:val="0"/>
        <w:bidi w:val="0"/>
        <w:spacing w:line="560" w:lineRule="exact"/>
        <w:ind w:firstLine="640" w:firstLineChars="200"/>
        <w:textAlignment w:val="auto"/>
        <w:rPr>
          <w:rFonts w:hint="eastAsia" w:ascii="仿宋_GB2312" w:eastAsia="仿宋_GB2312" w:cs="仿宋_GB2312"/>
          <w:color w:val="000000"/>
          <w:sz w:val="32"/>
          <w:szCs w:val="32"/>
          <w:highlight w:val="none"/>
          <w:u w:val="none"/>
          <w:lang w:bidi="ar-SA"/>
        </w:rPr>
      </w:pPr>
      <w:r>
        <w:rPr>
          <w:rFonts w:hint="eastAsia" w:ascii="仿宋_GB2312" w:eastAsia="仿宋_GB2312" w:cs="仿宋_GB2312"/>
          <w:color w:val="000000"/>
          <w:sz w:val="32"/>
          <w:szCs w:val="32"/>
          <w:highlight w:val="none"/>
          <w:u w:val="none"/>
          <w:lang w:bidi="ar-SA"/>
        </w:rPr>
        <w:t>我市认真落实中央八项规定及其实施细则精神和《党政机关厉行节约反对浪费条例》，不折不扣落实过紧日子要求。2021年，市本级“三公”经费年初预算控制数3.42亿元，其中因公出国（境）经费控制数0.6亿元、公务用车购置费0.48亿元、公车运行维护费1.91亿元、公务接待费0.43亿元。</w:t>
      </w:r>
    </w:p>
    <w:p>
      <w:pPr>
        <w:keepNext w:val="0"/>
        <w:keepLines w:val="0"/>
        <w:pageBreakBefore w:val="0"/>
        <w:widowControl w:val="0"/>
        <w:kinsoku/>
        <w:wordWrap/>
        <w:overflowPunct w:val="0"/>
        <w:topLinePunct w:val="0"/>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u w:val="none"/>
          <w:lang w:bidi="ar-SA"/>
        </w:rPr>
        <w:t>经初步统计，2021年市本级各预算单位用当年财政拨款开支的因公出国（境）经费、公务用车购置和运行维护费、公务接待费支出合计1.66亿元，其中因公出国（境）经费29万元</w:t>
      </w:r>
      <w:r>
        <w:rPr>
          <w:rFonts w:hint="eastAsia" w:ascii="仿宋_GB2312" w:eastAsia="仿宋_GB2312" w:cs="仿宋_GB2312"/>
          <w:color w:val="000000"/>
          <w:sz w:val="32"/>
          <w:szCs w:val="32"/>
          <w:highlight w:val="none"/>
          <w:u w:val="none"/>
          <w:lang w:eastAsia="zh-CN" w:bidi="ar-SA"/>
        </w:rPr>
        <w:t>、</w:t>
      </w:r>
      <w:r>
        <w:rPr>
          <w:rFonts w:hint="eastAsia" w:ascii="仿宋_GB2312" w:eastAsia="仿宋_GB2312" w:cs="仿宋_GB2312"/>
          <w:color w:val="000000"/>
          <w:sz w:val="32"/>
          <w:szCs w:val="32"/>
          <w:highlight w:val="none"/>
          <w:u w:val="none"/>
          <w:lang w:bidi="ar-SA"/>
        </w:rPr>
        <w:t>公务用车购置费0.25亿元、公车运行维护费1.25亿元、公务接待费0.16亿元，都在预算控制数以内。需要说明的是，上述支出为初步统计数，2021年“三公”经费决算数将另行在决算草案中向</w:t>
      </w:r>
      <w:r>
        <w:rPr>
          <w:rFonts w:hint="eastAsia" w:ascii="仿宋_GB2312" w:eastAsia="仿宋_GB2312" w:cs="仿宋_GB2312"/>
          <w:color w:val="000000"/>
          <w:sz w:val="32"/>
          <w:szCs w:val="32"/>
          <w:highlight w:val="none"/>
          <w:lang w:bidi="ar-SA"/>
        </w:rPr>
        <w:t>市人大常委会报告。</w:t>
      </w:r>
    </w:p>
    <w:p>
      <w:pPr>
        <w:keepNext w:val="0"/>
        <w:keepLines w:val="0"/>
        <w:pageBreakBefore w:val="0"/>
        <w:widowControl w:val="0"/>
        <w:kinsoku/>
        <w:wordWrap/>
        <w:overflowPunct w:val="0"/>
        <w:topLinePunct w:val="0"/>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bidi="ar-SA"/>
        </w:rPr>
        <w:t>市本级2022年预算继续严控“三公”经费支出，“三公”经费预算控制数3.42亿元，总额和各分项都与上年持平，其中因公出国（境）经费控制数0.6亿元、公务用车购置费0.48亿元、公车运行维护费1.91亿元、公务接待费0.43亿元。有关经费指标全部实行封闭管理，严格按照相关经费开支标准执行。</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宋体" w:eastAsia="宋体" w:cs="宋体"/>
          <w:b/>
          <w:kern w:val="0"/>
          <w:sz w:val="32"/>
          <w:szCs w:val="32"/>
          <w:highlight w:val="none"/>
          <w:u w:val="none"/>
          <w:lang w:bidi="ar-SA"/>
        </w:rPr>
      </w:pPr>
      <w:r>
        <w:rPr>
          <w:rFonts w:hint="eastAsia" w:ascii="宋体" w:eastAsia="宋体" w:cs="宋体"/>
          <w:b/>
          <w:kern w:val="0"/>
          <w:sz w:val="32"/>
          <w:szCs w:val="32"/>
          <w:highlight w:val="none"/>
          <w:u w:val="none"/>
          <w:lang w:bidi="ar-SA"/>
        </w:rPr>
        <w:br w:type="page"/>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宋体" w:eastAsia="宋体" w:cs="宋体"/>
          <w:b/>
          <w:kern w:val="0"/>
          <w:sz w:val="32"/>
          <w:szCs w:val="32"/>
          <w:highlight w:val="none"/>
          <w:u w:val="none"/>
          <w:lang w:bidi="ar-SA"/>
        </w:rPr>
      </w:pPr>
      <w:r>
        <w:rPr>
          <w:rFonts w:hint="eastAsia" w:ascii="宋体" w:eastAsia="宋体" w:cs="宋体"/>
          <w:b/>
          <w:kern w:val="0"/>
          <w:sz w:val="32"/>
          <w:szCs w:val="32"/>
          <w:highlight w:val="none"/>
          <w:u w:val="none"/>
          <w:lang w:bidi="ar-SA"/>
        </w:rPr>
        <w:t xml:space="preserve">第三部分 </w:t>
      </w:r>
      <w:r>
        <w:rPr>
          <w:rFonts w:hint="eastAsia" w:ascii="宋体" w:cs="宋体"/>
          <w:b/>
          <w:kern w:val="0"/>
          <w:sz w:val="32"/>
          <w:szCs w:val="32"/>
          <w:highlight w:val="none"/>
          <w:u w:val="none"/>
          <w:lang w:eastAsia="zh-CN" w:bidi="ar-SA"/>
        </w:rPr>
        <w:t>深圳市</w:t>
      </w:r>
      <w:r>
        <w:rPr>
          <w:rFonts w:hint="eastAsia" w:ascii="宋体" w:eastAsia="宋体" w:cs="宋体"/>
          <w:b/>
          <w:kern w:val="0"/>
          <w:sz w:val="32"/>
          <w:szCs w:val="32"/>
          <w:highlight w:val="none"/>
          <w:u w:val="none"/>
          <w:lang w:bidi="ar-SA"/>
        </w:rPr>
        <w:t>2022年本级政府性基金预算(草案)</w:t>
      </w:r>
    </w:p>
    <w:p>
      <w:pPr>
        <w:keepNext w:val="0"/>
        <w:keepLines w:val="0"/>
        <w:pageBreakBefore w:val="0"/>
        <w:widowControl/>
        <w:kinsoku/>
        <w:wordWrap/>
        <w:overflowPunct/>
        <w:topLinePunct w:val="0"/>
        <w:autoSpaceDE/>
        <w:autoSpaceDN/>
        <w:bidi w:val="0"/>
        <w:adjustRightInd/>
        <w:snapToGrid/>
        <w:spacing w:after="0" w:line="558" w:lineRule="exact"/>
        <w:ind w:firstLine="630"/>
        <w:textAlignment w:val="auto"/>
        <w:rPr>
          <w:rFonts w:hint="eastAsia" w:ascii="仿宋_GB2312" w:eastAsia="仿宋_GB2312" w:cs="仿宋_GB2312"/>
          <w:kern w:val="0"/>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根据财政部政府性基金目录，2022年我市负责征收管理的政府性基金共</w:t>
      </w:r>
      <w:r>
        <w:rPr>
          <w:rFonts w:hint="eastAsia" w:ascii="仿宋_GB2312" w:eastAsia="仿宋_GB2312" w:cs="Times New Roman"/>
          <w:sz w:val="32"/>
          <w:szCs w:val="32"/>
          <w:highlight w:val="none"/>
          <w:u w:val="none"/>
          <w:lang w:val="en-US" w:eastAsia="zh-CN" w:bidi="ar-SA"/>
        </w:rPr>
        <w:t>6</w:t>
      </w:r>
      <w:r>
        <w:rPr>
          <w:rFonts w:hint="eastAsia" w:ascii="仿宋_GB2312" w:eastAsia="仿宋_GB2312" w:cs="Times New Roman"/>
          <w:sz w:val="32"/>
          <w:szCs w:val="32"/>
          <w:highlight w:val="none"/>
          <w:u w:val="none"/>
          <w:lang w:bidi="ar-SA"/>
        </w:rPr>
        <w:t>项，分别是：国土基金、污水处理费、福利彩票公益金、体育彩票公益金、</w:t>
      </w:r>
      <w:r>
        <w:rPr>
          <w:rFonts w:hint="eastAsia" w:ascii="仿宋_GB2312" w:eastAsia="仿宋_GB2312" w:cs="Times New Roman"/>
          <w:sz w:val="32"/>
          <w:szCs w:val="32"/>
          <w:highlight w:val="none"/>
          <w:u w:val="none"/>
          <w:lang w:eastAsia="zh-CN" w:bidi="ar-SA"/>
        </w:rPr>
        <w:t>福利</w:t>
      </w:r>
      <w:r>
        <w:rPr>
          <w:rFonts w:hint="eastAsia" w:ascii="仿宋_GB2312" w:eastAsia="仿宋_GB2312" w:cs="Times New Roman"/>
          <w:sz w:val="32"/>
          <w:szCs w:val="32"/>
          <w:highlight w:val="none"/>
          <w:u w:val="none"/>
          <w:lang w:bidi="ar-SA"/>
        </w:rPr>
        <w:t>彩票销售机构业务费用</w:t>
      </w:r>
      <w:r>
        <w:rPr>
          <w:rFonts w:hint="eastAsia" w:ascii="仿宋_GB2312" w:eastAsia="仿宋_GB2312" w:cs="Times New Roman"/>
          <w:sz w:val="32"/>
          <w:szCs w:val="32"/>
          <w:highlight w:val="none"/>
          <w:u w:val="none"/>
          <w:lang w:eastAsia="zh-CN" w:bidi="ar-SA"/>
        </w:rPr>
        <w:t>和体育</w:t>
      </w:r>
      <w:r>
        <w:rPr>
          <w:rFonts w:hint="eastAsia" w:ascii="仿宋_GB2312" w:eastAsia="仿宋_GB2312" w:cs="Times New Roman"/>
          <w:sz w:val="32"/>
          <w:szCs w:val="32"/>
          <w:highlight w:val="none"/>
          <w:u w:val="none"/>
          <w:lang w:bidi="ar-SA"/>
        </w:rPr>
        <w:t>彩票销售机构业务费用，其中最后</w:t>
      </w:r>
      <w:r>
        <w:rPr>
          <w:rFonts w:hint="eastAsia" w:ascii="仿宋_GB2312" w:eastAsia="仿宋_GB2312" w:cs="Times New Roman"/>
          <w:sz w:val="32"/>
          <w:szCs w:val="32"/>
          <w:highlight w:val="none"/>
          <w:u w:val="none"/>
          <w:lang w:eastAsia="zh-CN" w:bidi="ar-SA"/>
        </w:rPr>
        <w:t>一</w:t>
      </w:r>
      <w:r>
        <w:rPr>
          <w:rFonts w:hint="eastAsia" w:ascii="仿宋_GB2312" w:eastAsia="仿宋_GB2312" w:cs="Times New Roman"/>
          <w:sz w:val="32"/>
          <w:szCs w:val="32"/>
          <w:highlight w:val="none"/>
          <w:u w:val="none"/>
          <w:lang w:bidi="ar-SA"/>
        </w:rPr>
        <w:t>项收入来自上级部门转移性收入。具体安排如下：</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黑体" w:eastAsia="黑体" w:cs="Times New Roman"/>
          <w:sz w:val="32"/>
          <w:szCs w:val="32"/>
          <w:highlight w:val="none"/>
          <w:u w:val="none"/>
          <w:lang w:bidi="ar-SA"/>
        </w:rPr>
        <w:t>一、2022年市本级政府性基金收入预算</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2022年市本级政府性基金预算总收入</w:t>
      </w:r>
      <w:r>
        <w:rPr>
          <w:rFonts w:hint="eastAsia" w:ascii="仿宋_GB2312" w:eastAsia="仿宋_GB2312" w:cs="Times New Roman"/>
          <w:sz w:val="32"/>
          <w:szCs w:val="32"/>
          <w:highlight w:val="none"/>
          <w:u w:val="none"/>
          <w:lang w:val="en-US" w:eastAsia="zh-CN" w:bidi="ar-SA"/>
        </w:rPr>
        <w:t>2010.2</w:t>
      </w:r>
      <w:r>
        <w:rPr>
          <w:rFonts w:hint="eastAsia" w:ascii="仿宋_GB2312" w:eastAsia="仿宋_GB2312" w:cs="Times New Roman"/>
          <w:sz w:val="32"/>
          <w:szCs w:val="32"/>
          <w:highlight w:val="none"/>
          <w:u w:val="none"/>
          <w:lang w:bidi="ar-SA"/>
        </w:rPr>
        <w:t>亿元，其中当年收入952亿元，转移性收入</w:t>
      </w:r>
      <w:r>
        <w:rPr>
          <w:rFonts w:hint="eastAsia" w:ascii="仿宋_GB2312" w:eastAsia="仿宋_GB2312" w:cs="Times New Roman"/>
          <w:sz w:val="32"/>
          <w:szCs w:val="32"/>
          <w:highlight w:val="none"/>
          <w:u w:val="none"/>
          <w:lang w:val="en-US" w:eastAsia="zh-CN" w:bidi="ar-SA"/>
        </w:rPr>
        <w:t>1058.2</w:t>
      </w:r>
      <w:r>
        <w:rPr>
          <w:rFonts w:hint="eastAsia" w:ascii="仿宋_GB2312" w:eastAsia="仿宋_GB2312" w:cs="Times New Roman"/>
          <w:sz w:val="32"/>
          <w:szCs w:val="32"/>
          <w:highlight w:val="none"/>
          <w:u w:val="none"/>
          <w:lang w:bidi="ar-SA"/>
        </w:rPr>
        <w:t>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1.国土基金收入889.5亿元，其中：国有土地使用权出让收入877.8亿元，较2021年执行数（下同）减少</w:t>
      </w:r>
      <w:r>
        <w:rPr>
          <w:rFonts w:hint="eastAsia" w:ascii="仿宋_GB2312" w:eastAsia="仿宋_GB2312" w:cs="Times New Roman"/>
          <w:sz w:val="32"/>
          <w:szCs w:val="32"/>
          <w:highlight w:val="none"/>
          <w:u w:val="none"/>
          <w:lang w:val="en-US" w:eastAsia="zh-CN" w:bidi="ar-SA"/>
        </w:rPr>
        <w:t>416.9</w:t>
      </w:r>
      <w:r>
        <w:rPr>
          <w:rFonts w:hint="eastAsia" w:ascii="仿宋_GB2312" w:eastAsia="仿宋_GB2312" w:cs="Times New Roman"/>
          <w:sz w:val="32"/>
          <w:szCs w:val="32"/>
          <w:highlight w:val="none"/>
          <w:u w:val="none"/>
          <w:lang w:bidi="ar-SA"/>
        </w:rPr>
        <w:t>亿元，主要原因是可出让用地不断减少，以及受国家政策影响，土地出让的溢价率降低；国有土地收益基金收入11.7亿元，减少25.2亿元。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2.污水处理费收入14.5亿元，</w:t>
      </w:r>
      <w:r>
        <w:rPr>
          <w:rFonts w:hint="eastAsia" w:ascii="仿宋_GB2312" w:eastAsia="仿宋_GB2312" w:cs="Times New Roman"/>
          <w:sz w:val="32"/>
          <w:szCs w:val="32"/>
          <w:highlight w:val="none"/>
          <w:u w:val="none"/>
          <w:lang w:eastAsia="zh-CN" w:bidi="ar-SA"/>
        </w:rPr>
        <w:t>减少</w:t>
      </w:r>
      <w:r>
        <w:rPr>
          <w:rFonts w:hint="eastAsia" w:ascii="仿宋_GB2312" w:eastAsia="仿宋_GB2312" w:cs="Times New Roman"/>
          <w:sz w:val="32"/>
          <w:szCs w:val="32"/>
          <w:highlight w:val="none"/>
          <w:u w:val="none"/>
          <w:lang w:val="en-US" w:eastAsia="zh-CN" w:bidi="ar-SA"/>
        </w:rPr>
        <w:t>3</w:t>
      </w:r>
      <w:r>
        <w:rPr>
          <w:rFonts w:hint="eastAsia" w:ascii="仿宋_GB2312" w:eastAsia="仿宋_GB2312" w:cs="Times New Roman"/>
          <w:sz w:val="32"/>
          <w:szCs w:val="32"/>
          <w:highlight w:val="none"/>
          <w:u w:val="none"/>
          <w:lang w:bidi="ar-SA"/>
        </w:rPr>
        <w:t>亿元。</w:t>
      </w:r>
      <w:r>
        <w:rPr>
          <w:rFonts w:hint="eastAsia" w:ascii="仿宋_GB2312" w:eastAsia="仿宋_GB2312" w:cs="Times New Roman"/>
          <w:sz w:val="32"/>
          <w:szCs w:val="32"/>
          <w:highlight w:val="none"/>
          <w:u w:val="none"/>
          <w:lang w:val="en-US" w:eastAsia="zh-CN" w:bidi="ar-SA"/>
        </w:rPr>
        <w:t>收入来源为我市向排水设施排水的单位和个人所收取的费用。</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shd w:val="pct10" w:color="auto" w:fill="FFFFFF"/>
          <w:lang w:bidi="ar-SA"/>
        </w:rPr>
      </w:pPr>
      <w:r>
        <w:rPr>
          <w:rFonts w:hint="eastAsia" w:ascii="仿宋_GB2312" w:eastAsia="仿宋_GB2312" w:cs="Times New Roman"/>
          <w:sz w:val="32"/>
          <w:szCs w:val="32"/>
          <w:highlight w:val="none"/>
          <w:u w:val="none"/>
          <w:lang w:bidi="ar-SA"/>
        </w:rPr>
        <w:t>3.福利彩票公益金收入5亿元，增加</w:t>
      </w:r>
      <w:r>
        <w:rPr>
          <w:rFonts w:hint="eastAsia" w:ascii="仿宋_GB2312" w:eastAsia="仿宋_GB2312" w:cs="Times New Roman"/>
          <w:sz w:val="32"/>
          <w:szCs w:val="32"/>
          <w:highlight w:val="none"/>
          <w:u w:val="none"/>
          <w:lang w:val="en-US" w:eastAsia="zh-CN" w:bidi="ar-SA"/>
        </w:rPr>
        <w:t>0.4</w:t>
      </w:r>
      <w:r>
        <w:rPr>
          <w:rFonts w:hint="eastAsia" w:ascii="仿宋_GB2312" w:eastAsia="仿宋_GB2312" w:cs="Times New Roman"/>
          <w:sz w:val="32"/>
          <w:szCs w:val="32"/>
          <w:highlight w:val="none"/>
          <w:u w:val="none"/>
          <w:lang w:bidi="ar-SA"/>
        </w:rPr>
        <w:t>亿元。此项收入按福利彩票销售额的35%提取，中央和地方按50:50的比例分配。从2017年起，福彩公益金实行市区分成体制，全市福彩公益金当年可分配资金（包括当年收入和上年结转结余）原则上按照市本级40%、区级55%、区级奖补5%的比例分配。</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4.体育彩票公益金收入1.8亿元，</w:t>
      </w:r>
      <w:r>
        <w:rPr>
          <w:rFonts w:hint="eastAsia" w:ascii="仿宋_GB2312" w:eastAsia="仿宋_GB2312" w:cs="Times New Roman"/>
          <w:sz w:val="32"/>
          <w:szCs w:val="32"/>
          <w:highlight w:val="none"/>
          <w:u w:val="none"/>
          <w:lang w:eastAsia="zh-CN" w:bidi="ar-SA"/>
        </w:rPr>
        <w:t>减少</w:t>
      </w:r>
      <w:r>
        <w:rPr>
          <w:rFonts w:hint="eastAsia" w:ascii="仿宋_GB2312" w:eastAsia="仿宋_GB2312" w:cs="Times New Roman"/>
          <w:sz w:val="32"/>
          <w:szCs w:val="32"/>
          <w:highlight w:val="none"/>
          <w:u w:val="none"/>
          <w:lang w:bidi="ar-SA"/>
        </w:rPr>
        <w:t>1亿元。此项收入由广东省从我市上缴的体育彩票销售收入中按比例返还，市、区两级按52:48的比例分配。</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5.彩票发行机构和销售机构的业务费用1.2亿元，</w:t>
      </w:r>
      <w:r>
        <w:rPr>
          <w:rFonts w:hint="eastAsia" w:ascii="仿宋_GB2312" w:eastAsia="仿宋_GB2312" w:cs="Times New Roman"/>
          <w:sz w:val="32"/>
          <w:szCs w:val="32"/>
          <w:highlight w:val="none"/>
          <w:u w:val="none"/>
          <w:lang w:eastAsia="zh-CN" w:bidi="ar-SA"/>
        </w:rPr>
        <w:t>与</w:t>
      </w:r>
      <w:r>
        <w:rPr>
          <w:rFonts w:hint="eastAsia" w:ascii="仿宋_GB2312" w:eastAsia="仿宋_GB2312" w:cs="Times New Roman"/>
          <w:sz w:val="32"/>
          <w:szCs w:val="32"/>
          <w:highlight w:val="none"/>
          <w:u w:val="none"/>
          <w:lang w:val="en-US" w:eastAsia="zh-CN" w:bidi="ar-SA"/>
        </w:rPr>
        <w:t>2021年基本持平</w:t>
      </w:r>
      <w:r>
        <w:rPr>
          <w:rFonts w:hint="eastAsia" w:ascii="仿宋_GB2312" w:eastAsia="仿宋_GB2312" w:cs="Times New Roman"/>
          <w:sz w:val="32"/>
          <w:szCs w:val="32"/>
          <w:highlight w:val="none"/>
          <w:u w:val="none"/>
          <w:lang w:bidi="ar-SA"/>
        </w:rPr>
        <w:t>。此项收入是从福利彩票销售收入中按比例提取。</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6.专项债券对应项目专项收入40亿元，增加</w:t>
      </w:r>
      <w:r>
        <w:rPr>
          <w:rFonts w:hint="eastAsia" w:ascii="仿宋_GB2312" w:eastAsia="仿宋_GB2312" w:cs="Times New Roman"/>
          <w:sz w:val="32"/>
          <w:szCs w:val="32"/>
          <w:highlight w:val="none"/>
          <w:u w:val="none"/>
          <w:lang w:val="en-US" w:eastAsia="zh-CN" w:bidi="ar-SA"/>
        </w:rPr>
        <w:t>34.2</w:t>
      </w:r>
      <w:r>
        <w:rPr>
          <w:rFonts w:hint="eastAsia" w:ascii="仿宋_GB2312" w:eastAsia="仿宋_GB2312" w:cs="Times New Roman"/>
          <w:sz w:val="32"/>
          <w:szCs w:val="32"/>
          <w:highlight w:val="none"/>
          <w:u w:val="none"/>
          <w:lang w:bidi="ar-SA"/>
        </w:rPr>
        <w:t>亿元。主要为轨道交通、污水处理</w:t>
      </w:r>
      <w:r>
        <w:rPr>
          <w:rFonts w:hint="eastAsia" w:ascii="Times New Roman" w:hAnsi="Times New Roman" w:eastAsia="仿宋_GB2312" w:cs="Times New Roman"/>
          <w:sz w:val="32"/>
          <w:szCs w:val="32"/>
          <w:highlight w:val="none"/>
          <w:u w:val="none"/>
          <w:lang w:bidi="ar-SA"/>
        </w:rPr>
        <w:t>、</w:t>
      </w:r>
      <w:r>
        <w:rPr>
          <w:rFonts w:hint="eastAsia" w:ascii="仿宋_GB2312" w:eastAsia="仿宋_GB2312" w:cs="Times New Roman"/>
          <w:sz w:val="32"/>
          <w:szCs w:val="32"/>
          <w:highlight w:val="none"/>
          <w:u w:val="none"/>
          <w:lang w:bidi="ar-SA"/>
        </w:rPr>
        <w:t>粤港澳大湾区市政和产业园区基础设施等专项债券对应项目用于偿还债券本金和利息的收入等。</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7.转移性收入</w:t>
      </w:r>
      <w:r>
        <w:rPr>
          <w:rFonts w:hint="eastAsia" w:ascii="仿宋_GB2312" w:eastAsia="仿宋_GB2312" w:cs="Times New Roman"/>
          <w:sz w:val="32"/>
          <w:szCs w:val="32"/>
          <w:highlight w:val="none"/>
          <w:u w:val="none"/>
          <w:lang w:val="en-US" w:eastAsia="zh-CN" w:bidi="ar-SA"/>
        </w:rPr>
        <w:t>1058.2</w:t>
      </w:r>
      <w:r>
        <w:rPr>
          <w:rFonts w:hint="eastAsia" w:ascii="仿宋_GB2312" w:eastAsia="仿宋_GB2312" w:cs="Times New Roman"/>
          <w:sz w:val="32"/>
          <w:szCs w:val="32"/>
          <w:highlight w:val="none"/>
          <w:u w:val="none"/>
          <w:lang w:bidi="ar-SA"/>
        </w:rPr>
        <w:t>亿元，分别为政府性基金转移支付收入、上年结余收入和地方政府专项债务收入，其中政府性基金转移支付收入5</w:t>
      </w:r>
      <w:r>
        <w:rPr>
          <w:rFonts w:hint="eastAsia" w:ascii="仿宋_GB2312" w:eastAsia="仿宋_GB2312" w:cs="Times New Roman"/>
          <w:sz w:val="32"/>
          <w:szCs w:val="32"/>
          <w:highlight w:val="none"/>
          <w:u w:val="none"/>
          <w:lang w:val="en-US" w:eastAsia="zh-CN" w:bidi="ar-SA"/>
        </w:rPr>
        <w:t>.6</w:t>
      </w:r>
      <w:r>
        <w:rPr>
          <w:rFonts w:hint="eastAsia" w:ascii="仿宋_GB2312" w:eastAsia="仿宋_GB2312" w:cs="Times New Roman"/>
          <w:sz w:val="32"/>
          <w:szCs w:val="32"/>
          <w:highlight w:val="none"/>
          <w:u w:val="none"/>
          <w:lang w:bidi="ar-SA"/>
        </w:rPr>
        <w:t>亿元；上年结余收入</w:t>
      </w:r>
      <w:r>
        <w:rPr>
          <w:rFonts w:hint="eastAsia" w:ascii="仿宋_GB2312" w:eastAsia="仿宋_GB2312" w:cs="Times New Roman"/>
          <w:sz w:val="32"/>
          <w:szCs w:val="32"/>
          <w:highlight w:val="none"/>
          <w:u w:val="none"/>
          <w:lang w:val="en-US" w:eastAsia="zh-CN" w:bidi="ar-SA"/>
        </w:rPr>
        <w:t>810.6</w:t>
      </w:r>
      <w:r>
        <w:rPr>
          <w:rFonts w:hint="eastAsia" w:ascii="仿宋_GB2312" w:eastAsia="仿宋_GB2312" w:cs="Times New Roman"/>
          <w:sz w:val="32"/>
          <w:szCs w:val="32"/>
          <w:highlight w:val="none"/>
          <w:u w:val="none"/>
          <w:lang w:bidi="ar-SA"/>
        </w:rPr>
        <w:t>亿元,</w:t>
      </w:r>
      <w:r>
        <w:rPr>
          <w:rFonts w:hint="eastAsia" w:ascii="仿宋_GB2312" w:eastAsia="仿宋_GB2312" w:cs="Times New Roman"/>
          <w:sz w:val="32"/>
          <w:szCs w:val="32"/>
          <w:highlight w:val="none"/>
          <w:u w:val="none"/>
          <w:shd w:val="clear" w:color="auto" w:fill="auto"/>
          <w:lang w:bidi="ar-SA"/>
        </w:rPr>
        <w:t>主要包括国土基金结余</w:t>
      </w:r>
      <w:r>
        <w:rPr>
          <w:rFonts w:hint="eastAsia" w:ascii="仿宋_GB2312" w:eastAsia="仿宋_GB2312" w:cs="Times New Roman"/>
          <w:sz w:val="32"/>
          <w:szCs w:val="32"/>
          <w:highlight w:val="none"/>
          <w:u w:val="none"/>
          <w:shd w:val="clear" w:color="auto" w:fill="auto"/>
          <w:lang w:val="en-US" w:eastAsia="zh-CN" w:bidi="ar-SA"/>
        </w:rPr>
        <w:t>800.5</w:t>
      </w:r>
      <w:r>
        <w:rPr>
          <w:rFonts w:hint="eastAsia" w:ascii="仿宋_GB2312" w:eastAsia="仿宋_GB2312" w:cs="Times New Roman"/>
          <w:sz w:val="32"/>
          <w:szCs w:val="32"/>
          <w:highlight w:val="none"/>
          <w:u w:val="none"/>
          <w:shd w:val="clear" w:color="auto" w:fill="auto"/>
          <w:lang w:bidi="ar-SA"/>
        </w:rPr>
        <w:t>亿元，污水处理费结余</w:t>
      </w:r>
      <w:r>
        <w:rPr>
          <w:rFonts w:hint="eastAsia" w:ascii="仿宋_GB2312" w:eastAsia="仿宋_GB2312" w:cs="Times New Roman"/>
          <w:sz w:val="32"/>
          <w:szCs w:val="32"/>
          <w:highlight w:val="none"/>
          <w:u w:val="none"/>
          <w:shd w:val="clear" w:color="auto" w:fill="auto"/>
          <w:lang w:val="en-US" w:eastAsia="zh-CN" w:bidi="ar-SA"/>
        </w:rPr>
        <w:t>5.7</w:t>
      </w:r>
      <w:r>
        <w:rPr>
          <w:rFonts w:hint="eastAsia" w:ascii="仿宋_GB2312" w:eastAsia="仿宋_GB2312" w:cs="Times New Roman"/>
          <w:sz w:val="32"/>
          <w:szCs w:val="32"/>
          <w:highlight w:val="none"/>
          <w:u w:val="none"/>
          <w:shd w:val="clear" w:color="auto" w:fill="auto"/>
          <w:lang w:bidi="ar-SA"/>
        </w:rPr>
        <w:t>亿元，</w:t>
      </w:r>
      <w:r>
        <w:rPr>
          <w:rFonts w:hint="eastAsia" w:ascii="仿宋_GB2312" w:eastAsia="仿宋_GB2312" w:cs="Times New Roman"/>
          <w:sz w:val="32"/>
          <w:szCs w:val="32"/>
          <w:highlight w:val="none"/>
          <w:u w:val="none"/>
          <w:shd w:val="clear" w:color="auto" w:fill="auto"/>
          <w:lang w:eastAsia="zh-CN" w:bidi="ar-SA"/>
        </w:rPr>
        <w:t>彩票</w:t>
      </w:r>
      <w:r>
        <w:rPr>
          <w:rFonts w:hint="eastAsia" w:ascii="仿宋_GB2312" w:eastAsia="仿宋_GB2312" w:cs="Times New Roman"/>
          <w:sz w:val="32"/>
          <w:szCs w:val="32"/>
          <w:highlight w:val="none"/>
          <w:u w:val="none"/>
          <w:shd w:val="clear" w:color="auto" w:fill="auto"/>
          <w:lang w:bidi="ar-SA"/>
        </w:rPr>
        <w:t>公益金结余</w:t>
      </w:r>
      <w:r>
        <w:rPr>
          <w:rFonts w:hint="eastAsia" w:ascii="仿宋_GB2312" w:eastAsia="仿宋_GB2312" w:cs="Times New Roman"/>
          <w:sz w:val="32"/>
          <w:szCs w:val="32"/>
          <w:highlight w:val="none"/>
          <w:u w:val="none"/>
          <w:shd w:val="clear" w:color="auto" w:fill="auto"/>
          <w:lang w:val="en-US" w:eastAsia="zh-CN" w:bidi="ar-SA"/>
        </w:rPr>
        <w:t>2.8</w:t>
      </w:r>
      <w:r>
        <w:rPr>
          <w:rFonts w:hint="eastAsia" w:ascii="仿宋_GB2312" w:eastAsia="仿宋_GB2312" w:cs="Times New Roman"/>
          <w:sz w:val="32"/>
          <w:szCs w:val="32"/>
          <w:highlight w:val="none"/>
          <w:u w:val="none"/>
          <w:shd w:val="clear" w:color="auto" w:fill="auto"/>
          <w:lang w:bidi="ar-SA"/>
        </w:rPr>
        <w:t>亿元，</w:t>
      </w:r>
      <w:r>
        <w:rPr>
          <w:rFonts w:hint="eastAsia" w:ascii="仿宋_GB2312" w:eastAsia="仿宋_GB2312" w:cs="Times New Roman"/>
          <w:sz w:val="32"/>
          <w:szCs w:val="32"/>
          <w:highlight w:val="none"/>
          <w:u w:val="none"/>
          <w:shd w:val="clear" w:color="auto" w:fill="auto"/>
          <w:lang w:eastAsia="zh-CN" w:bidi="ar-SA"/>
        </w:rPr>
        <w:t>彩票</w:t>
      </w:r>
      <w:r>
        <w:rPr>
          <w:rFonts w:hint="eastAsia" w:ascii="仿宋_GB2312" w:eastAsia="仿宋_GB2312" w:cs="Times New Roman"/>
          <w:sz w:val="32"/>
          <w:szCs w:val="32"/>
          <w:highlight w:val="none"/>
          <w:u w:val="none"/>
          <w:shd w:val="clear" w:color="auto" w:fill="auto"/>
          <w:lang w:bidi="ar-SA"/>
        </w:rPr>
        <w:t>发行费结余</w:t>
      </w:r>
      <w:r>
        <w:rPr>
          <w:rFonts w:hint="eastAsia" w:ascii="仿宋_GB2312" w:eastAsia="仿宋_GB2312" w:cs="Times New Roman"/>
          <w:sz w:val="32"/>
          <w:szCs w:val="32"/>
          <w:highlight w:val="none"/>
          <w:u w:val="none"/>
          <w:shd w:val="clear" w:color="auto" w:fill="auto"/>
          <w:lang w:val="en-US" w:eastAsia="zh-CN" w:bidi="ar-SA"/>
        </w:rPr>
        <w:t>0.7</w:t>
      </w:r>
      <w:r>
        <w:rPr>
          <w:rFonts w:hint="eastAsia" w:ascii="仿宋_GB2312" w:eastAsia="仿宋_GB2312" w:cs="Times New Roman"/>
          <w:sz w:val="32"/>
          <w:szCs w:val="32"/>
          <w:highlight w:val="none"/>
          <w:u w:val="none"/>
          <w:shd w:val="clear" w:color="auto" w:fill="auto"/>
          <w:lang w:bidi="ar-SA"/>
        </w:rPr>
        <w:t>亿元等；</w:t>
      </w:r>
      <w:r>
        <w:rPr>
          <w:rFonts w:hint="eastAsia" w:ascii="仿宋_GB2312" w:eastAsia="仿宋_GB2312" w:cs="Times New Roman"/>
          <w:sz w:val="32"/>
          <w:szCs w:val="32"/>
          <w:highlight w:val="none"/>
          <w:u w:val="none"/>
          <w:lang w:bidi="ar-SA"/>
        </w:rPr>
        <w:t>地方政府专项债务收入242亿元，主要是财政部提前下达我市部分2022年新增专项债券限额。</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黑体" w:eastAsia="黑体" w:cs="Times New Roman"/>
          <w:sz w:val="32"/>
          <w:szCs w:val="32"/>
          <w:highlight w:val="none"/>
          <w:u w:val="none"/>
          <w:lang w:bidi="ar-SA"/>
        </w:rPr>
        <w:t>二、2022年市本级政府性基金支出预算</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按照收支平衡的原则，相应安排2022年市本级政府性基金预算总支出</w:t>
      </w:r>
      <w:r>
        <w:rPr>
          <w:rFonts w:hint="eastAsia" w:ascii="仿宋_GB2312" w:eastAsia="仿宋_GB2312" w:cs="Times New Roman"/>
          <w:sz w:val="32"/>
          <w:szCs w:val="32"/>
          <w:highlight w:val="none"/>
          <w:u w:val="none"/>
          <w:lang w:val="en-US" w:eastAsia="zh-CN" w:bidi="ar-SA"/>
        </w:rPr>
        <w:t>2010.2</w:t>
      </w:r>
      <w:r>
        <w:rPr>
          <w:rFonts w:hint="eastAsia" w:ascii="仿宋_GB2312" w:eastAsia="仿宋_GB2312" w:cs="Times New Roman"/>
          <w:sz w:val="32"/>
          <w:szCs w:val="32"/>
          <w:highlight w:val="none"/>
          <w:u w:val="none"/>
          <w:lang w:bidi="ar-SA"/>
        </w:rPr>
        <w:t>亿元，其中本级支出64</w:t>
      </w:r>
      <w:r>
        <w:rPr>
          <w:rFonts w:hint="eastAsia" w:ascii="仿宋_GB2312" w:eastAsia="仿宋_GB2312" w:cs="Times New Roman"/>
          <w:sz w:val="32"/>
          <w:szCs w:val="32"/>
          <w:highlight w:val="none"/>
          <w:u w:val="none"/>
          <w:lang w:val="en-US" w:eastAsia="zh-CN" w:bidi="ar-SA"/>
        </w:rPr>
        <w:t>5</w:t>
      </w:r>
      <w:r>
        <w:rPr>
          <w:rFonts w:hint="eastAsia" w:ascii="仿宋_GB2312" w:eastAsia="仿宋_GB2312" w:cs="Times New Roman"/>
          <w:sz w:val="32"/>
          <w:szCs w:val="32"/>
          <w:highlight w:val="none"/>
          <w:u w:val="none"/>
          <w:lang w:bidi="ar-SA"/>
        </w:rPr>
        <w:t>亿元，转移性支出1</w:t>
      </w:r>
      <w:r>
        <w:rPr>
          <w:rFonts w:hint="eastAsia" w:ascii="仿宋_GB2312" w:eastAsia="仿宋_GB2312" w:cs="Times New Roman"/>
          <w:sz w:val="32"/>
          <w:szCs w:val="32"/>
          <w:highlight w:val="none"/>
          <w:u w:val="none"/>
          <w:lang w:val="en-US" w:eastAsia="zh-CN" w:bidi="ar-SA"/>
        </w:rPr>
        <w:t>343.3</w:t>
      </w:r>
      <w:r>
        <w:rPr>
          <w:rFonts w:hint="eastAsia" w:ascii="仿宋_GB2312" w:eastAsia="仿宋_GB2312" w:cs="Times New Roman"/>
          <w:sz w:val="32"/>
          <w:szCs w:val="32"/>
          <w:highlight w:val="none"/>
          <w:u w:val="none"/>
          <w:lang w:bidi="ar-SA"/>
        </w:rPr>
        <w:t>亿元，地方政府专项债务还本支出21.9亿元。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1.国土基金支出528.2亿元。包括：国有土地收益金安排的支出0.5亿元，全部为土地开发支出；国有土地使用权出让收入安排的支出527.7亿元，主要使用部门和支出项目是：</w:t>
      </w:r>
    </w:p>
    <w:p>
      <w:pPr>
        <w:keepNext w:val="0"/>
        <w:keepLines w:val="0"/>
        <w:pageBreakBefore w:val="0"/>
        <w:widowControl w:val="0"/>
        <w:kinsoku/>
        <w:wordWrap/>
        <w:overflowPunct/>
        <w:topLinePunct w:val="0"/>
        <w:autoSpaceDE/>
        <w:autoSpaceDN/>
        <w:bidi w:val="0"/>
        <w:adjustRightInd/>
        <w:snapToGrid/>
        <w:spacing w:after="0" w:line="558"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Times New Roman"/>
          <w:sz w:val="32"/>
          <w:szCs w:val="32"/>
          <w:highlight w:val="none"/>
          <w:u w:val="none"/>
          <w:lang w:bidi="ar-SA"/>
        </w:rPr>
        <w:t>（1）市规划和自然资源局234.8亿元，包括：土地整备支出150亿元</w:t>
      </w:r>
      <w:r>
        <w:rPr>
          <w:rFonts w:hint="eastAsia" w:ascii="仿宋_GB2312" w:eastAsia="仿宋_GB2312" w:cs="仿宋_GB2312"/>
          <w:sz w:val="32"/>
          <w:szCs w:val="32"/>
          <w:highlight w:val="none"/>
          <w:u w:val="none"/>
          <w:lang w:bidi="ar-SA"/>
        </w:rPr>
        <w:t>、市级房屋征收计划资金46.2亿元</w:t>
      </w:r>
      <w:r>
        <w:rPr>
          <w:rFonts w:hint="eastAsia" w:ascii="仿宋_GB2312" w:eastAsia="仿宋_GB2312" w:cs="Times New Roman"/>
          <w:sz w:val="32"/>
          <w:szCs w:val="32"/>
          <w:highlight w:val="none"/>
          <w:u w:val="none"/>
          <w:lang w:bidi="ar-SA"/>
        </w:rPr>
        <w:t>、购买拆旧复垦指标支出37.5亿元（75万元/亩，购买5000亩）、</w:t>
      </w:r>
      <w:r>
        <w:rPr>
          <w:rFonts w:hint="eastAsia" w:ascii="仿宋_GB2312" w:eastAsia="仿宋_GB2312" w:cs="仿宋_GB2312"/>
          <w:sz w:val="32"/>
          <w:szCs w:val="32"/>
          <w:highlight w:val="none"/>
          <w:u w:val="none"/>
          <w:lang w:bidi="ar-SA"/>
        </w:rPr>
        <w:t>土地交易相关费用0.6亿元</w:t>
      </w:r>
      <w:r>
        <w:rPr>
          <w:rFonts w:hint="eastAsia" w:ascii="仿宋_GB2312" w:eastAsia="仿宋_GB2312" w:cs="Times New Roman"/>
          <w:sz w:val="32"/>
          <w:szCs w:val="32"/>
          <w:highlight w:val="none"/>
          <w:u w:val="none"/>
          <w:lang w:bidi="ar-SA"/>
        </w:rPr>
        <w:t>、前期费等续建项目0.3亿元</w:t>
      </w:r>
      <w:r>
        <w:rPr>
          <w:rFonts w:hint="eastAsia" w:ascii="仿宋_GB2312" w:eastAsia="仿宋_GB2312" w:cs="仿宋_GB2312"/>
          <w:sz w:val="32"/>
          <w:szCs w:val="32"/>
          <w:highlight w:val="none"/>
          <w:u w:val="none"/>
          <w:lang w:bidi="ar-SA"/>
        </w:rPr>
        <w:t>、印花税支出0.2亿元。</w:t>
      </w:r>
    </w:p>
    <w:p>
      <w:pPr>
        <w:keepNext w:val="0"/>
        <w:keepLines w:val="0"/>
        <w:pageBreakBefore w:val="0"/>
        <w:widowControl w:val="0"/>
        <w:kinsoku/>
        <w:wordWrap/>
        <w:overflowPunct/>
        <w:topLinePunct w:val="0"/>
        <w:autoSpaceDE/>
        <w:autoSpaceDN/>
        <w:bidi w:val="0"/>
        <w:adjustRightInd/>
        <w:snapToGrid/>
        <w:spacing w:after="0" w:line="558"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（2）前海管理局41亿元，包括：基础设施建设资金29亿元</w:t>
      </w:r>
      <w:r>
        <w:rPr>
          <w:rFonts w:hint="eastAsia" w:ascii="仿宋_GB2312" w:eastAsia="仿宋_GB2312" w:cs="仿宋_GB2312"/>
          <w:sz w:val="32"/>
          <w:szCs w:val="32"/>
          <w:highlight w:val="none"/>
          <w:u w:val="none"/>
          <w:lang w:bidi="ar-SA"/>
        </w:rPr>
        <w:t>、</w:t>
      </w:r>
      <w:r>
        <w:rPr>
          <w:rFonts w:hint="eastAsia" w:ascii="仿宋_GB2312" w:eastAsia="仿宋_GB2312" w:cs="Times New Roman"/>
          <w:sz w:val="32"/>
          <w:szCs w:val="32"/>
          <w:highlight w:val="none"/>
          <w:u w:val="none"/>
          <w:lang w:bidi="ar-SA"/>
        </w:rPr>
        <w:t>保障性住房建设资金7.9亿元、</w:t>
      </w:r>
      <w:r>
        <w:rPr>
          <w:rFonts w:hint="eastAsia" w:ascii="仿宋_GB2312" w:eastAsia="仿宋_GB2312" w:cs="仿宋_GB2312"/>
          <w:sz w:val="32"/>
          <w:szCs w:val="32"/>
          <w:highlight w:val="none"/>
          <w:u w:val="none"/>
          <w:lang w:bidi="ar-SA"/>
        </w:rPr>
        <w:t>土地交易相关费用1.6亿元、</w:t>
      </w:r>
      <w:r>
        <w:rPr>
          <w:rFonts w:hint="eastAsia" w:ascii="仿宋_GB2312" w:eastAsia="仿宋_GB2312" w:cs="Times New Roman"/>
          <w:sz w:val="32"/>
          <w:szCs w:val="32"/>
          <w:highlight w:val="none"/>
          <w:u w:val="none"/>
          <w:lang w:bidi="ar-SA"/>
        </w:rPr>
        <w:t>前期费等0.9亿元、土地整备资金0.1亿元、</w:t>
      </w:r>
      <w:r>
        <w:rPr>
          <w:rFonts w:hint="eastAsia" w:ascii="仿宋_GB2312" w:eastAsia="仿宋_GB2312" w:cs="仿宋_GB2312"/>
          <w:sz w:val="32"/>
          <w:szCs w:val="32"/>
          <w:highlight w:val="none"/>
          <w:u w:val="none"/>
          <w:lang w:bidi="ar-SA"/>
        </w:rPr>
        <w:t>其他资金1.5亿元</w:t>
      </w:r>
      <w:r>
        <w:rPr>
          <w:rFonts w:hint="eastAsia" w:ascii="仿宋_GB2312" w:eastAsia="仿宋_GB2312" w:cs="Times New Roman"/>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after="0" w:line="558"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（3）安排农业农村支出48.</w:t>
      </w:r>
      <w:r>
        <w:rPr>
          <w:rFonts w:hint="eastAsia" w:ascii="仿宋_GB2312" w:eastAsia="仿宋_GB2312" w:cs="Times New Roman"/>
          <w:sz w:val="32"/>
          <w:szCs w:val="32"/>
          <w:highlight w:val="none"/>
          <w:u w:val="none"/>
          <w:lang w:val="en-US" w:eastAsia="zh-CN" w:bidi="ar-SA"/>
        </w:rPr>
        <w:t>3</w:t>
      </w:r>
      <w:r>
        <w:rPr>
          <w:rFonts w:hint="eastAsia" w:ascii="仿宋_GB2312" w:eastAsia="仿宋_GB2312" w:cs="Times New Roman"/>
          <w:sz w:val="32"/>
          <w:szCs w:val="32"/>
          <w:highlight w:val="none"/>
          <w:u w:val="none"/>
          <w:lang w:bidi="ar-SA"/>
        </w:rPr>
        <w:t>亿元，根据各部门的申请，用于农业农村和对口帮扶等工作。其中：市乡村振兴局46.</w:t>
      </w:r>
      <w:r>
        <w:rPr>
          <w:rFonts w:hint="eastAsia" w:ascii="仿宋_GB2312" w:eastAsia="仿宋_GB2312" w:cs="Times New Roman"/>
          <w:sz w:val="32"/>
          <w:szCs w:val="32"/>
          <w:highlight w:val="none"/>
          <w:u w:val="none"/>
          <w:lang w:val="en-US" w:eastAsia="zh-CN" w:bidi="ar-SA"/>
        </w:rPr>
        <w:t>8</w:t>
      </w:r>
      <w:r>
        <w:rPr>
          <w:rFonts w:hint="eastAsia" w:ascii="仿宋_GB2312" w:eastAsia="仿宋_GB2312" w:cs="Times New Roman"/>
          <w:sz w:val="32"/>
          <w:szCs w:val="32"/>
          <w:highlight w:val="none"/>
          <w:u w:val="none"/>
          <w:lang w:bidi="ar-SA"/>
        </w:rPr>
        <w:t>亿元、市交通运输局0.</w:t>
      </w:r>
      <w:r>
        <w:rPr>
          <w:rFonts w:hint="eastAsia" w:ascii="仿宋_GB2312" w:eastAsia="仿宋_GB2312" w:cs="Times New Roman"/>
          <w:sz w:val="32"/>
          <w:szCs w:val="32"/>
          <w:highlight w:val="none"/>
          <w:u w:val="none"/>
          <w:lang w:val="en-US" w:eastAsia="zh-CN" w:bidi="ar-SA"/>
        </w:rPr>
        <w:t>74</w:t>
      </w:r>
      <w:r>
        <w:rPr>
          <w:rFonts w:hint="eastAsia" w:ascii="仿宋_GB2312" w:eastAsia="仿宋_GB2312" w:cs="Times New Roman"/>
          <w:sz w:val="32"/>
          <w:szCs w:val="32"/>
          <w:highlight w:val="none"/>
          <w:u w:val="none"/>
          <w:lang w:bidi="ar-SA"/>
        </w:rPr>
        <w:t>亿元、市规划和自然资源局0.7亿元。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（4）安排应急资金4亿元，用于市委市政府临时交办的工作或其他有需要的应急项目支出。</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（5）参照往年规模并</w:t>
      </w:r>
      <w:r>
        <w:rPr>
          <w:rFonts w:hint="eastAsia" w:ascii="仿宋_GB2312" w:eastAsia="仿宋_GB2312" w:cs="Times New Roman"/>
          <w:sz w:val="32"/>
          <w:szCs w:val="32"/>
          <w:highlight w:val="none"/>
          <w:u w:val="none"/>
          <w:lang w:eastAsia="zh-CN" w:bidi="ar-SA"/>
        </w:rPr>
        <w:t>结合</w:t>
      </w:r>
      <w:r>
        <w:rPr>
          <w:rFonts w:hint="eastAsia" w:ascii="仿宋_GB2312" w:eastAsia="仿宋_GB2312" w:cs="Times New Roman"/>
          <w:sz w:val="32"/>
          <w:szCs w:val="32"/>
          <w:highlight w:val="none"/>
          <w:u w:val="none"/>
          <w:lang w:bidi="ar-SA"/>
        </w:rPr>
        <w:t>2021年项目支出情况，安排结转项目支出3亿元</w:t>
      </w:r>
      <w:r>
        <w:rPr>
          <w:rFonts w:hint="eastAsia" w:ascii="仿宋_GB2312" w:eastAsia="仿宋_GB2312" w:cs="Times New Roman"/>
          <w:sz w:val="32"/>
          <w:szCs w:val="32"/>
          <w:highlight w:val="none"/>
          <w:u w:val="none"/>
          <w:lang w:eastAsia="zh-CN" w:bidi="ar-SA"/>
        </w:rPr>
        <w:t>，</w:t>
      </w:r>
      <w:r>
        <w:rPr>
          <w:rFonts w:hint="eastAsia" w:ascii="仿宋_GB2312" w:eastAsia="仿宋_GB2312" w:cs="Times New Roman"/>
          <w:sz w:val="32"/>
          <w:szCs w:val="32"/>
          <w:highlight w:val="none"/>
          <w:u w:val="none"/>
          <w:lang w:bidi="ar-SA"/>
        </w:rPr>
        <w:t>主要是政府投资等项目结转。</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（6）划转地方养老保险支出33.3亿元。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（7）安排轨道交通建设和一级水源保护区历史遗留建筑处置补贴等支出143.4亿元。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（8）根据市政府投资计划，切块</w:t>
      </w:r>
      <w:r>
        <w:rPr>
          <w:rFonts w:hint="eastAsia" w:ascii="仿宋_GB2312" w:eastAsia="仿宋_GB2312" w:cs="Times New Roman"/>
          <w:sz w:val="32"/>
          <w:szCs w:val="32"/>
          <w:highlight w:val="none"/>
          <w:u w:val="none"/>
          <w:lang w:eastAsia="zh-CN" w:bidi="ar-SA"/>
        </w:rPr>
        <w:t>市</w:t>
      </w:r>
      <w:r>
        <w:rPr>
          <w:rFonts w:hint="eastAsia" w:ascii="仿宋_GB2312" w:eastAsia="仿宋_GB2312" w:cs="Times New Roman"/>
          <w:sz w:val="32"/>
          <w:szCs w:val="32"/>
          <w:highlight w:val="none"/>
          <w:u w:val="none"/>
          <w:lang w:bidi="ar-SA"/>
        </w:rPr>
        <w:t>发改安排20亿元，用于保障性住房建设、购置及代建等。</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2.污水处理费支出</w:t>
      </w:r>
      <w:r>
        <w:rPr>
          <w:rFonts w:hint="eastAsia" w:ascii="仿宋_GB2312" w:eastAsia="仿宋_GB2312" w:cs="Times New Roman"/>
          <w:sz w:val="32"/>
          <w:szCs w:val="32"/>
          <w:highlight w:val="none"/>
          <w:u w:val="none"/>
          <w:lang w:val="en-US" w:eastAsia="zh-CN" w:bidi="ar-SA"/>
        </w:rPr>
        <w:t>17</w:t>
      </w:r>
      <w:r>
        <w:rPr>
          <w:rFonts w:hint="eastAsia" w:ascii="仿宋_GB2312" w:eastAsia="仿宋_GB2312" w:cs="Times New Roman"/>
          <w:sz w:val="32"/>
          <w:szCs w:val="32"/>
          <w:highlight w:val="none"/>
          <w:u w:val="none"/>
          <w:lang w:bidi="ar-SA"/>
        </w:rPr>
        <w:t>亿元，专项用于市政排水设施的运行、维护、改造和建设。</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3.福彩公益金支出1.2亿元，主要是用于福利事业类项目和残疾人事业类项目。包括用于资助低收入居民、老年人、儿童、优抚对象等困难群体以及残疾人康复、救助、活动等。</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val="en-US" w:eastAsia="zh-CN" w:bidi="ar-SA"/>
        </w:rPr>
        <w:t>4</w:t>
      </w:r>
      <w:r>
        <w:rPr>
          <w:rFonts w:hint="eastAsia" w:ascii="仿宋_GB2312" w:eastAsia="仿宋_GB2312" w:cs="Times New Roman"/>
          <w:sz w:val="32"/>
          <w:szCs w:val="32"/>
          <w:highlight w:val="none"/>
          <w:u w:val="none"/>
          <w:lang w:bidi="ar-SA"/>
        </w:rPr>
        <w:t>.体彩公益金支出1.5亿元，专项用于发展体育事业，补助范围包括群众体育（含青少年体育）和竞技体育。</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val="en-US" w:eastAsia="zh-CN" w:bidi="ar-SA"/>
        </w:rPr>
        <w:t>5</w:t>
      </w:r>
      <w:r>
        <w:rPr>
          <w:rFonts w:hint="eastAsia" w:ascii="仿宋_GB2312" w:eastAsia="仿宋_GB2312" w:cs="Times New Roman"/>
          <w:sz w:val="32"/>
          <w:szCs w:val="32"/>
          <w:highlight w:val="none"/>
          <w:u w:val="none"/>
          <w:lang w:bidi="ar-SA"/>
        </w:rPr>
        <w:t>.彩票发行销售机构业务费支出1.8亿元，专项用于彩票发行销售活动。</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val="en-US" w:eastAsia="zh-CN" w:bidi="ar-SA"/>
        </w:rPr>
        <w:t>6</w:t>
      </w:r>
      <w:r>
        <w:rPr>
          <w:rFonts w:hint="eastAsia" w:ascii="仿宋_GB2312" w:eastAsia="仿宋_GB2312" w:cs="Times New Roman"/>
          <w:sz w:val="32"/>
          <w:szCs w:val="32"/>
          <w:highlight w:val="none"/>
          <w:u w:val="none"/>
          <w:lang w:bidi="ar-SA"/>
        </w:rPr>
        <w:t>.其他政府性基金及对应专项债务收入安排支出76.3亿元。财政部提前下达新增专项债务限额242亿元中，用于市本级项目76.3亿元。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val="en-US" w:eastAsia="zh-CN" w:bidi="ar-SA"/>
        </w:rPr>
        <w:t>7</w:t>
      </w:r>
      <w:r>
        <w:rPr>
          <w:rFonts w:hint="eastAsia" w:ascii="仿宋_GB2312" w:eastAsia="仿宋_GB2312" w:cs="Times New Roman"/>
          <w:sz w:val="32"/>
          <w:szCs w:val="32"/>
          <w:highlight w:val="none"/>
          <w:u w:val="none"/>
          <w:lang w:bidi="ar-SA"/>
        </w:rPr>
        <w:t>.地方政府专项债务还本付息及发行费支出40.9亿元,其中债务还本支出21.9亿元，债务付息及发行费计划安排19亿元。</w:t>
      </w:r>
    </w:p>
    <w:p>
      <w:pPr>
        <w:keepNext w:val="0"/>
        <w:keepLines w:val="0"/>
        <w:pageBreakBefore w:val="0"/>
        <w:widowControl w:val="0"/>
        <w:kinsoku/>
        <w:wordWrap/>
        <w:overflowPunct/>
        <w:topLinePunct w:val="0"/>
        <w:autoSpaceDE/>
        <w:autoSpaceDN/>
        <w:bidi w:val="0"/>
        <w:adjustRightInd/>
        <w:snapToGrid/>
        <w:spacing w:after="0" w:line="558" w:lineRule="exact"/>
        <w:ind w:left="160" w:leftChars="76" w:firstLine="467" w:firstLineChars="146"/>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val="en-US" w:eastAsia="zh-CN" w:bidi="ar-SA"/>
        </w:rPr>
        <w:t>8</w:t>
      </w:r>
      <w:r>
        <w:rPr>
          <w:rFonts w:hint="eastAsia" w:ascii="仿宋_GB2312" w:eastAsia="仿宋_GB2312" w:cs="Times New Roman"/>
          <w:sz w:val="32"/>
          <w:szCs w:val="32"/>
          <w:highlight w:val="none"/>
          <w:u w:val="none"/>
          <w:lang w:bidi="ar-SA"/>
        </w:rPr>
        <w:t>.转移性支出1</w:t>
      </w:r>
      <w:r>
        <w:rPr>
          <w:rFonts w:hint="eastAsia" w:ascii="仿宋_GB2312" w:eastAsia="仿宋_GB2312" w:cs="Times New Roman"/>
          <w:sz w:val="32"/>
          <w:szCs w:val="32"/>
          <w:highlight w:val="none"/>
          <w:u w:val="none"/>
          <w:lang w:val="en-US" w:eastAsia="zh-CN" w:bidi="ar-SA"/>
        </w:rPr>
        <w:t>343.4</w:t>
      </w:r>
      <w:r>
        <w:rPr>
          <w:rFonts w:hint="eastAsia" w:ascii="仿宋_GB2312" w:eastAsia="仿宋_GB2312" w:cs="Times New Roman"/>
          <w:sz w:val="32"/>
          <w:szCs w:val="32"/>
          <w:highlight w:val="none"/>
          <w:u w:val="none"/>
          <w:lang w:bidi="ar-SA"/>
        </w:rPr>
        <w:t>亿元，其中：</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（1）补助区支出669.3亿元，</w:t>
      </w:r>
      <w:r>
        <w:rPr>
          <w:rFonts w:hint="eastAsia" w:ascii="仿宋_GB2312" w:eastAsia="仿宋_GB2312" w:cs="Times New Roman"/>
          <w:b/>
          <w:bCs/>
          <w:sz w:val="32"/>
          <w:szCs w:val="32"/>
          <w:highlight w:val="none"/>
          <w:u w:val="none"/>
          <w:lang w:bidi="ar-SA"/>
        </w:rPr>
        <w:t>一是</w:t>
      </w:r>
      <w:r>
        <w:rPr>
          <w:rFonts w:hint="eastAsia" w:ascii="仿宋_GB2312" w:eastAsia="仿宋_GB2312" w:cs="Times New Roman"/>
          <w:sz w:val="32"/>
          <w:szCs w:val="32"/>
          <w:highlight w:val="none"/>
          <w:u w:val="none"/>
          <w:lang w:bidi="ar-SA"/>
        </w:rPr>
        <w:t>国有土地使用权出让收入各区分成部分665.5亿元。按我市现行管理体制，国有土地使用权出让收入统一先列市本级收入，属区分成部分再按规定转移支付各区；</w:t>
      </w:r>
      <w:r>
        <w:rPr>
          <w:rFonts w:hint="eastAsia" w:ascii="仿宋_GB2312" w:eastAsia="仿宋_GB2312" w:cs="Times New Roman"/>
          <w:b/>
          <w:bCs/>
          <w:sz w:val="32"/>
          <w:szCs w:val="32"/>
          <w:highlight w:val="none"/>
          <w:u w:val="none"/>
          <w:lang w:bidi="ar-SA"/>
        </w:rPr>
        <w:t>二是</w:t>
      </w:r>
      <w:r>
        <w:rPr>
          <w:rFonts w:hint="eastAsia" w:ascii="仿宋_GB2312" w:eastAsia="仿宋_GB2312" w:cs="Times New Roman"/>
          <w:sz w:val="32"/>
          <w:szCs w:val="32"/>
          <w:highlight w:val="none"/>
          <w:u w:val="none"/>
          <w:lang w:bidi="ar-SA"/>
        </w:rPr>
        <w:t>福利彩票公益金各区分成3.5亿元；</w:t>
      </w:r>
      <w:r>
        <w:rPr>
          <w:rFonts w:hint="eastAsia" w:ascii="仿宋_GB2312" w:eastAsia="仿宋_GB2312" w:cs="Times New Roman"/>
          <w:b/>
          <w:bCs/>
          <w:sz w:val="32"/>
          <w:szCs w:val="32"/>
          <w:highlight w:val="none"/>
          <w:u w:val="none"/>
          <w:lang w:bidi="ar-SA"/>
        </w:rPr>
        <w:t>三是</w:t>
      </w:r>
      <w:r>
        <w:rPr>
          <w:rFonts w:hint="eastAsia" w:ascii="仿宋_GB2312" w:eastAsia="仿宋_GB2312" w:cs="Times New Roman"/>
          <w:sz w:val="32"/>
          <w:szCs w:val="32"/>
          <w:highlight w:val="none"/>
          <w:u w:val="none"/>
          <w:lang w:bidi="ar-SA"/>
        </w:rPr>
        <w:t>体育彩票公益金各区分成0.3亿元。</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（2）调出资金226.3亿元，全部调出至一般公共预算统筹安排，主要是调出国土基金。</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shd w:val="clear" w:color="auto" w:fill="auto"/>
          <w:lang w:bidi="ar-SA"/>
        </w:rPr>
      </w:pPr>
      <w:r>
        <w:rPr>
          <w:rFonts w:hint="eastAsia" w:ascii="仿宋_GB2312" w:eastAsia="仿宋_GB2312" w:cs="Times New Roman"/>
          <w:sz w:val="32"/>
          <w:szCs w:val="32"/>
          <w:highlight w:val="none"/>
          <w:u w:val="none"/>
          <w:lang w:bidi="ar-SA"/>
        </w:rPr>
        <w:t>（3）年终结余</w:t>
      </w:r>
      <w:r>
        <w:rPr>
          <w:rFonts w:hint="eastAsia" w:ascii="仿宋_GB2312" w:eastAsia="仿宋_GB2312" w:cs="Times New Roman"/>
          <w:sz w:val="32"/>
          <w:szCs w:val="32"/>
          <w:highlight w:val="none"/>
          <w:u w:val="none"/>
          <w:lang w:val="en-US" w:eastAsia="zh-CN" w:bidi="ar-SA"/>
        </w:rPr>
        <w:t>282.1</w:t>
      </w:r>
      <w:r>
        <w:rPr>
          <w:rFonts w:hint="eastAsia" w:ascii="仿宋_GB2312" w:eastAsia="仿宋_GB2312" w:cs="Times New Roman"/>
          <w:sz w:val="32"/>
          <w:szCs w:val="32"/>
          <w:highlight w:val="none"/>
          <w:u w:val="none"/>
          <w:lang w:bidi="ar-SA"/>
        </w:rPr>
        <w:t>亿元，</w:t>
      </w:r>
      <w:r>
        <w:rPr>
          <w:rFonts w:hint="eastAsia" w:ascii="仿宋_GB2312" w:eastAsia="仿宋_GB2312" w:cs="Times New Roman"/>
          <w:sz w:val="32"/>
          <w:szCs w:val="32"/>
          <w:highlight w:val="none"/>
          <w:u w:val="none"/>
          <w:shd w:val="clear" w:color="auto" w:fill="auto"/>
          <w:lang w:bidi="ar-SA"/>
        </w:rPr>
        <w:t>主要是国土基金结余</w:t>
      </w:r>
      <w:r>
        <w:rPr>
          <w:rFonts w:hint="eastAsia" w:ascii="仿宋_GB2312" w:eastAsia="仿宋_GB2312" w:cs="Times New Roman"/>
          <w:sz w:val="32"/>
          <w:szCs w:val="32"/>
          <w:highlight w:val="none"/>
          <w:u w:val="none"/>
          <w:shd w:val="clear" w:color="auto" w:fill="auto"/>
          <w:lang w:val="en-US" w:eastAsia="zh-CN" w:bidi="ar-SA"/>
        </w:rPr>
        <w:t>270</w:t>
      </w:r>
      <w:r>
        <w:rPr>
          <w:rFonts w:hint="eastAsia" w:ascii="仿宋_GB2312" w:eastAsia="仿宋_GB2312" w:cs="Times New Roman"/>
          <w:sz w:val="32"/>
          <w:szCs w:val="32"/>
          <w:highlight w:val="none"/>
          <w:u w:val="none"/>
          <w:shd w:val="clear" w:color="auto" w:fill="auto"/>
          <w:lang w:bidi="ar-SA"/>
        </w:rPr>
        <w:t>亿元、</w:t>
      </w:r>
      <w:r>
        <w:rPr>
          <w:rFonts w:hint="eastAsia" w:ascii="仿宋_GB2312" w:eastAsia="仿宋_GB2312" w:cs="Times New Roman"/>
          <w:sz w:val="32"/>
          <w:szCs w:val="32"/>
          <w:highlight w:val="none"/>
          <w:u w:val="none"/>
          <w:shd w:val="clear" w:color="auto" w:fill="auto"/>
          <w:lang w:eastAsia="zh-CN" w:bidi="ar-SA"/>
        </w:rPr>
        <w:t>污水处理费结余</w:t>
      </w:r>
      <w:r>
        <w:rPr>
          <w:rFonts w:hint="eastAsia" w:ascii="仿宋_GB2312" w:eastAsia="仿宋_GB2312" w:cs="Times New Roman"/>
          <w:sz w:val="32"/>
          <w:szCs w:val="32"/>
          <w:highlight w:val="none"/>
          <w:u w:val="none"/>
          <w:shd w:val="clear" w:color="auto" w:fill="auto"/>
          <w:lang w:val="en-US" w:eastAsia="zh-CN" w:bidi="ar-SA"/>
        </w:rPr>
        <w:t>2.5亿元、</w:t>
      </w:r>
      <w:r>
        <w:rPr>
          <w:rFonts w:hint="eastAsia" w:ascii="仿宋_GB2312" w:eastAsia="仿宋_GB2312" w:cs="Times New Roman"/>
          <w:sz w:val="32"/>
          <w:szCs w:val="32"/>
          <w:highlight w:val="none"/>
          <w:u w:val="none"/>
          <w:shd w:val="clear" w:color="auto" w:fill="auto"/>
          <w:lang w:eastAsia="zh-CN" w:bidi="ar-SA"/>
        </w:rPr>
        <w:t>彩票公益金</w:t>
      </w:r>
      <w:r>
        <w:rPr>
          <w:rFonts w:hint="eastAsia" w:ascii="仿宋_GB2312" w:eastAsia="仿宋_GB2312" w:cs="Times New Roman"/>
          <w:sz w:val="32"/>
          <w:szCs w:val="32"/>
          <w:highlight w:val="none"/>
          <w:u w:val="none"/>
          <w:shd w:val="clear" w:color="auto" w:fill="auto"/>
          <w:lang w:bidi="ar-SA"/>
        </w:rPr>
        <w:t>结余</w:t>
      </w:r>
      <w:r>
        <w:rPr>
          <w:rFonts w:hint="eastAsia" w:ascii="仿宋_GB2312" w:eastAsia="仿宋_GB2312" w:cs="Times New Roman"/>
          <w:sz w:val="32"/>
          <w:szCs w:val="32"/>
          <w:highlight w:val="none"/>
          <w:u w:val="none"/>
          <w:shd w:val="clear" w:color="auto" w:fill="auto"/>
          <w:lang w:val="en-US" w:eastAsia="zh-CN" w:bidi="ar-SA"/>
        </w:rPr>
        <w:t>2</w:t>
      </w:r>
      <w:r>
        <w:rPr>
          <w:rFonts w:hint="eastAsia" w:ascii="仿宋_GB2312" w:eastAsia="仿宋_GB2312" w:cs="Times New Roman"/>
          <w:sz w:val="32"/>
          <w:szCs w:val="32"/>
          <w:highlight w:val="none"/>
          <w:u w:val="none"/>
          <w:shd w:val="clear" w:color="auto" w:fill="auto"/>
          <w:lang w:bidi="ar-SA"/>
        </w:rPr>
        <w:t>亿元、</w:t>
      </w:r>
      <w:r>
        <w:rPr>
          <w:rFonts w:hint="eastAsia" w:ascii="仿宋_GB2312" w:eastAsia="仿宋_GB2312" w:cs="Times New Roman"/>
          <w:sz w:val="32"/>
          <w:szCs w:val="32"/>
          <w:highlight w:val="none"/>
          <w:u w:val="none"/>
          <w:shd w:val="clear" w:color="auto" w:fill="auto"/>
          <w:lang w:eastAsia="zh-CN" w:bidi="ar-SA"/>
        </w:rPr>
        <w:t>彩票</w:t>
      </w:r>
      <w:r>
        <w:rPr>
          <w:rFonts w:hint="eastAsia" w:ascii="仿宋_GB2312" w:eastAsia="仿宋_GB2312" w:cs="Times New Roman"/>
          <w:sz w:val="32"/>
          <w:szCs w:val="32"/>
          <w:highlight w:val="none"/>
          <w:u w:val="none"/>
          <w:shd w:val="clear" w:color="auto" w:fill="auto"/>
          <w:lang w:bidi="ar-SA"/>
        </w:rPr>
        <w:t>发行费0.</w:t>
      </w:r>
      <w:r>
        <w:rPr>
          <w:rFonts w:hint="eastAsia" w:ascii="仿宋_GB2312" w:eastAsia="仿宋_GB2312" w:cs="Times New Roman"/>
          <w:sz w:val="32"/>
          <w:szCs w:val="32"/>
          <w:highlight w:val="none"/>
          <w:u w:val="none"/>
          <w:shd w:val="clear" w:color="auto" w:fill="auto"/>
          <w:lang w:val="en-US" w:eastAsia="zh-CN" w:bidi="ar-SA"/>
        </w:rPr>
        <w:t>3</w:t>
      </w:r>
      <w:r>
        <w:rPr>
          <w:rFonts w:hint="eastAsia" w:ascii="仿宋_GB2312" w:eastAsia="仿宋_GB2312" w:cs="Times New Roman"/>
          <w:sz w:val="32"/>
          <w:szCs w:val="32"/>
          <w:highlight w:val="none"/>
          <w:u w:val="none"/>
          <w:shd w:val="clear" w:color="auto" w:fill="auto"/>
          <w:lang w:bidi="ar-SA"/>
        </w:rPr>
        <w:t>亿元等。</w:t>
      </w:r>
    </w:p>
    <w:p>
      <w:pPr>
        <w:keepNext w:val="0"/>
        <w:keepLines w:val="0"/>
        <w:pageBreakBefore w:val="0"/>
        <w:widowControl w:val="0"/>
        <w:kinsoku/>
        <w:wordWrap/>
        <w:overflowPunct/>
        <w:topLinePunct w:val="0"/>
        <w:autoSpaceDE/>
        <w:autoSpaceDN/>
        <w:bidi w:val="0"/>
        <w:adjustRightInd/>
        <w:snapToGrid/>
        <w:spacing w:after="0" w:line="558" w:lineRule="exact"/>
        <w:ind w:firstLine="63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（4）地方政府专项债务转贷支出165.7亿元，反映向下级政府转贷的债务支出。本次财政部提前下达新增专项债务限额242亿元中，转贷各区165.7亿元。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s="Calibri"/>
          <w:highlight w:val="none"/>
          <w:u w:val="none"/>
          <w:lang w:bidi="ar-SA"/>
        </w:rPr>
      </w:pPr>
      <w:r>
        <w:rPr>
          <w:rFonts w:eastAsia="宋体" w:cs="Calibri"/>
          <w:highlight w:val="none"/>
          <w:u w:val="none"/>
          <w:lang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cs="宋体"/>
          <w:b/>
          <w:kern w:val="0"/>
          <w:sz w:val="32"/>
          <w:szCs w:val="32"/>
          <w:highlight w:val="none"/>
          <w:u w:val="none"/>
          <w:lang w:bidi="ar-SA"/>
        </w:rPr>
      </w:pPr>
      <w:r>
        <w:rPr>
          <w:rFonts w:hint="eastAsia" w:ascii="宋体" w:eastAsia="宋体" w:cs="宋体"/>
          <w:b/>
          <w:kern w:val="0"/>
          <w:sz w:val="32"/>
          <w:szCs w:val="32"/>
          <w:highlight w:val="none"/>
          <w:u w:val="none"/>
          <w:lang w:bidi="ar-SA"/>
        </w:rPr>
        <w:t xml:space="preserve">第四部分 </w:t>
      </w:r>
      <w:r>
        <w:rPr>
          <w:rFonts w:hint="eastAsia" w:ascii="宋体" w:cs="宋体"/>
          <w:b/>
          <w:kern w:val="0"/>
          <w:sz w:val="32"/>
          <w:szCs w:val="32"/>
          <w:highlight w:val="none"/>
          <w:u w:val="none"/>
          <w:lang w:eastAsia="zh-CN" w:bidi="ar-SA"/>
        </w:rPr>
        <w:t>深圳市</w:t>
      </w:r>
      <w:r>
        <w:rPr>
          <w:rFonts w:hint="eastAsia" w:ascii="宋体" w:eastAsia="宋体" w:cs="宋体"/>
          <w:b/>
          <w:kern w:val="0"/>
          <w:sz w:val="32"/>
          <w:szCs w:val="32"/>
          <w:highlight w:val="none"/>
          <w:u w:val="none"/>
          <w:lang w:bidi="ar-SA"/>
        </w:rPr>
        <w:t>2022年本级国有资本经营预算(草案)</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eastAsia="仿宋_GB2312" w:cs="仿宋_GB2312"/>
          <w:sz w:val="32"/>
          <w:szCs w:val="32"/>
          <w:highlight w:val="none"/>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一、编制说明</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bCs/>
          <w:sz w:val="32"/>
          <w:highlight w:val="none"/>
          <w:u w:val="none"/>
          <w:lang w:bidi="ar-SA"/>
        </w:rPr>
      </w:pPr>
      <w:r>
        <w:rPr>
          <w:rFonts w:hint="eastAsia" w:ascii="楷体_GB2312" w:eastAsia="楷体_GB2312" w:cs="楷体_GB2312"/>
          <w:bCs/>
          <w:sz w:val="32"/>
          <w:szCs w:val="32"/>
          <w:highlight w:val="none"/>
          <w:u w:val="none"/>
          <w:lang w:bidi="ar-SA"/>
        </w:rPr>
        <w:t>（一）编制范围</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highlight w:val="none"/>
          <w:u w:val="none"/>
          <w:lang w:bidi="ar-SA"/>
        </w:rPr>
      </w:pPr>
      <w:r>
        <w:rPr>
          <w:rFonts w:hint="eastAsia" w:ascii="仿宋_GB2312" w:eastAsia="仿宋_GB2312" w:cs="仿宋_GB2312"/>
          <w:sz w:val="32"/>
          <w:szCs w:val="22"/>
          <w:highlight w:val="none"/>
          <w:u w:val="none"/>
          <w:lang w:bidi="ar-SA"/>
        </w:rPr>
        <w:t>1.市国资委直管企业。市国资委直接持股的企业全部纳入2022年国有资本经营预算收缴范围，包括16户国有独资公司和8户国有控股公司。市属国有控股公司中，市国资委股权比例为22％—99％不等。</w:t>
      </w:r>
    </w:p>
    <w:p>
      <w:pPr>
        <w:snapToGrid w:val="0"/>
        <w:spacing w:after="200" w:line="560" w:lineRule="exact"/>
        <w:ind w:firstLine="480" w:firstLineChars="200"/>
        <w:jc w:val="center"/>
        <w:rPr>
          <w:rFonts w:hint="eastAsia" w:ascii="黑体" w:eastAsia="黑体" w:cs="黑体"/>
          <w:sz w:val="24"/>
          <w:highlight w:val="none"/>
          <w:u w:val="none"/>
          <w:lang w:bidi="ar-SA"/>
        </w:rPr>
      </w:pPr>
      <w:r>
        <w:rPr>
          <w:rFonts w:hint="eastAsia" w:ascii="黑体" w:eastAsia="黑体" w:cs="黑体"/>
          <w:sz w:val="24"/>
          <w:highlight w:val="none"/>
          <w:u w:val="none"/>
          <w:lang w:bidi="ar-SA"/>
        </w:rPr>
        <w:t>表1：2022年市国资委直接持股企业情况表</w:t>
      </w:r>
    </w:p>
    <w:tbl>
      <w:tblPr>
        <w:tblStyle w:val="1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4539"/>
        <w:gridCol w:w="1416"/>
        <w:gridCol w:w="18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blHeader/>
        </w:trPr>
        <w:tc>
          <w:tcPr>
            <w:tcW w:w="866"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pPr>
              <w:widowControl/>
              <w:spacing w:after="200" w:line="276" w:lineRule="auto"/>
              <w:jc w:val="center"/>
              <w:rPr>
                <w:rFonts w:ascii="Arial" w:hAnsi="Arial" w:eastAsia="宋体" w:cs="Arial"/>
                <w:b/>
                <w:kern w:val="0"/>
                <w:sz w:val="18"/>
                <w:szCs w:val="18"/>
                <w:highlight w:val="none"/>
                <w:u w:val="none"/>
                <w:lang w:bidi="ar-SA"/>
              </w:rPr>
            </w:pPr>
            <w:r>
              <w:rPr>
                <w:rFonts w:hint="eastAsia" w:ascii="Arial" w:hAnsi="Arial" w:eastAsia="宋体" w:cs="Arial"/>
                <w:b/>
                <w:kern w:val="0"/>
                <w:sz w:val="18"/>
                <w:szCs w:val="18"/>
                <w:highlight w:val="none"/>
                <w:u w:val="none"/>
                <w:lang w:bidi="ar-SA"/>
              </w:rPr>
              <w:t>序号</w:t>
            </w:r>
          </w:p>
        </w:tc>
        <w:tc>
          <w:tcPr>
            <w:tcW w:w="4539"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widowControl/>
              <w:spacing w:after="200" w:line="276" w:lineRule="auto"/>
              <w:jc w:val="center"/>
              <w:rPr>
                <w:rFonts w:ascii="Arial" w:hAnsi="Arial" w:eastAsia="宋体" w:cs="Arial"/>
                <w:b/>
                <w:kern w:val="0"/>
                <w:sz w:val="18"/>
                <w:szCs w:val="18"/>
                <w:highlight w:val="none"/>
                <w:u w:val="none"/>
                <w:lang w:bidi="ar-SA"/>
              </w:rPr>
            </w:pPr>
            <w:r>
              <w:rPr>
                <w:rFonts w:hint="eastAsia" w:ascii="Arial" w:hAnsi="Arial" w:eastAsia="宋体" w:cs="Arial"/>
                <w:b/>
                <w:kern w:val="0"/>
                <w:sz w:val="18"/>
                <w:szCs w:val="18"/>
                <w:highlight w:val="none"/>
                <w:u w:val="none"/>
                <w:lang w:bidi="ar-SA"/>
              </w:rPr>
              <w:t>企业名称</w:t>
            </w:r>
          </w:p>
        </w:tc>
        <w:tc>
          <w:tcPr>
            <w:tcW w:w="1416"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widowControl/>
              <w:spacing w:after="200" w:line="276" w:lineRule="auto"/>
              <w:jc w:val="center"/>
              <w:rPr>
                <w:rFonts w:ascii="Arial" w:hAnsi="Arial" w:eastAsia="宋体" w:cs="Arial"/>
                <w:b/>
                <w:kern w:val="0"/>
                <w:sz w:val="18"/>
                <w:szCs w:val="18"/>
                <w:highlight w:val="none"/>
                <w:u w:val="none"/>
                <w:lang w:bidi="ar-SA"/>
              </w:rPr>
            </w:pPr>
            <w:r>
              <w:rPr>
                <w:rFonts w:hint="eastAsia" w:ascii="Arial" w:hAnsi="Arial" w:eastAsia="宋体" w:cs="Arial"/>
                <w:b/>
                <w:kern w:val="0"/>
                <w:sz w:val="18"/>
                <w:szCs w:val="18"/>
                <w:highlight w:val="none"/>
                <w:u w:val="none"/>
                <w:lang w:bidi="ar-SA"/>
              </w:rPr>
              <w:t>持股比例</w:t>
            </w:r>
          </w:p>
        </w:tc>
        <w:tc>
          <w:tcPr>
            <w:tcW w:w="1841"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pPr>
              <w:widowControl/>
              <w:spacing w:after="200" w:line="276" w:lineRule="auto"/>
              <w:jc w:val="center"/>
              <w:rPr>
                <w:rFonts w:ascii="Arial" w:hAnsi="Arial" w:eastAsia="宋体" w:cs="Arial"/>
                <w:b/>
                <w:kern w:val="0"/>
                <w:sz w:val="18"/>
                <w:szCs w:val="18"/>
                <w:highlight w:val="none"/>
                <w:u w:val="none"/>
                <w:lang w:bidi="ar-SA"/>
              </w:rPr>
            </w:pPr>
            <w:r>
              <w:rPr>
                <w:rFonts w:hint="eastAsia" w:ascii="Arial" w:hAnsi="Arial" w:eastAsia="宋体" w:cs="Arial"/>
                <w:b/>
                <w:kern w:val="0"/>
                <w:sz w:val="18"/>
                <w:szCs w:val="18"/>
                <w:highlight w:val="none"/>
                <w:u w:val="none"/>
                <w:lang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深圳市投资控股有限公司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深业集团有限公司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3</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深圳市地铁集团有限公司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4</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深圳市机场（集团）有限公司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5</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深圳市盐田港集团有限公司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6</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深圳能源集团股份有限公司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44%</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上市公司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7</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深圳市环境水务集团有限公司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8</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深圳市燃气集团股份有限公司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40%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上市公司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9</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深圳巴士集团股份有限公司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55%</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10</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深圳市特区建设发展集团有限公司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11</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深圳市创新投资集团有限公司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28%</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12</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深圳市城市公共安全技术研究院有限公司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13</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深圳市人才安居集团有限公司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14</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深圳市交易集团有限公司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15</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深圳市国有免税商品</w:t>
            </w:r>
            <w:r>
              <w:rPr>
                <w:rFonts w:ascii="Arial" w:hAnsi="Arial" w:eastAsia="宋体" w:cs="Arial"/>
                <w:kern w:val="0"/>
                <w:sz w:val="21"/>
                <w:szCs w:val="21"/>
                <w:highlight w:val="none"/>
                <w:u w:val="none"/>
                <w:lang w:bidi="ar-SA"/>
              </w:rPr>
              <w:t>(</w:t>
            </w:r>
            <w:r>
              <w:rPr>
                <w:rFonts w:hint="eastAsia" w:ascii="宋体" w:eastAsia="宋体" w:cs="宋体"/>
                <w:kern w:val="0"/>
                <w:sz w:val="21"/>
                <w:szCs w:val="21"/>
                <w:highlight w:val="none"/>
                <w:u w:val="none"/>
                <w:lang w:bidi="ar-SA"/>
              </w:rPr>
              <w:t>集团</w:t>
            </w:r>
            <w:r>
              <w:rPr>
                <w:rFonts w:ascii="Arial" w:hAnsi="Arial" w:eastAsia="宋体" w:cs="Arial"/>
                <w:kern w:val="0"/>
                <w:sz w:val="21"/>
                <w:szCs w:val="21"/>
                <w:highlight w:val="none"/>
                <w:u w:val="none"/>
                <w:lang w:bidi="ar-SA"/>
              </w:rPr>
              <w:t>)</w:t>
            </w:r>
            <w:r>
              <w:rPr>
                <w:rFonts w:hint="eastAsia" w:ascii="宋体" w:eastAsia="宋体" w:cs="宋体"/>
                <w:kern w:val="0"/>
                <w:sz w:val="21"/>
                <w:szCs w:val="21"/>
                <w:highlight w:val="none"/>
                <w:u w:val="none"/>
                <w:lang w:bidi="ar-SA"/>
              </w:rPr>
              <w:t>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16</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深圳市特区建工集团有限公司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17</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深圳市振业（集团）股份有限公司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22%</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上市公司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18</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深圳市特发集团有限公司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39%</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19</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深圳市资本运营集团有限公司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20</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深圳市东部公共交通有限公司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34%</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21</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深圳市鲲鹏股权投资管理有限公司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99.5%</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22</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深圳市智慧城市科技发展集团有限公司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23</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深圳市重大产业投资有限公司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66" w:type="dxa"/>
            <w:tcBorders>
              <w:top w:val="single" w:color="auto" w:sz="6" w:space="0"/>
              <w:left w:val="single" w:color="auto" w:sz="12" w:space="0"/>
              <w:bottom w:val="single" w:color="auto" w:sz="6" w:space="0"/>
              <w:right w:val="single" w:color="auto" w:sz="6" w:space="0"/>
            </w:tcBorders>
            <w:noWrap w:val="0"/>
            <w:vAlign w:val="center"/>
          </w:tcPr>
          <w:p>
            <w:pPr>
              <w:widowControl/>
              <w:spacing w:after="200" w:line="276" w:lineRule="auto"/>
              <w:jc w:val="center"/>
              <w:rPr>
                <w:rFonts w:hint="eastAsia" w:ascii="宋体" w:eastAsia="宋体" w:cs="宋体"/>
                <w:color w:val="000000"/>
                <w:kern w:val="0"/>
                <w:sz w:val="21"/>
                <w:szCs w:val="21"/>
                <w:highlight w:val="none"/>
                <w:u w:val="none"/>
                <w:lang w:bidi="ar-SA"/>
              </w:rPr>
            </w:pPr>
            <w:r>
              <w:rPr>
                <w:rFonts w:hint="eastAsia" w:ascii="宋体" w:eastAsia="宋体" w:cs="宋体"/>
                <w:color w:val="000000"/>
                <w:kern w:val="0"/>
                <w:sz w:val="21"/>
                <w:szCs w:val="21"/>
                <w:highlight w:val="none"/>
                <w:u w:val="none"/>
                <w:lang w:bidi="ar-SA"/>
              </w:rPr>
              <w:t>24</w:t>
            </w:r>
          </w:p>
        </w:tc>
        <w:tc>
          <w:tcPr>
            <w:tcW w:w="4539"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深圳市食品物资集团有限公司</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widowControl/>
              <w:spacing w:after="200" w:line="276" w:lineRule="auto"/>
              <w:jc w:val="center"/>
              <w:rPr>
                <w:rFonts w:hint="eastAsia" w:ascii="仿宋_GB2312" w:eastAsia="仿宋_GB2312" w:cs="仿宋_GB2312"/>
                <w:kern w:val="0"/>
                <w:sz w:val="21"/>
                <w:szCs w:val="21"/>
                <w:highlight w:val="none"/>
                <w:u w:val="none"/>
                <w:lang w:bidi="ar-SA"/>
              </w:rPr>
            </w:pPr>
            <w:r>
              <w:rPr>
                <w:rFonts w:hint="eastAsia" w:ascii="仿宋_GB2312" w:eastAsia="仿宋_GB2312" w:cs="仿宋_GB2312"/>
                <w:kern w:val="0"/>
                <w:sz w:val="21"/>
                <w:szCs w:val="21"/>
                <w:highlight w:val="none"/>
                <w:u w:val="none"/>
                <w:lang w:bidi="ar-SA"/>
              </w:rPr>
              <w:t>100%</w:t>
            </w:r>
          </w:p>
        </w:tc>
        <w:tc>
          <w:tcPr>
            <w:tcW w:w="1841" w:type="dxa"/>
            <w:tcBorders>
              <w:top w:val="single" w:color="auto" w:sz="6" w:space="0"/>
              <w:left w:val="single" w:color="auto" w:sz="6" w:space="0"/>
              <w:bottom w:val="single" w:color="auto" w:sz="6" w:space="0"/>
              <w:right w:val="single" w:color="auto" w:sz="12" w:space="0"/>
            </w:tcBorders>
            <w:noWrap w:val="0"/>
            <w:vAlign w:val="center"/>
          </w:tcPr>
          <w:p>
            <w:pPr>
              <w:widowControl/>
              <w:spacing w:after="200" w:line="276" w:lineRule="auto"/>
              <w:jc w:val="left"/>
              <w:rPr>
                <w:rFonts w:hint="eastAsia" w:ascii="宋体" w:eastAsia="宋体" w:cs="宋体"/>
                <w:kern w:val="0"/>
                <w:sz w:val="21"/>
                <w:szCs w:val="21"/>
                <w:highlight w:val="none"/>
                <w:u w:val="none"/>
                <w:lang w:bidi="ar-SA"/>
              </w:rPr>
            </w:pPr>
          </w:p>
        </w:tc>
      </w:tr>
    </w:tbl>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Times New Roman"/>
          <w:sz w:val="32"/>
          <w:szCs w:val="32"/>
          <w:highlight w:val="none"/>
          <w:u w:val="none"/>
          <w:lang w:bidi="ar-SA"/>
        </w:rPr>
        <w:t>2.前海管理局直属企业。前海管理局共设立三家全资国有企业，分别为深圳市前海建设投资控股集团有限公司、深圳市前海金融控股有限公司和深圳市前海服务集团有限公司。</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楷体_GB2312" w:eastAsia="楷体_GB2312" w:cs="楷体_GB2312"/>
          <w:bCs/>
          <w:sz w:val="32"/>
          <w:szCs w:val="32"/>
          <w:highlight w:val="none"/>
          <w:u w:val="none"/>
          <w:lang w:bidi="ar-SA"/>
        </w:rPr>
      </w:pPr>
      <w:r>
        <w:rPr>
          <w:rFonts w:hint="eastAsia" w:ascii="楷体_GB2312" w:eastAsia="楷体_GB2312" w:cs="楷体_GB2312"/>
          <w:bCs/>
          <w:sz w:val="32"/>
          <w:szCs w:val="32"/>
          <w:highlight w:val="none"/>
          <w:u w:val="none"/>
          <w:lang w:bidi="ar-SA"/>
        </w:rPr>
        <w:t>（二）分配比例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cs="仿宋_GB2312"/>
          <w:sz w:val="32"/>
          <w:szCs w:val="32"/>
          <w:highlight w:val="none"/>
          <w:u w:val="none"/>
          <w:shd w:val="clear" w:color="auto" w:fill="FFFFFF"/>
          <w:lang w:bidi="ar-SA"/>
        </w:rPr>
      </w:pPr>
      <w:r>
        <w:rPr>
          <w:rFonts w:hint="eastAsia" w:ascii="仿宋_GB2312" w:eastAsia="仿宋_GB2312" w:cs="仿宋_GB2312"/>
          <w:sz w:val="32"/>
          <w:highlight w:val="none"/>
          <w:u w:val="none"/>
          <w:lang w:bidi="ar-SA"/>
        </w:rPr>
        <w:t>1.市国资委直管企业。国资监管机构派出国有产权代表向股东大会（董事会）提议利润预分配比例，</w:t>
      </w:r>
      <w:r>
        <w:rPr>
          <w:rFonts w:hint="eastAsia" w:ascii="仿宋_GB2312" w:eastAsia="仿宋_GB2312" w:cs="仿宋_GB2312"/>
          <w:sz w:val="32"/>
          <w:szCs w:val="32"/>
          <w:highlight w:val="none"/>
          <w:u w:val="none"/>
          <w:lang w:bidi="ar-SA"/>
        </w:rPr>
        <w:t>由股东大会</w:t>
      </w:r>
      <w:r>
        <w:rPr>
          <w:rFonts w:hint="eastAsia" w:ascii="仿宋_GB2312" w:eastAsia="仿宋_GB2312" w:cs="仿宋_GB2312"/>
          <w:sz w:val="32"/>
          <w:highlight w:val="none"/>
          <w:u w:val="none"/>
          <w:lang w:bidi="ar-SA"/>
        </w:rPr>
        <w:t>（董事会）</w:t>
      </w:r>
      <w:r>
        <w:rPr>
          <w:rFonts w:hint="eastAsia" w:ascii="仿宋_GB2312" w:eastAsia="仿宋_GB2312" w:cs="仿宋_GB2312"/>
          <w:sz w:val="32"/>
          <w:szCs w:val="32"/>
          <w:highlight w:val="none"/>
          <w:u w:val="none"/>
          <w:lang w:bidi="ar-SA"/>
        </w:rPr>
        <w:t>决议。</w:t>
      </w:r>
      <w:r>
        <w:rPr>
          <w:rFonts w:hint="eastAsia" w:ascii="仿宋_GB2312" w:eastAsia="仿宋_GB2312" w:cs="仿宋_GB2312"/>
          <w:sz w:val="32"/>
          <w:highlight w:val="none"/>
          <w:u w:val="none"/>
          <w:lang w:bidi="ar-SA"/>
        </w:rPr>
        <w:t>具体情况如下：</w:t>
      </w:r>
      <w:r>
        <w:rPr>
          <w:rFonts w:hint="eastAsia" w:ascii="仿宋_GB2312" w:eastAsia="仿宋_GB2312" w:cs="仿宋_GB2312"/>
          <w:b/>
          <w:sz w:val="32"/>
          <w:highlight w:val="none"/>
          <w:u w:val="none"/>
          <w:lang w:bidi="ar-SA"/>
        </w:rPr>
        <w:t>一是</w:t>
      </w:r>
      <w:r>
        <w:rPr>
          <w:rFonts w:hint="eastAsia" w:ascii="仿宋_GB2312" w:eastAsia="仿宋_GB2312" w:cs="仿宋_GB2312"/>
          <w:sz w:val="32"/>
          <w:szCs w:val="32"/>
          <w:highlight w:val="none"/>
          <w:u w:val="none"/>
          <w:shd w:val="clear" w:color="auto" w:fill="FFFFFF"/>
          <w:lang w:bidi="ar-SA"/>
        </w:rPr>
        <w:t>对处于充分竞争领域的企业，</w:t>
      </w:r>
      <w:r>
        <w:rPr>
          <w:rFonts w:hint="eastAsia" w:ascii="仿宋_GB2312" w:eastAsia="仿宋_GB2312" w:cs="仿宋_GB2312"/>
          <w:sz w:val="32"/>
          <w:szCs w:val="32"/>
          <w:highlight w:val="none"/>
          <w:u w:val="none"/>
          <w:lang w:bidi="ar-SA"/>
        </w:rPr>
        <w:t>按照市场化要求实行商业化运作，以增强国有经济活力、竞争力和实现国有资产保值增值为主要目标，</w:t>
      </w:r>
      <w:r>
        <w:rPr>
          <w:rFonts w:hint="eastAsia" w:ascii="仿宋_GB2312" w:eastAsia="仿宋_GB2312" w:cs="仿宋_GB2312"/>
          <w:sz w:val="32"/>
          <w:szCs w:val="32"/>
          <w:highlight w:val="none"/>
          <w:u w:val="none"/>
          <w:shd w:val="clear" w:color="auto" w:fill="FFFFFF"/>
          <w:lang w:bidi="ar-SA"/>
        </w:rPr>
        <w:t>按照不低于30%向</w:t>
      </w:r>
      <w:r>
        <w:rPr>
          <w:rFonts w:hint="eastAsia" w:ascii="仿宋_GB2312" w:eastAsia="仿宋_GB2312" w:cs="仿宋_GB2312"/>
          <w:sz w:val="32"/>
          <w:highlight w:val="none"/>
          <w:u w:val="none"/>
          <w:lang w:bidi="ar-SA"/>
        </w:rPr>
        <w:t>股东大会（董事会）提议利润分配比例</w:t>
      </w:r>
      <w:r>
        <w:rPr>
          <w:rFonts w:hint="eastAsia" w:ascii="仿宋_GB2312" w:eastAsia="仿宋_GB2312" w:cs="仿宋_GB2312"/>
          <w:sz w:val="32"/>
          <w:szCs w:val="32"/>
          <w:highlight w:val="none"/>
          <w:u w:val="none"/>
          <w:shd w:val="clear" w:color="auto" w:fill="FFFFFF"/>
          <w:lang w:bidi="ar-SA"/>
        </w:rPr>
        <w:t>。</w:t>
      </w:r>
      <w:r>
        <w:rPr>
          <w:rFonts w:hint="eastAsia" w:ascii="仿宋_GB2312" w:eastAsia="仿宋_GB2312" w:cs="仿宋_GB2312"/>
          <w:b/>
          <w:sz w:val="32"/>
          <w:szCs w:val="32"/>
          <w:highlight w:val="none"/>
          <w:u w:val="none"/>
          <w:shd w:val="clear" w:color="auto" w:fill="FFFFFF"/>
          <w:lang w:bidi="ar-SA"/>
        </w:rPr>
        <w:t>二是</w:t>
      </w:r>
      <w:r>
        <w:rPr>
          <w:rFonts w:hint="eastAsia" w:ascii="仿宋_GB2312" w:eastAsia="仿宋_GB2312" w:cs="仿宋_GB2312"/>
          <w:sz w:val="32"/>
          <w:szCs w:val="32"/>
          <w:highlight w:val="none"/>
          <w:u w:val="none"/>
          <w:shd w:val="clear" w:color="auto" w:fill="FFFFFF"/>
          <w:lang w:bidi="ar-SA"/>
        </w:rPr>
        <w:t>对参与适度市场竞争的企业，考虑这类企业</w:t>
      </w:r>
      <w:r>
        <w:rPr>
          <w:rFonts w:hint="eastAsia" w:ascii="仿宋_GB2312" w:eastAsia="仿宋_GB2312" w:cs="仿宋_GB2312"/>
          <w:kern w:val="0"/>
          <w:sz w:val="32"/>
          <w:szCs w:val="32"/>
          <w:highlight w:val="none"/>
          <w:u w:val="none"/>
          <w:lang w:bidi="ar-SA"/>
        </w:rPr>
        <w:t>以贯彻落实市委市政府的战略部署、</w:t>
      </w:r>
      <w:r>
        <w:rPr>
          <w:rFonts w:hint="eastAsia" w:ascii="仿宋_GB2312" w:eastAsia="仿宋_GB2312" w:cs="仿宋_GB2312"/>
          <w:sz w:val="32"/>
          <w:szCs w:val="32"/>
          <w:highlight w:val="none"/>
          <w:u w:val="none"/>
          <w:lang w:bidi="ar-SA"/>
        </w:rPr>
        <w:t>保障城市运行、服务社会民生、提供优质公共产品和服务、</w:t>
      </w:r>
      <w:r>
        <w:rPr>
          <w:rFonts w:hint="eastAsia" w:ascii="仿宋_GB2312" w:eastAsia="仿宋_GB2312" w:cs="仿宋_GB2312"/>
          <w:kern w:val="0"/>
          <w:sz w:val="32"/>
          <w:szCs w:val="32"/>
          <w:highlight w:val="none"/>
          <w:u w:val="none"/>
          <w:lang w:bidi="ar-SA"/>
        </w:rPr>
        <w:t>完成重大经济发展专项任务</w:t>
      </w:r>
      <w:r>
        <w:rPr>
          <w:rFonts w:hint="eastAsia" w:ascii="仿宋_GB2312" w:eastAsia="仿宋_GB2312" w:cs="仿宋_GB2312"/>
          <w:sz w:val="32"/>
          <w:szCs w:val="32"/>
          <w:highlight w:val="none"/>
          <w:u w:val="none"/>
          <w:lang w:bidi="ar-SA"/>
        </w:rPr>
        <w:t>为主要目标，</w:t>
      </w:r>
      <w:r>
        <w:rPr>
          <w:rFonts w:hint="eastAsia" w:ascii="仿宋_GB2312" w:eastAsia="仿宋_GB2312" w:cs="仿宋_GB2312"/>
          <w:sz w:val="32"/>
          <w:szCs w:val="32"/>
          <w:highlight w:val="none"/>
          <w:u w:val="none"/>
          <w:shd w:val="clear" w:color="auto" w:fill="FFFFFF"/>
          <w:lang w:bidi="ar-SA"/>
        </w:rPr>
        <w:t>按照不低于15%向</w:t>
      </w:r>
      <w:r>
        <w:rPr>
          <w:rFonts w:hint="eastAsia" w:ascii="仿宋_GB2312" w:eastAsia="仿宋_GB2312" w:cs="仿宋_GB2312"/>
          <w:sz w:val="32"/>
          <w:highlight w:val="none"/>
          <w:u w:val="none"/>
          <w:lang w:bidi="ar-SA"/>
        </w:rPr>
        <w:t>股东大会（董事会）提议利润分配比例</w:t>
      </w:r>
      <w:r>
        <w:rPr>
          <w:rFonts w:hint="eastAsia" w:ascii="仿宋_GB2312" w:eastAsia="仿宋_GB2312" w:cs="仿宋_GB2312"/>
          <w:sz w:val="32"/>
          <w:szCs w:val="32"/>
          <w:highlight w:val="none"/>
          <w:u w:val="none"/>
          <w:shd w:val="clear" w:color="auto" w:fill="FFFFFF"/>
          <w:lang w:bidi="ar-SA"/>
        </w:rPr>
        <w:t>。国有文化公司参照执行。</w:t>
      </w:r>
      <w:r>
        <w:rPr>
          <w:rFonts w:hint="eastAsia" w:ascii="仿宋_GB2312" w:eastAsia="仿宋_GB2312" w:cs="仿宋_GB2312"/>
          <w:b/>
          <w:sz w:val="32"/>
          <w:highlight w:val="none"/>
          <w:u w:val="none"/>
          <w:lang w:bidi="ar-SA"/>
        </w:rPr>
        <w:t>三是</w:t>
      </w:r>
      <w:r>
        <w:rPr>
          <w:rFonts w:hint="eastAsia" w:ascii="仿宋_GB2312" w:eastAsia="仿宋_GB2312" w:cs="仿宋_GB2312"/>
          <w:sz w:val="32"/>
          <w:highlight w:val="none"/>
          <w:u w:val="none"/>
          <w:lang w:bidi="ar-SA"/>
        </w:rPr>
        <w:t>如年度亏损或实现的净利润不足以弥补以前年度亏损的企业，不收缴利润。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cs="仿宋_GB2312"/>
          <w:sz w:val="32"/>
          <w:highlight w:val="none"/>
          <w:u w:val="none"/>
          <w:lang w:val="zh-CN" w:eastAsia="zh-CN" w:bidi="ar-SA"/>
        </w:rPr>
      </w:pPr>
      <w:r>
        <w:rPr>
          <w:rFonts w:hint="eastAsia" w:ascii="仿宋_GB2312" w:eastAsia="仿宋_GB2312" w:cs="仿宋_GB2312"/>
          <w:sz w:val="32"/>
          <w:highlight w:val="none"/>
          <w:u w:val="none"/>
          <w:lang w:val="zh-CN" w:eastAsia="zh-CN" w:bidi="ar-SA"/>
        </w:rPr>
        <w:t>国有资本经营预算中各直管企业实际上缴利润比例受以下因素影响：</w:t>
      </w:r>
      <w:r>
        <w:rPr>
          <w:rFonts w:hint="eastAsia" w:ascii="仿宋_GB2312" w:eastAsia="仿宋_GB2312" w:cs="仿宋_GB2312"/>
          <w:b/>
          <w:bCs/>
          <w:sz w:val="32"/>
          <w:highlight w:val="none"/>
          <w:u w:val="none"/>
          <w:lang w:val="zh-CN" w:eastAsia="zh-CN" w:bidi="ar-SA"/>
        </w:rPr>
        <w:t>一是</w:t>
      </w:r>
      <w:r>
        <w:rPr>
          <w:rFonts w:hint="eastAsia" w:ascii="仿宋_GB2312" w:eastAsia="仿宋_GB2312" w:cs="仿宋_GB2312"/>
          <w:sz w:val="32"/>
          <w:highlight w:val="none"/>
          <w:u w:val="none"/>
          <w:lang w:val="zh-CN" w:eastAsia="zh-CN" w:bidi="ar-SA"/>
        </w:rPr>
        <w:t>根据《公司法》规定，国有控股公司利润分配由股东大会决议，因此上缴比例存在一定不确定性；</w:t>
      </w:r>
      <w:r>
        <w:rPr>
          <w:rFonts w:hint="eastAsia" w:ascii="仿宋_GB2312" w:eastAsia="仿宋_GB2312" w:cs="仿宋_GB2312"/>
          <w:b/>
          <w:bCs/>
          <w:sz w:val="32"/>
          <w:highlight w:val="none"/>
          <w:u w:val="none"/>
          <w:lang w:val="zh-CN" w:eastAsia="zh-CN" w:bidi="ar-SA"/>
        </w:rPr>
        <w:t>二是</w:t>
      </w:r>
      <w:r>
        <w:rPr>
          <w:rFonts w:hint="eastAsia" w:ascii="仿宋_GB2312" w:eastAsia="仿宋_GB2312" w:cs="仿宋_GB2312"/>
          <w:sz w:val="32"/>
          <w:highlight w:val="none"/>
          <w:u w:val="none"/>
          <w:lang w:val="zh-CN" w:eastAsia="zh-CN" w:bidi="ar-SA"/>
        </w:rPr>
        <w:t>上市公司利润分配方案不得对大股东提前披露，因此上缴比例存在一定不确定性；</w:t>
      </w:r>
      <w:r>
        <w:rPr>
          <w:rFonts w:hint="eastAsia" w:ascii="仿宋_GB2312" w:eastAsia="仿宋_GB2312" w:cs="仿宋_GB2312"/>
          <w:b/>
          <w:bCs/>
          <w:sz w:val="32"/>
          <w:highlight w:val="none"/>
          <w:u w:val="none"/>
          <w:lang w:val="zh-CN" w:eastAsia="zh-CN" w:bidi="ar-SA"/>
        </w:rPr>
        <w:t>三是</w:t>
      </w:r>
      <w:r>
        <w:rPr>
          <w:rFonts w:hint="eastAsia" w:ascii="仿宋_GB2312" w:eastAsia="仿宋_GB2312" w:cs="仿宋_GB2312"/>
          <w:sz w:val="32"/>
          <w:highlight w:val="none"/>
          <w:u w:val="none"/>
          <w:lang w:val="zh-CN" w:eastAsia="zh-CN" w:bidi="ar-SA"/>
        </w:rPr>
        <w:t>为确保完成年度国有资本经营预算收入任务，市国资委将根据国资预算收入任务完成情况，对国有独资企业实际收缴比例进行调整。</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eastAsia="仿宋_GB2312" w:cs="Times New Roman"/>
          <w:sz w:val="32"/>
          <w:szCs w:val="32"/>
          <w:highlight w:val="none"/>
          <w:u w:val="none"/>
          <w:lang w:bidi="ar-SA"/>
        </w:rPr>
      </w:pPr>
      <w:r>
        <w:rPr>
          <w:rFonts w:hint="eastAsia" w:ascii="仿宋_GB2312" w:eastAsia="仿宋_GB2312" w:cs="仿宋_GB2312"/>
          <w:sz w:val="32"/>
          <w:szCs w:val="32"/>
          <w:highlight w:val="none"/>
          <w:u w:val="none"/>
          <w:lang w:bidi="ar-SA"/>
        </w:rPr>
        <w:t>2.前海管理局直属企业。前海管理局直属三家企业</w:t>
      </w:r>
      <w:r>
        <w:rPr>
          <w:rFonts w:hint="eastAsia" w:ascii="仿宋_GB2312" w:eastAsia="仿宋_GB2312" w:cs="仿宋"/>
          <w:sz w:val="32"/>
          <w:szCs w:val="32"/>
          <w:highlight w:val="none"/>
          <w:u w:val="none"/>
          <w:lang w:bidi="ar-SA"/>
        </w:rPr>
        <w:t>主要承担前海开发、建设及产业培育任务，企业正处在发展爬坡期，盈利能力有限，</w:t>
      </w:r>
      <w:r>
        <w:rPr>
          <w:rFonts w:hint="eastAsia" w:ascii="仿宋_GB2312" w:eastAsia="仿宋_GB2312" w:cs="Times New Roman"/>
          <w:sz w:val="32"/>
          <w:szCs w:val="32"/>
          <w:highlight w:val="none"/>
          <w:u w:val="none"/>
          <w:lang w:bidi="ar-SA"/>
        </w:rPr>
        <w:t>拟安排三家企业按归母净利润的9%上缴。</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eastAsia="仿宋_GB2312" w:cs="仿宋_GB2312"/>
          <w:bCs/>
          <w:sz w:val="32"/>
          <w:szCs w:val="32"/>
          <w:highlight w:val="none"/>
          <w:u w:val="none"/>
          <w:lang w:bidi="ar-SA"/>
        </w:rPr>
      </w:pPr>
      <w:r>
        <w:rPr>
          <w:rFonts w:hint="eastAsia" w:ascii="楷体_GB2312" w:eastAsia="楷体_GB2312" w:cs="楷体_GB2312"/>
          <w:bCs/>
          <w:sz w:val="32"/>
          <w:highlight w:val="none"/>
          <w:u w:val="none"/>
          <w:lang w:bidi="ar-SA"/>
        </w:rPr>
        <w:t>（三）总体情况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eastAsia="仿宋_GB2312" w:cs="仿宋_GB2312"/>
          <w:sz w:val="32"/>
          <w:szCs w:val="32"/>
          <w:highlight w:val="none"/>
          <w:u w:val="none"/>
          <w:lang w:bidi="ar-SA"/>
        </w:rPr>
      </w:pPr>
      <w:r>
        <w:rPr>
          <w:rFonts w:hint="eastAsia" w:ascii="仿宋_GB2312" w:eastAsia="仿宋_GB2312" w:cs="仿宋_GB2312"/>
          <w:sz w:val="32"/>
          <w:highlight w:val="none"/>
          <w:u w:val="none"/>
          <w:lang w:bidi="ar-SA"/>
        </w:rPr>
        <w:t>预计2022年国有资本经营预算组织收入83.14亿元（含前海0.31亿元），加上结转收入</w:t>
      </w:r>
      <w:r>
        <w:rPr>
          <w:rFonts w:hint="eastAsia" w:ascii="仿宋_GB2312" w:eastAsia="仿宋_GB2312" w:cs="仿宋_GB2312"/>
          <w:sz w:val="32"/>
          <w:highlight w:val="none"/>
          <w:u w:val="none"/>
          <w:lang w:val="en-US" w:eastAsia="zh-CN" w:bidi="ar-SA"/>
        </w:rPr>
        <w:t>2.05</w:t>
      </w:r>
      <w:r>
        <w:rPr>
          <w:rFonts w:hint="eastAsia" w:ascii="仿宋_GB2312" w:eastAsia="仿宋_GB2312" w:cs="仿宋_GB2312"/>
          <w:sz w:val="32"/>
          <w:highlight w:val="none"/>
          <w:u w:val="none"/>
          <w:lang w:bidi="ar-SA"/>
        </w:rPr>
        <w:t>亿元、上级转移支付收入0.03亿元，总收入合计85.</w:t>
      </w:r>
      <w:r>
        <w:rPr>
          <w:rFonts w:hint="eastAsia" w:ascii="仿宋_GB2312" w:eastAsia="仿宋_GB2312" w:cs="仿宋_GB2312"/>
          <w:sz w:val="32"/>
          <w:highlight w:val="none"/>
          <w:u w:val="none"/>
          <w:lang w:val="en-US" w:eastAsia="zh-CN" w:bidi="ar-SA"/>
        </w:rPr>
        <w:t>2</w:t>
      </w:r>
      <w:r>
        <w:rPr>
          <w:rFonts w:hint="eastAsia" w:ascii="仿宋_GB2312" w:eastAsia="仿宋_GB2312" w:cs="仿宋_GB2312"/>
          <w:sz w:val="32"/>
          <w:highlight w:val="none"/>
          <w:u w:val="none"/>
          <w:lang w:bidi="ar-SA"/>
        </w:rPr>
        <w:t>亿元。</w:t>
      </w:r>
      <w:r>
        <w:rPr>
          <w:rFonts w:hint="eastAsia" w:ascii="仿宋_GB2312" w:eastAsia="仿宋_GB2312" w:cs="仿宋_GB2312"/>
          <w:sz w:val="32"/>
          <w:szCs w:val="32"/>
          <w:highlight w:val="none"/>
          <w:u w:val="none"/>
          <w:lang w:bidi="ar-SA"/>
        </w:rPr>
        <w:t>2022年预算安排本年支出</w:t>
      </w:r>
      <w:r>
        <w:rPr>
          <w:rFonts w:hint="eastAsia" w:ascii="仿宋_GB2312" w:eastAsia="仿宋_GB2312" w:cs="仿宋_GB2312"/>
          <w:sz w:val="32"/>
          <w:highlight w:val="none"/>
          <w:u w:val="none"/>
          <w:lang w:bidi="ar-SA"/>
        </w:rPr>
        <w:t>85.</w:t>
      </w:r>
      <w:r>
        <w:rPr>
          <w:rFonts w:hint="eastAsia" w:ascii="仿宋_GB2312" w:eastAsia="仿宋_GB2312" w:cs="仿宋_GB2312"/>
          <w:sz w:val="32"/>
          <w:highlight w:val="none"/>
          <w:u w:val="none"/>
          <w:lang w:val="en-US" w:eastAsia="zh-CN" w:bidi="ar-SA"/>
        </w:rPr>
        <w:t>2</w:t>
      </w:r>
      <w:r>
        <w:rPr>
          <w:rFonts w:hint="eastAsia" w:ascii="仿宋_GB2312" w:eastAsia="仿宋_GB2312" w:cs="仿宋_GB2312"/>
          <w:sz w:val="32"/>
          <w:highlight w:val="none"/>
          <w:u w:val="none"/>
          <w:lang w:bidi="ar-SA"/>
        </w:rPr>
        <w:t>亿</w:t>
      </w:r>
      <w:r>
        <w:rPr>
          <w:rFonts w:hint="eastAsia" w:ascii="仿宋_GB2312" w:eastAsia="仿宋_GB2312" w:cs="仿宋_GB2312"/>
          <w:sz w:val="32"/>
          <w:szCs w:val="32"/>
          <w:highlight w:val="none"/>
          <w:u w:val="none"/>
          <w:lang w:bidi="ar-SA"/>
        </w:rPr>
        <w:t>元，其中国有资本经营预算支出57.44</w:t>
      </w:r>
      <w:r>
        <w:rPr>
          <w:rFonts w:hint="eastAsia" w:ascii="仿宋_GB2312" w:eastAsia="仿宋_GB2312" w:cs="仿宋_GB2312"/>
          <w:sz w:val="32"/>
          <w:highlight w:val="none"/>
          <w:u w:val="none"/>
          <w:lang w:bidi="ar-SA"/>
        </w:rPr>
        <w:t>亿</w:t>
      </w:r>
      <w:r>
        <w:rPr>
          <w:rFonts w:hint="eastAsia" w:ascii="仿宋_GB2312" w:eastAsia="仿宋_GB2312" w:cs="仿宋_GB2312"/>
          <w:sz w:val="32"/>
          <w:szCs w:val="32"/>
          <w:highlight w:val="none"/>
          <w:u w:val="none"/>
          <w:lang w:bidi="ar-SA"/>
        </w:rPr>
        <w:t>元，调出至一般公共预算27.6</w:t>
      </w:r>
      <w:r>
        <w:rPr>
          <w:rFonts w:hint="eastAsia" w:ascii="仿宋_GB2312" w:eastAsia="仿宋_GB2312" w:cs="仿宋_GB2312"/>
          <w:sz w:val="32"/>
          <w:highlight w:val="none"/>
          <w:u w:val="none"/>
          <w:lang w:bidi="ar-SA"/>
        </w:rPr>
        <w:t>亿</w:t>
      </w:r>
      <w:r>
        <w:rPr>
          <w:rFonts w:hint="eastAsia" w:ascii="仿宋_GB2312" w:eastAsia="仿宋_GB2312" w:cs="仿宋_GB2312"/>
          <w:sz w:val="32"/>
          <w:szCs w:val="32"/>
          <w:highlight w:val="none"/>
          <w:u w:val="none"/>
          <w:lang w:bidi="ar-SA"/>
        </w:rPr>
        <w:t>元，转移支付各区0.03亿元</w:t>
      </w:r>
      <w:r>
        <w:rPr>
          <w:rFonts w:hint="eastAsia" w:ascii="仿宋_GB2312" w:eastAsia="仿宋_GB2312" w:cs="仿宋_GB2312"/>
          <w:sz w:val="32"/>
          <w:szCs w:val="32"/>
          <w:highlight w:val="none"/>
          <w:u w:val="none"/>
          <w:lang w:eastAsia="zh-CN" w:bidi="ar-SA"/>
        </w:rPr>
        <w:t>，结转下年支出</w:t>
      </w:r>
      <w:r>
        <w:rPr>
          <w:rFonts w:hint="eastAsia" w:ascii="仿宋_GB2312" w:eastAsia="仿宋_GB2312" w:cs="仿宋_GB2312"/>
          <w:sz w:val="32"/>
          <w:szCs w:val="32"/>
          <w:highlight w:val="none"/>
          <w:u w:val="none"/>
          <w:lang w:val="en-US" w:eastAsia="zh-CN" w:bidi="ar-SA"/>
        </w:rPr>
        <w:t>0.14亿元</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jc w:val="center"/>
        <w:textAlignment w:val="auto"/>
        <w:rPr>
          <w:rFonts w:hint="eastAsia" w:ascii="黑体" w:eastAsia="黑体" w:cs="黑体"/>
          <w:highlight w:val="none"/>
          <w:u w:val="none"/>
          <w:lang w:bidi="ar-SA"/>
        </w:rPr>
      </w:pPr>
      <w:r>
        <w:rPr>
          <w:rFonts w:hint="eastAsia" w:ascii="黑体" w:eastAsia="黑体" w:cs="黑体"/>
          <w:sz w:val="24"/>
          <w:highlight w:val="none"/>
          <w:u w:val="none"/>
          <w:lang w:bidi="ar-SA"/>
        </w:rPr>
        <w:t>表2：2022年市本级国有资本经营预算总表</w:t>
      </w:r>
    </w:p>
    <w:p>
      <w:pPr>
        <w:keepNext w:val="0"/>
        <w:keepLines w:val="0"/>
        <w:pageBreakBefore w:val="0"/>
        <w:widowControl w:val="0"/>
        <w:kinsoku/>
        <w:wordWrap/>
        <w:overflowPunct/>
        <w:topLinePunct w:val="0"/>
        <w:autoSpaceDE/>
        <w:autoSpaceDN/>
        <w:bidi w:val="0"/>
        <w:adjustRightInd/>
        <w:snapToGrid w:val="0"/>
        <w:spacing w:line="560" w:lineRule="exact"/>
        <w:ind w:right="360" w:firstLine="480" w:firstLineChars="200"/>
        <w:jc w:val="right"/>
        <w:textAlignment w:val="auto"/>
        <w:rPr>
          <w:rFonts w:hint="eastAsia" w:ascii="黑体" w:eastAsia="黑体" w:cs="黑体"/>
          <w:sz w:val="24"/>
          <w:highlight w:val="none"/>
          <w:u w:val="none"/>
          <w:lang w:bidi="ar-SA"/>
        </w:rPr>
      </w:pPr>
      <w:r>
        <w:rPr>
          <w:rFonts w:hint="eastAsia" w:ascii="黑体" w:eastAsia="黑体" w:cs="黑体"/>
          <w:sz w:val="24"/>
          <w:highlight w:val="none"/>
          <w:u w:val="none"/>
          <w:lang w:bidi="ar-SA"/>
        </w:rPr>
        <w:t>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972"/>
        <w:gridCol w:w="933"/>
        <w:gridCol w:w="2409"/>
        <w:gridCol w:w="88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55" w:type="dxa"/>
            <w:gridSpan w:val="3"/>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收  入</w:t>
            </w:r>
          </w:p>
        </w:tc>
        <w:tc>
          <w:tcPr>
            <w:tcW w:w="4152" w:type="dxa"/>
            <w:gridSpan w:val="3"/>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0"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项目</w:t>
            </w:r>
          </w:p>
        </w:tc>
        <w:tc>
          <w:tcPr>
            <w:tcW w:w="972"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2021年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预算数</w:t>
            </w:r>
          </w:p>
        </w:tc>
        <w:tc>
          <w:tcPr>
            <w:tcW w:w="933"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2022年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预算数</w:t>
            </w:r>
          </w:p>
        </w:tc>
        <w:tc>
          <w:tcPr>
            <w:tcW w:w="2409"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项目</w:t>
            </w:r>
          </w:p>
        </w:tc>
        <w:tc>
          <w:tcPr>
            <w:tcW w:w="882"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2021年预算数</w:t>
            </w:r>
          </w:p>
        </w:tc>
        <w:tc>
          <w:tcPr>
            <w:tcW w:w="861"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sz w:val="18"/>
                <w:szCs w:val="18"/>
                <w:highlight w:val="none"/>
                <w:u w:val="none"/>
                <w:lang w:bidi="ar-SA"/>
              </w:rPr>
            </w:pPr>
            <w:r>
              <w:rPr>
                <w:rFonts w:hint="eastAsia" w:ascii="宋体" w:eastAsia="宋体" w:cs="宋体"/>
                <w:b/>
                <w:sz w:val="18"/>
                <w:szCs w:val="18"/>
                <w:highlight w:val="none"/>
                <w:u w:val="none"/>
                <w:lang w:bidi="ar-SA"/>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一、利润收入</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614,205</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698,282</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6"/>
                <w:szCs w:val="16"/>
                <w:highlight w:val="none"/>
                <w:u w:val="none"/>
                <w:lang w:bidi="ar-SA"/>
              </w:rPr>
              <w:t>一、国有资本经营预算支出</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562,420</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574,410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二、股利、股息收入</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221,038</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132,104</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三、产权转让收入</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四、清算收入</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五、其他国有资本经营收入</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500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1,000</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本年收入合计</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835,743</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831,386</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本年支出合计</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562,420</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574,410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六、转移支付收入</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356</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293</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二、转移性支出</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286,522</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val="en-US" w:eastAsia="zh-CN" w:bidi="ar-SA"/>
              </w:rPr>
            </w:pPr>
            <w:r>
              <w:rPr>
                <w:rFonts w:hint="eastAsia" w:ascii="宋体" w:eastAsia="宋体" w:cs="宋体"/>
                <w:sz w:val="18"/>
                <w:szCs w:val="18"/>
                <w:highlight w:val="none"/>
                <w:u w:val="none"/>
                <w:lang w:bidi="ar-SA"/>
              </w:rPr>
              <w:t>276,</w:t>
            </w:r>
            <w:r>
              <w:rPr>
                <w:rFonts w:hint="eastAsia" w:ascii="宋体" w:cs="宋体"/>
                <w:sz w:val="18"/>
                <w:szCs w:val="18"/>
                <w:highlight w:val="none"/>
                <w:u w:val="none"/>
                <w:lang w:val="en-US" w:eastAsia="zh-CN" w:bidi="ar-SA"/>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5"/>
                <w:szCs w:val="15"/>
                <w:highlight w:val="none"/>
                <w:u w:val="none"/>
                <w:lang w:bidi="ar-SA"/>
              </w:rPr>
              <w:t>（一）国有资本经营预算转移支付</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356</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（二）调出资金</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286,166</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val="en-US" w:eastAsia="en-US" w:bidi="ar-SA"/>
              </w:rPr>
            </w:pPr>
            <w:r>
              <w:rPr>
                <w:rFonts w:hint="eastAsia" w:ascii="宋体" w:eastAsia="宋体" w:cs="宋体"/>
                <w:sz w:val="18"/>
                <w:szCs w:val="18"/>
                <w:highlight w:val="none"/>
                <w:u w:val="none"/>
                <w:lang w:bidi="ar-SA"/>
              </w:rPr>
              <w:t>276,0</w:t>
            </w:r>
            <w:r>
              <w:rPr>
                <w:rFonts w:hint="eastAsia" w:ascii="宋体" w:cs="宋体"/>
                <w:sz w:val="18"/>
                <w:szCs w:val="18"/>
                <w:highlight w:val="none"/>
                <w:u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七、上年结转</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12,843</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val="en-US" w:eastAsia="zh-CN" w:bidi="ar-SA"/>
              </w:rPr>
            </w:pPr>
            <w:r>
              <w:rPr>
                <w:rFonts w:hint="eastAsia" w:ascii="宋体" w:cs="宋体"/>
                <w:sz w:val="18"/>
                <w:szCs w:val="18"/>
                <w:highlight w:val="none"/>
                <w:u w:val="none"/>
                <w:lang w:val="en-US" w:eastAsia="zh-CN" w:bidi="ar-SA"/>
              </w:rPr>
              <w:t>20,471</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三、结转下年</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bidi="ar-SA"/>
              </w:rPr>
            </w:pPr>
            <w:r>
              <w:rPr>
                <w:rFonts w:hint="eastAsia" w:ascii="宋体" w:eastAsia="宋体" w:cs="宋体"/>
                <w:sz w:val="18"/>
                <w:szCs w:val="18"/>
                <w:highlight w:val="none"/>
                <w:u w:val="none"/>
                <w:lang w:bidi="ar-SA"/>
              </w:rPr>
              <w:t>0</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sz w:val="18"/>
                <w:szCs w:val="18"/>
                <w:highlight w:val="none"/>
                <w:u w:val="none"/>
                <w:lang w:val="en-US" w:eastAsia="zh-CN" w:bidi="ar-SA"/>
              </w:rPr>
            </w:pPr>
            <w:r>
              <w:rPr>
                <w:rFonts w:hint="eastAsia" w:ascii="宋体" w:cs="宋体"/>
                <w:sz w:val="18"/>
                <w:szCs w:val="18"/>
                <w:highlight w:val="none"/>
                <w:u w:val="none"/>
                <w:lang w:val="en-US" w:eastAsia="zh-CN" w:bidi="ar-SA"/>
              </w:rPr>
              <w:t>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总  计</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848,942</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val="en-US" w:eastAsia="zh-CN" w:bidi="ar-SA"/>
              </w:rPr>
            </w:pPr>
            <w:r>
              <w:rPr>
                <w:rFonts w:hint="eastAsia" w:ascii="宋体" w:eastAsia="宋体" w:cs="宋体"/>
                <w:b/>
                <w:bCs/>
                <w:sz w:val="18"/>
                <w:szCs w:val="18"/>
                <w:highlight w:val="none"/>
                <w:u w:val="none"/>
                <w:lang w:bidi="ar-SA"/>
              </w:rPr>
              <w:t>85</w:t>
            </w:r>
            <w:r>
              <w:rPr>
                <w:rFonts w:hint="eastAsia" w:ascii="宋体" w:cs="宋体"/>
                <w:b/>
                <w:bCs/>
                <w:sz w:val="18"/>
                <w:szCs w:val="18"/>
                <w:highlight w:val="none"/>
                <w:u w:val="none"/>
                <w:lang w:val="en-US" w:eastAsia="zh-CN" w:bidi="ar-SA"/>
              </w:rPr>
              <w:t>2</w:t>
            </w:r>
            <w:r>
              <w:rPr>
                <w:rFonts w:hint="eastAsia" w:ascii="宋体" w:eastAsia="宋体" w:cs="宋体"/>
                <w:b/>
                <w:bCs/>
                <w:sz w:val="18"/>
                <w:szCs w:val="18"/>
                <w:highlight w:val="none"/>
                <w:u w:val="none"/>
                <w:lang w:bidi="ar-SA"/>
              </w:rPr>
              <w:t>,</w:t>
            </w:r>
            <w:r>
              <w:rPr>
                <w:rFonts w:hint="eastAsia" w:ascii="宋体" w:cs="宋体"/>
                <w:b/>
                <w:bCs/>
                <w:sz w:val="18"/>
                <w:szCs w:val="18"/>
                <w:highlight w:val="none"/>
                <w:u w:val="none"/>
                <w:lang w:val="en-US" w:eastAsia="zh-CN" w:bidi="ar-SA"/>
              </w:rPr>
              <w:t>150</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总  计</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bidi="ar-SA"/>
              </w:rPr>
            </w:pPr>
            <w:r>
              <w:rPr>
                <w:rFonts w:hint="eastAsia" w:ascii="宋体" w:eastAsia="宋体" w:cs="宋体"/>
                <w:b/>
                <w:bCs/>
                <w:sz w:val="18"/>
                <w:szCs w:val="18"/>
                <w:highlight w:val="none"/>
                <w:u w:val="none"/>
                <w:lang w:bidi="ar-SA"/>
              </w:rPr>
              <w:t>848,942</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eastAsia="宋体" w:cs="宋体"/>
                <w:b/>
                <w:bCs/>
                <w:sz w:val="18"/>
                <w:szCs w:val="18"/>
                <w:highlight w:val="none"/>
                <w:u w:val="none"/>
                <w:lang w:val="en-US" w:eastAsia="zh-CN" w:bidi="ar-SA"/>
              </w:rPr>
            </w:pPr>
            <w:r>
              <w:rPr>
                <w:rFonts w:hint="eastAsia" w:ascii="宋体" w:eastAsia="宋体" w:cs="宋体"/>
                <w:b/>
                <w:bCs/>
                <w:sz w:val="18"/>
                <w:szCs w:val="18"/>
                <w:highlight w:val="none"/>
                <w:u w:val="none"/>
                <w:lang w:bidi="ar-SA"/>
              </w:rPr>
              <w:t>85</w:t>
            </w:r>
            <w:r>
              <w:rPr>
                <w:rFonts w:hint="eastAsia" w:ascii="宋体" w:cs="宋体"/>
                <w:b/>
                <w:bCs/>
                <w:sz w:val="18"/>
                <w:szCs w:val="18"/>
                <w:highlight w:val="none"/>
                <w:u w:val="none"/>
                <w:lang w:val="en-US" w:eastAsia="zh-CN" w:bidi="ar-SA"/>
              </w:rPr>
              <w:t>2</w:t>
            </w:r>
            <w:r>
              <w:rPr>
                <w:rFonts w:hint="eastAsia" w:ascii="宋体" w:eastAsia="宋体" w:cs="宋体"/>
                <w:b/>
                <w:bCs/>
                <w:sz w:val="18"/>
                <w:szCs w:val="18"/>
                <w:highlight w:val="none"/>
                <w:u w:val="none"/>
                <w:lang w:bidi="ar-SA"/>
              </w:rPr>
              <w:t>,</w:t>
            </w:r>
            <w:r>
              <w:rPr>
                <w:rFonts w:hint="eastAsia" w:ascii="宋体" w:cs="宋体"/>
                <w:b/>
                <w:bCs/>
                <w:sz w:val="18"/>
                <w:szCs w:val="18"/>
                <w:highlight w:val="none"/>
                <w:u w:val="none"/>
                <w:lang w:val="en-US" w:eastAsia="zh-CN" w:bidi="ar-SA"/>
              </w:rPr>
              <w:t>150</w:t>
            </w:r>
          </w:p>
        </w:tc>
      </w:tr>
    </w:tbl>
    <w:p>
      <w:pPr>
        <w:keepNext w:val="0"/>
        <w:keepLines w:val="0"/>
        <w:pageBreakBefore w:val="0"/>
        <w:widowControl w:val="0"/>
        <w:kinsoku/>
        <w:wordWrap/>
        <w:overflowPunct/>
        <w:topLinePunct w:val="0"/>
        <w:autoSpaceDE/>
        <w:autoSpaceDN/>
        <w:bidi w:val="0"/>
        <w:snapToGrid w:val="0"/>
        <w:spacing w:after="0" w:line="579" w:lineRule="exact"/>
        <w:ind w:firstLine="640" w:firstLineChars="200"/>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二、收入预算</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640" w:firstLineChars="200"/>
        <w:textAlignment w:val="auto"/>
        <w:rPr>
          <w:rFonts w:hint="eastAsia" w:ascii="黑体" w:eastAsia="黑体" w:cs="黑体"/>
          <w:sz w:val="32"/>
          <w:szCs w:val="32"/>
          <w:highlight w:val="none"/>
          <w:u w:val="none"/>
          <w:lang w:bidi="ar-SA"/>
        </w:rPr>
      </w:pPr>
      <w:r>
        <w:rPr>
          <w:rFonts w:hint="eastAsia" w:ascii="仿宋_GB2312" w:eastAsia="仿宋_GB2312" w:cs="仿宋_GB2312"/>
          <w:sz w:val="32"/>
          <w:highlight w:val="none"/>
          <w:u w:val="none"/>
          <w:lang w:bidi="ar-SA"/>
        </w:rPr>
        <w:t>按照公司法等相关规定，</w:t>
      </w:r>
      <w:r>
        <w:rPr>
          <w:rFonts w:hint="eastAsia" w:ascii="仿宋_GB2312" w:eastAsia="仿宋_GB2312" w:cs="仿宋_GB2312"/>
          <w:sz w:val="32"/>
          <w:szCs w:val="32"/>
          <w:highlight w:val="none"/>
          <w:u w:val="none"/>
          <w:shd w:val="clear" w:color="auto" w:fill="FFFFFF"/>
          <w:lang w:bidi="ar-SA"/>
        </w:rPr>
        <w:t>以</w:t>
      </w:r>
      <w:r>
        <w:rPr>
          <w:rFonts w:hint="eastAsia" w:ascii="仿宋_GB2312" w:eastAsia="仿宋_GB2312" w:cs="仿宋_GB2312"/>
          <w:sz w:val="32"/>
          <w:szCs w:val="32"/>
          <w:highlight w:val="none"/>
          <w:u w:val="none"/>
          <w:lang w:bidi="ar-SA"/>
        </w:rPr>
        <w:t>扣除法定公积金和盈余公积金后的合并报表归属母公司净利润为分配基础，</w:t>
      </w:r>
      <w:r>
        <w:rPr>
          <w:rFonts w:hint="eastAsia" w:ascii="仿宋_GB2312" w:eastAsia="仿宋_GB2312" w:cs="仿宋_GB2312"/>
          <w:sz w:val="32"/>
          <w:highlight w:val="none"/>
          <w:u w:val="none"/>
          <w:lang w:bidi="ar-SA"/>
        </w:rPr>
        <w:t>预计2022年可组织国有资本经营预算收入83.14亿元（</w:t>
      </w:r>
      <w:r>
        <w:rPr>
          <w:rFonts w:hint="eastAsia" w:ascii="仿宋_GB2312" w:eastAsia="仿宋_GB2312" w:cs="仿宋_GB2312"/>
          <w:sz w:val="32"/>
          <w:highlight w:val="none"/>
          <w:u w:val="none"/>
          <w:lang w:eastAsia="zh-CN" w:bidi="ar-SA"/>
        </w:rPr>
        <w:t>含</w:t>
      </w:r>
      <w:r>
        <w:rPr>
          <w:rFonts w:hint="eastAsia" w:ascii="仿宋_GB2312" w:eastAsia="仿宋_GB2312" w:cs="仿宋_GB2312"/>
          <w:sz w:val="32"/>
          <w:highlight w:val="none"/>
          <w:u w:val="none"/>
          <w:lang w:bidi="ar-SA"/>
        </w:rPr>
        <w:t>前海0.31亿元），加上结转收入</w:t>
      </w:r>
      <w:r>
        <w:rPr>
          <w:rFonts w:hint="eastAsia" w:ascii="仿宋_GB2312" w:eastAsia="仿宋_GB2312" w:cs="仿宋_GB2312"/>
          <w:sz w:val="32"/>
          <w:highlight w:val="none"/>
          <w:u w:val="none"/>
          <w:lang w:val="en-US" w:eastAsia="zh-CN" w:bidi="ar-SA"/>
        </w:rPr>
        <w:t>2.05</w:t>
      </w:r>
      <w:r>
        <w:rPr>
          <w:rFonts w:hint="eastAsia" w:ascii="仿宋_GB2312" w:eastAsia="仿宋_GB2312" w:cs="仿宋_GB2312"/>
          <w:sz w:val="32"/>
          <w:highlight w:val="none"/>
          <w:u w:val="none"/>
          <w:lang w:bidi="ar-SA"/>
        </w:rPr>
        <w:t>亿元和转移支付收入0.03亿元，总收入85.</w:t>
      </w:r>
      <w:r>
        <w:rPr>
          <w:rFonts w:hint="eastAsia" w:ascii="仿宋_GB2312" w:eastAsia="仿宋_GB2312" w:cs="仿宋_GB2312"/>
          <w:sz w:val="32"/>
          <w:highlight w:val="none"/>
          <w:u w:val="none"/>
          <w:lang w:val="en-US" w:eastAsia="zh-CN" w:bidi="ar-SA"/>
        </w:rPr>
        <w:t>2</w:t>
      </w:r>
      <w:r>
        <w:rPr>
          <w:rFonts w:hint="eastAsia" w:ascii="仿宋_GB2312" w:eastAsia="仿宋_GB2312" w:cs="仿宋_GB2312"/>
          <w:sz w:val="32"/>
          <w:highlight w:val="none"/>
          <w:u w:val="none"/>
          <w:lang w:bidi="ar-SA"/>
        </w:rPr>
        <w:t>亿元。</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640" w:firstLineChars="200"/>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三、支出预算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eastAsia="仿宋_GB2312" w:cs="仿宋_GB2312"/>
          <w:sz w:val="32"/>
          <w:szCs w:val="32"/>
          <w:highlight w:val="none"/>
          <w:u w:val="none"/>
          <w:lang w:eastAsia="zh-CN" w:bidi="ar-SA"/>
        </w:rPr>
      </w:pPr>
      <w:r>
        <w:rPr>
          <w:rFonts w:hint="eastAsia" w:ascii="仿宋_GB2312" w:eastAsia="仿宋_GB2312" w:cs="仿宋_GB2312"/>
          <w:sz w:val="32"/>
          <w:szCs w:val="32"/>
          <w:highlight w:val="none"/>
          <w:u w:val="none"/>
          <w:lang w:bidi="ar-SA"/>
        </w:rPr>
        <w:t>根据收支平衡、不列赤字的原则，</w:t>
      </w:r>
      <w:r>
        <w:rPr>
          <w:rFonts w:hint="eastAsia" w:ascii="仿宋_GB2312" w:eastAsia="仿宋_GB2312" w:cs="仿宋_GB2312"/>
          <w:sz w:val="32"/>
          <w:szCs w:val="32"/>
          <w:highlight w:val="none"/>
          <w:u w:val="none"/>
          <w:lang w:eastAsia="zh-CN" w:bidi="ar-SA"/>
        </w:rPr>
        <w:t>安排总</w:t>
      </w:r>
      <w:r>
        <w:rPr>
          <w:rFonts w:hint="eastAsia" w:ascii="仿宋_GB2312" w:eastAsia="仿宋_GB2312" w:cs="仿宋_GB2312"/>
          <w:sz w:val="32"/>
          <w:szCs w:val="32"/>
          <w:highlight w:val="none"/>
          <w:u w:val="none"/>
          <w:lang w:bidi="ar-SA"/>
        </w:rPr>
        <w:t>支出85.</w:t>
      </w:r>
      <w:r>
        <w:rPr>
          <w:rFonts w:hint="eastAsia" w:ascii="仿宋_GB2312" w:eastAsia="仿宋_GB2312" w:cs="仿宋_GB2312"/>
          <w:sz w:val="32"/>
          <w:szCs w:val="32"/>
          <w:highlight w:val="none"/>
          <w:u w:val="none"/>
          <w:lang w:val="en-US" w:eastAsia="zh-CN" w:bidi="ar-SA"/>
        </w:rPr>
        <w:t>2</w:t>
      </w:r>
      <w:r>
        <w:rPr>
          <w:rFonts w:hint="eastAsia" w:ascii="仿宋_GB2312" w:eastAsia="仿宋_GB2312" w:cs="仿宋_GB2312"/>
          <w:sz w:val="32"/>
          <w:szCs w:val="32"/>
          <w:highlight w:val="none"/>
          <w:u w:val="none"/>
          <w:lang w:bidi="ar-SA"/>
        </w:rPr>
        <w:t>亿元，包括国有资本经营预算支出57.44亿元，调出至一般公共预算27.6亿元（含前海0.31亿元），对区转移支付0.03亿元</w:t>
      </w:r>
      <w:r>
        <w:rPr>
          <w:rFonts w:hint="eastAsia" w:ascii="仿宋_GB2312" w:eastAsia="仿宋_GB2312" w:cs="仿宋_GB2312"/>
          <w:sz w:val="32"/>
          <w:szCs w:val="32"/>
          <w:highlight w:val="none"/>
          <w:u w:val="none"/>
          <w:lang w:eastAsia="zh-CN" w:bidi="ar-SA"/>
        </w:rPr>
        <w:t>，结转下年支出</w:t>
      </w:r>
      <w:r>
        <w:rPr>
          <w:rFonts w:hint="eastAsia" w:ascii="仿宋_GB2312" w:eastAsia="仿宋_GB2312" w:cs="仿宋_GB2312"/>
          <w:sz w:val="32"/>
          <w:szCs w:val="32"/>
          <w:highlight w:val="none"/>
          <w:u w:val="none"/>
          <w:lang w:val="en-US" w:eastAsia="zh-CN" w:bidi="ar-SA"/>
        </w:rPr>
        <w:t>0.14亿元</w:t>
      </w:r>
      <w:r>
        <w:rPr>
          <w:rFonts w:hint="eastAsia" w:ascii="仿宋_GB2312" w:eastAsia="仿宋_GB2312" w:cs="仿宋_GB2312"/>
          <w:sz w:val="32"/>
          <w:szCs w:val="32"/>
          <w:highlight w:val="none"/>
          <w:u w:val="none"/>
          <w:lang w:bidi="ar-SA"/>
        </w:rPr>
        <w:t>。</w:t>
      </w:r>
      <w:r>
        <w:rPr>
          <w:rFonts w:hint="eastAsia" w:ascii="仿宋_GB2312" w:eastAsia="仿宋_GB2312" w:cs="仿宋_GB2312"/>
          <w:sz w:val="32"/>
          <w:szCs w:val="32"/>
          <w:highlight w:val="none"/>
          <w:u w:val="none"/>
          <w:lang w:eastAsia="zh-CN" w:bidi="ar-SA"/>
        </w:rPr>
        <w:t>其中：</w:t>
      </w:r>
    </w:p>
    <w:p>
      <w:pPr>
        <w:keepNext w:val="0"/>
        <w:keepLines w:val="0"/>
        <w:pageBreakBefore w:val="0"/>
        <w:widowControl/>
        <w:kinsoku/>
        <w:wordWrap/>
        <w:overflowPunct/>
        <w:topLinePunct w:val="0"/>
        <w:autoSpaceDE/>
        <w:autoSpaceDN/>
        <w:bidi w:val="0"/>
        <w:snapToGrid w:val="0"/>
        <w:spacing w:after="0" w:line="579" w:lineRule="exact"/>
        <w:ind w:firstLine="640" w:firstLineChars="200"/>
        <w:textAlignment w:val="auto"/>
        <w:rPr>
          <w:rFonts w:hint="eastAsia" w:ascii="楷体_GB2312" w:eastAsia="楷体_GB2312" w:cs="楷体_GB2312"/>
          <w:bCs/>
          <w:sz w:val="32"/>
          <w:highlight w:val="none"/>
          <w:u w:val="none"/>
          <w:lang w:bidi="ar-SA"/>
        </w:rPr>
      </w:pPr>
      <w:r>
        <w:rPr>
          <w:rFonts w:hint="eastAsia" w:ascii="楷体_GB2312" w:eastAsia="楷体_GB2312" w:cs="楷体_GB2312"/>
          <w:bCs/>
          <w:sz w:val="32"/>
          <w:highlight w:val="none"/>
          <w:u w:val="none"/>
          <w:lang w:bidi="ar-SA"/>
        </w:rPr>
        <w:t>（一）国有资本经营预算支出57.44亿元</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643" w:firstLineChars="200"/>
        <w:textAlignment w:val="auto"/>
        <w:rPr>
          <w:rFonts w:hint="eastAsia" w:ascii="仿宋_GB2312" w:eastAsia="仿宋_GB2312" w:cs="仿宋_GB2312"/>
          <w:sz w:val="32"/>
          <w:szCs w:val="32"/>
          <w:highlight w:val="none"/>
          <w:u w:val="none"/>
          <w:lang w:bidi="ar"/>
        </w:rPr>
      </w:pPr>
      <w:r>
        <w:rPr>
          <w:rFonts w:hint="eastAsia" w:ascii="仿宋_GB2312" w:eastAsia="仿宋_GB2312" w:cs="仿宋_GB2312"/>
          <w:b/>
          <w:sz w:val="32"/>
          <w:szCs w:val="32"/>
          <w:highlight w:val="none"/>
          <w:u w:val="none"/>
          <w:lang w:bidi="ar-SA"/>
        </w:rPr>
        <w:t>1.国有企业资本金注入54.5亿元。</w:t>
      </w:r>
      <w:r>
        <w:rPr>
          <w:rFonts w:hint="eastAsia" w:ascii="仿宋_GB2312" w:eastAsia="仿宋_GB2312" w:cs="仿宋_GB2312"/>
          <w:sz w:val="32"/>
          <w:szCs w:val="32"/>
          <w:highlight w:val="none"/>
          <w:u w:val="none"/>
          <w:lang w:bidi="ar"/>
        </w:rPr>
        <w:t>重点用于优化深圳国资产业布局，</w:t>
      </w:r>
      <w:r>
        <w:rPr>
          <w:rFonts w:hint="eastAsia" w:ascii="仿宋_GB2312" w:eastAsia="仿宋_GB2312" w:cs="仿宋_GB2312"/>
          <w:sz w:val="32"/>
          <w:szCs w:val="32"/>
          <w:highlight w:val="none"/>
          <w:u w:val="none"/>
          <w:lang w:val="en-US" w:eastAsia="zh-CN" w:bidi="ar"/>
        </w:rPr>
        <w:t>放大和拓展国有资本功能，</w:t>
      </w:r>
      <w:r>
        <w:rPr>
          <w:rFonts w:hint="eastAsia" w:ascii="仿宋_GB2312" w:eastAsia="仿宋_GB2312" w:cs="仿宋_GB2312"/>
          <w:sz w:val="32"/>
          <w:szCs w:val="32"/>
          <w:highlight w:val="none"/>
          <w:u w:val="none"/>
          <w:lang w:bidi="ar"/>
        </w:rPr>
        <w:t>引导和推动市属国企在城市民生保障、城市建设等板块的投资布局，支持市属国企科技创新。</w:t>
      </w:r>
    </w:p>
    <w:p>
      <w:pPr>
        <w:keepNext w:val="0"/>
        <w:keepLines w:val="0"/>
        <w:pageBreakBefore w:val="0"/>
        <w:widowControl w:val="0"/>
        <w:kinsoku/>
        <w:wordWrap/>
        <w:overflowPunct/>
        <w:topLinePunct w:val="0"/>
        <w:autoSpaceDE/>
        <w:autoSpaceDN/>
        <w:bidi w:val="0"/>
        <w:snapToGrid w:val="0"/>
        <w:spacing w:after="0" w:line="579" w:lineRule="exact"/>
        <w:ind w:left="0" w:firstLine="640" w:firstLineChars="200"/>
        <w:textAlignment w:val="auto"/>
        <w:rPr>
          <w:rFonts w:hint="eastAsia" w:ascii="仿宋_GB2312" w:eastAsia="仿宋_GB2312" w:cs="仿宋_GB2312"/>
          <w:kern w:val="2"/>
          <w:sz w:val="32"/>
          <w:szCs w:val="32"/>
          <w:highlight w:val="none"/>
          <w:u w:val="none"/>
          <w:lang w:val="en-US" w:eastAsia="zh-CN" w:bidi="ar"/>
        </w:rPr>
      </w:pPr>
      <w:r>
        <w:rPr>
          <w:rFonts w:hint="eastAsia" w:ascii="仿宋_GB2312" w:eastAsia="仿宋_GB2312" w:cs="仿宋_GB2312"/>
          <w:kern w:val="2"/>
          <w:sz w:val="32"/>
          <w:szCs w:val="32"/>
          <w:highlight w:val="none"/>
          <w:u w:val="none"/>
          <w:lang w:val="en-US" w:eastAsia="zh-CN" w:bidi="ar"/>
        </w:rPr>
        <w:t>（1）安排17亿元投向关键基础设施领域，</w:t>
      </w:r>
      <w:r>
        <w:rPr>
          <w:rFonts w:hint="eastAsia" w:ascii="仿宋_GB2312" w:eastAsia="仿宋_GB2312" w:cs="仿宋_GB2312"/>
          <w:color w:val="auto"/>
          <w:kern w:val="2"/>
          <w:sz w:val="32"/>
          <w:szCs w:val="32"/>
          <w:highlight w:val="none"/>
          <w:u w:val="none"/>
          <w:lang w:val="en-US" w:eastAsia="zh-CN" w:bidi="ar"/>
        </w:rPr>
        <w:t>补链强链增强产业韧性</w:t>
      </w:r>
      <w:r>
        <w:rPr>
          <w:rFonts w:hint="eastAsia" w:ascii="仿宋_GB2312" w:eastAsia="仿宋_GB2312" w:cs="仿宋_GB2312"/>
          <w:kern w:val="2"/>
          <w:sz w:val="32"/>
          <w:szCs w:val="32"/>
          <w:highlight w:val="none"/>
          <w:u w:val="none"/>
          <w:lang w:val="en-US" w:eastAsia="zh-CN" w:bidi="ar"/>
        </w:rPr>
        <w:t>。</w:t>
      </w:r>
      <w:r>
        <w:rPr>
          <w:rFonts w:hint="eastAsia" w:ascii="仿宋_GB2312" w:eastAsia="仿宋_GB2312" w:cs="仿宋_GB2312"/>
          <w:b/>
          <w:bCs/>
          <w:kern w:val="2"/>
          <w:sz w:val="32"/>
          <w:szCs w:val="32"/>
          <w:highlight w:val="none"/>
          <w:u w:val="none"/>
          <w:lang w:val="en-US" w:eastAsia="zh-CN" w:bidi="ar"/>
        </w:rPr>
        <w:t>一是</w:t>
      </w:r>
      <w:r>
        <w:rPr>
          <w:rFonts w:hint="eastAsia" w:ascii="仿宋_GB2312" w:eastAsia="仿宋_GB2312" w:cs="仿宋_GB2312"/>
          <w:kern w:val="2"/>
          <w:sz w:val="32"/>
          <w:szCs w:val="32"/>
          <w:highlight w:val="none"/>
          <w:u w:val="none"/>
          <w:lang w:val="en-US" w:eastAsia="zh-CN" w:bidi="ar"/>
        </w:rPr>
        <w:t>安排4亿元</w:t>
      </w:r>
      <w:r>
        <w:rPr>
          <w:rFonts w:hint="eastAsia" w:ascii="仿宋_GB2312" w:eastAsia="仿宋_GB2312" w:cs="仿宋"/>
          <w:sz w:val="32"/>
          <w:szCs w:val="32"/>
          <w:highlight w:val="none"/>
          <w:u w:val="none"/>
          <w:lang w:bidi="ar"/>
        </w:rPr>
        <w:t>注资环水集团，提升深圳城市水务、水环境综合治理能力。</w:t>
      </w:r>
      <w:r>
        <w:rPr>
          <w:rFonts w:hint="eastAsia" w:ascii="仿宋_GB2312" w:eastAsia="仿宋_GB2312" w:cs="仿宋"/>
          <w:b/>
          <w:bCs/>
          <w:sz w:val="32"/>
          <w:szCs w:val="32"/>
          <w:highlight w:val="none"/>
          <w:u w:val="none"/>
          <w:lang w:val="en-US" w:eastAsia="zh-CN" w:bidi="ar"/>
        </w:rPr>
        <w:t>二是</w:t>
      </w:r>
      <w:r>
        <w:rPr>
          <w:rFonts w:hint="eastAsia" w:ascii="仿宋_GB2312" w:eastAsia="仿宋_GB2312" w:cs="仿宋"/>
          <w:sz w:val="32"/>
          <w:szCs w:val="32"/>
          <w:highlight w:val="none"/>
          <w:u w:val="none"/>
          <w:lang w:val="en-US" w:eastAsia="zh-CN" w:bidi="ar"/>
        </w:rPr>
        <w:t>安排</w:t>
      </w:r>
      <w:r>
        <w:rPr>
          <w:rFonts w:hint="eastAsia" w:ascii="仿宋_GB2312" w:eastAsia="仿宋_GB2312" w:cs="仿宋_GB2312"/>
          <w:kern w:val="2"/>
          <w:sz w:val="32"/>
          <w:szCs w:val="32"/>
          <w:highlight w:val="none"/>
          <w:u w:val="none"/>
          <w:lang w:val="en-US" w:eastAsia="zh-CN" w:bidi="ar"/>
        </w:rPr>
        <w:t>4亿元</w:t>
      </w:r>
      <w:r>
        <w:rPr>
          <w:rFonts w:hint="eastAsia" w:ascii="仿宋_GB2312" w:eastAsia="仿宋_GB2312" w:cs="仿宋"/>
          <w:sz w:val="32"/>
          <w:szCs w:val="32"/>
          <w:highlight w:val="none"/>
          <w:u w:val="none"/>
          <w:lang w:bidi="ar"/>
        </w:rPr>
        <w:t>注资</w:t>
      </w:r>
      <w:r>
        <w:rPr>
          <w:rFonts w:hint="eastAsia" w:ascii="仿宋_GB2312" w:eastAsia="仿宋_GB2312" w:cs="仿宋"/>
          <w:sz w:val="32"/>
          <w:szCs w:val="32"/>
          <w:highlight w:val="none"/>
          <w:u w:val="none"/>
          <w:lang w:val="en-US" w:eastAsia="zh-CN" w:bidi="ar"/>
        </w:rPr>
        <w:t>智城</w:t>
      </w:r>
      <w:bookmarkStart w:id="0" w:name="_GoBack"/>
      <w:bookmarkEnd w:id="0"/>
      <w:r>
        <w:rPr>
          <w:rFonts w:hint="eastAsia" w:ascii="仿宋_GB2312" w:eastAsia="仿宋_GB2312" w:cs="仿宋"/>
          <w:sz w:val="32"/>
          <w:szCs w:val="32"/>
          <w:highlight w:val="none"/>
          <w:u w:val="none"/>
          <w:lang w:bidi="ar"/>
        </w:rPr>
        <w:t>集团</w:t>
      </w:r>
      <w:r>
        <w:rPr>
          <w:rFonts w:hint="eastAsia" w:ascii="仿宋_GB2312" w:eastAsia="仿宋_GB2312" w:cs="仿宋"/>
          <w:sz w:val="32"/>
          <w:szCs w:val="32"/>
          <w:highlight w:val="none"/>
          <w:u w:val="none"/>
          <w:lang w:eastAsia="zh-CN" w:bidi="ar"/>
        </w:rPr>
        <w:t>，贯彻落实市委、市政府关于建设全球数字先锋城市战略部署，发挥“智慧城市赋能新平台”功能作用，有力承接数字孪生城市底座平台、“一网统管”等全市重点工作。</w:t>
      </w:r>
      <w:r>
        <w:rPr>
          <w:rFonts w:hint="eastAsia" w:ascii="仿宋_GB2312" w:eastAsia="仿宋_GB2312" w:cs="仿宋"/>
          <w:b/>
          <w:bCs/>
          <w:sz w:val="32"/>
          <w:szCs w:val="32"/>
          <w:highlight w:val="none"/>
          <w:u w:val="none"/>
          <w:lang w:val="en-US" w:eastAsia="zh-CN" w:bidi="ar"/>
        </w:rPr>
        <w:t>三是</w:t>
      </w:r>
      <w:r>
        <w:rPr>
          <w:rFonts w:hint="eastAsia" w:ascii="仿宋_GB2312" w:eastAsia="仿宋_GB2312" w:cs="仿宋"/>
          <w:sz w:val="32"/>
          <w:szCs w:val="32"/>
          <w:highlight w:val="none"/>
          <w:u w:val="none"/>
          <w:lang w:val="en-US" w:eastAsia="zh-CN" w:bidi="ar"/>
        </w:rPr>
        <w:t>安排3亿元注资食品物资集团</w:t>
      </w:r>
      <w:r>
        <w:rPr>
          <w:rFonts w:hint="eastAsia" w:ascii="仿宋_GB2312" w:eastAsia="仿宋_GB2312" w:cs="仿宋"/>
          <w:sz w:val="32"/>
          <w:szCs w:val="32"/>
          <w:highlight w:val="none"/>
          <w:u w:val="none"/>
          <w:lang w:val="en-US" w:eastAsia="zh-CN" w:bidi="ar-SA"/>
        </w:rPr>
        <w:t>，打造与深圳城市地位相匹配的综合性食品安全和应急物资供应与服务平台，提升应急物资生产、储备及轮换能力。</w:t>
      </w:r>
      <w:r>
        <w:rPr>
          <w:rFonts w:hint="eastAsia" w:ascii="仿宋_GB2312" w:eastAsia="仿宋_GB2312" w:cs="仿宋"/>
          <w:b/>
          <w:bCs/>
          <w:sz w:val="32"/>
          <w:szCs w:val="32"/>
          <w:highlight w:val="none"/>
          <w:u w:val="none"/>
          <w:lang w:val="en-US" w:eastAsia="zh-CN" w:bidi="ar-SA"/>
        </w:rPr>
        <w:t>四是</w:t>
      </w:r>
      <w:r>
        <w:rPr>
          <w:rFonts w:hint="eastAsia" w:ascii="仿宋_GB2312" w:eastAsia="仿宋_GB2312" w:cs="仿宋"/>
          <w:sz w:val="32"/>
          <w:szCs w:val="32"/>
          <w:highlight w:val="none"/>
          <w:u w:val="none"/>
          <w:lang w:val="en-US" w:eastAsia="zh-CN" w:bidi="ar-SA"/>
        </w:rPr>
        <w:t>安排4亿元注资盐田港集团，增强深圳国际航运综合服务能力，打造盐田国际航运枢纽，提升港口发展能级，建设绿色、智慧码头。</w:t>
      </w:r>
      <w:r>
        <w:rPr>
          <w:rFonts w:hint="eastAsia" w:ascii="仿宋_GB2312" w:eastAsia="仿宋_GB2312" w:cs="仿宋"/>
          <w:b/>
          <w:bCs/>
          <w:sz w:val="32"/>
          <w:szCs w:val="32"/>
          <w:highlight w:val="none"/>
          <w:u w:val="none"/>
          <w:lang w:val="en-US" w:eastAsia="zh-CN" w:bidi="ar-SA"/>
        </w:rPr>
        <w:t>五是</w:t>
      </w:r>
      <w:r>
        <w:rPr>
          <w:rFonts w:hint="eastAsia" w:ascii="仿宋_GB2312" w:eastAsia="仿宋_GB2312" w:cs="仿宋"/>
          <w:sz w:val="32"/>
          <w:szCs w:val="32"/>
          <w:highlight w:val="none"/>
          <w:u w:val="none"/>
          <w:lang w:val="en-US" w:eastAsia="zh-CN" w:bidi="ar-SA"/>
        </w:rPr>
        <w:t>安排2亿元注资重投集团，围绕关键技术攻关及国</w:t>
      </w:r>
      <w:r>
        <w:rPr>
          <w:rFonts w:hint="eastAsia" w:ascii="仿宋_GB2312" w:eastAsia="仿宋_GB2312" w:cs="仿宋_GB2312"/>
          <w:kern w:val="2"/>
          <w:sz w:val="32"/>
          <w:szCs w:val="32"/>
          <w:highlight w:val="none"/>
          <w:u w:val="none"/>
          <w:lang w:val="en-US" w:eastAsia="zh-CN" w:bidi="ar"/>
        </w:rPr>
        <w:t>家重大战略任务，加大战略性新兴产业集群精准布局力度。</w:t>
      </w:r>
    </w:p>
    <w:p>
      <w:pPr>
        <w:keepNext w:val="0"/>
        <w:keepLines w:val="0"/>
        <w:pageBreakBefore w:val="0"/>
        <w:widowControl w:val="0"/>
        <w:kinsoku/>
        <w:wordWrap/>
        <w:overflowPunct/>
        <w:topLinePunct w:val="0"/>
        <w:autoSpaceDE/>
        <w:autoSpaceDN/>
        <w:bidi w:val="0"/>
        <w:spacing w:after="0" w:line="579" w:lineRule="exact"/>
        <w:ind w:left="0" w:firstLine="640" w:firstLineChars="200"/>
        <w:jc w:val="both"/>
        <w:textAlignment w:val="auto"/>
        <w:rPr>
          <w:rFonts w:hint="eastAsia" w:ascii="仿宋_GB2312" w:eastAsia="仿宋_GB2312" w:cs="仿宋_GB2312"/>
          <w:kern w:val="2"/>
          <w:sz w:val="32"/>
          <w:szCs w:val="32"/>
          <w:highlight w:val="none"/>
          <w:u w:val="none"/>
          <w:lang w:val="en-US" w:eastAsia="zh-CN" w:bidi="ar-SA"/>
        </w:rPr>
      </w:pPr>
      <w:r>
        <w:rPr>
          <w:rFonts w:hint="eastAsia" w:ascii="仿宋_GB2312" w:eastAsia="仿宋_GB2312" w:cs="宋体"/>
          <w:kern w:val="2"/>
          <w:sz w:val="32"/>
          <w:szCs w:val="32"/>
          <w:highlight w:val="none"/>
          <w:u w:val="none"/>
          <w:lang w:val="en-US" w:eastAsia="zh-CN" w:bidi="ar-SA"/>
        </w:rPr>
        <w:t>（2）安排12.5亿元提升运营效率打造优势企业集团。</w:t>
      </w:r>
      <w:r>
        <w:rPr>
          <w:rFonts w:hint="eastAsia" w:ascii="仿宋_GB2312" w:eastAsia="仿宋_GB2312" w:cs="仿宋_GB2312"/>
          <w:b/>
          <w:kern w:val="2"/>
          <w:sz w:val="32"/>
          <w:szCs w:val="32"/>
          <w:highlight w:val="none"/>
          <w:u w:val="none"/>
          <w:lang w:val="en-US" w:eastAsia="zh-CN" w:bidi="ar"/>
        </w:rPr>
        <w:t>一是</w:t>
      </w:r>
      <w:r>
        <w:rPr>
          <w:rFonts w:hint="eastAsia" w:ascii="仿宋_GB2312" w:eastAsia="仿宋_GB2312" w:cs="仿宋_GB2312"/>
          <w:kern w:val="2"/>
          <w:sz w:val="32"/>
          <w:szCs w:val="32"/>
          <w:highlight w:val="none"/>
          <w:u w:val="none"/>
          <w:lang w:val="en-US" w:eastAsia="zh-CN" w:bidi="ar"/>
        </w:rPr>
        <w:t>安排7.5亿元注资特区建工集团，围绕产业保障房建设、建废处理、城市一体化运营等重点领域，打造城市建设和运营服务的生力军。</w:t>
      </w:r>
      <w:r>
        <w:rPr>
          <w:rFonts w:hint="eastAsia" w:ascii="仿宋_GB2312" w:eastAsia="仿宋_GB2312" w:cs="仿宋_GB2312"/>
          <w:b/>
          <w:kern w:val="2"/>
          <w:sz w:val="32"/>
          <w:szCs w:val="32"/>
          <w:highlight w:val="none"/>
          <w:u w:val="none"/>
          <w:lang w:val="en-US" w:eastAsia="zh-CN" w:bidi="ar"/>
        </w:rPr>
        <w:t>二是</w:t>
      </w:r>
      <w:r>
        <w:rPr>
          <w:rFonts w:hint="eastAsia" w:ascii="仿宋_GB2312" w:eastAsia="仿宋_GB2312" w:cs="仿宋_GB2312"/>
          <w:kern w:val="2"/>
          <w:sz w:val="32"/>
          <w:szCs w:val="32"/>
          <w:highlight w:val="none"/>
          <w:u w:val="none"/>
          <w:lang w:val="en-US" w:eastAsia="zh-CN" w:bidi="ar"/>
        </w:rPr>
        <w:t>安排4亿元注资特发集团，为战略性新兴产业加速发展提供有力支撑，依托香蜜湖、小梅沙等城市名片项目促进城市功能品质提升。</w:t>
      </w:r>
      <w:r>
        <w:rPr>
          <w:rFonts w:hint="eastAsia" w:ascii="仿宋_GB2312" w:eastAsia="仿宋_GB2312" w:cs="仿宋_GB2312"/>
          <w:b/>
          <w:bCs/>
          <w:kern w:val="2"/>
          <w:sz w:val="32"/>
          <w:szCs w:val="32"/>
          <w:highlight w:val="none"/>
          <w:u w:val="none"/>
          <w:lang w:val="en-US" w:eastAsia="zh-CN" w:bidi="ar"/>
        </w:rPr>
        <w:t>三是</w:t>
      </w:r>
      <w:r>
        <w:rPr>
          <w:rFonts w:hint="eastAsia" w:ascii="仿宋_GB2312" w:eastAsia="仿宋_GB2312" w:cs="仿宋_GB2312"/>
          <w:kern w:val="2"/>
          <w:sz w:val="32"/>
          <w:szCs w:val="32"/>
          <w:highlight w:val="none"/>
          <w:u w:val="none"/>
          <w:lang w:val="en-US" w:eastAsia="zh-CN" w:bidi="ar"/>
        </w:rPr>
        <w:t>安排1亿元注资免税集团，充分发挥免税产业链资源优势，推进深港口岸经济带规划建设，积极拓展离岛免税新型业态。</w:t>
      </w:r>
    </w:p>
    <w:p>
      <w:pPr>
        <w:keepNext w:val="0"/>
        <w:keepLines w:val="0"/>
        <w:pageBreakBefore w:val="0"/>
        <w:widowControl w:val="0"/>
        <w:kinsoku/>
        <w:wordWrap/>
        <w:overflowPunct/>
        <w:topLinePunct w:val="0"/>
        <w:autoSpaceDE/>
        <w:autoSpaceDN/>
        <w:bidi w:val="0"/>
        <w:adjustRightInd/>
        <w:snapToGrid/>
        <w:spacing w:after="0" w:line="579" w:lineRule="exact"/>
        <w:ind w:left="0" w:firstLine="640" w:firstLineChars="200"/>
        <w:jc w:val="both"/>
        <w:textAlignment w:val="auto"/>
        <w:rPr>
          <w:rFonts w:hint="eastAsia" w:ascii="仿宋_GB2312" w:eastAsia="仿宋_GB2312" w:cs="仿宋_GB2312"/>
          <w:kern w:val="2"/>
          <w:sz w:val="32"/>
          <w:szCs w:val="32"/>
          <w:highlight w:val="none"/>
          <w:u w:val="none"/>
          <w:lang w:val="en-US" w:eastAsia="zh-CN" w:bidi="ar"/>
        </w:rPr>
      </w:pPr>
      <w:r>
        <w:rPr>
          <w:rFonts w:hint="eastAsia" w:ascii="仿宋_GB2312" w:eastAsia="仿宋_GB2312" w:cs="仿宋_GB2312"/>
          <w:kern w:val="2"/>
          <w:sz w:val="32"/>
          <w:szCs w:val="32"/>
          <w:highlight w:val="none"/>
          <w:u w:val="none"/>
          <w:lang w:val="en-US" w:eastAsia="zh-CN" w:bidi="ar"/>
        </w:rPr>
        <w:t>（3）安排5亿元</w:t>
      </w:r>
      <w:r>
        <w:rPr>
          <w:rFonts w:hint="eastAsia" w:ascii="仿宋_GB2312" w:eastAsia="仿宋_GB2312" w:cs="仿宋_GB2312"/>
          <w:color w:val="000000"/>
          <w:kern w:val="0"/>
          <w:sz w:val="32"/>
          <w:szCs w:val="32"/>
          <w:highlight w:val="none"/>
          <w:u w:val="none"/>
          <w:lang w:val="en-US" w:eastAsia="zh-CN" w:bidi="ar"/>
        </w:rPr>
        <w:t>发挥国有资本投资公司产业引领功能作用。主要是安排5亿元注资投控公司，</w:t>
      </w:r>
      <w:r>
        <w:rPr>
          <w:rFonts w:hint="eastAsia" w:ascii="仿宋_GB2312" w:eastAsia="仿宋_GB2312" w:cs="仿宋_GB2312"/>
          <w:kern w:val="2"/>
          <w:sz w:val="32"/>
          <w:szCs w:val="32"/>
          <w:highlight w:val="none"/>
          <w:u w:val="none"/>
          <w:lang w:val="en-US" w:eastAsia="zh-CN" w:bidi="ar"/>
        </w:rPr>
        <w:t>驱动城市中心地带全面建设发展、迭代升级，</w:t>
      </w:r>
      <w:r>
        <w:rPr>
          <w:rFonts w:hint="eastAsia" w:ascii="仿宋_GB2312" w:eastAsia="仿宋_GB2312" w:cs="仿宋_GB2312"/>
          <w:color w:val="000000"/>
          <w:kern w:val="0"/>
          <w:sz w:val="32"/>
          <w:szCs w:val="32"/>
          <w:highlight w:val="none"/>
          <w:u w:val="none"/>
          <w:lang w:val="en-US" w:eastAsia="zh-CN" w:bidi="ar"/>
        </w:rPr>
        <w:t>巩固世界500强地位，</w:t>
      </w:r>
      <w:r>
        <w:rPr>
          <w:rFonts w:hint="eastAsia" w:ascii="仿宋_GB2312" w:eastAsia="仿宋_GB2312" w:cs="仿宋_GB2312"/>
          <w:kern w:val="2"/>
          <w:sz w:val="32"/>
          <w:szCs w:val="32"/>
          <w:highlight w:val="none"/>
          <w:u w:val="none"/>
          <w:lang w:val="en-US" w:eastAsia="zh-CN" w:bidi="ar"/>
        </w:rPr>
        <w:t>为深圳“双区建设”增添新动力。</w:t>
      </w:r>
      <w:r>
        <w:rPr>
          <w:rFonts w:hint="eastAsia" w:ascii="仿宋_GB2312" w:eastAsia="仿宋_GB2312" w:cs="仿宋_GB2312"/>
          <w:color w:val="000000"/>
          <w:kern w:val="0"/>
          <w:sz w:val="32"/>
          <w:szCs w:val="32"/>
          <w:highlight w:val="none"/>
          <w:u w:val="none"/>
          <w:lang w:val="en-US" w:eastAsia="zh-CN" w:bidi="ar"/>
        </w:rPr>
        <w:t>加快深圳国际交流中心、深超总部基地建设，</w:t>
      </w:r>
      <w:r>
        <w:rPr>
          <w:rFonts w:hint="eastAsia" w:ascii="仿宋_GB2312" w:eastAsia="仿宋_GB2312" w:cs="仿宋_GB2312"/>
          <w:kern w:val="2"/>
          <w:sz w:val="32"/>
          <w:szCs w:val="32"/>
          <w:highlight w:val="none"/>
          <w:u w:val="none"/>
          <w:lang w:val="en-US" w:eastAsia="zh-CN" w:bidi="ar"/>
        </w:rPr>
        <w:t>打造世界级滨海城市天际线，展示深圳创新引领型城市形象。</w:t>
      </w:r>
    </w:p>
    <w:p>
      <w:pPr>
        <w:keepNext w:val="0"/>
        <w:keepLines w:val="0"/>
        <w:pageBreakBefore w:val="0"/>
        <w:widowControl w:val="0"/>
        <w:kinsoku/>
        <w:wordWrap/>
        <w:overflowPunct/>
        <w:topLinePunct w:val="0"/>
        <w:autoSpaceDE/>
        <w:autoSpaceDN/>
        <w:bidi w:val="0"/>
        <w:adjustRightInd/>
        <w:snapToGrid/>
        <w:spacing w:after="0" w:line="579" w:lineRule="exact"/>
        <w:ind w:left="0" w:firstLine="640" w:firstLineChars="200"/>
        <w:jc w:val="both"/>
        <w:textAlignment w:val="auto"/>
        <w:rPr>
          <w:rFonts w:hint="eastAsia" w:ascii="仿宋_GB2312" w:eastAsia="仿宋_GB2312" w:cs="仿宋_GB2312"/>
          <w:kern w:val="2"/>
          <w:sz w:val="32"/>
          <w:szCs w:val="32"/>
          <w:highlight w:val="none"/>
          <w:u w:val="none"/>
          <w:lang w:val="en-US" w:eastAsia="zh-CN" w:bidi="ar"/>
        </w:rPr>
      </w:pPr>
      <w:r>
        <w:rPr>
          <w:rFonts w:hint="eastAsia" w:ascii="仿宋_GB2312" w:eastAsia="仿宋_GB2312" w:cs="仿宋_GB2312"/>
          <w:kern w:val="2"/>
          <w:sz w:val="32"/>
          <w:szCs w:val="32"/>
          <w:highlight w:val="none"/>
          <w:u w:val="none"/>
          <w:lang w:val="en-US" w:eastAsia="zh-CN" w:bidi="ar"/>
        </w:rPr>
        <w:t>（4）安排20亿元加快国有经济布局优化和结构调整。</w:t>
      </w:r>
      <w:r>
        <w:rPr>
          <w:rFonts w:hint="eastAsia" w:ascii="仿宋_GB2312" w:eastAsia="仿宋_GB2312" w:cs="仿宋_GB2312"/>
          <w:b/>
          <w:bCs/>
          <w:kern w:val="2"/>
          <w:sz w:val="32"/>
          <w:szCs w:val="32"/>
          <w:highlight w:val="none"/>
          <w:u w:val="none"/>
          <w:lang w:val="en-US" w:eastAsia="zh-CN" w:bidi="ar"/>
        </w:rPr>
        <w:t>一是</w:t>
      </w:r>
      <w:r>
        <w:rPr>
          <w:rFonts w:hint="eastAsia" w:ascii="仿宋_GB2312" w:eastAsia="仿宋_GB2312" w:cs="仿宋_GB2312"/>
          <w:kern w:val="2"/>
          <w:sz w:val="32"/>
          <w:szCs w:val="32"/>
          <w:highlight w:val="none"/>
          <w:u w:val="none"/>
          <w:lang w:val="en-US" w:eastAsia="zh-CN" w:bidi="ar"/>
        </w:rPr>
        <w:t>安排10亿元用于市属国有企业</w:t>
      </w:r>
      <w:r>
        <w:rPr>
          <w:rFonts w:hint="eastAsia" w:ascii="仿宋_GB2312" w:eastAsia="仿宋_GB2312" w:cs="仿宋_GB2312"/>
          <w:color w:val="000000"/>
          <w:kern w:val="0"/>
          <w:sz w:val="32"/>
          <w:szCs w:val="32"/>
          <w:highlight w:val="none"/>
          <w:u w:val="none"/>
          <w:lang w:val="en-US" w:eastAsia="zh-CN" w:bidi="ar"/>
        </w:rPr>
        <w:t>重大项目投资，</w:t>
      </w:r>
      <w:r>
        <w:rPr>
          <w:rFonts w:hint="eastAsia" w:ascii="仿宋_GB2312" w:eastAsia="仿宋_GB2312" w:cs="仿宋_GB2312"/>
          <w:kern w:val="2"/>
          <w:sz w:val="32"/>
          <w:szCs w:val="32"/>
          <w:highlight w:val="none"/>
          <w:u w:val="none"/>
          <w:lang w:val="en-US" w:eastAsia="zh-CN" w:bidi="ar"/>
        </w:rPr>
        <w:t>加大新型基础设施、自主创新等投入。</w:t>
      </w:r>
      <w:r>
        <w:rPr>
          <w:rFonts w:hint="eastAsia" w:ascii="仿宋_GB2312" w:eastAsia="仿宋_GB2312" w:cs="仿宋_GB2312"/>
          <w:b/>
          <w:bCs/>
          <w:kern w:val="2"/>
          <w:sz w:val="32"/>
          <w:szCs w:val="32"/>
          <w:highlight w:val="none"/>
          <w:u w:val="none"/>
          <w:lang w:val="en-US" w:eastAsia="zh-CN" w:bidi="ar"/>
        </w:rPr>
        <w:t>二是</w:t>
      </w:r>
      <w:r>
        <w:rPr>
          <w:rFonts w:hint="eastAsia" w:ascii="仿宋_GB2312" w:eastAsia="仿宋_GB2312" w:cs="仿宋_GB2312"/>
          <w:kern w:val="2"/>
          <w:sz w:val="32"/>
          <w:szCs w:val="32"/>
          <w:highlight w:val="none"/>
          <w:u w:val="none"/>
          <w:lang w:val="en-US" w:eastAsia="zh-CN" w:bidi="ar"/>
        </w:rPr>
        <w:t>安排10亿元用于市属国有企业</w:t>
      </w:r>
      <w:r>
        <w:rPr>
          <w:rFonts w:hint="eastAsia" w:ascii="仿宋_GB2312" w:eastAsia="仿宋_GB2312" w:cs="仿宋_GB2312"/>
          <w:color w:val="000000"/>
          <w:kern w:val="0"/>
          <w:sz w:val="32"/>
          <w:szCs w:val="32"/>
          <w:highlight w:val="none"/>
          <w:u w:val="none"/>
          <w:lang w:val="en-US" w:eastAsia="zh-CN" w:bidi="ar"/>
        </w:rPr>
        <w:t>整合重组并购</w:t>
      </w:r>
      <w:r>
        <w:rPr>
          <w:rFonts w:hint="eastAsia" w:ascii="仿宋_GB2312" w:eastAsia="仿宋_GB2312" w:cs="仿宋_GB2312"/>
          <w:kern w:val="2"/>
          <w:sz w:val="32"/>
          <w:szCs w:val="32"/>
          <w:highlight w:val="none"/>
          <w:u w:val="none"/>
          <w:lang w:val="en-US" w:eastAsia="zh-CN" w:bidi="ar"/>
        </w:rPr>
        <w:t>，优化国有资本重点投向和领域，推动国有资本向重要行业和关键领域集中，向前瞻性、战略性新兴产业集中，进一步提高国有企业竞争力、创新力、控制力、影响力。</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643"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b/>
          <w:sz w:val="32"/>
          <w:szCs w:val="32"/>
          <w:highlight w:val="none"/>
          <w:u w:val="none"/>
          <w:lang w:bidi="ar-SA"/>
        </w:rPr>
        <w:t>2.解决历史遗留问题及改革成本支出1.48亿元。</w:t>
      </w:r>
      <w:r>
        <w:rPr>
          <w:rFonts w:hint="eastAsia" w:ascii="仿宋_GB2312" w:eastAsia="仿宋_GB2312" w:cs="仿宋_GB2312"/>
          <w:sz w:val="32"/>
          <w:szCs w:val="32"/>
          <w:highlight w:val="none"/>
          <w:u w:val="none"/>
          <w:lang w:bidi="ar-SA"/>
        </w:rPr>
        <w:t>助力一般公共预算建立全覆盖高质量的社会保障体系，结合市政府早期退休人员、事业单位转企前退休人员待遇调整等工作部署，安排1.48亿元用于提高退休人员社会保障水平，完善退休人员社会保障机制，解决我市事业单位转企等改革历史遗留问题。</w:t>
      </w:r>
    </w:p>
    <w:p>
      <w:pPr>
        <w:keepNext w:val="0"/>
        <w:keepLines w:val="0"/>
        <w:pageBreakBefore w:val="0"/>
        <w:widowControl w:val="0"/>
        <w:kinsoku/>
        <w:wordWrap/>
        <w:overflowPunct/>
        <w:topLinePunct w:val="0"/>
        <w:autoSpaceDE/>
        <w:autoSpaceDN/>
        <w:bidi w:val="0"/>
        <w:snapToGrid w:val="0"/>
        <w:spacing w:after="0" w:line="579" w:lineRule="exact"/>
        <w:ind w:firstLine="643" w:firstLineChars="200"/>
        <w:textAlignment w:val="auto"/>
        <w:rPr>
          <w:rFonts w:ascii="FangSong_GB2312" w:hAnsi="FangSong_GB2312" w:eastAsia="Times New Roman" w:cs="FangSong_GB2312"/>
          <w:sz w:val="32"/>
          <w:szCs w:val="32"/>
          <w:highlight w:val="none"/>
          <w:u w:val="none"/>
          <w:lang w:bidi="ar-SA"/>
        </w:rPr>
      </w:pPr>
      <w:r>
        <w:rPr>
          <w:rFonts w:hint="eastAsia" w:ascii="仿宋_GB2312" w:eastAsia="仿宋_GB2312" w:cs="仿宋_GB2312"/>
          <w:b/>
          <w:sz w:val="32"/>
          <w:szCs w:val="32"/>
          <w:highlight w:val="none"/>
          <w:u w:val="none"/>
          <w:lang w:bidi="ar-SA"/>
        </w:rPr>
        <w:t>3.国有企业政策性补贴0.5亿元。</w:t>
      </w:r>
      <w:r>
        <w:rPr>
          <w:rFonts w:hint="eastAsia" w:ascii="仿宋_GB2312" w:eastAsia="仿宋_GB2312" w:cs="仿宋_GB2312"/>
          <w:sz w:val="32"/>
          <w:szCs w:val="32"/>
          <w:highlight w:val="none"/>
          <w:u w:val="none"/>
          <w:lang w:bidi="ar-SA"/>
        </w:rPr>
        <w:t>落实市政府工作要求，支持中国鲲鹏产业源头创新中心运营等。</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643" w:firstLineChars="200"/>
        <w:textAlignment w:val="auto"/>
        <w:rPr>
          <w:rFonts w:ascii="Cambria" w:hAnsi="Cambria" w:eastAsia="宋体" w:cs="Times New Roman"/>
          <w:sz w:val="24"/>
          <w:highlight w:val="none"/>
          <w:u w:val="none"/>
          <w:lang w:bidi="ar-SA"/>
        </w:rPr>
      </w:pPr>
      <w:r>
        <w:rPr>
          <w:rFonts w:hint="eastAsia" w:ascii="仿宋_GB2312" w:eastAsia="仿宋_GB2312" w:cs="仿宋_GB2312"/>
          <w:b/>
          <w:sz w:val="32"/>
          <w:szCs w:val="32"/>
          <w:highlight w:val="none"/>
          <w:u w:val="none"/>
          <w:lang w:bidi="ar-SA"/>
        </w:rPr>
        <w:t>4.其他国有资本经营预算支出0.9亿元。</w:t>
      </w:r>
      <w:r>
        <w:rPr>
          <w:rFonts w:hint="eastAsia" w:ascii="仿宋_GB2312" w:eastAsia="仿宋_GB2312" w:cs="仿宋_GB2312"/>
          <w:sz w:val="32"/>
          <w:szCs w:val="32"/>
          <w:highlight w:val="none"/>
          <w:u w:val="none"/>
          <w:lang w:bidi="ar-SA"/>
        </w:rPr>
        <w:t>国资监管部门履行出资人职责，不断深化改革，建立外派财务总监、专职外部董事等制度，市属国企实现分类监管和考核，强化风险管理和审计监督，国资履职不断优化，形成有深圳特色的国资监管制度体系。</w:t>
      </w:r>
    </w:p>
    <w:p>
      <w:pPr>
        <w:keepNext w:val="0"/>
        <w:keepLines w:val="0"/>
        <w:pageBreakBefore w:val="0"/>
        <w:widowControl/>
        <w:kinsoku/>
        <w:wordWrap/>
        <w:overflowPunct/>
        <w:topLinePunct w:val="0"/>
        <w:autoSpaceDE/>
        <w:autoSpaceDN/>
        <w:bidi w:val="0"/>
        <w:snapToGrid w:val="0"/>
        <w:spacing w:after="0" w:line="579" w:lineRule="exact"/>
        <w:ind w:firstLine="640" w:firstLineChars="200"/>
        <w:textAlignment w:val="auto"/>
        <w:rPr>
          <w:rFonts w:hint="eastAsia" w:ascii="楷体_GB2312" w:eastAsia="楷体_GB2312" w:cs="楷体_GB2312"/>
          <w:bCs/>
          <w:sz w:val="32"/>
          <w:highlight w:val="none"/>
          <w:u w:val="none"/>
          <w:lang w:val="en-US" w:eastAsia="zh-CN" w:bidi="ar-SA"/>
        </w:rPr>
      </w:pPr>
      <w:r>
        <w:rPr>
          <w:rFonts w:hint="eastAsia" w:ascii="楷体_GB2312" w:eastAsia="楷体_GB2312" w:cs="楷体_GB2312"/>
          <w:bCs/>
          <w:sz w:val="32"/>
          <w:highlight w:val="none"/>
          <w:u w:val="none"/>
          <w:lang w:bidi="ar-SA"/>
        </w:rPr>
        <w:t>（二）调出至一般公共预算27.6亿元（含前海0.3</w:t>
      </w:r>
      <w:r>
        <w:rPr>
          <w:rFonts w:hint="eastAsia" w:ascii="楷体_GB2312" w:eastAsia="楷体_GB2312" w:cs="楷体_GB2312"/>
          <w:bCs/>
          <w:sz w:val="32"/>
          <w:highlight w:val="none"/>
          <w:u w:val="none"/>
          <w:lang w:val="en-US" w:eastAsia="zh-CN" w:bidi="ar-SA"/>
        </w:rPr>
        <w:t>1</w:t>
      </w:r>
      <w:r>
        <w:rPr>
          <w:rFonts w:hint="eastAsia" w:ascii="楷体_GB2312" w:eastAsia="楷体_GB2312" w:cs="楷体_GB2312"/>
          <w:bCs/>
          <w:sz w:val="32"/>
          <w:highlight w:val="none"/>
          <w:u w:val="none"/>
          <w:lang w:bidi="ar-SA"/>
        </w:rPr>
        <w:t>亿元）</w:t>
      </w:r>
    </w:p>
    <w:p>
      <w:pPr>
        <w:keepNext w:val="0"/>
        <w:keepLines w:val="0"/>
        <w:pageBreakBefore w:val="0"/>
        <w:widowControl w:val="0"/>
        <w:kinsoku/>
        <w:wordWrap/>
        <w:overflowPunct/>
        <w:topLinePunct w:val="0"/>
        <w:autoSpaceDE/>
        <w:autoSpaceDN/>
        <w:bidi w:val="0"/>
        <w:snapToGrid w:val="0"/>
        <w:spacing w:after="0" w:line="579"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sz w:val="32"/>
          <w:szCs w:val="32"/>
          <w:highlight w:val="none"/>
          <w:u w:val="none"/>
          <w:lang w:bidi="ar-SA"/>
        </w:rPr>
        <w:t>助力打造优质均衡的公共服务体系，安排27.6亿元调出至一般公共预算用于保障和改善民生支出，调出比例32%，高于党的十八届三中全会议定的关于国有资本经营预算调出至一般公共预算的比例达到30%的要求。</w:t>
      </w:r>
    </w:p>
    <w:p>
      <w:pPr>
        <w:keepNext w:val="0"/>
        <w:keepLines w:val="0"/>
        <w:pageBreakBefore w:val="0"/>
        <w:widowControl/>
        <w:kinsoku/>
        <w:wordWrap/>
        <w:overflowPunct/>
        <w:topLinePunct w:val="0"/>
        <w:autoSpaceDE/>
        <w:autoSpaceDN/>
        <w:bidi w:val="0"/>
        <w:snapToGrid w:val="0"/>
        <w:spacing w:after="0" w:line="579" w:lineRule="exact"/>
        <w:ind w:firstLine="640" w:firstLineChars="200"/>
        <w:textAlignment w:val="auto"/>
        <w:rPr>
          <w:rFonts w:hint="eastAsia" w:ascii="楷体_GB2312" w:eastAsia="楷体_GB2312" w:cs="楷体_GB2312"/>
          <w:bCs/>
          <w:sz w:val="32"/>
          <w:highlight w:val="none"/>
          <w:u w:val="none"/>
          <w:lang w:bidi="ar-SA"/>
        </w:rPr>
      </w:pPr>
      <w:r>
        <w:rPr>
          <w:rFonts w:hint="eastAsia" w:ascii="楷体_GB2312" w:eastAsia="楷体_GB2312" w:cs="楷体_GB2312"/>
          <w:bCs/>
          <w:sz w:val="32"/>
          <w:highlight w:val="none"/>
          <w:u w:val="none"/>
          <w:lang w:bidi="ar-SA"/>
        </w:rPr>
        <w:t>（三）对区转移支付0.03亿元</w:t>
      </w:r>
    </w:p>
    <w:p>
      <w:pPr>
        <w:keepNext w:val="0"/>
        <w:keepLines w:val="0"/>
        <w:pageBreakBefore w:val="0"/>
        <w:widowControl/>
        <w:kinsoku/>
        <w:wordWrap/>
        <w:overflowPunct/>
        <w:topLinePunct w:val="0"/>
        <w:bidi w:val="0"/>
        <w:snapToGrid w:val="0"/>
        <w:spacing w:after="0" w:line="56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sz w:val="32"/>
          <w:szCs w:val="32"/>
          <w:highlight w:val="none"/>
          <w:u w:val="none"/>
          <w:lang w:bidi="ar-SA"/>
        </w:rPr>
        <w:t>根据《财政部关于提前下达2022年国有企业退休人员社会化管理补助资金（预拨）预算的通知》，中央财政安排0.03亿元（293万元）用于支持属地化管理的中央企业退休人员的社会化管理工作，按要求全部转移支付各区使用。</w:t>
      </w:r>
    </w:p>
    <w:p>
      <w:pPr>
        <w:pStyle w:val="6"/>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highlight w:val="none"/>
          <w:u w:val="none"/>
          <w:lang w:val="en-US" w:eastAsia="zh-CN"/>
        </w:rPr>
      </w:pPr>
      <w:r>
        <w:rPr>
          <w:rFonts w:hint="eastAsia"/>
          <w:highlight w:val="none"/>
          <w:u w:val="none"/>
        </w:rPr>
        <w:br w:type="page"/>
      </w:r>
      <w:r>
        <w:rPr>
          <w:rFonts w:hint="eastAsia"/>
          <w:highlight w:val="none"/>
          <w:u w:val="none"/>
          <w:lang w:val="en-US" w:eastAsia="zh-CN"/>
        </w:rPr>
        <w:t xml:space="preserve">  </w:t>
      </w:r>
    </w:p>
    <w:p>
      <w:pPr>
        <w:pStyle w:val="6"/>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ascii="宋体" w:eastAsia="宋体" w:cs="宋体"/>
          <w:b/>
          <w:kern w:val="0"/>
          <w:sz w:val="32"/>
          <w:szCs w:val="32"/>
          <w:highlight w:val="none"/>
          <w:u w:val="none"/>
          <w:lang w:bidi="ar-SA"/>
        </w:rPr>
      </w:pPr>
      <w:r>
        <w:rPr>
          <w:rFonts w:hint="eastAsia" w:ascii="宋体" w:eastAsia="宋体" w:cs="宋体"/>
          <w:b/>
          <w:kern w:val="0"/>
          <w:sz w:val="32"/>
          <w:szCs w:val="32"/>
          <w:highlight w:val="none"/>
          <w:u w:val="none"/>
          <w:lang w:bidi="ar-SA"/>
        </w:rPr>
        <w:t xml:space="preserve">第五部分 </w:t>
      </w:r>
      <w:r>
        <w:rPr>
          <w:rFonts w:hint="eastAsia" w:eastAsia="宋体" w:cs="宋体"/>
          <w:b/>
          <w:kern w:val="0"/>
          <w:sz w:val="32"/>
          <w:szCs w:val="32"/>
          <w:highlight w:val="none"/>
          <w:u w:val="none"/>
          <w:lang w:eastAsia="zh-CN" w:bidi="ar-SA"/>
        </w:rPr>
        <w:t>深圳市</w:t>
      </w:r>
      <w:r>
        <w:rPr>
          <w:rFonts w:hint="eastAsia" w:ascii="宋体" w:eastAsia="宋体" w:cs="宋体"/>
          <w:b/>
          <w:kern w:val="0"/>
          <w:sz w:val="32"/>
          <w:szCs w:val="32"/>
          <w:highlight w:val="none"/>
          <w:u w:val="none"/>
          <w:lang w:bidi="ar-SA"/>
        </w:rPr>
        <w:t>2022年社会保险基金预算(草案)</w:t>
      </w:r>
    </w:p>
    <w:p>
      <w:pPr>
        <w:keepNext w:val="0"/>
        <w:keepLines w:val="0"/>
        <w:pageBreakBefore w:val="0"/>
        <w:widowControl/>
        <w:kinsoku/>
        <w:wordWrap/>
        <w:overflowPunct/>
        <w:topLinePunct w:val="0"/>
        <w:bidi w:val="0"/>
        <w:snapToGrid w:val="0"/>
        <w:spacing w:line="560" w:lineRule="exact"/>
        <w:ind w:firstLine="160"/>
        <w:textAlignment w:val="auto"/>
        <w:rPr>
          <w:rFonts w:hint="eastAsia" w:ascii="仿宋_GB2312" w:eastAsia="仿宋_GB2312" w:cs="Calibri"/>
          <w:kern w:val="0"/>
          <w:sz w:val="32"/>
          <w:szCs w:val="32"/>
          <w:highlight w:val="none"/>
          <w:u w:val="none"/>
          <w:lang w:bidi="ar-SA"/>
        </w:rPr>
      </w:pPr>
    </w:p>
    <w:p>
      <w:pPr>
        <w:keepNext w:val="0"/>
        <w:keepLines w:val="0"/>
        <w:pageBreakBefore w:val="0"/>
        <w:widowControl w:val="0"/>
        <w:tabs>
          <w:tab w:val="left" w:pos="1418"/>
        </w:tabs>
        <w:kinsoku/>
        <w:wordWrap/>
        <w:overflowPunct/>
        <w:topLinePunct w:val="0"/>
        <w:bidi w:val="0"/>
        <w:snapToGrid w:val="0"/>
        <w:spacing w:line="560" w:lineRule="exact"/>
        <w:ind w:left="709"/>
        <w:jc w:val="left"/>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一、编制范围</w:t>
      </w:r>
    </w:p>
    <w:p>
      <w:pPr>
        <w:keepNext w:val="0"/>
        <w:keepLines w:val="0"/>
        <w:pageBreakBefore w:val="0"/>
        <w:widowControl w:val="0"/>
        <w:tabs>
          <w:tab w:val="left" w:pos="1418"/>
        </w:tabs>
        <w:kinsoku/>
        <w:wordWrap/>
        <w:overflowPunct/>
        <w:topLinePunct w:val="0"/>
        <w:bidi w:val="0"/>
        <w:snapToGrid w:val="0"/>
        <w:spacing w:line="560" w:lineRule="exact"/>
        <w:ind w:firstLine="640" w:firstLineChars="200"/>
        <w:textAlignment w:val="auto"/>
        <w:rPr>
          <w:rFonts w:hint="eastAsia" w:ascii="仿宋_GB2312" w:eastAsia="仿宋_GB2312" w:cs="仿宋_GB2312"/>
          <w:bCs/>
          <w:sz w:val="32"/>
          <w:szCs w:val="32"/>
          <w:highlight w:val="none"/>
          <w:u w:val="none"/>
          <w:lang w:bidi="ar-SA"/>
        </w:rPr>
      </w:pPr>
      <w:r>
        <w:rPr>
          <w:rFonts w:hint="eastAsia" w:ascii="仿宋_GB2312" w:eastAsia="仿宋_GB2312" w:cs="仿宋_GB2312"/>
          <w:sz w:val="32"/>
          <w:szCs w:val="32"/>
          <w:highlight w:val="none"/>
          <w:u w:val="none"/>
          <w:lang w:bidi="ar-SA"/>
        </w:rPr>
        <w:t>根据《广东省企业职工基本养老保险省级统筹基金预算和财务管理暂行办法》（粤财社〔20</w:t>
      </w:r>
      <w:r>
        <w:rPr>
          <w:rFonts w:hint="eastAsia" w:ascii="仿宋_GB2312" w:eastAsia="仿宋_GB2312" w:cs="仿宋_GB2312"/>
          <w:sz w:val="32"/>
          <w:szCs w:val="32"/>
          <w:highlight w:val="none"/>
          <w:u w:val="none"/>
          <w:lang w:val="en-US" w:eastAsia="zh-CN" w:bidi="ar-SA"/>
        </w:rPr>
        <w:t>21</w:t>
      </w:r>
      <w:r>
        <w:rPr>
          <w:rFonts w:hint="eastAsia" w:ascii="仿宋_GB2312" w:eastAsia="仿宋_GB2312" w:cs="仿宋_GB2312"/>
          <w:sz w:val="32"/>
          <w:szCs w:val="32"/>
          <w:highlight w:val="none"/>
          <w:u w:val="none"/>
          <w:lang w:bidi="ar-SA"/>
        </w:rPr>
        <w:t>〕</w:t>
      </w:r>
      <w:r>
        <w:rPr>
          <w:rFonts w:hint="eastAsia" w:ascii="仿宋_GB2312" w:eastAsia="仿宋_GB2312" w:cs="仿宋_GB2312"/>
          <w:sz w:val="32"/>
          <w:szCs w:val="32"/>
          <w:highlight w:val="none"/>
          <w:u w:val="none"/>
          <w:lang w:val="en-US" w:eastAsia="zh-CN" w:bidi="ar-SA"/>
        </w:rPr>
        <w:t>3</w:t>
      </w:r>
      <w:r>
        <w:rPr>
          <w:rFonts w:hint="eastAsia" w:ascii="仿宋_GB2312" w:eastAsia="仿宋_GB2312" w:cs="仿宋_GB2312"/>
          <w:sz w:val="32"/>
          <w:szCs w:val="32"/>
          <w:highlight w:val="none"/>
          <w:u w:val="none"/>
          <w:lang w:bidi="ar-SA"/>
        </w:rPr>
        <w:t>号）和《广东省工伤保险省级统筹基金预算和财务管理暂行办法》（粤财社〔2019〕95号）规定，</w:t>
      </w:r>
      <w:r>
        <w:rPr>
          <w:rFonts w:hint="eastAsia" w:ascii="仿宋_GB2312" w:eastAsia="仿宋_GB2312" w:cs="仿宋_GB2312"/>
          <w:bCs/>
          <w:sz w:val="32"/>
          <w:szCs w:val="32"/>
          <w:highlight w:val="none"/>
          <w:u w:val="none"/>
          <w:lang w:bidi="ar-SA"/>
        </w:rPr>
        <w:t>企业职工基本养老保险基金、工伤保险基金实行省级统筹，省财政厅牵头组织编制基金预算。</w:t>
      </w:r>
      <w:r>
        <w:rPr>
          <w:rFonts w:hint="eastAsia" w:ascii="仿宋_GB2312" w:eastAsia="仿宋_GB2312" w:cs="仿宋_GB2312"/>
          <w:sz w:val="32"/>
          <w:szCs w:val="32"/>
          <w:highlight w:val="none"/>
          <w:u w:val="none"/>
          <w:lang w:bidi="ar-SA"/>
        </w:rPr>
        <w:t>因此，</w:t>
      </w:r>
      <w:r>
        <w:rPr>
          <w:rFonts w:hint="eastAsia" w:ascii="仿宋_GB2312" w:eastAsia="仿宋_GB2312" w:cs="仿宋_GB2312"/>
          <w:b/>
          <w:bCs/>
          <w:sz w:val="32"/>
          <w:szCs w:val="32"/>
          <w:highlight w:val="none"/>
          <w:u w:val="none"/>
          <w:lang w:bidi="ar-SA"/>
        </w:rPr>
        <w:t>深圳市社保基金预算不再包含企业职工基本养老保险和工伤保险两个险种</w:t>
      </w:r>
      <w:r>
        <w:rPr>
          <w:rFonts w:hint="eastAsia" w:ascii="仿宋_GB2312" w:eastAsia="仿宋_GB2312" w:cs="仿宋_GB2312"/>
          <w:bCs/>
          <w:sz w:val="32"/>
          <w:szCs w:val="32"/>
          <w:highlight w:val="none"/>
          <w:u w:val="none"/>
          <w:lang w:bidi="ar-SA"/>
        </w:rPr>
        <w:t>。</w:t>
      </w:r>
    </w:p>
    <w:p>
      <w:pPr>
        <w:keepNext w:val="0"/>
        <w:keepLines w:val="0"/>
        <w:pageBreakBefore w:val="0"/>
        <w:widowControl w:val="0"/>
        <w:tabs>
          <w:tab w:val="left" w:pos="1418"/>
        </w:tabs>
        <w:kinsoku/>
        <w:wordWrap/>
        <w:overflowPunct/>
        <w:topLinePunct w:val="0"/>
        <w:bidi w:val="0"/>
        <w:snapToGrid w:val="0"/>
        <w:spacing w:line="56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sz w:val="32"/>
          <w:szCs w:val="32"/>
          <w:highlight w:val="none"/>
          <w:u w:val="none"/>
          <w:lang w:bidi="ar-SA"/>
        </w:rPr>
        <w:t>2022年深圳市社会保险基金预算草案编制的险种范围包括：城乡居民基本养老保险基金、机关事业单位基本养老保险（改革）基金、</w:t>
      </w:r>
      <w:r>
        <w:rPr>
          <w:rFonts w:hint="eastAsia" w:ascii="仿宋" w:eastAsia="仿宋" w:cs="Calibri"/>
          <w:sz w:val="32"/>
          <w:szCs w:val="32"/>
          <w:highlight w:val="none"/>
          <w:u w:val="none"/>
          <w:lang w:bidi="ar-SA"/>
        </w:rPr>
        <w:t>职工基本医疗保险基金（含生育保险）、城乡居民基本医疗保险基金、</w:t>
      </w:r>
      <w:r>
        <w:rPr>
          <w:rFonts w:hint="eastAsia" w:ascii="仿宋_GB2312" w:eastAsia="仿宋_GB2312" w:cs="仿宋_GB2312"/>
          <w:sz w:val="32"/>
          <w:szCs w:val="32"/>
          <w:highlight w:val="none"/>
          <w:u w:val="none"/>
          <w:lang w:bidi="ar-SA"/>
        </w:rPr>
        <w:t>失业保险基金、机关事业单位基本养老保险（试点）基金、地方补充养老保险基金和</w:t>
      </w:r>
      <w:r>
        <w:rPr>
          <w:rFonts w:hint="eastAsia" w:ascii="仿宋" w:eastAsia="仿宋" w:cs="Calibri"/>
          <w:sz w:val="32"/>
          <w:szCs w:val="32"/>
          <w:highlight w:val="none"/>
          <w:u w:val="none"/>
          <w:lang w:bidi="ar-SA"/>
        </w:rPr>
        <w:t>地方补充医疗保险基金</w:t>
      </w:r>
      <w:r>
        <w:rPr>
          <w:rFonts w:hint="eastAsia" w:ascii="仿宋_GB2312" w:eastAsia="仿宋_GB2312" w:cs="仿宋_GB2312"/>
          <w:sz w:val="32"/>
          <w:szCs w:val="32"/>
          <w:highlight w:val="none"/>
          <w:u w:val="none"/>
          <w:lang w:bidi="ar-SA"/>
        </w:rPr>
        <w:t>。</w:t>
      </w:r>
    </w:p>
    <w:p>
      <w:pPr>
        <w:keepNext w:val="0"/>
        <w:keepLines w:val="0"/>
        <w:pageBreakBefore w:val="0"/>
        <w:widowControl w:val="0"/>
        <w:tabs>
          <w:tab w:val="left" w:pos="1418"/>
        </w:tabs>
        <w:kinsoku/>
        <w:wordWrap/>
        <w:overflowPunct/>
        <w:topLinePunct w:val="0"/>
        <w:bidi w:val="0"/>
        <w:snapToGrid w:val="0"/>
        <w:spacing w:line="560" w:lineRule="exact"/>
        <w:ind w:left="643"/>
        <w:jc w:val="left"/>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二、收入预算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eastAsia="仿宋_GB2312" w:cs="仿宋_GB2312"/>
          <w:sz w:val="32"/>
          <w:szCs w:val="32"/>
          <w:highlight w:val="none"/>
          <w:u w:val="none"/>
          <w:lang w:val="en-US" w:eastAsia="zh-CN" w:bidi="ar-SA"/>
        </w:rPr>
      </w:pPr>
      <w:r>
        <w:rPr>
          <w:rFonts w:hint="eastAsia" w:ascii="仿宋_GB2312" w:eastAsia="仿宋_GB2312" w:cs="仿宋_GB2312"/>
          <w:sz w:val="32"/>
          <w:szCs w:val="32"/>
          <w:highlight w:val="none"/>
          <w:u w:val="none"/>
          <w:lang w:bidi="ar-SA"/>
        </w:rPr>
        <w:t>2022年我市社会保险基金收入预算1049.4亿元，比2021年</w:t>
      </w:r>
      <w:r>
        <w:rPr>
          <w:rFonts w:hint="eastAsia" w:ascii="仿宋_GB2312" w:eastAsia="仿宋_GB2312" w:cs="仿宋_GB2312"/>
          <w:sz w:val="32"/>
          <w:szCs w:val="32"/>
          <w:highlight w:val="none"/>
          <w:u w:val="none"/>
          <w:lang w:eastAsia="zh-CN" w:bidi="ar-SA"/>
        </w:rPr>
        <w:t>预计</w:t>
      </w:r>
      <w:r>
        <w:rPr>
          <w:rFonts w:hint="eastAsia" w:ascii="仿宋_GB2312" w:eastAsia="仿宋_GB2312" w:cs="仿宋_GB2312"/>
          <w:sz w:val="32"/>
          <w:szCs w:val="32"/>
          <w:highlight w:val="none"/>
          <w:u w:val="none"/>
          <w:lang w:bidi="ar-SA"/>
        </w:rPr>
        <w:t>执行数84</w:t>
      </w:r>
      <w:r>
        <w:rPr>
          <w:rFonts w:hint="eastAsia" w:ascii="仿宋_GB2312" w:eastAsia="仿宋_GB2312" w:cs="仿宋_GB2312"/>
          <w:sz w:val="32"/>
          <w:szCs w:val="32"/>
          <w:highlight w:val="none"/>
          <w:u w:val="none"/>
          <w:lang w:val="en-US" w:eastAsia="zh-CN" w:bidi="ar-SA"/>
        </w:rPr>
        <w:t>1</w:t>
      </w:r>
      <w:r>
        <w:rPr>
          <w:rFonts w:hint="eastAsia" w:ascii="仿宋_GB2312" w:eastAsia="仿宋_GB2312" w:cs="仿宋_GB2312"/>
          <w:sz w:val="32"/>
          <w:szCs w:val="32"/>
          <w:highlight w:val="none"/>
          <w:u w:val="none"/>
          <w:lang w:bidi="ar-SA"/>
        </w:rPr>
        <w:t>.</w:t>
      </w:r>
      <w:r>
        <w:rPr>
          <w:rFonts w:hint="eastAsia" w:ascii="仿宋_GB2312" w:eastAsia="仿宋_GB2312" w:cs="仿宋_GB2312"/>
          <w:sz w:val="32"/>
          <w:szCs w:val="32"/>
          <w:highlight w:val="none"/>
          <w:u w:val="none"/>
          <w:lang w:val="en-US" w:eastAsia="zh-CN" w:bidi="ar-SA"/>
        </w:rPr>
        <w:t>6</w:t>
      </w:r>
      <w:r>
        <w:rPr>
          <w:rFonts w:hint="eastAsia" w:ascii="仿宋_GB2312" w:eastAsia="仿宋_GB2312" w:cs="仿宋_GB2312"/>
          <w:sz w:val="32"/>
          <w:szCs w:val="32"/>
          <w:highlight w:val="none"/>
          <w:u w:val="none"/>
          <w:lang w:bidi="ar-SA"/>
        </w:rPr>
        <w:t>亿元增加20</w:t>
      </w:r>
      <w:r>
        <w:rPr>
          <w:rFonts w:hint="eastAsia" w:ascii="仿宋_GB2312" w:eastAsia="仿宋_GB2312" w:cs="仿宋_GB2312"/>
          <w:sz w:val="32"/>
          <w:szCs w:val="32"/>
          <w:highlight w:val="none"/>
          <w:u w:val="none"/>
          <w:lang w:val="en-US" w:eastAsia="zh-CN" w:bidi="ar-SA"/>
        </w:rPr>
        <w:t>7</w:t>
      </w:r>
      <w:r>
        <w:rPr>
          <w:rFonts w:hint="eastAsia" w:ascii="仿宋_GB2312" w:eastAsia="仿宋_GB2312" w:cs="仿宋_GB2312"/>
          <w:sz w:val="32"/>
          <w:szCs w:val="32"/>
          <w:highlight w:val="none"/>
          <w:u w:val="none"/>
          <w:lang w:bidi="ar-SA"/>
        </w:rPr>
        <w:t>.</w:t>
      </w:r>
      <w:r>
        <w:rPr>
          <w:rFonts w:hint="eastAsia" w:ascii="仿宋_GB2312" w:eastAsia="仿宋_GB2312" w:cs="仿宋_GB2312"/>
          <w:sz w:val="32"/>
          <w:szCs w:val="32"/>
          <w:highlight w:val="none"/>
          <w:u w:val="none"/>
          <w:lang w:val="en-US" w:eastAsia="zh-CN" w:bidi="ar-SA"/>
        </w:rPr>
        <w:t>7</w:t>
      </w:r>
      <w:r>
        <w:rPr>
          <w:rFonts w:hint="eastAsia" w:ascii="仿宋_GB2312" w:eastAsia="仿宋_GB2312" w:cs="仿宋_GB2312"/>
          <w:sz w:val="32"/>
          <w:szCs w:val="32"/>
          <w:highlight w:val="none"/>
          <w:u w:val="none"/>
          <w:lang w:bidi="ar-SA"/>
        </w:rPr>
        <w:t>亿元，增长24.</w:t>
      </w:r>
      <w:r>
        <w:rPr>
          <w:rFonts w:hint="eastAsia" w:ascii="仿宋_GB2312" w:eastAsia="仿宋_GB2312" w:cs="仿宋_GB2312"/>
          <w:sz w:val="32"/>
          <w:szCs w:val="32"/>
          <w:highlight w:val="none"/>
          <w:u w:val="none"/>
          <w:lang w:val="en-US" w:eastAsia="zh-CN" w:bidi="ar-SA"/>
        </w:rPr>
        <w:t>7</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宋体" w:hAnsi="宋体" w:eastAsia="仿宋_GB2312" w:cs="Times New Roman"/>
          <w:spacing w:val="-2"/>
          <w:kern w:val="0"/>
          <w:sz w:val="32"/>
          <w:szCs w:val="24"/>
          <w:highlight w:val="none"/>
          <w:u w:val="none"/>
          <w:lang w:val="en-US" w:eastAsia="zh-CN" w:bidi="ar-SA"/>
        </w:rPr>
      </w:pPr>
    </w:p>
    <w:tbl>
      <w:tblPr>
        <w:tblStyle w:val="13"/>
        <w:tblW w:w="0" w:type="auto"/>
        <w:tblInd w:w="108" w:type="dxa"/>
        <w:tblLayout w:type="fixed"/>
        <w:tblCellMar>
          <w:top w:w="0" w:type="dxa"/>
          <w:left w:w="108" w:type="dxa"/>
          <w:bottom w:w="0" w:type="dxa"/>
          <w:right w:w="108" w:type="dxa"/>
        </w:tblCellMar>
      </w:tblPr>
      <w:tblGrid>
        <w:gridCol w:w="3626"/>
        <w:gridCol w:w="1324"/>
        <w:gridCol w:w="1279"/>
        <w:gridCol w:w="1159"/>
        <w:gridCol w:w="1252"/>
      </w:tblGrid>
      <w:tr>
        <w:tblPrEx>
          <w:tblCellMar>
            <w:top w:w="0" w:type="dxa"/>
            <w:left w:w="108" w:type="dxa"/>
            <w:bottom w:w="0" w:type="dxa"/>
            <w:right w:w="108" w:type="dxa"/>
          </w:tblCellMar>
        </w:tblPrEx>
        <w:trPr>
          <w:trHeight w:val="737" w:hRule="atLeast"/>
        </w:trPr>
        <w:tc>
          <w:tcPr>
            <w:tcW w:w="8640" w:type="dxa"/>
            <w:gridSpan w:val="5"/>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cs="宋体"/>
                <w:b/>
                <w:bCs/>
                <w:kern w:val="0"/>
                <w:sz w:val="28"/>
                <w:szCs w:val="28"/>
                <w:highlight w:val="none"/>
                <w:u w:val="none"/>
                <w:lang w:bidi="ar-SA"/>
              </w:rPr>
            </w:pPr>
            <w:r>
              <w:rPr>
                <w:rFonts w:hint="eastAsia" w:ascii="仿宋_GB2312" w:eastAsia="仿宋_GB2312" w:cs="宋体"/>
                <w:b/>
                <w:bCs/>
                <w:kern w:val="0"/>
                <w:sz w:val="28"/>
                <w:szCs w:val="28"/>
                <w:highlight w:val="none"/>
                <w:u w:val="none"/>
                <w:lang w:bidi="ar-SA"/>
              </w:rPr>
              <w:t>2022年预算草案收入预算情况表（按险种）</w:t>
            </w:r>
          </w:p>
        </w:tc>
      </w:tr>
      <w:tr>
        <w:tblPrEx>
          <w:tblCellMar>
            <w:top w:w="0" w:type="dxa"/>
            <w:left w:w="108" w:type="dxa"/>
            <w:bottom w:w="0" w:type="dxa"/>
            <w:right w:w="108" w:type="dxa"/>
          </w:tblCellMar>
        </w:tblPrEx>
        <w:trPr>
          <w:trHeight w:val="363" w:hRule="atLeast"/>
        </w:trPr>
        <w:tc>
          <w:tcPr>
            <w:tcW w:w="6229" w:type="dxa"/>
            <w:gridSpan w:val="3"/>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cs="宋体"/>
                <w:b/>
                <w:bCs/>
                <w:kern w:val="0"/>
                <w:sz w:val="22"/>
                <w:szCs w:val="22"/>
                <w:highlight w:val="none"/>
                <w:u w:val="none"/>
                <w:lang w:bidi="ar-SA"/>
              </w:rPr>
            </w:pPr>
          </w:p>
        </w:tc>
        <w:tc>
          <w:tcPr>
            <w:tcW w:w="2411" w:type="dxa"/>
            <w:gridSpan w:val="2"/>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单位：万元</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险种</w:t>
            </w:r>
          </w:p>
        </w:tc>
        <w:tc>
          <w:tcPr>
            <w:tcW w:w="1324" w:type="dxa"/>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1"/>
                <w:szCs w:val="21"/>
                <w:highlight w:val="none"/>
                <w:u w:val="none"/>
                <w:lang w:bidi="ar-SA"/>
              </w:rPr>
            </w:pPr>
            <w:r>
              <w:rPr>
                <w:rFonts w:ascii="Arial Narrow" w:hAnsi="Arial Narrow" w:eastAsia="宋体" w:cs="宋体"/>
                <w:b/>
                <w:bCs/>
                <w:kern w:val="0"/>
                <w:sz w:val="21"/>
                <w:szCs w:val="21"/>
                <w:highlight w:val="none"/>
                <w:u w:val="none"/>
                <w:lang w:bidi="ar-SA"/>
              </w:rPr>
              <w:t>2022</w:t>
            </w:r>
            <w:r>
              <w:rPr>
                <w:rFonts w:hint="eastAsia" w:ascii="Arial Narrow" w:hAnsi="Arial Narrow" w:cs="宋体"/>
                <w:b/>
                <w:bCs/>
                <w:kern w:val="0"/>
                <w:sz w:val="21"/>
                <w:szCs w:val="21"/>
                <w:highlight w:val="none"/>
                <w:u w:val="none"/>
                <w:lang w:eastAsia="zh-CN" w:bidi="ar-SA"/>
              </w:rPr>
              <w:t>年</w:t>
            </w:r>
            <w:r>
              <w:rPr>
                <w:rFonts w:hint="eastAsia" w:ascii="宋体" w:eastAsia="宋体" w:cs="宋体"/>
                <w:b/>
                <w:bCs/>
                <w:kern w:val="0"/>
                <w:sz w:val="21"/>
                <w:szCs w:val="21"/>
                <w:highlight w:val="none"/>
                <w:u w:val="none"/>
                <w:lang w:bidi="ar-SA"/>
              </w:rPr>
              <w:t>预算草案</w:t>
            </w:r>
          </w:p>
        </w:tc>
        <w:tc>
          <w:tcPr>
            <w:tcW w:w="1279" w:type="dxa"/>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Arial Narrow" w:hAnsi="Arial Narrow" w:cs="宋体"/>
                <w:b/>
                <w:bCs/>
                <w:kern w:val="0"/>
                <w:sz w:val="21"/>
                <w:szCs w:val="21"/>
                <w:highlight w:val="none"/>
                <w:u w:val="none"/>
                <w:lang w:eastAsia="zh-CN" w:bidi="ar-SA"/>
              </w:rPr>
            </w:pPr>
            <w:r>
              <w:rPr>
                <w:rFonts w:ascii="Arial Narrow" w:hAnsi="Arial Narrow" w:eastAsia="宋体" w:cs="宋体"/>
                <w:b/>
                <w:bCs/>
                <w:kern w:val="0"/>
                <w:sz w:val="21"/>
                <w:szCs w:val="21"/>
                <w:highlight w:val="none"/>
                <w:u w:val="none"/>
                <w:lang w:bidi="ar-SA"/>
              </w:rPr>
              <w:t>2021</w:t>
            </w:r>
            <w:r>
              <w:rPr>
                <w:rFonts w:hint="eastAsia" w:ascii="Arial Narrow" w:hAnsi="Arial Narrow" w:cs="宋体"/>
                <w:b/>
                <w:bCs/>
                <w:kern w:val="0"/>
                <w:sz w:val="21"/>
                <w:szCs w:val="21"/>
                <w:highlight w:val="none"/>
                <w:u w:val="none"/>
                <w:lang w:eastAsia="zh-CN" w:bidi="ar-SA"/>
              </w:rPr>
              <w:t>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1"/>
                <w:szCs w:val="21"/>
                <w:highlight w:val="none"/>
                <w:u w:val="none"/>
                <w:lang w:bidi="ar-SA"/>
              </w:rPr>
            </w:pPr>
            <w:r>
              <w:rPr>
                <w:rFonts w:hint="eastAsia" w:ascii="Arial Narrow" w:hAnsi="Arial Narrow" w:cs="宋体"/>
                <w:b/>
                <w:bCs/>
                <w:kern w:val="0"/>
                <w:sz w:val="21"/>
                <w:szCs w:val="21"/>
                <w:highlight w:val="none"/>
                <w:u w:val="none"/>
                <w:lang w:eastAsia="zh-CN" w:bidi="ar-SA"/>
              </w:rPr>
              <w:t>预计</w:t>
            </w:r>
            <w:r>
              <w:rPr>
                <w:rFonts w:hint="eastAsia" w:ascii="宋体" w:eastAsia="宋体" w:cs="宋体"/>
                <w:b/>
                <w:bCs/>
                <w:kern w:val="0"/>
                <w:sz w:val="21"/>
                <w:szCs w:val="21"/>
                <w:highlight w:val="none"/>
                <w:u w:val="none"/>
                <w:lang w:bidi="ar-SA"/>
              </w:rPr>
              <w:t>执行</w:t>
            </w:r>
          </w:p>
        </w:tc>
        <w:tc>
          <w:tcPr>
            <w:tcW w:w="1159"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增减额</w:t>
            </w:r>
          </w:p>
        </w:tc>
        <w:tc>
          <w:tcPr>
            <w:tcW w:w="1252"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增减率</w:t>
            </w:r>
          </w:p>
        </w:tc>
      </w:tr>
      <w:tr>
        <w:tblPrEx>
          <w:tblCellMar>
            <w:top w:w="0" w:type="dxa"/>
            <w:left w:w="108" w:type="dxa"/>
            <w:bottom w:w="0" w:type="dxa"/>
            <w:right w:w="108" w:type="dxa"/>
          </w:tblCellMar>
        </w:tblPrEx>
        <w:trPr>
          <w:trHeight w:val="363" w:hRule="atLeast"/>
        </w:trPr>
        <w:tc>
          <w:tcPr>
            <w:tcW w:w="36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城乡居民基本养老保险</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5,627</w:t>
            </w:r>
          </w:p>
        </w:tc>
        <w:tc>
          <w:tcPr>
            <w:tcW w:w="12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7,582</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-1,955</w:t>
            </w:r>
          </w:p>
        </w:tc>
        <w:tc>
          <w:tcPr>
            <w:tcW w:w="12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-25.78%</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机关事业单位基本养老保险（改革）</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1,320,064</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999,792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320,272</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32.03%</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职工基本医疗</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6,773,078</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5,632,865</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1,140,213</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20.24%</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城乡居民基本医疗</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576,575</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w:t>
            </w:r>
            <w:r>
              <w:rPr>
                <w:rFonts w:hint="eastAsia" w:ascii="Arial Narrow" w:hAnsi="Arial Narrow" w:eastAsia="宋体" w:cs="宋体"/>
                <w:kern w:val="0"/>
                <w:sz w:val="21"/>
                <w:szCs w:val="21"/>
                <w:highlight w:val="none"/>
                <w:u w:val="none"/>
                <w:lang w:val="en-US" w:eastAsia="zh-CN" w:bidi="ar-SA"/>
              </w:rPr>
              <w:t>72</w:t>
            </w:r>
            <w:r>
              <w:rPr>
                <w:rFonts w:ascii="Arial Narrow" w:hAnsi="Arial Narrow" w:eastAsia="宋体" w:cs="宋体"/>
                <w:kern w:val="0"/>
                <w:sz w:val="21"/>
                <w:szCs w:val="21"/>
                <w:highlight w:val="none"/>
                <w:u w:val="none"/>
                <w:lang w:bidi="ar-SA"/>
              </w:rPr>
              <w:t>,</w:t>
            </w:r>
            <w:r>
              <w:rPr>
                <w:rFonts w:hint="eastAsia" w:ascii="Arial Narrow" w:hAnsi="Arial Narrow" w:eastAsia="宋体" w:cs="宋体"/>
                <w:kern w:val="0"/>
                <w:sz w:val="21"/>
                <w:szCs w:val="21"/>
                <w:highlight w:val="none"/>
                <w:u w:val="none"/>
                <w:lang w:val="en-US" w:eastAsia="zh-CN" w:bidi="ar-SA"/>
              </w:rPr>
              <w:t>564</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hint="eastAsia" w:ascii="Arial Narrow" w:hAnsi="Arial Narrow" w:eastAsia="宋体" w:cs="宋体"/>
                <w:kern w:val="0"/>
                <w:sz w:val="21"/>
                <w:szCs w:val="21"/>
                <w:highlight w:val="none"/>
                <w:u w:val="none"/>
                <w:lang w:val="en-US" w:eastAsia="zh-CN" w:bidi="ar-SA"/>
              </w:rPr>
              <w:t>4</w:t>
            </w:r>
            <w:r>
              <w:rPr>
                <w:rFonts w:ascii="Arial Narrow" w:hAnsi="Arial Narrow" w:eastAsia="宋体" w:cs="宋体"/>
                <w:kern w:val="0"/>
                <w:sz w:val="21"/>
                <w:szCs w:val="21"/>
                <w:highlight w:val="none"/>
                <w:u w:val="none"/>
                <w:lang w:bidi="ar-SA"/>
              </w:rPr>
              <w:t>,</w:t>
            </w:r>
            <w:r>
              <w:rPr>
                <w:rFonts w:hint="eastAsia" w:ascii="Arial Narrow" w:hAnsi="Arial Narrow" w:eastAsia="宋体" w:cs="宋体"/>
                <w:kern w:val="0"/>
                <w:sz w:val="21"/>
                <w:szCs w:val="21"/>
                <w:highlight w:val="none"/>
                <w:u w:val="none"/>
                <w:lang w:val="en-US" w:eastAsia="zh-CN" w:bidi="ar-SA"/>
              </w:rPr>
              <w:t>001</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hint="eastAsia" w:ascii="Arial Narrow" w:hAnsi="Arial Narrow" w:eastAsia="宋体" w:cs="宋体"/>
                <w:kern w:val="0"/>
                <w:sz w:val="21"/>
                <w:szCs w:val="21"/>
                <w:highlight w:val="none"/>
                <w:u w:val="none"/>
                <w:lang w:val="en-US" w:eastAsia="zh-CN" w:bidi="ar-SA"/>
              </w:rPr>
              <w:t>0</w:t>
            </w:r>
            <w:r>
              <w:rPr>
                <w:rFonts w:ascii="Arial Narrow" w:hAnsi="Arial Narrow" w:eastAsia="宋体" w:cs="宋体"/>
                <w:kern w:val="0"/>
                <w:sz w:val="21"/>
                <w:szCs w:val="21"/>
                <w:highlight w:val="none"/>
                <w:u w:val="none"/>
                <w:lang w:bidi="ar-SA"/>
              </w:rPr>
              <w:t>.</w:t>
            </w:r>
            <w:r>
              <w:rPr>
                <w:rFonts w:hint="eastAsia" w:ascii="Arial Narrow" w:hAnsi="Arial Narrow" w:eastAsia="宋体" w:cs="宋体"/>
                <w:kern w:val="0"/>
                <w:sz w:val="21"/>
                <w:szCs w:val="21"/>
                <w:highlight w:val="none"/>
                <w:u w:val="none"/>
                <w:lang w:val="en-US" w:eastAsia="zh-CN" w:bidi="ar-SA"/>
              </w:rPr>
              <w:t>7</w:t>
            </w:r>
            <w:r>
              <w:rPr>
                <w:rFonts w:ascii="Arial Narrow" w:hAnsi="Arial Narrow" w:eastAsia="宋体" w:cs="宋体"/>
                <w:kern w:val="0"/>
                <w:sz w:val="21"/>
                <w:szCs w:val="21"/>
                <w:highlight w:val="none"/>
                <w:u w:val="none"/>
                <w:lang w:bidi="ar-SA"/>
              </w:rPr>
              <w:t>0%</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失业保险</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621,433</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344,290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277,143</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80.50%</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机关事业单位基本养老保险（试点）</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258,125</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12,607</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245,518</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1947.47%</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地方补充养老保险</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627,884</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596,027</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31,857</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5.34%</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1"/>
                <w:szCs w:val="21"/>
                <w:highlight w:val="none"/>
                <w:u w:val="none"/>
                <w:lang w:bidi="ar-SA"/>
              </w:rPr>
            </w:pPr>
            <w:r>
              <w:rPr>
                <w:rFonts w:hint="eastAsia" w:ascii="宋体" w:eastAsia="宋体" w:cs="宋体"/>
                <w:kern w:val="0"/>
                <w:sz w:val="21"/>
                <w:szCs w:val="21"/>
                <w:highlight w:val="none"/>
                <w:u w:val="none"/>
                <w:lang w:bidi="ar-SA"/>
              </w:rPr>
              <w:t>地方补充医疗保险</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310,844</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250,584</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60,260</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1"/>
                <w:szCs w:val="21"/>
                <w:highlight w:val="none"/>
                <w:u w:val="none"/>
                <w:lang w:bidi="ar-SA"/>
              </w:rPr>
            </w:pPr>
            <w:r>
              <w:rPr>
                <w:rFonts w:ascii="Arial Narrow" w:hAnsi="Arial Narrow" w:eastAsia="宋体" w:cs="宋体"/>
                <w:kern w:val="0"/>
                <w:sz w:val="21"/>
                <w:szCs w:val="21"/>
                <w:highlight w:val="none"/>
                <w:u w:val="none"/>
                <w:lang w:bidi="ar-SA"/>
              </w:rPr>
              <w:t>24.05%</w:t>
            </w:r>
          </w:p>
        </w:tc>
      </w:tr>
      <w:tr>
        <w:tblPrEx>
          <w:tblCellMar>
            <w:top w:w="0" w:type="dxa"/>
            <w:left w:w="108" w:type="dxa"/>
            <w:bottom w:w="0" w:type="dxa"/>
            <w:right w:w="108" w:type="dxa"/>
          </w:tblCellMar>
        </w:tblPrEx>
        <w:trPr>
          <w:trHeight w:val="363" w:hRule="atLeast"/>
        </w:trPr>
        <w:tc>
          <w:tcPr>
            <w:tcW w:w="3626"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总</w:t>
            </w:r>
            <w:r>
              <w:rPr>
                <w:rFonts w:ascii="Arial Narrow" w:hAnsi="Arial Narrow" w:eastAsia="宋体" w:cs="宋体"/>
                <w:b/>
                <w:bCs/>
                <w:kern w:val="0"/>
                <w:sz w:val="21"/>
                <w:szCs w:val="21"/>
                <w:highlight w:val="none"/>
                <w:u w:val="none"/>
                <w:lang w:bidi="ar-SA"/>
              </w:rPr>
              <w:t xml:space="preserve">  </w:t>
            </w:r>
            <w:r>
              <w:rPr>
                <w:rFonts w:hint="eastAsia" w:ascii="宋体" w:eastAsia="宋体" w:cs="宋体"/>
                <w:b/>
                <w:bCs/>
                <w:kern w:val="0"/>
                <w:sz w:val="21"/>
                <w:szCs w:val="21"/>
                <w:highlight w:val="none"/>
                <w:u w:val="none"/>
                <w:lang w:bidi="ar-SA"/>
              </w:rPr>
              <w:t>计</w:t>
            </w:r>
          </w:p>
        </w:tc>
        <w:tc>
          <w:tcPr>
            <w:tcW w:w="1324"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1"/>
                <w:szCs w:val="21"/>
                <w:highlight w:val="none"/>
                <w:u w:val="none"/>
                <w:lang w:bidi="ar-SA"/>
              </w:rPr>
            </w:pPr>
            <w:r>
              <w:rPr>
                <w:rFonts w:ascii="Arial Narrow" w:hAnsi="Arial Narrow" w:eastAsia="宋体" w:cs="宋体"/>
                <w:b/>
                <w:bCs/>
                <w:kern w:val="0"/>
                <w:sz w:val="21"/>
                <w:szCs w:val="21"/>
                <w:highlight w:val="none"/>
                <w:u w:val="none"/>
                <w:lang w:bidi="ar-SA"/>
              </w:rPr>
              <w:t>10,493,630</w:t>
            </w:r>
          </w:p>
        </w:tc>
        <w:tc>
          <w:tcPr>
            <w:tcW w:w="1279"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Arial Narrow" w:hAnsi="Arial Narrow" w:eastAsia="宋体" w:cs="宋体"/>
                <w:b/>
                <w:bCs/>
                <w:kern w:val="0"/>
                <w:sz w:val="21"/>
                <w:szCs w:val="21"/>
                <w:highlight w:val="none"/>
                <w:u w:val="none"/>
                <w:lang w:val="en-US" w:eastAsia="zh-CN" w:bidi="ar-SA"/>
              </w:rPr>
            </w:pPr>
            <w:r>
              <w:rPr>
                <w:rFonts w:ascii="Arial Narrow" w:hAnsi="Arial Narrow" w:eastAsia="宋体" w:cs="宋体"/>
                <w:b/>
                <w:bCs/>
                <w:kern w:val="0"/>
                <w:sz w:val="21"/>
                <w:szCs w:val="21"/>
                <w:highlight w:val="none"/>
                <w:u w:val="none"/>
                <w:lang w:bidi="ar-SA"/>
              </w:rPr>
              <w:t>8,4</w:t>
            </w:r>
            <w:r>
              <w:rPr>
                <w:rFonts w:hint="eastAsia" w:ascii="Arial Narrow" w:hAnsi="Arial Narrow" w:eastAsia="宋体" w:cs="宋体"/>
                <w:b/>
                <w:bCs/>
                <w:kern w:val="0"/>
                <w:sz w:val="21"/>
                <w:szCs w:val="21"/>
                <w:highlight w:val="none"/>
                <w:u w:val="none"/>
                <w:lang w:val="en-US" w:eastAsia="zh-CN" w:bidi="ar-SA"/>
              </w:rPr>
              <w:t>16</w:t>
            </w:r>
            <w:r>
              <w:rPr>
                <w:rFonts w:ascii="Arial Narrow" w:hAnsi="Arial Narrow" w:eastAsia="宋体" w:cs="宋体"/>
                <w:b/>
                <w:bCs/>
                <w:kern w:val="0"/>
                <w:sz w:val="21"/>
                <w:szCs w:val="21"/>
                <w:highlight w:val="none"/>
                <w:u w:val="none"/>
                <w:lang w:bidi="ar-SA"/>
              </w:rPr>
              <w:t>,</w:t>
            </w:r>
            <w:r>
              <w:rPr>
                <w:rFonts w:hint="eastAsia" w:ascii="Arial Narrow" w:hAnsi="Arial Narrow" w:eastAsia="宋体" w:cs="宋体"/>
                <w:b/>
                <w:bCs/>
                <w:kern w:val="0"/>
                <w:sz w:val="21"/>
                <w:szCs w:val="21"/>
                <w:highlight w:val="none"/>
                <w:u w:val="none"/>
                <w:lang w:val="en-US" w:eastAsia="zh-CN" w:bidi="ar-SA"/>
              </w:rPr>
              <w:t>311</w:t>
            </w:r>
          </w:p>
        </w:tc>
        <w:tc>
          <w:tcPr>
            <w:tcW w:w="1159"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1"/>
                <w:szCs w:val="21"/>
                <w:highlight w:val="none"/>
                <w:u w:val="none"/>
                <w:lang w:bidi="ar-SA"/>
              </w:rPr>
            </w:pPr>
            <w:r>
              <w:rPr>
                <w:rFonts w:ascii="Arial Narrow" w:hAnsi="Arial Narrow" w:eastAsia="宋体" w:cs="宋体"/>
                <w:b/>
                <w:bCs/>
                <w:kern w:val="0"/>
                <w:sz w:val="21"/>
                <w:szCs w:val="21"/>
                <w:highlight w:val="none"/>
                <w:u w:val="none"/>
                <w:lang w:bidi="ar-SA"/>
              </w:rPr>
              <w:t>2,0</w:t>
            </w:r>
            <w:r>
              <w:rPr>
                <w:rFonts w:hint="eastAsia" w:ascii="Arial Narrow" w:hAnsi="Arial Narrow" w:eastAsia="宋体" w:cs="宋体"/>
                <w:b/>
                <w:bCs/>
                <w:kern w:val="0"/>
                <w:sz w:val="21"/>
                <w:szCs w:val="21"/>
                <w:highlight w:val="none"/>
                <w:u w:val="none"/>
                <w:lang w:val="en-US" w:eastAsia="zh-CN" w:bidi="ar-SA"/>
              </w:rPr>
              <w:t>77</w:t>
            </w:r>
            <w:r>
              <w:rPr>
                <w:rFonts w:ascii="Arial Narrow" w:hAnsi="Arial Narrow" w:eastAsia="宋体" w:cs="宋体"/>
                <w:b/>
                <w:bCs/>
                <w:kern w:val="0"/>
                <w:sz w:val="21"/>
                <w:szCs w:val="21"/>
                <w:highlight w:val="none"/>
                <w:u w:val="none"/>
                <w:lang w:bidi="ar-SA"/>
              </w:rPr>
              <w:t>,</w:t>
            </w:r>
            <w:r>
              <w:rPr>
                <w:rFonts w:hint="eastAsia" w:ascii="Arial Narrow" w:hAnsi="Arial Narrow" w:eastAsia="宋体" w:cs="宋体"/>
                <w:b/>
                <w:bCs/>
                <w:kern w:val="0"/>
                <w:sz w:val="21"/>
                <w:szCs w:val="21"/>
                <w:highlight w:val="none"/>
                <w:u w:val="none"/>
                <w:lang w:val="en-US" w:eastAsia="zh-CN" w:bidi="ar-SA"/>
              </w:rPr>
              <w:t>319</w:t>
            </w:r>
          </w:p>
        </w:tc>
        <w:tc>
          <w:tcPr>
            <w:tcW w:w="125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1"/>
                <w:szCs w:val="21"/>
                <w:highlight w:val="none"/>
                <w:u w:val="none"/>
                <w:lang w:bidi="ar-SA"/>
              </w:rPr>
            </w:pPr>
            <w:r>
              <w:rPr>
                <w:rFonts w:ascii="Arial Narrow" w:hAnsi="Arial Narrow" w:eastAsia="宋体" w:cs="宋体"/>
                <w:b/>
                <w:bCs/>
                <w:kern w:val="0"/>
                <w:sz w:val="21"/>
                <w:szCs w:val="21"/>
                <w:highlight w:val="none"/>
                <w:u w:val="none"/>
                <w:lang w:bidi="ar-SA"/>
              </w:rPr>
              <w:t>24.</w:t>
            </w:r>
            <w:r>
              <w:rPr>
                <w:rFonts w:hint="eastAsia" w:ascii="Arial Narrow" w:hAnsi="Arial Narrow" w:eastAsia="宋体" w:cs="宋体"/>
                <w:b/>
                <w:bCs/>
                <w:kern w:val="0"/>
                <w:sz w:val="21"/>
                <w:szCs w:val="21"/>
                <w:highlight w:val="none"/>
                <w:u w:val="none"/>
                <w:lang w:val="en-US" w:eastAsia="zh-CN" w:bidi="ar-SA"/>
              </w:rPr>
              <w:t>68</w:t>
            </w:r>
            <w:r>
              <w:rPr>
                <w:rFonts w:ascii="Arial Narrow" w:hAnsi="Arial Narrow" w:eastAsia="宋体" w:cs="宋体"/>
                <w:b/>
                <w:bCs/>
                <w:kern w:val="0"/>
                <w:sz w:val="21"/>
                <w:szCs w:val="21"/>
                <w:highlight w:val="none"/>
                <w:u w:val="none"/>
                <w:lang w:bidi="ar-SA"/>
              </w:rPr>
              <w:t>%</w:t>
            </w:r>
          </w:p>
        </w:tc>
      </w:tr>
    </w:tbl>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（一）城乡居民基本养老保险基金预算收入0.6亿元，比上年下降25.8%。</w:t>
      </w:r>
      <w:r>
        <w:rPr>
          <w:rFonts w:hint="eastAsia" w:ascii="仿宋_GB2312" w:eastAsia="仿宋_GB2312" w:cs="Calibri"/>
          <w:sz w:val="32"/>
          <w:szCs w:val="32"/>
          <w:highlight w:val="none"/>
          <w:u w:val="none"/>
          <w:lang w:bidi="ar-SA"/>
        </w:rPr>
        <w:t>主要原因是实施新的居民养老保险制度，60周岁以上户籍迁入深圳居民不纳入本市居民养老保险参保范围，预计参保人数有所减少。</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（二）机关事业单位基本养老保险(改革）基金预算收入132亿元，比上年增长32%。</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预计参保人数、缴费基数略增；</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拟完成中央驻深等单位准备期补缴工作，增加社保费收入。</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（三）职工基本医疗保险基金预算收入677.3亿元，比上年增长20.2%。</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一档企业职工缴费费率从7%恢复至8%，预计参保人数增长、缴费基数随着社平工资增长；</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到期定期存款增加，增加利息收入。</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（四）城乡居民基本医疗保险基金预算收入57.7亿元，比上年增长</w:t>
      </w:r>
      <w:r>
        <w:rPr>
          <w:rFonts w:hint="eastAsia" w:ascii="楷体_GB2312" w:eastAsia="楷体_GB2312" w:cs="黑体"/>
          <w:bCs/>
          <w:sz w:val="32"/>
          <w:szCs w:val="32"/>
          <w:highlight w:val="none"/>
          <w:u w:val="none"/>
          <w:lang w:val="en-US" w:eastAsia="zh-CN" w:bidi="ar-SA"/>
        </w:rPr>
        <w:t>0</w:t>
      </w:r>
      <w:r>
        <w:rPr>
          <w:rFonts w:hint="eastAsia" w:ascii="楷体_GB2312" w:eastAsia="楷体_GB2312" w:cs="黑体"/>
          <w:bCs/>
          <w:sz w:val="32"/>
          <w:szCs w:val="32"/>
          <w:highlight w:val="none"/>
          <w:u w:val="none"/>
          <w:lang w:bidi="ar-SA"/>
        </w:rPr>
        <w:t>.</w:t>
      </w:r>
      <w:r>
        <w:rPr>
          <w:rFonts w:hint="eastAsia" w:ascii="楷体_GB2312" w:eastAsia="楷体_GB2312" w:cs="黑体"/>
          <w:bCs/>
          <w:sz w:val="32"/>
          <w:szCs w:val="32"/>
          <w:highlight w:val="none"/>
          <w:u w:val="none"/>
          <w:lang w:val="en-US" w:eastAsia="zh-CN" w:bidi="ar-SA"/>
        </w:rPr>
        <w:t>7</w:t>
      </w:r>
      <w:r>
        <w:rPr>
          <w:rFonts w:hint="eastAsia" w:ascii="楷体_GB2312" w:eastAsia="楷体_GB2312" w:cs="黑体"/>
          <w:bCs/>
          <w:sz w:val="32"/>
          <w:szCs w:val="32"/>
          <w:highlight w:val="none"/>
          <w:u w:val="none"/>
          <w:lang w:bidi="ar-SA"/>
        </w:rPr>
        <w:t>%。</w:t>
      </w:r>
      <w:r>
        <w:rPr>
          <w:rFonts w:hint="eastAsia" w:ascii="仿宋_GB2312" w:eastAsia="仿宋_GB2312" w:cs="Calibri"/>
          <w:sz w:val="32"/>
          <w:szCs w:val="32"/>
          <w:highlight w:val="none"/>
          <w:u w:val="none"/>
          <w:lang w:bidi="ar-SA"/>
        </w:rPr>
        <w:t>主要原因是预计缴费人数略增、缴费基数随着社平工资增长。</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（五）失业保险基金预算收入62.1亿元，比上年增长80.5%。</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预计参保人数略增、缴费基数随着最低工资标准相应提高；</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根据省文件规定，</w:t>
      </w:r>
      <w:r>
        <w:rPr>
          <w:rFonts w:hint="eastAsia" w:ascii="仿宋_GB2312" w:eastAsia="仿宋_GB2312" w:cs="Calibri"/>
          <w:sz w:val="32"/>
          <w:szCs w:val="32"/>
          <w:highlight w:val="none"/>
          <w:u w:val="none"/>
          <w:lang w:eastAsia="zh-CN" w:bidi="ar-SA"/>
        </w:rPr>
        <w:t>从</w:t>
      </w:r>
      <w:r>
        <w:rPr>
          <w:rFonts w:hint="eastAsia" w:ascii="仿宋_GB2312" w:eastAsia="仿宋_GB2312" w:cs="Calibri"/>
          <w:sz w:val="32"/>
          <w:szCs w:val="32"/>
          <w:highlight w:val="none"/>
          <w:u w:val="none"/>
          <w:lang w:bidi="ar-SA"/>
        </w:rPr>
        <w:t>2022年7月1日起失业保险实行省级统筹，省拨付的支出用款按规定列入“上级补助收入”，增加上级补助收入。</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（六）机关事业单位基本养老保险(试点）基金预算收入25.8亿元，比上年增长1947.5%。</w:t>
      </w:r>
      <w:r>
        <w:rPr>
          <w:rFonts w:hint="eastAsia" w:ascii="仿宋_GB2312" w:eastAsia="仿宋_GB2312" w:cs="Calibri"/>
          <w:sz w:val="32"/>
          <w:szCs w:val="32"/>
          <w:highlight w:val="none"/>
          <w:u w:val="none"/>
          <w:lang w:bidi="ar-SA"/>
        </w:rPr>
        <w:t>主要是继续开展机关事业单位养老保险改革清算工作，出现的资金缺口按照相关规定由财政补足。</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楷体_GB2312" w:eastAsia="楷体_GB2312" w:cs="黑体"/>
          <w:b/>
          <w:sz w:val="32"/>
          <w:szCs w:val="32"/>
          <w:highlight w:val="none"/>
          <w:u w:val="none"/>
          <w:lang w:bidi="ar-SA"/>
        </w:rPr>
      </w:pPr>
      <w:r>
        <w:rPr>
          <w:rFonts w:hint="eastAsia" w:ascii="楷体_GB2312" w:eastAsia="楷体_GB2312" w:cs="黑体"/>
          <w:bCs/>
          <w:sz w:val="32"/>
          <w:szCs w:val="32"/>
          <w:highlight w:val="none"/>
          <w:u w:val="none"/>
          <w:lang w:bidi="ar-SA"/>
        </w:rPr>
        <w:t>（七）地方补充养老保险基金预算收入62.8亿元，比上年增长5.3%。</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预计参保人数和缴费基数略增；</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国土基金划拨地方补充养老保险基金的资金增加。</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firstLine="640" w:firstLineChars="200"/>
        <w:textAlignment w:val="auto"/>
        <w:rPr>
          <w:rFonts w:hint="eastAsia" w:ascii="楷体_GB2312" w:eastAsia="楷体_GB2312" w:cs="黑体"/>
          <w:b/>
          <w:sz w:val="32"/>
          <w:szCs w:val="32"/>
          <w:highlight w:val="none"/>
          <w:u w:val="none"/>
          <w:lang w:bidi="ar-SA"/>
        </w:rPr>
      </w:pPr>
      <w:r>
        <w:rPr>
          <w:rFonts w:hint="eastAsia" w:ascii="楷体_GB2312" w:eastAsia="楷体_GB2312" w:cs="黑体"/>
          <w:bCs/>
          <w:sz w:val="32"/>
          <w:szCs w:val="32"/>
          <w:highlight w:val="none"/>
          <w:u w:val="none"/>
          <w:lang w:bidi="ar-SA"/>
        </w:rPr>
        <w:t>（八）地方补充医疗保险基金预算收入31.1亿元，比上年增长24.0%。</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预计缴费人数略增、缴费基数随着社平工资增长；</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到期定期存款增加，增加利息收入。</w:t>
      </w:r>
    </w:p>
    <w:p>
      <w:pPr>
        <w:keepNext w:val="0"/>
        <w:keepLines w:val="0"/>
        <w:pageBreakBefore w:val="0"/>
        <w:widowControl w:val="0"/>
        <w:tabs>
          <w:tab w:val="left" w:pos="1418"/>
        </w:tabs>
        <w:kinsoku/>
        <w:wordWrap/>
        <w:overflowPunct/>
        <w:topLinePunct w:val="0"/>
        <w:autoSpaceDE/>
        <w:autoSpaceDN/>
        <w:bidi w:val="0"/>
        <w:adjustRightInd/>
        <w:snapToGrid w:val="0"/>
        <w:spacing w:after="0" w:line="580" w:lineRule="exact"/>
        <w:ind w:left="643"/>
        <w:textAlignment w:val="auto"/>
        <w:rPr>
          <w:rFonts w:hint="eastAsia" w:ascii="黑体" w:eastAsia="黑体" w:cs="黑体"/>
          <w:sz w:val="32"/>
          <w:szCs w:val="32"/>
          <w:highlight w:val="none"/>
          <w:u w:val="none"/>
          <w:lang w:bidi="ar-SA"/>
        </w:rPr>
      </w:pPr>
      <w:r>
        <w:rPr>
          <w:rFonts w:hint="eastAsia" w:ascii="黑体" w:eastAsia="黑体" w:cs="黑体"/>
          <w:sz w:val="32"/>
          <w:szCs w:val="32"/>
          <w:highlight w:val="none"/>
          <w:u w:val="none"/>
          <w:lang w:bidi="ar-SA"/>
        </w:rPr>
        <w:t>三、支出预算</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仿宋_GB2312" w:eastAsia="仿宋_GB2312" w:cs="仿宋_GB2312"/>
          <w:sz w:val="32"/>
          <w:szCs w:val="32"/>
          <w:highlight w:val="none"/>
          <w:u w:val="none"/>
          <w:lang w:bidi="ar-SA"/>
        </w:rPr>
        <w:t>2022年我市社会保险基金支出预算673.1亿元，比2021年预计执行数599.2亿元增加73.9亿元，增长12.3%，详见下表：</w:t>
      </w:r>
    </w:p>
    <w:p>
      <w:pPr>
        <w:snapToGrid w:val="0"/>
        <w:spacing w:after="200" w:line="40" w:lineRule="exact"/>
        <w:rPr>
          <w:rFonts w:hint="eastAsia" w:ascii="仿宋_GB2312" w:eastAsia="仿宋_GB2312" w:cs="仿宋_GB2312"/>
          <w:sz w:val="32"/>
          <w:szCs w:val="32"/>
          <w:highlight w:val="none"/>
          <w:u w:val="none"/>
          <w:lang w:bidi="ar-SA"/>
        </w:rPr>
      </w:pPr>
    </w:p>
    <w:p>
      <w:pPr>
        <w:snapToGrid w:val="0"/>
        <w:spacing w:after="200" w:line="40" w:lineRule="exact"/>
        <w:rPr>
          <w:rFonts w:hint="eastAsia" w:ascii="仿宋_GB2312" w:eastAsia="仿宋_GB2312" w:cs="仿宋_GB2312"/>
          <w:sz w:val="32"/>
          <w:szCs w:val="32"/>
          <w:highlight w:val="none"/>
          <w:u w:val="none"/>
          <w:lang w:bidi="ar-SA"/>
        </w:rPr>
      </w:pPr>
    </w:p>
    <w:tbl>
      <w:tblPr>
        <w:tblStyle w:val="13"/>
        <w:tblW w:w="0" w:type="auto"/>
        <w:tblInd w:w="108" w:type="dxa"/>
        <w:tblLayout w:type="fixed"/>
        <w:tblCellMar>
          <w:top w:w="0" w:type="dxa"/>
          <w:left w:w="108" w:type="dxa"/>
          <w:bottom w:w="0" w:type="dxa"/>
          <w:right w:w="108" w:type="dxa"/>
        </w:tblCellMar>
      </w:tblPr>
      <w:tblGrid>
        <w:gridCol w:w="8600"/>
      </w:tblGrid>
      <w:tr>
        <w:tblPrEx>
          <w:tblCellMar>
            <w:top w:w="0" w:type="dxa"/>
            <w:left w:w="108" w:type="dxa"/>
            <w:bottom w:w="0" w:type="dxa"/>
            <w:right w:w="108" w:type="dxa"/>
          </w:tblCellMar>
        </w:tblPrEx>
        <w:trPr>
          <w:trHeight w:val="2078" w:hRule="atLeast"/>
        </w:trPr>
        <w:tc>
          <w:tcPr>
            <w:tcW w:w="8600" w:type="dxa"/>
            <w:tcBorders>
              <w:top w:val="nil"/>
              <w:left w:val="nil"/>
              <w:bottom w:val="nil"/>
              <w:right w:val="nil"/>
            </w:tcBorders>
            <w:noWrap w:val="0"/>
            <w:vAlign w:val="center"/>
          </w:tcPr>
          <w:tbl>
            <w:tblPr>
              <w:tblStyle w:val="13"/>
              <w:tblW w:w="0" w:type="auto"/>
              <w:tblInd w:w="0" w:type="dxa"/>
              <w:tblLayout w:type="fixed"/>
              <w:tblCellMar>
                <w:top w:w="0" w:type="dxa"/>
                <w:left w:w="108" w:type="dxa"/>
                <w:bottom w:w="0" w:type="dxa"/>
                <w:right w:w="108" w:type="dxa"/>
              </w:tblCellMar>
            </w:tblPr>
            <w:tblGrid>
              <w:gridCol w:w="3692"/>
              <w:gridCol w:w="1514"/>
              <w:gridCol w:w="145"/>
              <w:gridCol w:w="1154"/>
              <w:gridCol w:w="991"/>
              <w:gridCol w:w="964"/>
            </w:tblGrid>
            <w:tr>
              <w:tblPrEx>
                <w:tblCellMar>
                  <w:top w:w="0" w:type="dxa"/>
                  <w:left w:w="108" w:type="dxa"/>
                  <w:bottom w:w="0" w:type="dxa"/>
                  <w:right w:w="108" w:type="dxa"/>
                </w:tblCellMar>
              </w:tblPrEx>
              <w:trPr>
                <w:trHeight w:val="400" w:hRule="atLeast"/>
              </w:trPr>
              <w:tc>
                <w:tcPr>
                  <w:tcW w:w="8460" w:type="dxa"/>
                  <w:gridSpan w:val="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cs="宋体"/>
                      <w:b/>
                      <w:bCs/>
                      <w:kern w:val="0"/>
                      <w:sz w:val="32"/>
                      <w:szCs w:val="32"/>
                      <w:highlight w:val="none"/>
                      <w:u w:val="none"/>
                      <w:lang w:bidi="ar-SA"/>
                    </w:rPr>
                  </w:pPr>
                  <w:r>
                    <w:rPr>
                      <w:rFonts w:hint="eastAsia" w:ascii="仿宋_GB2312" w:eastAsia="仿宋_GB2312" w:cs="宋体"/>
                      <w:b/>
                      <w:bCs/>
                      <w:kern w:val="0"/>
                      <w:sz w:val="32"/>
                      <w:szCs w:val="32"/>
                      <w:highlight w:val="none"/>
                      <w:u w:val="none"/>
                      <w:lang w:bidi="ar-SA"/>
                    </w:rPr>
                    <w:t>2022年预算草案支出预算情况表（按险种）</w:t>
                  </w:r>
                </w:p>
              </w:tc>
            </w:tr>
            <w:tr>
              <w:tblPrEx>
                <w:tblCellMar>
                  <w:top w:w="0" w:type="dxa"/>
                  <w:left w:w="108" w:type="dxa"/>
                  <w:bottom w:w="0" w:type="dxa"/>
                  <w:right w:w="108" w:type="dxa"/>
                </w:tblCellMar>
              </w:tblPrEx>
              <w:trPr>
                <w:trHeight w:val="335" w:hRule="atLeast"/>
              </w:trPr>
              <w:tc>
                <w:tcPr>
                  <w:tcW w:w="3692"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ind w:firstLine="3614" w:firstLineChars="1500"/>
                    <w:textAlignment w:val="auto"/>
                    <w:rPr>
                      <w:rFonts w:hint="eastAsia" w:ascii="仿宋_GB2312" w:eastAsia="仿宋_GB2312" w:cs="宋体"/>
                      <w:b/>
                      <w:bCs/>
                      <w:kern w:val="0"/>
                      <w:sz w:val="24"/>
                      <w:highlight w:val="none"/>
                      <w:u w:val="none"/>
                      <w:lang w:bidi="ar-SA"/>
                    </w:rPr>
                  </w:pPr>
                </w:p>
              </w:tc>
              <w:tc>
                <w:tcPr>
                  <w:tcW w:w="1659" w:type="dxa"/>
                  <w:gridSpan w:val="2"/>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4"/>
                      <w:highlight w:val="none"/>
                      <w:u w:val="none"/>
                      <w:lang w:bidi="ar-SA"/>
                    </w:rPr>
                  </w:pPr>
                </w:p>
              </w:tc>
              <w:tc>
                <w:tcPr>
                  <w:tcW w:w="1154"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4"/>
                      <w:highlight w:val="none"/>
                      <w:u w:val="none"/>
                      <w:lang w:bidi="ar-SA"/>
                    </w:rPr>
                  </w:pPr>
                </w:p>
              </w:tc>
              <w:tc>
                <w:tcPr>
                  <w:tcW w:w="1955" w:type="dxa"/>
                  <w:gridSpan w:val="2"/>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单位：万元</w:t>
                  </w:r>
                </w:p>
              </w:tc>
            </w:tr>
            <w:tr>
              <w:tblPrEx>
                <w:tblCellMar>
                  <w:top w:w="0" w:type="dxa"/>
                  <w:left w:w="108" w:type="dxa"/>
                  <w:bottom w:w="0" w:type="dxa"/>
                  <w:right w:w="108" w:type="dxa"/>
                </w:tblCellMar>
              </w:tblPrEx>
              <w:trPr>
                <w:cantSplit/>
                <w:trHeight w:val="624" w:hRule="atLeast"/>
              </w:trPr>
              <w:tc>
                <w:tcPr>
                  <w:tcW w:w="369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险种</w:t>
                  </w:r>
                </w:p>
              </w:tc>
              <w:tc>
                <w:tcPr>
                  <w:tcW w:w="1514" w:type="dxa"/>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rPr>
                      <w:rFonts w:ascii="Arial Narrow" w:hAnsi="Arial Narrow" w:eastAsia="宋体" w:cs="宋体"/>
                      <w:b/>
                      <w:bCs/>
                      <w:kern w:val="0"/>
                      <w:sz w:val="21"/>
                      <w:szCs w:val="21"/>
                      <w:highlight w:val="none"/>
                      <w:u w:val="none"/>
                      <w:lang w:bidi="ar-SA"/>
                    </w:rPr>
                  </w:pPr>
                  <w:r>
                    <w:rPr>
                      <w:rFonts w:ascii="Arial Narrow" w:hAnsi="Arial Narrow" w:eastAsia="宋体" w:cs="宋体"/>
                      <w:b/>
                      <w:bCs/>
                      <w:kern w:val="0"/>
                      <w:sz w:val="21"/>
                      <w:szCs w:val="21"/>
                      <w:highlight w:val="none"/>
                      <w:u w:val="none"/>
                      <w:lang w:bidi="ar-SA"/>
                    </w:rPr>
                    <w:t>2022</w:t>
                  </w:r>
                  <w:r>
                    <w:rPr>
                      <w:rFonts w:hint="eastAsia" w:ascii="Arial Narrow" w:hAnsi="Arial Narrow" w:eastAsia="宋体" w:cs="宋体"/>
                      <w:b/>
                      <w:bCs/>
                      <w:kern w:val="0"/>
                      <w:sz w:val="21"/>
                      <w:szCs w:val="21"/>
                      <w:highlight w:val="none"/>
                      <w:u w:val="none"/>
                      <w:lang w:eastAsia="zh-CN" w:bidi="ar-SA"/>
                    </w:rPr>
                    <w:t>年</w:t>
                  </w:r>
                  <w:r>
                    <w:rPr>
                      <w:rFonts w:hint="eastAsia" w:ascii="宋体" w:eastAsia="宋体" w:cs="宋体"/>
                      <w:b/>
                      <w:bCs/>
                      <w:kern w:val="0"/>
                      <w:sz w:val="21"/>
                      <w:szCs w:val="21"/>
                      <w:highlight w:val="none"/>
                      <w:u w:val="none"/>
                      <w:lang w:bidi="ar-SA"/>
                    </w:rPr>
                    <w:t>预算</w:t>
                  </w:r>
                </w:p>
              </w:tc>
              <w:tc>
                <w:tcPr>
                  <w:tcW w:w="1299" w:type="dxa"/>
                  <w:gridSpan w:val="2"/>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rPr>
                      <w:rFonts w:hint="eastAsia" w:ascii="Arial Narrow" w:hAnsi="Arial Narrow" w:eastAsia="宋体" w:cs="宋体"/>
                      <w:b/>
                      <w:bCs/>
                      <w:kern w:val="0"/>
                      <w:sz w:val="21"/>
                      <w:szCs w:val="21"/>
                      <w:highlight w:val="none"/>
                      <w:u w:val="none"/>
                      <w:lang w:val="en-US" w:eastAsia="zh-CN" w:bidi="ar-SA"/>
                    </w:rPr>
                  </w:pPr>
                  <w:r>
                    <w:rPr>
                      <w:rFonts w:ascii="Arial Narrow" w:hAnsi="Arial Narrow" w:eastAsia="宋体" w:cs="宋体"/>
                      <w:b/>
                      <w:bCs/>
                      <w:kern w:val="0"/>
                      <w:sz w:val="21"/>
                      <w:szCs w:val="21"/>
                      <w:highlight w:val="none"/>
                      <w:u w:val="none"/>
                      <w:lang w:bidi="ar-SA"/>
                    </w:rPr>
                    <w:t>20</w:t>
                  </w:r>
                  <w:r>
                    <w:rPr>
                      <w:rFonts w:hint="eastAsia" w:ascii="Arial Narrow" w:hAnsi="Arial Narrow" w:eastAsia="宋体" w:cs="宋体"/>
                      <w:b/>
                      <w:bCs/>
                      <w:kern w:val="0"/>
                      <w:sz w:val="21"/>
                      <w:szCs w:val="21"/>
                      <w:highlight w:val="none"/>
                      <w:u w:val="none"/>
                      <w:lang w:val="en-US" w:eastAsia="zh-CN" w:bidi="ar-SA"/>
                    </w:rPr>
                    <w:t>21年</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rPr>
                      <w:rFonts w:hint="eastAsia" w:ascii="Arial Narrow" w:hAnsi="Arial Narrow" w:eastAsia="宋体" w:cs="宋体"/>
                      <w:b/>
                      <w:bCs/>
                      <w:kern w:val="0"/>
                      <w:sz w:val="21"/>
                      <w:szCs w:val="21"/>
                      <w:highlight w:val="none"/>
                      <w:u w:val="none"/>
                      <w:lang w:val="en-US" w:eastAsia="zh-CN" w:bidi="ar-SA"/>
                    </w:rPr>
                  </w:pPr>
                  <w:r>
                    <w:rPr>
                      <w:rFonts w:hint="eastAsia" w:ascii="Arial Narrow" w:hAnsi="Arial Narrow" w:eastAsia="宋体" w:cs="宋体"/>
                      <w:b/>
                      <w:bCs/>
                      <w:kern w:val="0"/>
                      <w:sz w:val="21"/>
                      <w:szCs w:val="21"/>
                      <w:highlight w:val="none"/>
                      <w:u w:val="none"/>
                      <w:lang w:val="en-US" w:eastAsia="zh-CN" w:bidi="ar-SA"/>
                    </w:rPr>
                    <w:t>预计</w:t>
                  </w:r>
                  <w:r>
                    <w:rPr>
                      <w:rFonts w:hint="eastAsia" w:ascii="Arial Narrow" w:hAnsi="Arial Narrow" w:cs="宋体"/>
                      <w:b/>
                      <w:bCs/>
                      <w:kern w:val="0"/>
                      <w:sz w:val="21"/>
                      <w:szCs w:val="21"/>
                      <w:highlight w:val="none"/>
                      <w:u w:val="none"/>
                      <w:lang w:val="en-US" w:eastAsia="zh-CN" w:bidi="ar-SA"/>
                    </w:rPr>
                    <w:t>执行</w:t>
                  </w:r>
                </w:p>
              </w:tc>
              <w:tc>
                <w:tcPr>
                  <w:tcW w:w="991"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增减额</w:t>
                  </w:r>
                </w:p>
              </w:tc>
              <w:tc>
                <w:tcPr>
                  <w:tcW w:w="964"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1"/>
                      <w:szCs w:val="21"/>
                      <w:highlight w:val="none"/>
                      <w:u w:val="none"/>
                      <w:lang w:bidi="ar-SA"/>
                    </w:rPr>
                  </w:pPr>
                  <w:r>
                    <w:rPr>
                      <w:rFonts w:hint="eastAsia" w:ascii="宋体" w:eastAsia="宋体" w:cs="宋体"/>
                      <w:b/>
                      <w:bCs/>
                      <w:kern w:val="0"/>
                      <w:sz w:val="21"/>
                      <w:szCs w:val="21"/>
                      <w:highlight w:val="none"/>
                      <w:u w:val="none"/>
                      <w:lang w:bidi="ar-SA"/>
                    </w:rPr>
                    <w:t>增减率</w:t>
                  </w:r>
                </w:p>
              </w:tc>
            </w:tr>
            <w:tr>
              <w:tblPrEx>
                <w:tblCellMar>
                  <w:top w:w="0" w:type="dxa"/>
                  <w:left w:w="108" w:type="dxa"/>
                  <w:bottom w:w="0" w:type="dxa"/>
                  <w:right w:w="108" w:type="dxa"/>
                </w:tblCellMar>
              </w:tblPrEx>
              <w:trPr>
                <w:trHeight w:val="360" w:hRule="atLeast"/>
              </w:trPr>
              <w:tc>
                <w:tcPr>
                  <w:tcW w:w="36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城乡居民基本养老保险</w:t>
                  </w:r>
                </w:p>
              </w:tc>
              <w:tc>
                <w:tcPr>
                  <w:tcW w:w="15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8,182</w:t>
                  </w:r>
                </w:p>
              </w:tc>
              <w:tc>
                <w:tcPr>
                  <w:tcW w:w="12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4,772</w:t>
                  </w:r>
                </w:p>
              </w:tc>
              <w:tc>
                <w:tcPr>
                  <w:tcW w:w="9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3,410</w:t>
                  </w:r>
                </w:p>
              </w:tc>
              <w:tc>
                <w:tcPr>
                  <w:tcW w:w="9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71.46%</w:t>
                  </w:r>
                </w:p>
              </w:tc>
            </w:tr>
            <w:tr>
              <w:tblPrEx>
                <w:tblCellMar>
                  <w:top w:w="0" w:type="dxa"/>
                  <w:left w:w="108" w:type="dxa"/>
                  <w:bottom w:w="0" w:type="dxa"/>
                  <w:right w:w="108" w:type="dxa"/>
                </w:tblCellMar>
              </w:tblPrEx>
              <w:trPr>
                <w:trHeight w:val="360" w:hRule="atLeast"/>
              </w:trPr>
              <w:tc>
                <w:tcPr>
                  <w:tcW w:w="36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机关事业单位基本养老保险（改革）</w:t>
                  </w:r>
                </w:p>
              </w:tc>
              <w:tc>
                <w:tcPr>
                  <w:tcW w:w="15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1,243,817</w:t>
                  </w:r>
                </w:p>
              </w:tc>
              <w:tc>
                <w:tcPr>
                  <w:tcW w:w="12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989,511</w:t>
                  </w:r>
                </w:p>
              </w:tc>
              <w:tc>
                <w:tcPr>
                  <w:tcW w:w="9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254,306</w:t>
                  </w:r>
                </w:p>
              </w:tc>
              <w:tc>
                <w:tcPr>
                  <w:tcW w:w="9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25.70%</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职工基本医疗</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3,751,618</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3,646,139</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105,479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2.89%</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城乡居民基本医疗</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448,361</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442,306</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6,055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1.37%</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失业保险</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735,973</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484,838</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251,135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51.80%</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机关事业单位基本养老保险（试点）</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259,231</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154,554</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104,677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67.73%</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地方补充养老保险</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236,360</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222,674</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13,686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6.15%</w:t>
                  </w:r>
                </w:p>
              </w:tc>
            </w:tr>
            <w:tr>
              <w:tblPrEx>
                <w:tblCellMar>
                  <w:top w:w="0" w:type="dxa"/>
                  <w:left w:w="108" w:type="dxa"/>
                  <w:bottom w:w="0" w:type="dxa"/>
                  <w:right w:w="108" w:type="dxa"/>
                </w:tblCellMar>
              </w:tblPrEx>
              <w:trPr>
                <w:trHeight w:val="3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kern w:val="0"/>
                      <w:sz w:val="20"/>
                      <w:szCs w:val="20"/>
                      <w:highlight w:val="none"/>
                      <w:u w:val="none"/>
                      <w:lang w:bidi="ar-SA"/>
                    </w:rPr>
                  </w:pPr>
                  <w:r>
                    <w:rPr>
                      <w:rFonts w:hint="eastAsia" w:ascii="宋体" w:eastAsia="宋体" w:cs="宋体"/>
                      <w:kern w:val="0"/>
                      <w:sz w:val="20"/>
                      <w:szCs w:val="20"/>
                      <w:highlight w:val="none"/>
                      <w:u w:val="none"/>
                      <w:lang w:bidi="ar-SA"/>
                    </w:rPr>
                    <w:t>地方补充医疗保险</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47,241</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47,339</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-98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kern w:val="0"/>
                      <w:sz w:val="20"/>
                      <w:szCs w:val="20"/>
                      <w:highlight w:val="none"/>
                      <w:u w:val="none"/>
                      <w:lang w:bidi="ar-SA"/>
                    </w:rPr>
                  </w:pPr>
                  <w:r>
                    <w:rPr>
                      <w:rFonts w:ascii="Arial Narrow" w:hAnsi="Arial Narrow" w:eastAsia="宋体" w:cs="宋体"/>
                      <w:kern w:val="0"/>
                      <w:sz w:val="20"/>
                      <w:szCs w:val="20"/>
                      <w:highlight w:val="none"/>
                      <w:u w:val="none"/>
                      <w:lang w:bidi="ar-SA"/>
                    </w:rPr>
                    <w:t>-0.21%</w:t>
                  </w:r>
                </w:p>
              </w:tc>
            </w:tr>
            <w:tr>
              <w:tblPrEx>
                <w:tblCellMar>
                  <w:top w:w="0" w:type="dxa"/>
                  <w:left w:w="108" w:type="dxa"/>
                  <w:bottom w:w="0" w:type="dxa"/>
                  <w:right w:w="108" w:type="dxa"/>
                </w:tblCellMar>
              </w:tblPrEx>
              <w:trPr>
                <w:trHeight w:val="370" w:hRule="atLeast"/>
              </w:trPr>
              <w:tc>
                <w:tcPr>
                  <w:tcW w:w="369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eastAsia="宋体" w:cs="宋体"/>
                      <w:b/>
                      <w:bCs/>
                      <w:kern w:val="0"/>
                      <w:sz w:val="20"/>
                      <w:szCs w:val="20"/>
                      <w:highlight w:val="none"/>
                      <w:u w:val="none"/>
                      <w:lang w:bidi="ar-SA"/>
                    </w:rPr>
                  </w:pPr>
                  <w:r>
                    <w:rPr>
                      <w:rFonts w:hint="eastAsia" w:ascii="宋体" w:eastAsia="宋体" w:cs="宋体"/>
                      <w:b/>
                      <w:bCs/>
                      <w:kern w:val="0"/>
                      <w:sz w:val="20"/>
                      <w:szCs w:val="20"/>
                      <w:highlight w:val="none"/>
                      <w:u w:val="none"/>
                      <w:lang w:bidi="ar-SA"/>
                    </w:rPr>
                    <w:t>总</w:t>
                  </w:r>
                  <w:r>
                    <w:rPr>
                      <w:rFonts w:ascii="Arial Narrow" w:hAnsi="Arial Narrow" w:eastAsia="宋体" w:cs="宋体"/>
                      <w:b/>
                      <w:bCs/>
                      <w:kern w:val="0"/>
                      <w:sz w:val="20"/>
                      <w:szCs w:val="20"/>
                      <w:highlight w:val="none"/>
                      <w:u w:val="none"/>
                      <w:lang w:bidi="ar-SA"/>
                    </w:rPr>
                    <w:t xml:space="preserve">  </w:t>
                  </w:r>
                  <w:r>
                    <w:rPr>
                      <w:rFonts w:hint="eastAsia" w:ascii="宋体" w:eastAsia="宋体" w:cs="宋体"/>
                      <w:b/>
                      <w:bCs/>
                      <w:kern w:val="0"/>
                      <w:sz w:val="20"/>
                      <w:szCs w:val="20"/>
                      <w:highlight w:val="none"/>
                      <w:u w:val="none"/>
                      <w:lang w:bidi="ar-SA"/>
                    </w:rPr>
                    <w:t>计</w:t>
                  </w:r>
                </w:p>
              </w:tc>
              <w:tc>
                <w:tcPr>
                  <w:tcW w:w="1514"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b/>
                      <w:bCs/>
                      <w:kern w:val="0"/>
                      <w:sz w:val="20"/>
                      <w:szCs w:val="20"/>
                      <w:highlight w:val="none"/>
                      <w:u w:val="none"/>
                      <w:lang w:bidi="ar-SA"/>
                    </w:rPr>
                  </w:pPr>
                  <w:r>
                    <w:rPr>
                      <w:rFonts w:ascii="Arial Narrow" w:hAnsi="Arial Narrow" w:eastAsia="宋体" w:cs="宋体"/>
                      <w:b/>
                      <w:bCs/>
                      <w:kern w:val="0"/>
                      <w:sz w:val="20"/>
                      <w:szCs w:val="20"/>
                      <w:highlight w:val="none"/>
                      <w:u w:val="none"/>
                      <w:lang w:bidi="ar-SA"/>
                    </w:rPr>
                    <w:t>6,730,783</w:t>
                  </w:r>
                </w:p>
              </w:tc>
              <w:tc>
                <w:tcPr>
                  <w:tcW w:w="1299" w:type="dxa"/>
                  <w:gridSpan w:val="2"/>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b/>
                      <w:bCs/>
                      <w:kern w:val="0"/>
                      <w:sz w:val="20"/>
                      <w:szCs w:val="20"/>
                      <w:highlight w:val="none"/>
                      <w:u w:val="none"/>
                      <w:lang w:bidi="ar-SA"/>
                    </w:rPr>
                  </w:pPr>
                  <w:r>
                    <w:rPr>
                      <w:rFonts w:ascii="Arial Narrow" w:hAnsi="Arial Narrow" w:eastAsia="宋体" w:cs="宋体"/>
                      <w:b/>
                      <w:bCs/>
                      <w:kern w:val="0"/>
                      <w:sz w:val="20"/>
                      <w:szCs w:val="20"/>
                      <w:highlight w:val="none"/>
                      <w:u w:val="none"/>
                      <w:lang w:bidi="ar-SA"/>
                    </w:rPr>
                    <w:t>5,992,133</w:t>
                  </w:r>
                </w:p>
              </w:tc>
              <w:tc>
                <w:tcPr>
                  <w:tcW w:w="991"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Arial Narrow" w:hAnsi="Arial Narrow" w:eastAsia="宋体" w:cs="宋体"/>
                      <w:b/>
                      <w:bCs/>
                      <w:kern w:val="0"/>
                      <w:sz w:val="20"/>
                      <w:szCs w:val="20"/>
                      <w:highlight w:val="none"/>
                      <w:u w:val="none"/>
                      <w:lang w:eastAsia="zh-CN" w:bidi="ar-SA"/>
                    </w:rPr>
                  </w:pPr>
                  <w:r>
                    <w:rPr>
                      <w:rFonts w:ascii="Arial Narrow" w:hAnsi="Arial Narrow" w:eastAsia="宋体" w:cs="宋体"/>
                      <w:b/>
                      <w:bCs/>
                      <w:kern w:val="0"/>
                      <w:sz w:val="20"/>
                      <w:szCs w:val="20"/>
                      <w:highlight w:val="none"/>
                      <w:u w:val="none"/>
                      <w:lang w:bidi="ar-SA"/>
                    </w:rPr>
                    <w:t>738,65</w:t>
                  </w:r>
                  <w:r>
                    <w:rPr>
                      <w:rFonts w:hint="eastAsia" w:ascii="Arial Narrow" w:hAnsi="Arial Narrow" w:eastAsia="宋体" w:cs="宋体"/>
                      <w:b/>
                      <w:bCs/>
                      <w:kern w:val="0"/>
                      <w:sz w:val="20"/>
                      <w:szCs w:val="20"/>
                      <w:highlight w:val="none"/>
                      <w:u w:val="none"/>
                      <w:lang w:val="en-US" w:eastAsia="zh-CN" w:bidi="ar-SA"/>
                    </w:rPr>
                    <w:t>0</w:t>
                  </w:r>
                </w:p>
              </w:tc>
              <w:tc>
                <w:tcPr>
                  <w:tcW w:w="964"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Arial Narrow" w:hAnsi="Arial Narrow" w:eastAsia="宋体" w:cs="宋体"/>
                      <w:b/>
                      <w:bCs/>
                      <w:kern w:val="0"/>
                      <w:sz w:val="20"/>
                      <w:szCs w:val="20"/>
                      <w:highlight w:val="none"/>
                      <w:u w:val="none"/>
                      <w:lang w:bidi="ar-SA"/>
                    </w:rPr>
                  </w:pPr>
                  <w:r>
                    <w:rPr>
                      <w:rFonts w:ascii="Arial Narrow" w:hAnsi="Arial Narrow" w:eastAsia="宋体" w:cs="宋体"/>
                      <w:b/>
                      <w:bCs/>
                      <w:kern w:val="0"/>
                      <w:sz w:val="20"/>
                      <w:szCs w:val="20"/>
                      <w:highlight w:val="none"/>
                      <w:u w:val="none"/>
                      <w:lang w:bidi="ar-SA"/>
                    </w:rPr>
                    <w:t>12.33%</w:t>
                  </w:r>
                </w:p>
              </w:tc>
            </w:tr>
          </w:tbl>
          <w:p>
            <w:pPr>
              <w:widowControl/>
              <w:snapToGrid w:val="0"/>
              <w:spacing w:after="200" w:line="276" w:lineRule="auto"/>
              <w:rPr>
                <w:rFonts w:hint="eastAsia" w:ascii="仿宋_GB2312" w:eastAsia="仿宋_GB2312" w:cs="宋体"/>
                <w:b/>
                <w:bCs/>
                <w:kern w:val="0"/>
                <w:sz w:val="32"/>
                <w:szCs w:val="32"/>
                <w:highlight w:val="none"/>
                <w:u w:val="none"/>
                <w:lang w:bidi="ar-SA"/>
              </w:rPr>
            </w:pPr>
          </w:p>
        </w:tc>
      </w:tr>
    </w:tbl>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（一）城乡居民基本养老保险基金预算支出0.8亿元，比上年增长71.5%，</w:t>
      </w:r>
      <w:r>
        <w:rPr>
          <w:rFonts w:hint="eastAsia" w:ascii="仿宋_GB2312" w:eastAsia="仿宋_GB2312" w:cs="Calibri"/>
          <w:sz w:val="32"/>
          <w:szCs w:val="32"/>
          <w:highlight w:val="none"/>
          <w:u w:val="none"/>
          <w:lang w:bidi="ar-SA"/>
        </w:rPr>
        <w:t>主要原因是随着领取养老金人员入户时间增长、年龄增大，增加基础养老金支出</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（二）机关事业单位基本养老保险(改革）基金预算支出124.4亿元，比上年增长25.7%。</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预计退休人数增加、年度养老金标准调整；</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拟在2022年基本完成部分退休人员养老金清算补付等工作</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Calibri"/>
          <w:sz w:val="32"/>
          <w:szCs w:val="32"/>
          <w:highlight w:val="none"/>
          <w:u w:val="none"/>
          <w:lang w:eastAsia="zh-CN" w:bidi="ar-SA"/>
        </w:rPr>
      </w:pPr>
      <w:r>
        <w:rPr>
          <w:rFonts w:hint="eastAsia" w:ascii="楷体_GB2312" w:eastAsia="楷体_GB2312" w:cs="黑体"/>
          <w:bCs/>
          <w:sz w:val="32"/>
          <w:szCs w:val="32"/>
          <w:highlight w:val="none"/>
          <w:u w:val="none"/>
          <w:lang w:bidi="ar-SA"/>
        </w:rPr>
        <w:t>（三）职工基本医疗保险基金预算支出375.2亿元，比上年增长2.9%。</w:t>
      </w:r>
      <w:r>
        <w:rPr>
          <w:rFonts w:hint="eastAsia" w:ascii="仿宋_GB2312" w:eastAsia="仿宋_GB2312" w:cs="Calibri"/>
          <w:sz w:val="32"/>
          <w:szCs w:val="32"/>
          <w:highlight w:val="none"/>
          <w:u w:val="none"/>
          <w:lang w:bidi="ar-SA"/>
        </w:rPr>
        <w:t>主要原因是预计参保人数增加、就医需求增加、医疗价格增长、医疗总费用增加，增加基金待遇支出</w:t>
      </w:r>
      <w:r>
        <w:rPr>
          <w:rFonts w:hint="eastAsia" w:ascii="仿宋_GB2312" w:eastAsia="仿宋_GB2312" w:cs="Calibri"/>
          <w:sz w:val="32"/>
          <w:szCs w:val="32"/>
          <w:highlight w:val="none"/>
          <w:u w:val="none"/>
          <w:lang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（四）城乡居民基本医疗保险基金预算支出44.8亿元，比上年增长1.4%。</w:t>
      </w:r>
      <w:r>
        <w:rPr>
          <w:rFonts w:hint="eastAsia" w:ascii="仿宋_GB2312" w:eastAsia="仿宋_GB2312" w:cs="Calibri"/>
          <w:sz w:val="32"/>
          <w:szCs w:val="32"/>
          <w:highlight w:val="none"/>
          <w:u w:val="none"/>
          <w:lang w:bidi="ar-SA"/>
        </w:rPr>
        <w:t>变化的主要因素：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预计参保人数增加、就医需求增加、医疗价格增长、医疗总费用提高；</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个人账户购买专属医疗险进入平稳期，购买额减少</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（五）失业保险基金预算支出73.6亿元，比上年增长51.8%。</w:t>
      </w:r>
      <w:r>
        <w:rPr>
          <w:rFonts w:hint="eastAsia" w:ascii="仿宋_GB2312" w:eastAsia="仿宋_GB2312" w:cs="Calibri"/>
          <w:sz w:val="32"/>
          <w:szCs w:val="32"/>
          <w:highlight w:val="none"/>
          <w:u w:val="none"/>
          <w:lang w:bidi="ar-SA"/>
        </w:rPr>
        <w:t>主要原因：</w:t>
      </w:r>
      <w:r>
        <w:rPr>
          <w:rFonts w:hint="eastAsia" w:ascii="仿宋_GB2312" w:eastAsia="仿宋_GB2312" w:cs="Calibri"/>
          <w:b/>
          <w:bCs/>
          <w:sz w:val="32"/>
          <w:szCs w:val="32"/>
          <w:highlight w:val="none"/>
          <w:u w:val="none"/>
          <w:lang w:bidi="ar-SA"/>
        </w:rPr>
        <w:t>一是</w:t>
      </w:r>
      <w:r>
        <w:rPr>
          <w:rFonts w:hint="eastAsia" w:ascii="仿宋_GB2312" w:eastAsia="仿宋_GB2312" w:cs="Calibri"/>
          <w:sz w:val="32"/>
          <w:szCs w:val="32"/>
          <w:highlight w:val="none"/>
          <w:u w:val="none"/>
          <w:lang w:bidi="ar-SA"/>
        </w:rPr>
        <w:t>执行稳岗返还政策，增加稳岗返还支出；</w:t>
      </w:r>
      <w:r>
        <w:rPr>
          <w:rFonts w:hint="eastAsia" w:ascii="仿宋_GB2312" w:eastAsia="仿宋_GB2312" w:cs="Calibri"/>
          <w:b/>
          <w:bCs/>
          <w:sz w:val="32"/>
          <w:szCs w:val="32"/>
          <w:highlight w:val="none"/>
          <w:u w:val="none"/>
          <w:lang w:bidi="ar-SA"/>
        </w:rPr>
        <w:t>二是</w:t>
      </w:r>
      <w:r>
        <w:rPr>
          <w:rFonts w:hint="eastAsia" w:ascii="仿宋_GB2312" w:eastAsia="仿宋_GB2312" w:cs="Calibri"/>
          <w:sz w:val="32"/>
          <w:szCs w:val="32"/>
          <w:highlight w:val="none"/>
          <w:u w:val="none"/>
          <w:lang w:bidi="ar-SA"/>
        </w:rPr>
        <w:t>根据省文件规定，2022年7月1日起失业保险实行省级统筹，按规定向省上解基金收入预算和累计结余，增加上解上级支出。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（六）机关事业单位基本养老保险(试点）基金预算支出25.9亿元，比上年增长67.7%。</w:t>
      </w:r>
      <w:r>
        <w:rPr>
          <w:rFonts w:hint="eastAsia" w:ascii="仿宋_GB2312" w:eastAsia="仿宋_GB2312" w:cs="Calibri"/>
          <w:sz w:val="32"/>
          <w:szCs w:val="32"/>
          <w:highlight w:val="none"/>
          <w:u w:val="none"/>
          <w:lang w:bidi="ar-SA"/>
        </w:rPr>
        <w:t>主要原因是继续开展机关事业单位养老保险改革清算工作，增加部分人员的转移支出和部分人员的个人缴费退费支出</w:t>
      </w:r>
      <w:r>
        <w:rPr>
          <w:rFonts w:hint="eastAsia" w:ascii="仿宋_GB2312" w:eastAsia="仿宋_GB2312" w:cs="仿宋_GB2312"/>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（七）地方补充养老保险基金预算支出23.6亿元，比上年增长6.</w:t>
      </w:r>
      <w:r>
        <w:rPr>
          <w:rFonts w:hint="eastAsia" w:ascii="楷体_GB2312" w:eastAsia="楷体_GB2312" w:cs="黑体"/>
          <w:bCs/>
          <w:sz w:val="32"/>
          <w:szCs w:val="32"/>
          <w:highlight w:val="none"/>
          <w:u w:val="none"/>
          <w:lang w:val="en-US" w:eastAsia="zh-CN" w:bidi="ar-SA"/>
        </w:rPr>
        <w:t>1</w:t>
      </w:r>
      <w:r>
        <w:rPr>
          <w:rFonts w:hint="eastAsia" w:ascii="楷体_GB2312" w:eastAsia="楷体_GB2312" w:cs="黑体"/>
          <w:bCs/>
          <w:sz w:val="32"/>
          <w:szCs w:val="32"/>
          <w:highlight w:val="none"/>
          <w:u w:val="none"/>
          <w:lang w:bidi="ar-SA"/>
        </w:rPr>
        <w:t>%。</w:t>
      </w:r>
      <w:r>
        <w:rPr>
          <w:rFonts w:hint="eastAsia" w:ascii="仿宋_GB2312" w:eastAsia="仿宋_GB2312" w:cs="Calibri"/>
          <w:sz w:val="32"/>
          <w:szCs w:val="32"/>
          <w:highlight w:val="none"/>
          <w:u w:val="none"/>
          <w:lang w:bidi="ar-SA"/>
        </w:rPr>
        <w:t>变化的主要因素</w:t>
      </w:r>
      <w:r>
        <w:rPr>
          <w:rFonts w:hint="eastAsia" w:ascii="仿宋_GB2312" w:eastAsia="仿宋_GB2312" w:cs="仿宋_GB2312"/>
          <w:sz w:val="32"/>
          <w:szCs w:val="32"/>
          <w:highlight w:val="none"/>
          <w:u w:val="none"/>
          <w:lang w:bidi="ar-SA"/>
        </w:rPr>
        <w:t>是享受待遇人数增加。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仿宋_GB2312"/>
          <w:sz w:val="32"/>
          <w:szCs w:val="32"/>
          <w:highlight w:val="none"/>
          <w:u w:val="none"/>
          <w:lang w:bidi="ar-SA"/>
        </w:rPr>
      </w:pPr>
      <w:r>
        <w:rPr>
          <w:rFonts w:hint="eastAsia" w:ascii="楷体_GB2312" w:eastAsia="楷体_GB2312" w:cs="黑体"/>
          <w:bCs/>
          <w:sz w:val="32"/>
          <w:szCs w:val="32"/>
          <w:highlight w:val="none"/>
          <w:u w:val="none"/>
          <w:lang w:bidi="ar-SA"/>
        </w:rPr>
        <w:t>（八）地方补充医疗保险基金预算支出4.7亿元，</w:t>
      </w:r>
      <w:r>
        <w:rPr>
          <w:rFonts w:hint="eastAsia" w:ascii="楷体_GB2312" w:eastAsia="楷体_GB2312" w:cs="黑体"/>
          <w:bCs/>
          <w:sz w:val="32"/>
          <w:szCs w:val="32"/>
          <w:highlight w:val="none"/>
          <w:u w:val="none"/>
          <w:lang w:eastAsia="zh-CN" w:bidi="ar-SA"/>
        </w:rPr>
        <w:t>与</w:t>
      </w:r>
      <w:r>
        <w:rPr>
          <w:rFonts w:hint="eastAsia" w:ascii="楷体_GB2312" w:eastAsia="楷体_GB2312" w:cs="黑体"/>
          <w:bCs/>
          <w:sz w:val="32"/>
          <w:szCs w:val="32"/>
          <w:highlight w:val="none"/>
          <w:u w:val="none"/>
          <w:lang w:bidi="ar-SA"/>
        </w:rPr>
        <w:t>上年</w:t>
      </w:r>
      <w:r>
        <w:rPr>
          <w:rFonts w:hint="eastAsia" w:ascii="楷体_GB2312" w:eastAsia="楷体_GB2312" w:cs="黑体"/>
          <w:bCs/>
          <w:sz w:val="32"/>
          <w:szCs w:val="32"/>
          <w:highlight w:val="none"/>
          <w:u w:val="none"/>
          <w:lang w:eastAsia="zh-CN" w:bidi="ar-SA"/>
        </w:rPr>
        <w:t>持平</w:t>
      </w:r>
      <w:r>
        <w:rPr>
          <w:rFonts w:hint="eastAsia" w:ascii="楷体_GB2312" w:eastAsia="楷体_GB2312" w:cs="黑体"/>
          <w:bCs/>
          <w:sz w:val="32"/>
          <w:szCs w:val="32"/>
          <w:highlight w:val="none"/>
          <w:u w:val="none"/>
          <w:lang w:bidi="ar-SA"/>
        </w:rPr>
        <w:t>。</w:t>
      </w:r>
    </w:p>
    <w:p>
      <w:pPr>
        <w:keepNext w:val="0"/>
        <w:keepLines w:val="0"/>
        <w:pageBreakBefore w:val="0"/>
        <w:widowControl w:val="0"/>
        <w:tabs>
          <w:tab w:val="left" w:pos="1418"/>
        </w:tabs>
        <w:kinsoku/>
        <w:wordWrap/>
        <w:overflowPunct/>
        <w:topLinePunct w:val="0"/>
        <w:autoSpaceDE/>
        <w:autoSpaceDN/>
        <w:bidi w:val="0"/>
        <w:adjustRightInd/>
        <w:snapToGrid w:val="0"/>
        <w:spacing w:line="580" w:lineRule="exact"/>
        <w:ind w:left="643"/>
        <w:textAlignment w:val="auto"/>
        <w:rPr>
          <w:rFonts w:hint="eastAsia" w:ascii="楷体_GB2312" w:eastAsia="楷体_GB2312" w:cs="Calibri"/>
          <w:b/>
          <w:sz w:val="32"/>
          <w:szCs w:val="32"/>
          <w:highlight w:val="none"/>
          <w:u w:val="none"/>
          <w:lang w:bidi="ar-SA"/>
        </w:rPr>
      </w:pPr>
      <w:r>
        <w:rPr>
          <w:rFonts w:hint="eastAsia" w:ascii="黑体" w:eastAsia="黑体" w:cs="黑体"/>
          <w:sz w:val="32"/>
          <w:szCs w:val="32"/>
          <w:highlight w:val="none"/>
          <w:u w:val="none"/>
          <w:lang w:bidi="ar-SA"/>
        </w:rPr>
        <w:t>四、结余情况</w:t>
      </w:r>
    </w:p>
    <w:p>
      <w:pPr>
        <w:keepNext w:val="0"/>
        <w:keepLines w:val="0"/>
        <w:pageBreakBefore w:val="0"/>
        <w:widowControl w:val="0"/>
        <w:tabs>
          <w:tab w:val="left" w:pos="1418"/>
        </w:tabs>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（一）当年结余。</w:t>
      </w:r>
      <w:r>
        <w:rPr>
          <w:rFonts w:hint="eastAsia" w:ascii="仿宋_GB2312" w:eastAsia="仿宋_GB2312" w:cs="Calibri"/>
          <w:sz w:val="32"/>
          <w:szCs w:val="32"/>
          <w:highlight w:val="none"/>
          <w:u w:val="none"/>
          <w:lang w:bidi="ar-SA"/>
        </w:rPr>
        <w:t>2022</w:t>
      </w:r>
      <w:r>
        <w:rPr>
          <w:rFonts w:hint="eastAsia" w:ascii="仿宋_GB2312" w:eastAsia="仿宋_GB2312" w:cs="Calibri"/>
          <w:sz w:val="32"/>
          <w:szCs w:val="32"/>
          <w:highlight w:val="none"/>
          <w:u w:val="none"/>
          <w:lang w:eastAsia="zh-CN" w:bidi="ar-SA"/>
        </w:rPr>
        <w:t>年</w:t>
      </w:r>
      <w:r>
        <w:rPr>
          <w:rFonts w:hint="eastAsia" w:ascii="仿宋_GB2312" w:eastAsia="仿宋_GB2312" w:cs="Calibri"/>
          <w:sz w:val="32"/>
          <w:szCs w:val="32"/>
          <w:highlight w:val="none"/>
          <w:u w:val="none"/>
          <w:lang w:bidi="ar-SA"/>
        </w:rPr>
        <w:t>预算草案中各险种基金预算当年结余共计376.3亿元。</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宋体" w:hAnsi="宋体" w:eastAsia="仿宋_GB2312" w:cs="Times New Roman"/>
          <w:spacing w:val="-2"/>
          <w:kern w:val="0"/>
          <w:sz w:val="32"/>
          <w:szCs w:val="24"/>
          <w:highlight w:val="none"/>
          <w:u w:val="none"/>
          <w:lang w:val="en-US" w:eastAsia="zh-CN" w:bidi="ar-SA"/>
        </w:rPr>
      </w:pPr>
    </w:p>
    <w:tbl>
      <w:tblPr>
        <w:tblStyle w:val="13"/>
        <w:tblW w:w="0" w:type="auto"/>
        <w:jc w:val="center"/>
        <w:tblLayout w:type="fixed"/>
        <w:tblCellMar>
          <w:top w:w="0" w:type="dxa"/>
          <w:left w:w="108" w:type="dxa"/>
          <w:bottom w:w="0" w:type="dxa"/>
          <w:right w:w="108" w:type="dxa"/>
        </w:tblCellMar>
      </w:tblPr>
      <w:tblGrid>
        <w:gridCol w:w="3556"/>
        <w:gridCol w:w="1112"/>
        <w:gridCol w:w="1296"/>
        <w:gridCol w:w="1281"/>
        <w:gridCol w:w="1138"/>
      </w:tblGrid>
      <w:tr>
        <w:tblPrEx>
          <w:tblCellMar>
            <w:top w:w="0" w:type="dxa"/>
            <w:left w:w="108" w:type="dxa"/>
            <w:bottom w:w="0" w:type="dxa"/>
            <w:right w:w="108" w:type="dxa"/>
          </w:tblCellMar>
        </w:tblPrEx>
        <w:trPr>
          <w:trHeight w:val="405" w:hRule="atLeast"/>
          <w:jc w:val="center"/>
        </w:trPr>
        <w:tc>
          <w:tcPr>
            <w:tcW w:w="8383" w:type="dxa"/>
            <w:gridSpan w:val="5"/>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cs="宋体"/>
                <w:b/>
                <w:bCs/>
                <w:kern w:val="0"/>
                <w:sz w:val="32"/>
                <w:szCs w:val="32"/>
                <w:highlight w:val="none"/>
                <w:u w:val="none"/>
                <w:lang w:bidi="ar-SA"/>
              </w:rPr>
            </w:pPr>
            <w:r>
              <w:rPr>
                <w:rFonts w:hint="eastAsia" w:ascii="仿宋_GB2312" w:eastAsia="仿宋_GB2312" w:cs="宋体"/>
                <w:b/>
                <w:bCs/>
                <w:kern w:val="0"/>
                <w:sz w:val="32"/>
                <w:szCs w:val="32"/>
                <w:highlight w:val="none"/>
                <w:u w:val="none"/>
                <w:lang w:bidi="ar-SA"/>
              </w:rPr>
              <w:t>2022年预算草案当年结余预算情况表</w:t>
            </w:r>
          </w:p>
        </w:tc>
      </w:tr>
      <w:tr>
        <w:tblPrEx>
          <w:tblCellMar>
            <w:top w:w="0" w:type="dxa"/>
            <w:left w:w="108" w:type="dxa"/>
            <w:bottom w:w="0" w:type="dxa"/>
            <w:right w:w="108" w:type="dxa"/>
          </w:tblCellMar>
        </w:tblPrEx>
        <w:trPr>
          <w:trHeight w:val="285" w:hRule="atLeast"/>
          <w:jc w:val="center"/>
        </w:trPr>
        <w:tc>
          <w:tcPr>
            <w:tcW w:w="3556"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ind w:firstLine="482" w:firstLineChars="200"/>
              <w:jc w:val="right"/>
              <w:textAlignment w:val="auto"/>
              <w:rPr>
                <w:rFonts w:hint="eastAsia" w:ascii="仿宋_GB2312" w:eastAsia="仿宋_GB2312" w:cs="宋体"/>
                <w:b/>
                <w:bCs/>
                <w:kern w:val="0"/>
                <w:sz w:val="24"/>
                <w:highlight w:val="none"/>
                <w:u w:val="none"/>
                <w:lang w:bidi="ar-SA"/>
              </w:rPr>
            </w:pPr>
          </w:p>
        </w:tc>
        <w:tc>
          <w:tcPr>
            <w:tcW w:w="1112"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4"/>
                <w:highlight w:val="none"/>
                <w:u w:val="none"/>
                <w:lang w:bidi="ar-SA"/>
              </w:rPr>
            </w:pPr>
          </w:p>
        </w:tc>
        <w:tc>
          <w:tcPr>
            <w:tcW w:w="1296"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eastAsia="宋体" w:cs="宋体"/>
                <w:kern w:val="0"/>
                <w:sz w:val="24"/>
                <w:highlight w:val="none"/>
                <w:u w:val="none"/>
                <w:lang w:bidi="ar-SA"/>
              </w:rPr>
            </w:pPr>
          </w:p>
        </w:tc>
        <w:tc>
          <w:tcPr>
            <w:tcW w:w="2419" w:type="dxa"/>
            <w:gridSpan w:val="2"/>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单位：万元</w:t>
            </w:r>
          </w:p>
        </w:tc>
      </w:tr>
      <w:tr>
        <w:tblPrEx>
          <w:tblCellMar>
            <w:top w:w="0" w:type="dxa"/>
            <w:left w:w="108" w:type="dxa"/>
            <w:bottom w:w="0" w:type="dxa"/>
            <w:right w:w="108" w:type="dxa"/>
          </w:tblCellMar>
        </w:tblPrEx>
        <w:trPr>
          <w:trHeight w:val="360" w:hRule="atLeast"/>
          <w:jc w:val="center"/>
        </w:trPr>
        <w:tc>
          <w:tcPr>
            <w:tcW w:w="3556"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险种</w:t>
            </w:r>
          </w:p>
        </w:tc>
        <w:tc>
          <w:tcPr>
            <w:tcW w:w="1112" w:type="dxa"/>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2022</w:t>
            </w:r>
            <w:r>
              <w:rPr>
                <w:rFonts w:hint="eastAsia" w:ascii="Arial Narrow" w:hAnsi="Arial Narrow" w:eastAsia="宋体" w:cs="宋体"/>
                <w:b/>
                <w:bCs/>
                <w:kern w:val="0"/>
                <w:sz w:val="22"/>
                <w:szCs w:val="22"/>
                <w:highlight w:val="none"/>
                <w:u w:val="none"/>
                <w:lang w:eastAsia="zh-CN" w:bidi="ar-SA"/>
              </w:rPr>
              <w:t>年</w:t>
            </w:r>
            <w:r>
              <w:rPr>
                <w:rFonts w:hint="eastAsia" w:ascii="宋体" w:eastAsia="宋体" w:cs="宋体"/>
                <w:b/>
                <w:bCs/>
                <w:kern w:val="0"/>
                <w:sz w:val="22"/>
                <w:szCs w:val="22"/>
                <w:highlight w:val="none"/>
                <w:u w:val="none"/>
                <w:lang w:bidi="ar-SA"/>
              </w:rPr>
              <w:t>预算</w:t>
            </w:r>
          </w:p>
        </w:tc>
        <w:tc>
          <w:tcPr>
            <w:tcW w:w="1296" w:type="dxa"/>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Arial Narrow" w:hAnsi="Arial Narrow" w:eastAsia="宋体" w:cs="宋体"/>
                <w:b/>
                <w:bCs/>
                <w:kern w:val="0"/>
                <w:sz w:val="22"/>
                <w:szCs w:val="22"/>
                <w:highlight w:val="none"/>
                <w:u w:val="none"/>
                <w:lang w:eastAsia="zh-CN" w:bidi="ar-SA"/>
              </w:rPr>
            </w:pPr>
            <w:r>
              <w:rPr>
                <w:rFonts w:ascii="Arial Narrow" w:hAnsi="Arial Narrow" w:eastAsia="宋体" w:cs="宋体"/>
                <w:b/>
                <w:bCs/>
                <w:kern w:val="0"/>
                <w:sz w:val="22"/>
                <w:szCs w:val="22"/>
                <w:highlight w:val="none"/>
                <w:u w:val="none"/>
                <w:lang w:bidi="ar-SA"/>
              </w:rPr>
              <w:t>2021</w:t>
            </w:r>
            <w:r>
              <w:rPr>
                <w:rFonts w:hint="eastAsia" w:ascii="Arial Narrow" w:hAnsi="Arial Narrow" w:eastAsia="宋体" w:cs="宋体"/>
                <w:b/>
                <w:bCs/>
                <w:kern w:val="0"/>
                <w:sz w:val="22"/>
                <w:szCs w:val="22"/>
                <w:highlight w:val="none"/>
                <w:u w:val="none"/>
                <w:lang w:eastAsia="zh-CN" w:bidi="ar-SA"/>
              </w:rPr>
              <w:t>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预计执行</w:t>
            </w:r>
          </w:p>
        </w:tc>
        <w:tc>
          <w:tcPr>
            <w:tcW w:w="1281"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增减额</w:t>
            </w:r>
          </w:p>
        </w:tc>
        <w:tc>
          <w:tcPr>
            <w:tcW w:w="1138"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增减率</w:t>
            </w:r>
          </w:p>
        </w:tc>
      </w:tr>
      <w:tr>
        <w:tblPrEx>
          <w:tblCellMar>
            <w:top w:w="0" w:type="dxa"/>
            <w:left w:w="108" w:type="dxa"/>
            <w:bottom w:w="0" w:type="dxa"/>
            <w:right w:w="108" w:type="dxa"/>
          </w:tblCellMar>
        </w:tblPrEx>
        <w:trPr>
          <w:trHeight w:val="360" w:hRule="atLeast"/>
          <w:jc w:val="center"/>
        </w:trPr>
        <w:tc>
          <w:tcPr>
            <w:tcW w:w="355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城乡居民基本养老保险</w:t>
            </w:r>
          </w:p>
        </w:tc>
        <w:tc>
          <w:tcPr>
            <w:tcW w:w="11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-2,555</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2,810</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-5,365</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-190.93%</w:t>
            </w:r>
          </w:p>
        </w:tc>
      </w:tr>
      <w:tr>
        <w:tblPrEx>
          <w:tblCellMar>
            <w:top w:w="0" w:type="dxa"/>
            <w:left w:w="108" w:type="dxa"/>
            <w:bottom w:w="0" w:type="dxa"/>
            <w:right w:w="108" w:type="dxa"/>
          </w:tblCellMar>
        </w:tblPrEx>
        <w:trPr>
          <w:trHeight w:val="360"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机关事业单位基本养老保险（改革）</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76,247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10,281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65,966</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641.63%</w:t>
            </w:r>
          </w:p>
        </w:tc>
      </w:tr>
      <w:tr>
        <w:tblPrEx>
          <w:tblCellMar>
            <w:top w:w="0" w:type="dxa"/>
            <w:left w:w="108" w:type="dxa"/>
            <w:bottom w:w="0" w:type="dxa"/>
            <w:right w:w="108" w:type="dxa"/>
          </w:tblCellMar>
        </w:tblPrEx>
        <w:trPr>
          <w:trHeight w:val="360"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职工基本医疗</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3,021,460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1,986,726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1,034,734</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52.08%</w:t>
            </w:r>
          </w:p>
        </w:tc>
      </w:tr>
      <w:tr>
        <w:tblPrEx>
          <w:tblCellMar>
            <w:top w:w="0" w:type="dxa"/>
            <w:left w:w="108" w:type="dxa"/>
            <w:bottom w:w="0" w:type="dxa"/>
            <w:right w:w="108" w:type="dxa"/>
          </w:tblCellMar>
        </w:tblPrEx>
        <w:trPr>
          <w:trHeight w:val="360"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城乡居民基本医疗</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128,214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Arial Narrow" w:hAnsi="Arial Narrow" w:eastAsia="宋体" w:cs="宋体"/>
                <w:kern w:val="0"/>
                <w:sz w:val="22"/>
                <w:szCs w:val="22"/>
                <w:highlight w:val="none"/>
                <w:u w:val="none"/>
                <w:lang w:val="en-US" w:eastAsia="zh-CN" w:bidi="ar-SA"/>
              </w:rPr>
            </w:pPr>
            <w:r>
              <w:rPr>
                <w:rFonts w:ascii="Arial Narrow" w:hAnsi="Arial Narrow" w:eastAsia="宋体" w:cs="宋体"/>
                <w:kern w:val="0"/>
                <w:sz w:val="22"/>
                <w:szCs w:val="22"/>
                <w:highlight w:val="none"/>
                <w:u w:val="none"/>
                <w:lang w:bidi="ar-SA"/>
              </w:rPr>
              <w:t>1</w:t>
            </w:r>
            <w:r>
              <w:rPr>
                <w:rFonts w:hint="eastAsia" w:ascii="Arial Narrow" w:hAnsi="Arial Narrow" w:eastAsia="宋体" w:cs="宋体"/>
                <w:kern w:val="0"/>
                <w:sz w:val="22"/>
                <w:szCs w:val="22"/>
                <w:highlight w:val="none"/>
                <w:u w:val="none"/>
                <w:lang w:val="en-US" w:eastAsia="zh-CN" w:bidi="ar-SA"/>
              </w:rPr>
              <w:t>30</w:t>
            </w:r>
            <w:r>
              <w:rPr>
                <w:rFonts w:ascii="Arial Narrow" w:hAnsi="Arial Narrow" w:eastAsia="宋体" w:cs="宋体"/>
                <w:kern w:val="0"/>
                <w:sz w:val="22"/>
                <w:szCs w:val="22"/>
                <w:highlight w:val="none"/>
                <w:u w:val="none"/>
                <w:lang w:bidi="ar-SA"/>
              </w:rPr>
              <w:t>,</w:t>
            </w:r>
            <w:r>
              <w:rPr>
                <w:rFonts w:hint="eastAsia" w:ascii="Arial Narrow" w:hAnsi="Arial Narrow" w:eastAsia="宋体" w:cs="宋体"/>
                <w:kern w:val="0"/>
                <w:sz w:val="22"/>
                <w:szCs w:val="22"/>
                <w:highlight w:val="none"/>
                <w:u w:val="none"/>
                <w:lang w:val="en-US" w:eastAsia="zh-CN" w:bidi="ar-SA"/>
              </w:rPr>
              <w:t>258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hint="eastAsia" w:ascii="Arial Narrow" w:hAnsi="Arial Narrow" w:eastAsia="宋体" w:cs="宋体"/>
                <w:kern w:val="0"/>
                <w:sz w:val="22"/>
                <w:szCs w:val="22"/>
                <w:highlight w:val="none"/>
                <w:u w:val="none"/>
                <w:lang w:val="en-US" w:eastAsia="zh-CN" w:bidi="ar-SA"/>
              </w:rPr>
              <w:t>-2</w:t>
            </w:r>
            <w:r>
              <w:rPr>
                <w:rFonts w:ascii="Arial Narrow" w:hAnsi="Arial Narrow" w:eastAsia="宋体" w:cs="宋体"/>
                <w:kern w:val="0"/>
                <w:sz w:val="22"/>
                <w:szCs w:val="22"/>
                <w:highlight w:val="none"/>
                <w:u w:val="none"/>
                <w:lang w:bidi="ar-SA"/>
              </w:rPr>
              <w:t>,</w:t>
            </w:r>
            <w:r>
              <w:rPr>
                <w:rFonts w:hint="eastAsia" w:ascii="Arial Narrow" w:hAnsi="Arial Narrow" w:eastAsia="宋体" w:cs="宋体"/>
                <w:kern w:val="0"/>
                <w:sz w:val="22"/>
                <w:szCs w:val="22"/>
                <w:highlight w:val="none"/>
                <w:u w:val="none"/>
                <w:lang w:val="en-US" w:eastAsia="zh-CN" w:bidi="ar-SA"/>
              </w:rPr>
              <w:t>044</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hint="eastAsia" w:ascii="Arial Narrow" w:hAnsi="Arial Narrow" w:eastAsia="宋体" w:cs="宋体"/>
                <w:kern w:val="0"/>
                <w:sz w:val="22"/>
                <w:szCs w:val="22"/>
                <w:highlight w:val="none"/>
                <w:u w:val="none"/>
                <w:lang w:val="en-US" w:eastAsia="zh-CN" w:bidi="ar-SA"/>
              </w:rPr>
              <w:t>-1</w:t>
            </w:r>
            <w:r>
              <w:rPr>
                <w:rFonts w:ascii="Arial Narrow" w:hAnsi="Arial Narrow" w:eastAsia="宋体" w:cs="宋体"/>
                <w:kern w:val="0"/>
                <w:sz w:val="22"/>
                <w:szCs w:val="22"/>
                <w:highlight w:val="none"/>
                <w:u w:val="none"/>
                <w:lang w:bidi="ar-SA"/>
              </w:rPr>
              <w:t>.</w:t>
            </w:r>
            <w:r>
              <w:rPr>
                <w:rFonts w:hint="eastAsia" w:ascii="Arial Narrow" w:hAnsi="Arial Narrow" w:eastAsia="宋体" w:cs="宋体"/>
                <w:kern w:val="0"/>
                <w:sz w:val="22"/>
                <w:szCs w:val="22"/>
                <w:highlight w:val="none"/>
                <w:u w:val="none"/>
                <w:lang w:val="en-US" w:eastAsia="zh-CN" w:bidi="ar-SA"/>
              </w:rPr>
              <w:t>57</w:t>
            </w:r>
            <w:r>
              <w:rPr>
                <w:rFonts w:ascii="Arial Narrow" w:hAnsi="Arial Narrow" w:eastAsia="宋体" w:cs="宋体"/>
                <w:kern w:val="0"/>
                <w:sz w:val="22"/>
                <w:szCs w:val="22"/>
                <w:highlight w:val="none"/>
                <w:u w:val="none"/>
                <w:lang w:bidi="ar-SA"/>
              </w:rPr>
              <w:t>%</w:t>
            </w:r>
          </w:p>
        </w:tc>
      </w:tr>
      <w:tr>
        <w:tblPrEx>
          <w:tblCellMar>
            <w:top w:w="0" w:type="dxa"/>
            <w:left w:w="108" w:type="dxa"/>
            <w:bottom w:w="0" w:type="dxa"/>
            <w:right w:w="108" w:type="dxa"/>
          </w:tblCellMar>
        </w:tblPrEx>
        <w:trPr>
          <w:trHeight w:val="360"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失业保险</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-114,540</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-140,548</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26,008</w:t>
            </w:r>
          </w:p>
        </w:tc>
        <w:tc>
          <w:tcPr>
            <w:tcW w:w="1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-18.50%</w:t>
            </w:r>
          </w:p>
        </w:tc>
      </w:tr>
      <w:tr>
        <w:tblPrEx>
          <w:tblCellMar>
            <w:top w:w="0" w:type="dxa"/>
            <w:left w:w="108" w:type="dxa"/>
            <w:bottom w:w="0" w:type="dxa"/>
            <w:right w:w="108" w:type="dxa"/>
          </w:tblCellMar>
        </w:tblPrEx>
        <w:trPr>
          <w:trHeight w:val="360" w:hRule="atLeast"/>
          <w:jc w:val="center"/>
        </w:trPr>
        <w:tc>
          <w:tcPr>
            <w:tcW w:w="355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机关事业单位基本养老保险（试点）</w:t>
            </w:r>
          </w:p>
        </w:tc>
        <w:tc>
          <w:tcPr>
            <w:tcW w:w="11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-1,106</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-141,947</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140,841</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-99.22%</w:t>
            </w:r>
          </w:p>
        </w:tc>
      </w:tr>
      <w:tr>
        <w:tblPrEx>
          <w:tblCellMar>
            <w:top w:w="0" w:type="dxa"/>
            <w:left w:w="108" w:type="dxa"/>
            <w:bottom w:w="0" w:type="dxa"/>
            <w:right w:w="108" w:type="dxa"/>
          </w:tblCellMar>
        </w:tblPrEx>
        <w:trPr>
          <w:trHeight w:val="360" w:hRule="atLeast"/>
          <w:jc w:val="center"/>
        </w:trPr>
        <w:tc>
          <w:tcPr>
            <w:tcW w:w="355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地方补充养老保险</w:t>
            </w:r>
          </w:p>
        </w:tc>
        <w:tc>
          <w:tcPr>
            <w:tcW w:w="11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391,524</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373,353</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18,171</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4.87%</w:t>
            </w:r>
          </w:p>
        </w:tc>
      </w:tr>
      <w:tr>
        <w:tblPrEx>
          <w:tblCellMar>
            <w:top w:w="0" w:type="dxa"/>
            <w:left w:w="108" w:type="dxa"/>
            <w:bottom w:w="0" w:type="dxa"/>
            <w:right w:w="108" w:type="dxa"/>
          </w:tblCellMar>
        </w:tblPrEx>
        <w:trPr>
          <w:trHeight w:val="360" w:hRule="atLeast"/>
          <w:jc w:val="center"/>
        </w:trPr>
        <w:tc>
          <w:tcPr>
            <w:tcW w:w="355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地方补充医疗保险</w:t>
            </w:r>
          </w:p>
        </w:tc>
        <w:tc>
          <w:tcPr>
            <w:tcW w:w="11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263,603</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203,245</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60,358</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29.70%</w:t>
            </w:r>
          </w:p>
        </w:tc>
      </w:tr>
      <w:tr>
        <w:tblPrEx>
          <w:tblCellMar>
            <w:top w:w="0" w:type="dxa"/>
            <w:left w:w="108" w:type="dxa"/>
            <w:bottom w:w="0" w:type="dxa"/>
            <w:right w:w="108" w:type="dxa"/>
          </w:tblCellMar>
        </w:tblPrEx>
        <w:trPr>
          <w:trHeight w:val="360" w:hRule="atLeast"/>
          <w:jc w:val="center"/>
        </w:trPr>
        <w:tc>
          <w:tcPr>
            <w:tcW w:w="3556" w:type="dxa"/>
            <w:tcBorders>
              <w:top w:val="nil"/>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总</w:t>
            </w:r>
            <w:r>
              <w:rPr>
                <w:rFonts w:ascii="Arial Narrow" w:hAnsi="Arial Narrow" w:eastAsia="宋体" w:cs="宋体"/>
                <w:b/>
                <w:bCs/>
                <w:kern w:val="0"/>
                <w:sz w:val="22"/>
                <w:szCs w:val="22"/>
                <w:highlight w:val="none"/>
                <w:u w:val="none"/>
                <w:lang w:bidi="ar-SA"/>
              </w:rPr>
              <w:t xml:space="preserve">  </w:t>
            </w:r>
            <w:r>
              <w:rPr>
                <w:rFonts w:hint="eastAsia" w:ascii="宋体" w:eastAsia="宋体" w:cs="宋体"/>
                <w:b/>
                <w:bCs/>
                <w:kern w:val="0"/>
                <w:sz w:val="22"/>
                <w:szCs w:val="22"/>
                <w:highlight w:val="none"/>
                <w:u w:val="none"/>
                <w:lang w:bidi="ar-SA"/>
              </w:rPr>
              <w:t>计</w:t>
            </w:r>
          </w:p>
        </w:tc>
        <w:tc>
          <w:tcPr>
            <w:tcW w:w="1112"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3,762,847</w:t>
            </w:r>
          </w:p>
        </w:tc>
        <w:tc>
          <w:tcPr>
            <w:tcW w:w="1296"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2,4</w:t>
            </w:r>
            <w:r>
              <w:rPr>
                <w:rFonts w:hint="eastAsia" w:ascii="Arial Narrow" w:hAnsi="Arial Narrow" w:eastAsia="宋体" w:cs="宋体"/>
                <w:b/>
                <w:bCs/>
                <w:kern w:val="0"/>
                <w:sz w:val="22"/>
                <w:szCs w:val="22"/>
                <w:highlight w:val="none"/>
                <w:u w:val="none"/>
                <w:lang w:val="en-US" w:eastAsia="zh-CN" w:bidi="ar-SA"/>
              </w:rPr>
              <w:t>24</w:t>
            </w:r>
            <w:r>
              <w:rPr>
                <w:rFonts w:ascii="Arial Narrow" w:hAnsi="Arial Narrow" w:eastAsia="宋体" w:cs="宋体"/>
                <w:b/>
                <w:bCs/>
                <w:kern w:val="0"/>
                <w:sz w:val="22"/>
                <w:szCs w:val="22"/>
                <w:highlight w:val="none"/>
                <w:u w:val="none"/>
                <w:lang w:bidi="ar-SA"/>
              </w:rPr>
              <w:t>,</w:t>
            </w:r>
            <w:r>
              <w:rPr>
                <w:rFonts w:hint="eastAsia" w:ascii="Arial Narrow" w:hAnsi="Arial Narrow" w:eastAsia="宋体" w:cs="宋体"/>
                <w:b/>
                <w:bCs/>
                <w:kern w:val="0"/>
                <w:sz w:val="22"/>
                <w:szCs w:val="22"/>
                <w:highlight w:val="none"/>
                <w:u w:val="none"/>
                <w:lang w:val="en-US" w:eastAsia="zh-CN" w:bidi="ar-SA"/>
              </w:rPr>
              <w:t>178</w:t>
            </w:r>
          </w:p>
        </w:tc>
        <w:tc>
          <w:tcPr>
            <w:tcW w:w="1281"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Arial Narrow" w:hAnsi="Arial Narrow" w:eastAsia="宋体" w:cs="宋体"/>
                <w:b/>
                <w:bCs/>
                <w:kern w:val="0"/>
                <w:sz w:val="22"/>
                <w:szCs w:val="22"/>
                <w:highlight w:val="none"/>
                <w:u w:val="none"/>
                <w:lang w:val="en-US" w:eastAsia="zh-CN" w:bidi="ar-SA"/>
              </w:rPr>
            </w:pPr>
            <w:r>
              <w:rPr>
                <w:rFonts w:ascii="Arial Narrow" w:hAnsi="Arial Narrow" w:eastAsia="宋体" w:cs="宋体"/>
                <w:b/>
                <w:bCs/>
                <w:kern w:val="0"/>
                <w:sz w:val="22"/>
                <w:szCs w:val="22"/>
                <w:highlight w:val="none"/>
                <w:u w:val="none"/>
                <w:lang w:bidi="ar-SA"/>
              </w:rPr>
              <w:t>1,3</w:t>
            </w:r>
            <w:r>
              <w:rPr>
                <w:rFonts w:hint="eastAsia" w:ascii="Arial Narrow" w:hAnsi="Arial Narrow" w:eastAsia="宋体" w:cs="宋体"/>
                <w:b/>
                <w:bCs/>
                <w:kern w:val="0"/>
                <w:sz w:val="22"/>
                <w:szCs w:val="22"/>
                <w:highlight w:val="none"/>
                <w:u w:val="none"/>
                <w:lang w:val="en-US" w:eastAsia="zh-CN" w:bidi="ar-SA"/>
              </w:rPr>
              <w:t>38</w:t>
            </w:r>
            <w:r>
              <w:rPr>
                <w:rFonts w:ascii="Arial Narrow" w:hAnsi="Arial Narrow" w:eastAsia="宋体" w:cs="宋体"/>
                <w:b/>
                <w:bCs/>
                <w:kern w:val="0"/>
                <w:sz w:val="22"/>
                <w:szCs w:val="22"/>
                <w:highlight w:val="none"/>
                <w:u w:val="none"/>
                <w:lang w:bidi="ar-SA"/>
              </w:rPr>
              <w:t>,</w:t>
            </w:r>
            <w:r>
              <w:rPr>
                <w:rFonts w:hint="eastAsia" w:ascii="Arial Narrow" w:hAnsi="Arial Narrow" w:eastAsia="宋体" w:cs="宋体"/>
                <w:b/>
                <w:bCs/>
                <w:kern w:val="0"/>
                <w:sz w:val="22"/>
                <w:szCs w:val="22"/>
                <w:highlight w:val="none"/>
                <w:u w:val="none"/>
                <w:lang w:val="en-US" w:eastAsia="zh-CN" w:bidi="ar-SA"/>
              </w:rPr>
              <w:t>669</w:t>
            </w:r>
          </w:p>
        </w:tc>
        <w:tc>
          <w:tcPr>
            <w:tcW w:w="1138" w:type="dxa"/>
            <w:tcBorders>
              <w:top w:val="nil"/>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55.</w:t>
            </w:r>
            <w:r>
              <w:rPr>
                <w:rFonts w:hint="eastAsia" w:ascii="Arial Narrow" w:hAnsi="Arial Narrow" w:eastAsia="宋体" w:cs="宋体"/>
                <w:b/>
                <w:bCs/>
                <w:kern w:val="0"/>
                <w:sz w:val="22"/>
                <w:szCs w:val="22"/>
                <w:highlight w:val="none"/>
                <w:u w:val="none"/>
                <w:lang w:val="en-US" w:eastAsia="zh-CN" w:bidi="ar-SA"/>
              </w:rPr>
              <w:t>22</w:t>
            </w:r>
            <w:r>
              <w:rPr>
                <w:rFonts w:ascii="Arial Narrow" w:hAnsi="Arial Narrow" w:eastAsia="宋体" w:cs="宋体"/>
                <w:b/>
                <w:bCs/>
                <w:kern w:val="0"/>
                <w:sz w:val="22"/>
                <w:szCs w:val="22"/>
                <w:highlight w:val="none"/>
                <w:u w:val="none"/>
                <w:lang w:bidi="ar-SA"/>
              </w:rPr>
              <w:t>%</w:t>
            </w:r>
          </w:p>
        </w:tc>
      </w:tr>
    </w:tbl>
    <w:p>
      <w:pPr>
        <w:keepNext w:val="0"/>
        <w:keepLines w:val="0"/>
        <w:pageBreakBefore w:val="0"/>
        <w:widowControl w:val="0"/>
        <w:tabs>
          <w:tab w:val="left" w:pos="1418"/>
        </w:tabs>
        <w:kinsoku/>
        <w:wordWrap/>
        <w:overflowPunct/>
        <w:topLinePunct w:val="0"/>
        <w:bidi w:val="0"/>
        <w:snapToGrid w:val="0"/>
        <w:spacing w:line="580" w:lineRule="exact"/>
        <w:ind w:firstLine="640" w:firstLineChars="200"/>
        <w:textAlignment w:val="auto"/>
        <w:rPr>
          <w:rFonts w:hint="eastAsia" w:ascii="仿宋_GB2312" w:eastAsia="仿宋_GB2312" w:cs="Calibri"/>
          <w:sz w:val="32"/>
          <w:szCs w:val="32"/>
          <w:highlight w:val="none"/>
          <w:u w:val="none"/>
          <w:lang w:bidi="ar-SA"/>
        </w:rPr>
      </w:pPr>
      <w:r>
        <w:rPr>
          <w:rFonts w:hint="eastAsia" w:ascii="楷体_GB2312" w:eastAsia="楷体_GB2312" w:cs="黑体"/>
          <w:bCs/>
          <w:sz w:val="32"/>
          <w:szCs w:val="32"/>
          <w:highlight w:val="none"/>
          <w:u w:val="none"/>
          <w:lang w:bidi="ar-SA"/>
        </w:rPr>
        <w:t>（二）滚存结余。</w:t>
      </w:r>
      <w:r>
        <w:rPr>
          <w:rFonts w:hint="eastAsia" w:ascii="仿宋_GB2312" w:eastAsia="仿宋_GB2312" w:cs="Calibri"/>
          <w:sz w:val="32"/>
          <w:szCs w:val="32"/>
          <w:highlight w:val="none"/>
          <w:u w:val="none"/>
          <w:lang w:bidi="ar-SA"/>
        </w:rPr>
        <w:t>2022</w:t>
      </w:r>
      <w:r>
        <w:rPr>
          <w:rFonts w:hint="eastAsia" w:ascii="仿宋_GB2312" w:eastAsia="仿宋_GB2312" w:cs="Calibri"/>
          <w:sz w:val="32"/>
          <w:szCs w:val="32"/>
          <w:highlight w:val="none"/>
          <w:u w:val="none"/>
          <w:lang w:eastAsia="zh-CN" w:bidi="ar-SA"/>
        </w:rPr>
        <w:t>年</w:t>
      </w:r>
      <w:r>
        <w:rPr>
          <w:rFonts w:hint="eastAsia" w:ascii="仿宋_GB2312" w:eastAsia="仿宋_GB2312" w:cs="Calibri"/>
          <w:sz w:val="32"/>
          <w:szCs w:val="32"/>
          <w:highlight w:val="none"/>
          <w:u w:val="none"/>
          <w:lang w:bidi="ar-SA"/>
        </w:rPr>
        <w:t>预算草案中各险种基金（不含已实行省级统筹的企业职工基本养老保险基金和工伤保险基金）预算滚存结余共计25</w:t>
      </w:r>
      <w:r>
        <w:rPr>
          <w:rFonts w:hint="eastAsia" w:ascii="仿宋_GB2312" w:eastAsia="仿宋_GB2312" w:cs="Calibri"/>
          <w:sz w:val="32"/>
          <w:szCs w:val="32"/>
          <w:highlight w:val="none"/>
          <w:u w:val="none"/>
          <w:lang w:val="en-US" w:eastAsia="zh-CN" w:bidi="ar-SA"/>
        </w:rPr>
        <w:t>40</w:t>
      </w:r>
      <w:r>
        <w:rPr>
          <w:rFonts w:hint="eastAsia" w:ascii="仿宋_GB2312" w:eastAsia="仿宋_GB2312" w:cs="Calibri"/>
          <w:sz w:val="32"/>
          <w:szCs w:val="32"/>
          <w:highlight w:val="none"/>
          <w:u w:val="none"/>
          <w:lang w:bidi="ar-SA"/>
        </w:rPr>
        <w:t>亿元。</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ascii="宋体" w:hAnsi="宋体" w:eastAsia="仿宋_GB2312" w:cs="Times New Roman"/>
          <w:spacing w:val="-2"/>
          <w:kern w:val="0"/>
          <w:sz w:val="32"/>
          <w:szCs w:val="24"/>
          <w:highlight w:val="none"/>
          <w:u w:val="none"/>
          <w:lang w:val="en-US" w:eastAsia="zh-CN" w:bidi="ar-SA"/>
        </w:rPr>
      </w:pPr>
    </w:p>
    <w:tbl>
      <w:tblPr>
        <w:tblStyle w:val="13"/>
        <w:tblW w:w="0" w:type="auto"/>
        <w:jc w:val="center"/>
        <w:tblLayout w:type="fixed"/>
        <w:tblCellMar>
          <w:top w:w="0" w:type="dxa"/>
          <w:left w:w="108" w:type="dxa"/>
          <w:bottom w:w="0" w:type="dxa"/>
          <w:right w:w="108" w:type="dxa"/>
        </w:tblCellMar>
      </w:tblPr>
      <w:tblGrid>
        <w:gridCol w:w="2752"/>
        <w:gridCol w:w="1655"/>
        <w:gridCol w:w="1664"/>
        <w:gridCol w:w="1287"/>
        <w:gridCol w:w="1082"/>
      </w:tblGrid>
      <w:tr>
        <w:tblPrEx>
          <w:tblCellMar>
            <w:top w:w="0" w:type="dxa"/>
            <w:left w:w="108" w:type="dxa"/>
            <w:bottom w:w="0" w:type="dxa"/>
            <w:right w:w="108" w:type="dxa"/>
          </w:tblCellMar>
        </w:tblPrEx>
        <w:trPr>
          <w:trHeight w:val="363" w:hRule="atLeast"/>
          <w:jc w:val="center"/>
        </w:trPr>
        <w:tc>
          <w:tcPr>
            <w:tcW w:w="8440" w:type="dxa"/>
            <w:gridSpan w:val="5"/>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cs="宋体"/>
                <w:b/>
                <w:bCs/>
                <w:kern w:val="0"/>
                <w:sz w:val="32"/>
                <w:szCs w:val="32"/>
                <w:highlight w:val="none"/>
                <w:u w:val="none"/>
                <w:lang w:bidi="ar-SA"/>
              </w:rPr>
            </w:pPr>
            <w:r>
              <w:rPr>
                <w:rFonts w:hint="eastAsia" w:ascii="仿宋_GB2312" w:eastAsia="仿宋_GB2312" w:cs="宋体"/>
                <w:b/>
                <w:bCs/>
                <w:kern w:val="0"/>
                <w:sz w:val="32"/>
                <w:szCs w:val="32"/>
                <w:highlight w:val="none"/>
                <w:u w:val="none"/>
                <w:lang w:bidi="ar-SA"/>
              </w:rPr>
              <w:t>2022年预算草案滚存结余预算情况表</w:t>
            </w:r>
          </w:p>
        </w:tc>
      </w:tr>
      <w:tr>
        <w:tblPrEx>
          <w:tblCellMar>
            <w:top w:w="0" w:type="dxa"/>
            <w:left w:w="108" w:type="dxa"/>
            <w:bottom w:w="0" w:type="dxa"/>
            <w:right w:w="108" w:type="dxa"/>
          </w:tblCellMar>
        </w:tblPrEx>
        <w:trPr>
          <w:trHeight w:val="363" w:hRule="atLeast"/>
          <w:jc w:val="center"/>
        </w:trPr>
        <w:tc>
          <w:tcPr>
            <w:tcW w:w="2752" w:type="dxa"/>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ind w:firstLine="482" w:firstLineChars="200"/>
              <w:jc w:val="center"/>
              <w:textAlignment w:val="auto"/>
              <w:rPr>
                <w:rFonts w:hint="eastAsia" w:ascii="仿宋_GB2312" w:eastAsia="仿宋_GB2312" w:cs="宋体"/>
                <w:b/>
                <w:bCs/>
                <w:kern w:val="0"/>
                <w:sz w:val="24"/>
                <w:highlight w:val="none"/>
                <w:u w:val="none"/>
                <w:lang w:bidi="ar-SA"/>
              </w:rPr>
            </w:pPr>
          </w:p>
        </w:tc>
        <w:tc>
          <w:tcPr>
            <w:tcW w:w="1655" w:type="dxa"/>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4"/>
                <w:highlight w:val="none"/>
                <w:u w:val="none"/>
                <w:lang w:bidi="ar-SA"/>
              </w:rPr>
            </w:pPr>
          </w:p>
        </w:tc>
        <w:tc>
          <w:tcPr>
            <w:tcW w:w="1664" w:type="dxa"/>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4"/>
                <w:highlight w:val="none"/>
                <w:u w:val="none"/>
                <w:lang w:bidi="ar-SA"/>
              </w:rPr>
            </w:pPr>
          </w:p>
        </w:tc>
        <w:tc>
          <w:tcPr>
            <w:tcW w:w="2369" w:type="dxa"/>
            <w:gridSpan w:val="2"/>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单位：万元</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险种</w:t>
            </w:r>
          </w:p>
        </w:tc>
        <w:tc>
          <w:tcPr>
            <w:tcW w:w="1655"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2022</w:t>
            </w:r>
            <w:r>
              <w:rPr>
                <w:rFonts w:hint="eastAsia" w:ascii="宋体" w:eastAsia="宋体" w:cs="宋体"/>
                <w:b/>
                <w:bCs/>
                <w:kern w:val="0"/>
                <w:sz w:val="22"/>
                <w:szCs w:val="22"/>
                <w:highlight w:val="none"/>
                <w:u w:val="none"/>
                <w:lang w:bidi="ar-SA"/>
              </w:rPr>
              <w:t>预算草案</w:t>
            </w:r>
          </w:p>
        </w:tc>
        <w:tc>
          <w:tcPr>
            <w:tcW w:w="1664"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2021</w:t>
            </w:r>
            <w:r>
              <w:rPr>
                <w:rFonts w:hint="eastAsia" w:ascii="宋体" w:eastAsia="宋体" w:cs="宋体"/>
                <w:b/>
                <w:bCs/>
                <w:kern w:val="0"/>
                <w:sz w:val="22"/>
                <w:szCs w:val="22"/>
                <w:highlight w:val="none"/>
                <w:u w:val="none"/>
                <w:lang w:bidi="ar-SA"/>
              </w:rPr>
              <w:t>预计执行</w:t>
            </w:r>
          </w:p>
        </w:tc>
        <w:tc>
          <w:tcPr>
            <w:tcW w:w="1287"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增减额</w:t>
            </w:r>
          </w:p>
        </w:tc>
        <w:tc>
          <w:tcPr>
            <w:tcW w:w="108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增减率</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城乡居民基本养老保险</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4,213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6,768</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-2,555</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-37.75%</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机关事业单位基本养老保险（改革）</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1,377,361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1,301,114</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76,247</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5.86%</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职工基本医疗</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18,506,301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15,484,840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3,021,461</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19.51%</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城乡居民基本医疗</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hint="eastAsia" w:ascii="Arial Narrow" w:hAnsi="Arial Narrow" w:eastAsia="宋体" w:cs="宋体"/>
                <w:kern w:val="0"/>
                <w:sz w:val="22"/>
                <w:szCs w:val="22"/>
                <w:highlight w:val="none"/>
                <w:u w:val="none"/>
                <w:lang w:val="en-US" w:eastAsia="zh-CN" w:bidi="ar-SA"/>
              </w:rPr>
              <w:t>675</w:t>
            </w:r>
            <w:r>
              <w:rPr>
                <w:rFonts w:ascii="Arial Narrow" w:hAnsi="Arial Narrow" w:eastAsia="宋体" w:cs="宋体"/>
                <w:kern w:val="0"/>
                <w:sz w:val="22"/>
                <w:szCs w:val="22"/>
                <w:highlight w:val="none"/>
                <w:u w:val="none"/>
                <w:lang w:bidi="ar-SA"/>
              </w:rPr>
              <w:t>,</w:t>
            </w:r>
            <w:r>
              <w:rPr>
                <w:rFonts w:hint="eastAsia" w:ascii="Arial Narrow" w:hAnsi="Arial Narrow" w:eastAsia="宋体" w:cs="宋体"/>
                <w:kern w:val="0"/>
                <w:sz w:val="22"/>
                <w:szCs w:val="22"/>
                <w:highlight w:val="none"/>
                <w:u w:val="none"/>
                <w:lang w:val="en-US" w:eastAsia="zh-CN" w:bidi="ar-SA"/>
              </w:rPr>
              <w:t>527</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hint="eastAsia" w:ascii="Arial Narrow" w:hAnsi="Arial Narrow" w:eastAsia="宋体" w:cs="宋体"/>
                <w:kern w:val="0"/>
                <w:sz w:val="22"/>
                <w:szCs w:val="22"/>
                <w:highlight w:val="none"/>
                <w:u w:val="none"/>
                <w:lang w:val="en-US" w:eastAsia="zh-CN" w:bidi="ar-SA"/>
              </w:rPr>
              <w:t>547</w:t>
            </w:r>
            <w:r>
              <w:rPr>
                <w:rFonts w:ascii="Arial Narrow" w:hAnsi="Arial Narrow" w:eastAsia="宋体" w:cs="宋体"/>
                <w:kern w:val="0"/>
                <w:sz w:val="22"/>
                <w:szCs w:val="22"/>
                <w:highlight w:val="none"/>
                <w:u w:val="none"/>
                <w:lang w:bidi="ar-SA"/>
              </w:rPr>
              <w:t>,</w:t>
            </w:r>
            <w:r>
              <w:rPr>
                <w:rFonts w:hint="eastAsia" w:ascii="Arial Narrow" w:hAnsi="Arial Narrow" w:eastAsia="宋体" w:cs="宋体"/>
                <w:kern w:val="0"/>
                <w:sz w:val="22"/>
                <w:szCs w:val="22"/>
                <w:highlight w:val="none"/>
                <w:u w:val="none"/>
                <w:lang w:val="en-US" w:eastAsia="zh-CN" w:bidi="ar-SA"/>
              </w:rPr>
              <w:t>313</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128,214</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23.</w:t>
            </w:r>
            <w:r>
              <w:rPr>
                <w:rFonts w:hint="eastAsia" w:ascii="Arial Narrow" w:hAnsi="Arial Narrow" w:eastAsia="宋体" w:cs="宋体"/>
                <w:kern w:val="0"/>
                <w:sz w:val="22"/>
                <w:szCs w:val="22"/>
                <w:highlight w:val="none"/>
                <w:u w:val="none"/>
                <w:lang w:val="en-US" w:eastAsia="zh-CN" w:bidi="ar-SA"/>
              </w:rPr>
              <w:t>43</w:t>
            </w:r>
            <w:r>
              <w:rPr>
                <w:rFonts w:ascii="Arial Narrow" w:hAnsi="Arial Narrow" w:eastAsia="宋体" w:cs="宋体"/>
                <w:kern w:val="0"/>
                <w:sz w:val="22"/>
                <w:szCs w:val="22"/>
                <w:highlight w:val="none"/>
                <w:u w:val="none"/>
                <w:lang w:bidi="ar-SA"/>
              </w:rPr>
              <w:t>%</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失业保险</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899,948</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1,014,488</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-114,540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-11.29%</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机关事业单位基本养老保险（试点）</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5,659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6,765</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-1,106</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-16.35%</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地方补充养老保险</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2,271,751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1,880,227</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391,524</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20.82%</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kern w:val="0"/>
                <w:sz w:val="22"/>
                <w:szCs w:val="22"/>
                <w:highlight w:val="none"/>
                <w:u w:val="none"/>
                <w:lang w:bidi="ar-SA"/>
              </w:rPr>
            </w:pPr>
            <w:r>
              <w:rPr>
                <w:rFonts w:hint="eastAsia" w:ascii="宋体" w:eastAsia="宋体" w:cs="宋体"/>
                <w:kern w:val="0"/>
                <w:sz w:val="22"/>
                <w:szCs w:val="22"/>
                <w:highlight w:val="none"/>
                <w:u w:val="none"/>
                <w:lang w:bidi="ar-SA"/>
              </w:rPr>
              <w:t>地方补充医疗保险</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1,659,343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1,395,741</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263,602</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kern w:val="0"/>
                <w:sz w:val="22"/>
                <w:szCs w:val="22"/>
                <w:highlight w:val="none"/>
                <w:u w:val="none"/>
                <w:lang w:bidi="ar-SA"/>
              </w:rPr>
            </w:pPr>
            <w:r>
              <w:rPr>
                <w:rFonts w:ascii="Arial Narrow" w:hAnsi="Arial Narrow" w:eastAsia="宋体" w:cs="宋体"/>
                <w:kern w:val="0"/>
                <w:sz w:val="22"/>
                <w:szCs w:val="22"/>
                <w:highlight w:val="none"/>
                <w:u w:val="none"/>
                <w:lang w:bidi="ar-SA"/>
              </w:rPr>
              <w:t>18.89%</w:t>
            </w:r>
          </w:p>
        </w:tc>
      </w:tr>
      <w:tr>
        <w:tblPrEx>
          <w:tblCellMar>
            <w:top w:w="0" w:type="dxa"/>
            <w:left w:w="108" w:type="dxa"/>
            <w:bottom w:w="0" w:type="dxa"/>
            <w:right w:w="108" w:type="dxa"/>
          </w:tblCellMar>
        </w:tblPrEx>
        <w:trPr>
          <w:trHeight w:val="363" w:hRule="atLeast"/>
          <w:jc w:val="center"/>
        </w:trPr>
        <w:tc>
          <w:tcPr>
            <w:tcW w:w="275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eastAsia="宋体" w:cs="宋体"/>
                <w:b/>
                <w:bCs/>
                <w:kern w:val="0"/>
                <w:sz w:val="22"/>
                <w:szCs w:val="22"/>
                <w:highlight w:val="none"/>
                <w:u w:val="none"/>
                <w:lang w:bidi="ar-SA"/>
              </w:rPr>
            </w:pPr>
            <w:r>
              <w:rPr>
                <w:rFonts w:hint="eastAsia" w:ascii="宋体" w:eastAsia="宋体" w:cs="宋体"/>
                <w:b/>
                <w:bCs/>
                <w:kern w:val="0"/>
                <w:sz w:val="22"/>
                <w:szCs w:val="22"/>
                <w:highlight w:val="none"/>
                <w:u w:val="none"/>
                <w:lang w:bidi="ar-SA"/>
              </w:rPr>
              <w:t>总</w:t>
            </w:r>
            <w:r>
              <w:rPr>
                <w:rFonts w:ascii="Arial Narrow" w:hAnsi="Arial Narrow" w:eastAsia="宋体" w:cs="宋体"/>
                <w:b/>
                <w:bCs/>
                <w:kern w:val="0"/>
                <w:sz w:val="22"/>
                <w:szCs w:val="22"/>
                <w:highlight w:val="none"/>
                <w:u w:val="none"/>
                <w:lang w:bidi="ar-SA"/>
              </w:rPr>
              <w:t xml:space="preserve">  </w:t>
            </w:r>
            <w:r>
              <w:rPr>
                <w:rFonts w:hint="eastAsia" w:ascii="宋体" w:eastAsia="宋体" w:cs="宋体"/>
                <w:b/>
                <w:bCs/>
                <w:kern w:val="0"/>
                <w:sz w:val="22"/>
                <w:szCs w:val="22"/>
                <w:highlight w:val="none"/>
                <w:u w:val="none"/>
                <w:lang w:bidi="ar-SA"/>
              </w:rPr>
              <w:t>计</w:t>
            </w:r>
          </w:p>
        </w:tc>
        <w:tc>
          <w:tcPr>
            <w:tcW w:w="1655"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25,</w:t>
            </w:r>
            <w:r>
              <w:rPr>
                <w:rFonts w:hint="eastAsia" w:ascii="Arial Narrow" w:hAnsi="Arial Narrow" w:eastAsia="宋体" w:cs="宋体"/>
                <w:b/>
                <w:bCs/>
                <w:kern w:val="0"/>
                <w:sz w:val="22"/>
                <w:szCs w:val="22"/>
                <w:highlight w:val="none"/>
                <w:u w:val="none"/>
                <w:lang w:val="en-US" w:eastAsia="zh-CN" w:bidi="ar-SA"/>
              </w:rPr>
              <w:t>400</w:t>
            </w:r>
            <w:r>
              <w:rPr>
                <w:rFonts w:ascii="Arial Narrow" w:hAnsi="Arial Narrow" w:eastAsia="宋体" w:cs="宋体"/>
                <w:b/>
                <w:bCs/>
                <w:kern w:val="0"/>
                <w:sz w:val="22"/>
                <w:szCs w:val="22"/>
                <w:highlight w:val="none"/>
                <w:u w:val="none"/>
                <w:lang w:bidi="ar-SA"/>
              </w:rPr>
              <w:t>,</w:t>
            </w:r>
            <w:r>
              <w:rPr>
                <w:rFonts w:hint="eastAsia" w:ascii="Arial Narrow" w:hAnsi="Arial Narrow" w:eastAsia="宋体" w:cs="宋体"/>
                <w:b/>
                <w:bCs/>
                <w:kern w:val="0"/>
                <w:sz w:val="22"/>
                <w:szCs w:val="22"/>
                <w:highlight w:val="none"/>
                <w:u w:val="none"/>
                <w:lang w:val="en-US" w:eastAsia="zh-CN" w:bidi="ar-SA"/>
              </w:rPr>
              <w:t>103</w:t>
            </w:r>
          </w:p>
        </w:tc>
        <w:tc>
          <w:tcPr>
            <w:tcW w:w="1664"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21,6</w:t>
            </w:r>
            <w:r>
              <w:rPr>
                <w:rFonts w:hint="eastAsia" w:ascii="Arial Narrow" w:hAnsi="Arial Narrow" w:eastAsia="宋体" w:cs="宋体"/>
                <w:b/>
                <w:bCs/>
                <w:kern w:val="0"/>
                <w:sz w:val="22"/>
                <w:szCs w:val="22"/>
                <w:highlight w:val="none"/>
                <w:u w:val="none"/>
                <w:lang w:val="en-US" w:eastAsia="zh-CN" w:bidi="ar-SA"/>
              </w:rPr>
              <w:t>37</w:t>
            </w:r>
            <w:r>
              <w:rPr>
                <w:rFonts w:ascii="Arial Narrow" w:hAnsi="Arial Narrow" w:eastAsia="宋体" w:cs="宋体"/>
                <w:b/>
                <w:bCs/>
                <w:kern w:val="0"/>
                <w:sz w:val="22"/>
                <w:szCs w:val="22"/>
                <w:highlight w:val="none"/>
                <w:u w:val="none"/>
                <w:lang w:bidi="ar-SA"/>
              </w:rPr>
              <w:t>,</w:t>
            </w:r>
            <w:r>
              <w:rPr>
                <w:rFonts w:hint="eastAsia" w:ascii="Arial Narrow" w:hAnsi="Arial Narrow" w:eastAsia="宋体" w:cs="宋体"/>
                <w:b/>
                <w:bCs/>
                <w:kern w:val="0"/>
                <w:sz w:val="22"/>
                <w:szCs w:val="22"/>
                <w:highlight w:val="none"/>
                <w:u w:val="none"/>
                <w:lang w:val="en-US" w:eastAsia="zh-CN" w:bidi="ar-SA"/>
              </w:rPr>
              <w:t>256</w:t>
            </w:r>
          </w:p>
        </w:tc>
        <w:tc>
          <w:tcPr>
            <w:tcW w:w="1287"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3,762,847</w:t>
            </w:r>
          </w:p>
        </w:tc>
        <w:tc>
          <w:tcPr>
            <w:tcW w:w="108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Arial Narrow" w:hAnsi="Arial Narrow" w:eastAsia="宋体" w:cs="宋体"/>
                <w:b/>
                <w:bCs/>
                <w:kern w:val="0"/>
                <w:sz w:val="22"/>
                <w:szCs w:val="22"/>
                <w:highlight w:val="none"/>
                <w:u w:val="none"/>
                <w:lang w:bidi="ar-SA"/>
              </w:rPr>
            </w:pPr>
            <w:r>
              <w:rPr>
                <w:rFonts w:ascii="Arial Narrow" w:hAnsi="Arial Narrow" w:eastAsia="宋体" w:cs="宋体"/>
                <w:b/>
                <w:bCs/>
                <w:kern w:val="0"/>
                <w:sz w:val="22"/>
                <w:szCs w:val="22"/>
                <w:highlight w:val="none"/>
                <w:u w:val="none"/>
                <w:lang w:bidi="ar-SA"/>
              </w:rPr>
              <w:t>17.</w:t>
            </w:r>
            <w:r>
              <w:rPr>
                <w:rFonts w:hint="eastAsia" w:ascii="Arial Narrow" w:hAnsi="Arial Narrow" w:eastAsia="宋体" w:cs="宋体"/>
                <w:b/>
                <w:bCs/>
                <w:kern w:val="0"/>
                <w:sz w:val="22"/>
                <w:szCs w:val="22"/>
                <w:highlight w:val="none"/>
                <w:u w:val="none"/>
                <w:lang w:val="en-US" w:eastAsia="zh-CN" w:bidi="ar-SA"/>
              </w:rPr>
              <w:t>39</w:t>
            </w:r>
            <w:r>
              <w:rPr>
                <w:rFonts w:ascii="Arial Narrow" w:hAnsi="Arial Narrow" w:eastAsia="宋体" w:cs="宋体"/>
                <w:b/>
                <w:bCs/>
                <w:kern w:val="0"/>
                <w:sz w:val="22"/>
                <w:szCs w:val="22"/>
                <w:highlight w:val="none"/>
                <w:u w:val="none"/>
                <w:lang w:bidi="ar-SA"/>
              </w:rPr>
              <w:t>%</w:t>
            </w:r>
          </w:p>
        </w:tc>
      </w:tr>
    </w:tbl>
    <w:p>
      <w:pPr>
        <w:widowControl/>
        <w:spacing w:after="200" w:line="580" w:lineRule="exact"/>
        <w:rPr>
          <w:rFonts w:hint="eastAsia" w:ascii="仿宋_GB2312" w:eastAsia="仿宋_GB2312" w:cs="仿宋_GB2312"/>
          <w:sz w:val="32"/>
          <w:szCs w:val="32"/>
          <w:highlight w:val="none"/>
          <w:u w:val="none"/>
          <w:lang w:bidi="ar-SA"/>
        </w:rPr>
      </w:pPr>
    </w:p>
    <w:p>
      <w:pPr>
        <w:spacing w:after="200" w:line="20" w:lineRule="exact"/>
        <w:rPr>
          <w:rFonts w:eastAsia="宋体" w:cs="Calibri"/>
          <w:highlight w:val="none"/>
          <w:u w:val="none"/>
          <w:lang w:bidi="ar-SA"/>
        </w:rPr>
      </w:pPr>
      <w:r>
        <w:rPr>
          <w:rFonts w:eastAsia="宋体" w:cs="Calibri"/>
          <w:highlight w:val="none"/>
          <w:u w:val="none"/>
          <w:lang w:bidi="ar-SA"/>
        </w:rPr>
        <w:br w:type="page"/>
      </w:r>
    </w:p>
    <w:p>
      <w:pPr>
        <w:spacing w:after="0" w:line="579" w:lineRule="exact"/>
        <w:jc w:val="center"/>
        <w:rPr>
          <w:rFonts w:hint="eastAsia" w:ascii="宋体" w:eastAsia="宋体" w:cs="宋体"/>
          <w:b/>
          <w:sz w:val="32"/>
          <w:szCs w:val="32"/>
          <w:highlight w:val="none"/>
          <w:u w:val="none"/>
          <w:lang w:bidi="ar-SA"/>
        </w:rPr>
      </w:pPr>
    </w:p>
    <w:p>
      <w:pPr>
        <w:spacing w:after="0" w:line="579" w:lineRule="exact"/>
        <w:jc w:val="center"/>
        <w:rPr>
          <w:rFonts w:hint="eastAsia" w:ascii="宋体" w:eastAsia="宋体" w:cs="宋体"/>
          <w:b/>
          <w:sz w:val="32"/>
          <w:szCs w:val="32"/>
          <w:highlight w:val="none"/>
          <w:u w:val="none"/>
          <w:lang w:bidi="ar-SA"/>
        </w:rPr>
      </w:pPr>
      <w:r>
        <w:rPr>
          <w:rFonts w:hint="eastAsia" w:ascii="宋体" w:eastAsia="宋体" w:cs="宋体"/>
          <w:b/>
          <w:sz w:val="32"/>
          <w:szCs w:val="32"/>
          <w:highlight w:val="none"/>
          <w:u w:val="none"/>
          <w:lang w:bidi="ar-SA"/>
        </w:rPr>
        <w:t xml:space="preserve">第六部分  </w:t>
      </w:r>
      <w:r>
        <w:rPr>
          <w:rFonts w:hint="eastAsia" w:ascii="宋体" w:cs="宋体"/>
          <w:b/>
          <w:sz w:val="32"/>
          <w:szCs w:val="32"/>
          <w:highlight w:val="none"/>
          <w:u w:val="none"/>
          <w:lang w:eastAsia="zh-CN" w:bidi="ar-SA"/>
        </w:rPr>
        <w:t>深圳市</w:t>
      </w:r>
      <w:r>
        <w:rPr>
          <w:rFonts w:hint="eastAsia" w:ascii="宋体" w:eastAsia="宋体" w:cs="宋体"/>
          <w:b/>
          <w:sz w:val="32"/>
          <w:szCs w:val="32"/>
          <w:highlight w:val="none"/>
          <w:u w:val="none"/>
          <w:lang w:bidi="ar-SA"/>
        </w:rPr>
        <w:t>大鹏新区、深汕特别合作区和前海管理局</w:t>
      </w:r>
    </w:p>
    <w:p>
      <w:pPr>
        <w:spacing w:after="0" w:line="579" w:lineRule="exact"/>
        <w:jc w:val="center"/>
        <w:rPr>
          <w:rFonts w:hint="eastAsia" w:ascii="宋体" w:eastAsia="宋体" w:cs="宋体"/>
          <w:b/>
          <w:sz w:val="32"/>
          <w:szCs w:val="32"/>
          <w:highlight w:val="none"/>
          <w:u w:val="none"/>
          <w:lang w:bidi="ar-SA"/>
        </w:rPr>
      </w:pPr>
      <w:r>
        <w:rPr>
          <w:rFonts w:hint="eastAsia" w:ascii="宋体" w:eastAsia="宋体" w:cs="宋体"/>
          <w:b/>
          <w:sz w:val="32"/>
          <w:szCs w:val="32"/>
          <w:highlight w:val="none"/>
          <w:u w:val="none"/>
          <w:lang w:bidi="ar-SA"/>
        </w:rPr>
        <w:t>预算（草案）</w:t>
      </w:r>
    </w:p>
    <w:p>
      <w:pPr>
        <w:spacing w:after="0" w:line="579" w:lineRule="exact"/>
        <w:ind w:firstLine="640" w:firstLineChars="200"/>
        <w:rPr>
          <w:rFonts w:hint="eastAsia" w:ascii="仿宋_GB2312" w:eastAsia="仿宋_GB2312" w:cs="仿宋_GB2312"/>
          <w:kern w:val="0"/>
          <w:sz w:val="32"/>
          <w:szCs w:val="32"/>
          <w:highlight w:val="none"/>
          <w:u w:val="none"/>
          <w:lang w:bidi="ar-SA"/>
        </w:rPr>
      </w:pP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eastAsia="仿宋_GB2312" w:cs="仿宋_GB2312"/>
          <w:kern w:val="0"/>
          <w:sz w:val="32"/>
          <w:szCs w:val="32"/>
          <w:highlight w:val="none"/>
          <w:u w:val="none"/>
          <w:lang w:val="zh-CN" w:eastAsia="zh-CN" w:bidi="ar-SA"/>
        </w:rPr>
      </w:pPr>
      <w:r>
        <w:rPr>
          <w:rFonts w:hint="eastAsia" w:ascii="仿宋_GB2312" w:eastAsia="仿宋_GB2312" w:cs="仿宋_GB2312"/>
          <w:kern w:val="0"/>
          <w:sz w:val="32"/>
          <w:szCs w:val="32"/>
          <w:highlight w:val="none"/>
          <w:u w:val="none"/>
          <w:lang w:val="zh-CN" w:eastAsia="zh-CN" w:bidi="ar-SA"/>
        </w:rPr>
        <w:t>大鹏新区管委会属市政府派出机构，享有准一级财政管理权限，深汕特别合作区参照大鹏新区模式，年度财政预算收支单列，与本级财政预算一并提请市人民代表大会审议批准。前海管理局作为法定机构试点单位，其年度财政收支预算亦单列编制。</w:t>
      </w:r>
    </w:p>
    <w:p>
      <w:pPr>
        <w:keepNext w:val="0"/>
        <w:keepLines w:val="0"/>
        <w:pageBreakBefore w:val="0"/>
        <w:widowControl w:val="0"/>
        <w:kinsoku/>
        <w:wordWrap/>
        <w:overflowPunct/>
        <w:topLinePunct w:val="0"/>
        <w:bidi w:val="0"/>
        <w:snapToGrid w:val="0"/>
        <w:spacing w:after="0" w:line="560" w:lineRule="exact"/>
        <w:ind w:firstLine="630"/>
        <w:textAlignment w:val="auto"/>
        <w:rPr>
          <w:rFonts w:hint="eastAsia" w:ascii="黑体" w:eastAsia="黑体" w:cs="Calibri"/>
          <w:sz w:val="32"/>
          <w:szCs w:val="32"/>
          <w:highlight w:val="none"/>
          <w:u w:val="none"/>
          <w:lang w:bidi="ar-SA"/>
        </w:rPr>
      </w:pPr>
      <w:r>
        <w:rPr>
          <w:rFonts w:hint="eastAsia" w:ascii="黑体" w:eastAsia="黑体" w:cs="Calibri"/>
          <w:sz w:val="32"/>
          <w:szCs w:val="32"/>
          <w:highlight w:val="none"/>
          <w:u w:val="none"/>
          <w:lang w:bidi="ar-SA"/>
        </w:rPr>
        <w:t>一、2022年大鹏新区预算草案</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eastAsia="宋体" w:cs="Calibri"/>
          <w:highlight w:val="none"/>
          <w:u w:val="none"/>
          <w:lang w:bidi="ar-SA"/>
        </w:rPr>
      </w:pPr>
      <w:r>
        <w:rPr>
          <w:rFonts w:hint="eastAsia" w:ascii="仿宋_GB2312" w:eastAsia="仿宋_GB2312" w:cs="仿宋_GB2312"/>
          <w:kern w:val="0"/>
          <w:sz w:val="32"/>
          <w:szCs w:val="32"/>
          <w:highlight w:val="none"/>
          <w:u w:val="none"/>
          <w:lang w:val="zh-CN" w:eastAsia="zh-CN" w:bidi="ar-SA"/>
        </w:rPr>
        <w:t>202</w:t>
      </w:r>
      <w:r>
        <w:rPr>
          <w:rFonts w:hint="eastAsia" w:ascii="仿宋_GB2312" w:eastAsia="仿宋_GB2312" w:cs="仿宋_GB2312"/>
          <w:kern w:val="0"/>
          <w:sz w:val="32"/>
          <w:szCs w:val="32"/>
          <w:highlight w:val="none"/>
          <w:u w:val="none"/>
          <w:lang w:bidi="ar-SA"/>
        </w:rPr>
        <w:t>2</w:t>
      </w:r>
      <w:r>
        <w:rPr>
          <w:rFonts w:hint="eastAsia" w:ascii="仿宋_GB2312" w:eastAsia="仿宋_GB2312" w:cs="仿宋_GB2312"/>
          <w:kern w:val="0"/>
          <w:sz w:val="32"/>
          <w:szCs w:val="32"/>
          <w:highlight w:val="none"/>
          <w:u w:val="none"/>
          <w:lang w:val="zh-CN" w:eastAsia="zh-CN" w:bidi="ar-SA"/>
        </w:rPr>
        <w:t>年，大鹏新区</w:t>
      </w:r>
      <w:r>
        <w:rPr>
          <w:rFonts w:hint="eastAsia" w:ascii="仿宋_GB2312" w:eastAsia="仿宋_GB2312" w:cs="仿宋_GB2312"/>
          <w:b/>
          <w:kern w:val="0"/>
          <w:sz w:val="32"/>
          <w:szCs w:val="32"/>
          <w:highlight w:val="none"/>
          <w:u w:val="none"/>
          <w:lang w:val="zh-CN" w:eastAsia="zh-CN" w:bidi="ar-SA"/>
        </w:rPr>
        <w:t>一般公共预算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bidi="ar-SA"/>
        </w:rPr>
        <w:t>67.5</w:t>
      </w:r>
      <w:r>
        <w:rPr>
          <w:rFonts w:hint="eastAsia" w:ascii="仿宋_GB2312" w:eastAsia="仿宋_GB2312" w:cs="仿宋_GB2312"/>
          <w:kern w:val="0"/>
          <w:sz w:val="32"/>
          <w:szCs w:val="32"/>
          <w:highlight w:val="none"/>
          <w:u w:val="none"/>
          <w:lang w:val="zh-CN" w:eastAsia="zh-CN" w:bidi="ar-SA"/>
        </w:rPr>
        <w:t>亿元，其中：一般公共预算收入</w:t>
      </w:r>
      <w:r>
        <w:rPr>
          <w:rFonts w:hint="eastAsia" w:ascii="仿宋_GB2312" w:eastAsia="仿宋_GB2312" w:cs="仿宋_GB2312"/>
          <w:kern w:val="0"/>
          <w:sz w:val="32"/>
          <w:szCs w:val="32"/>
          <w:highlight w:val="none"/>
          <w:u w:val="none"/>
          <w:lang w:bidi="ar-SA"/>
        </w:rPr>
        <w:t>20.7</w:t>
      </w:r>
      <w:r>
        <w:rPr>
          <w:rFonts w:hint="eastAsia" w:ascii="仿宋_GB2312" w:eastAsia="仿宋_GB2312" w:cs="仿宋_GB2312"/>
          <w:kern w:val="0"/>
          <w:sz w:val="32"/>
          <w:szCs w:val="32"/>
          <w:highlight w:val="none"/>
          <w:u w:val="none"/>
          <w:lang w:val="zh-CN" w:eastAsia="zh-CN" w:bidi="ar-SA"/>
        </w:rPr>
        <w:t>亿元、转移性收入</w:t>
      </w:r>
      <w:r>
        <w:rPr>
          <w:rFonts w:hint="eastAsia" w:ascii="仿宋_GB2312" w:eastAsia="仿宋_GB2312" w:cs="仿宋_GB2312"/>
          <w:kern w:val="0"/>
          <w:sz w:val="32"/>
          <w:szCs w:val="32"/>
          <w:highlight w:val="none"/>
          <w:u w:val="none"/>
          <w:lang w:bidi="ar-SA"/>
        </w:rPr>
        <w:t>46.8</w:t>
      </w:r>
      <w:r>
        <w:rPr>
          <w:rFonts w:hint="eastAsia" w:ascii="仿宋_GB2312" w:eastAsia="仿宋_GB2312" w:cs="仿宋_GB2312"/>
          <w:kern w:val="0"/>
          <w:sz w:val="32"/>
          <w:szCs w:val="32"/>
          <w:highlight w:val="none"/>
          <w:u w:val="none"/>
          <w:lang w:val="zh-CN" w:eastAsia="zh-CN" w:bidi="ar-SA"/>
        </w:rPr>
        <w:t>亿元。一般公共预算总支出预计完成</w:t>
      </w:r>
      <w:r>
        <w:rPr>
          <w:rFonts w:hint="eastAsia" w:ascii="仿宋_GB2312" w:eastAsia="仿宋_GB2312" w:cs="仿宋_GB2312"/>
          <w:kern w:val="0"/>
          <w:sz w:val="32"/>
          <w:szCs w:val="32"/>
          <w:highlight w:val="none"/>
          <w:u w:val="none"/>
          <w:lang w:bidi="ar-SA"/>
        </w:rPr>
        <w:t>67.5</w:t>
      </w:r>
      <w:r>
        <w:rPr>
          <w:rFonts w:hint="eastAsia" w:ascii="仿宋_GB2312" w:eastAsia="仿宋_GB2312" w:cs="仿宋_GB2312"/>
          <w:kern w:val="0"/>
          <w:sz w:val="32"/>
          <w:szCs w:val="32"/>
          <w:highlight w:val="none"/>
          <w:u w:val="none"/>
          <w:lang w:val="zh-CN" w:eastAsia="zh-CN" w:bidi="ar-SA"/>
        </w:rPr>
        <w:t>亿元，实现收支平衡。</w:t>
      </w:r>
      <w:r>
        <w:rPr>
          <w:rFonts w:hint="eastAsia" w:ascii="仿宋_GB2312" w:eastAsia="仿宋_GB2312" w:cs="仿宋_GB2312"/>
          <w:b/>
          <w:kern w:val="0"/>
          <w:sz w:val="32"/>
          <w:szCs w:val="32"/>
          <w:highlight w:val="none"/>
          <w:u w:val="none"/>
          <w:lang w:val="zh-CN" w:eastAsia="zh-CN" w:bidi="ar-SA"/>
        </w:rPr>
        <w:t>政府性基金预算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val="en-US" w:eastAsia="zh-CN" w:bidi="ar-SA"/>
        </w:rPr>
        <w:t>14.4</w:t>
      </w:r>
      <w:r>
        <w:rPr>
          <w:rFonts w:hint="eastAsia" w:ascii="仿宋_GB2312" w:eastAsia="仿宋_GB2312" w:cs="仿宋_GB2312"/>
          <w:kern w:val="0"/>
          <w:sz w:val="32"/>
          <w:szCs w:val="32"/>
          <w:highlight w:val="none"/>
          <w:u w:val="none"/>
          <w:lang w:val="zh-CN" w:eastAsia="zh-CN" w:bidi="ar-SA"/>
        </w:rPr>
        <w:t>亿元</w:t>
      </w:r>
      <w:r>
        <w:rPr>
          <w:rFonts w:hint="eastAsia" w:ascii="仿宋_GB2312" w:eastAsia="仿宋_GB2312" w:cs="仿宋_GB2312"/>
          <w:kern w:val="0"/>
          <w:sz w:val="32"/>
          <w:szCs w:val="32"/>
          <w:highlight w:val="none"/>
          <w:u w:val="none"/>
          <w:lang w:bidi="ar-SA"/>
        </w:rPr>
        <w:t>（含</w:t>
      </w:r>
      <w:r>
        <w:rPr>
          <w:rFonts w:hint="eastAsia" w:ascii="仿宋_GB2312" w:eastAsia="仿宋_GB2312" w:cs="仿宋_GB2312"/>
          <w:kern w:val="0"/>
          <w:sz w:val="32"/>
          <w:szCs w:val="32"/>
          <w:highlight w:val="none"/>
          <w:u w:val="none"/>
          <w:lang w:eastAsia="zh-CN" w:bidi="ar-SA"/>
        </w:rPr>
        <w:t>提前下达的</w:t>
      </w:r>
      <w:r>
        <w:rPr>
          <w:rFonts w:hint="eastAsia" w:ascii="仿宋_GB2312" w:eastAsia="仿宋_GB2312" w:cs="仿宋_GB2312"/>
          <w:kern w:val="0"/>
          <w:sz w:val="32"/>
          <w:szCs w:val="32"/>
          <w:highlight w:val="none"/>
          <w:u w:val="none"/>
          <w:lang w:bidi="ar-SA"/>
        </w:rPr>
        <w:t>专项债）</w:t>
      </w:r>
      <w:r>
        <w:rPr>
          <w:rFonts w:hint="eastAsia" w:ascii="仿宋_GB2312" w:eastAsia="仿宋_GB2312" w:cs="仿宋_GB2312"/>
          <w:kern w:val="0"/>
          <w:sz w:val="32"/>
          <w:szCs w:val="32"/>
          <w:highlight w:val="none"/>
          <w:u w:val="none"/>
          <w:lang w:val="zh-CN" w:eastAsia="zh-CN" w:bidi="ar-SA"/>
        </w:rPr>
        <w:t>，总支出预计</w:t>
      </w:r>
      <w:r>
        <w:rPr>
          <w:rFonts w:hint="eastAsia" w:ascii="仿宋_GB2312" w:eastAsia="仿宋_GB2312" w:cs="仿宋_GB2312"/>
          <w:kern w:val="0"/>
          <w:sz w:val="32"/>
          <w:szCs w:val="32"/>
          <w:highlight w:val="none"/>
          <w:u w:val="none"/>
          <w:lang w:val="en-US" w:eastAsia="zh-CN" w:bidi="ar-SA"/>
        </w:rPr>
        <w:t>14.4</w:t>
      </w:r>
      <w:r>
        <w:rPr>
          <w:rFonts w:hint="eastAsia" w:ascii="仿宋_GB2312" w:eastAsia="仿宋_GB2312" w:cs="仿宋_GB2312"/>
          <w:kern w:val="0"/>
          <w:sz w:val="32"/>
          <w:szCs w:val="32"/>
          <w:highlight w:val="none"/>
          <w:u w:val="none"/>
          <w:lang w:val="zh-CN" w:eastAsia="zh-CN" w:bidi="ar-SA"/>
        </w:rPr>
        <w:t>亿元，收支平衡。</w:t>
      </w:r>
      <w:r>
        <w:rPr>
          <w:rFonts w:hint="eastAsia" w:ascii="仿宋_GB2312" w:eastAsia="仿宋_GB2312" w:cs="仿宋_GB2312"/>
          <w:b/>
          <w:kern w:val="0"/>
          <w:sz w:val="32"/>
          <w:szCs w:val="32"/>
          <w:highlight w:val="none"/>
          <w:u w:val="none"/>
          <w:lang w:val="zh-CN" w:eastAsia="zh-CN" w:bidi="ar-SA"/>
        </w:rPr>
        <w:t>国有资本经营预算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val="en-US" w:eastAsia="zh-CN" w:bidi="ar-SA"/>
        </w:rPr>
        <w:t>1</w:t>
      </w:r>
      <w:r>
        <w:rPr>
          <w:rFonts w:hint="eastAsia" w:ascii="仿宋_GB2312" w:eastAsia="仿宋_GB2312" w:cs="仿宋_GB2312"/>
          <w:kern w:val="0"/>
          <w:sz w:val="32"/>
          <w:szCs w:val="32"/>
          <w:highlight w:val="none"/>
          <w:u w:val="none"/>
          <w:lang w:val="zh-CN" w:eastAsia="zh-CN" w:bidi="ar-SA"/>
        </w:rPr>
        <w:t>万元，总支出预计</w:t>
      </w:r>
      <w:r>
        <w:rPr>
          <w:rFonts w:hint="eastAsia" w:ascii="仿宋_GB2312" w:eastAsia="仿宋_GB2312" w:cs="仿宋_GB2312"/>
          <w:kern w:val="0"/>
          <w:sz w:val="32"/>
          <w:szCs w:val="32"/>
          <w:highlight w:val="none"/>
          <w:u w:val="none"/>
          <w:lang w:val="en-US" w:eastAsia="zh-CN" w:bidi="ar-SA"/>
        </w:rPr>
        <w:t>1</w:t>
      </w:r>
      <w:r>
        <w:rPr>
          <w:rFonts w:hint="eastAsia" w:ascii="仿宋_GB2312" w:eastAsia="仿宋_GB2312" w:cs="仿宋_GB2312"/>
          <w:kern w:val="0"/>
          <w:sz w:val="32"/>
          <w:szCs w:val="32"/>
          <w:highlight w:val="none"/>
          <w:u w:val="none"/>
          <w:lang w:val="zh-CN" w:eastAsia="zh-CN" w:bidi="ar-SA"/>
        </w:rPr>
        <w:t>万元,主要是市财政下达的中央财政国有企业退休人员社会化管理补助</w:t>
      </w:r>
      <w:r>
        <w:rPr>
          <w:rFonts w:hint="eastAsia" w:ascii="仿宋_GB2312" w:eastAsia="仿宋_GB2312" w:cs="仿宋_GB2312"/>
          <w:kern w:val="0"/>
          <w:sz w:val="32"/>
          <w:szCs w:val="32"/>
          <w:highlight w:val="none"/>
          <w:u w:val="none"/>
          <w:lang w:val="en-US" w:eastAsia="zh-CN" w:bidi="ar-SA"/>
        </w:rPr>
        <w:t>1</w:t>
      </w:r>
      <w:r>
        <w:rPr>
          <w:rFonts w:hint="eastAsia" w:ascii="仿宋_GB2312" w:eastAsia="仿宋_GB2312" w:cs="仿宋_GB2312"/>
          <w:kern w:val="0"/>
          <w:sz w:val="32"/>
          <w:szCs w:val="32"/>
          <w:highlight w:val="none"/>
          <w:u w:val="none"/>
          <w:lang w:val="zh-CN" w:eastAsia="zh-CN" w:bidi="ar-SA"/>
        </w:rPr>
        <w:t>万元，收支平衡。</w:t>
      </w:r>
    </w:p>
    <w:p>
      <w:pPr>
        <w:keepNext w:val="0"/>
        <w:keepLines w:val="0"/>
        <w:pageBreakBefore w:val="0"/>
        <w:widowControl w:val="0"/>
        <w:kinsoku/>
        <w:wordWrap/>
        <w:overflowPunct/>
        <w:topLinePunct w:val="0"/>
        <w:bidi w:val="0"/>
        <w:snapToGrid w:val="0"/>
        <w:spacing w:after="0" w:line="560" w:lineRule="exact"/>
        <w:ind w:firstLine="630"/>
        <w:textAlignment w:val="auto"/>
        <w:rPr>
          <w:rFonts w:hint="eastAsia" w:ascii="黑体" w:eastAsia="黑体" w:cs="Calibri"/>
          <w:sz w:val="32"/>
          <w:szCs w:val="32"/>
          <w:highlight w:val="none"/>
          <w:u w:val="none"/>
          <w:lang w:bidi="ar-SA"/>
        </w:rPr>
      </w:pPr>
      <w:r>
        <w:rPr>
          <w:rFonts w:hint="eastAsia" w:ascii="黑体" w:eastAsia="黑体" w:cs="Calibri"/>
          <w:sz w:val="32"/>
          <w:szCs w:val="32"/>
          <w:highlight w:val="none"/>
          <w:u w:val="none"/>
          <w:lang w:bidi="ar-SA"/>
        </w:rPr>
        <w:t>二、2022年深汕特别合作区预算草案</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eastAsia="仿宋_GB2312" w:cs="仿宋_GB2312"/>
          <w:kern w:val="0"/>
          <w:sz w:val="32"/>
          <w:szCs w:val="32"/>
          <w:highlight w:val="none"/>
          <w:u w:val="none"/>
          <w:lang w:val="zh-CN" w:eastAsia="zh-CN" w:bidi="ar-SA"/>
        </w:rPr>
      </w:pPr>
      <w:r>
        <w:rPr>
          <w:rFonts w:hint="eastAsia" w:ascii="仿宋_GB2312" w:eastAsia="仿宋_GB2312" w:cs="仿宋_GB2312"/>
          <w:kern w:val="0"/>
          <w:sz w:val="32"/>
          <w:szCs w:val="32"/>
          <w:highlight w:val="none"/>
          <w:u w:val="none"/>
          <w:lang w:bidi="ar-SA"/>
        </w:rPr>
        <w:t>2</w:t>
      </w:r>
      <w:r>
        <w:rPr>
          <w:rFonts w:hint="eastAsia" w:ascii="仿宋_GB2312" w:eastAsia="仿宋_GB2312" w:cs="仿宋_GB2312"/>
          <w:kern w:val="0"/>
          <w:sz w:val="32"/>
          <w:szCs w:val="32"/>
          <w:highlight w:val="none"/>
          <w:u w:val="none"/>
          <w:lang w:val="zh-CN" w:eastAsia="zh-CN" w:bidi="ar-SA"/>
        </w:rPr>
        <w:t>02</w:t>
      </w:r>
      <w:r>
        <w:rPr>
          <w:rFonts w:hint="eastAsia" w:ascii="仿宋_GB2312" w:eastAsia="仿宋_GB2312" w:cs="仿宋_GB2312"/>
          <w:kern w:val="0"/>
          <w:sz w:val="32"/>
          <w:szCs w:val="32"/>
          <w:highlight w:val="none"/>
          <w:u w:val="none"/>
          <w:lang w:bidi="ar-SA"/>
        </w:rPr>
        <w:t>2</w:t>
      </w:r>
      <w:r>
        <w:rPr>
          <w:rFonts w:hint="eastAsia" w:ascii="仿宋_GB2312" w:eastAsia="仿宋_GB2312" w:cs="仿宋_GB2312"/>
          <w:kern w:val="0"/>
          <w:sz w:val="32"/>
          <w:szCs w:val="32"/>
          <w:highlight w:val="none"/>
          <w:u w:val="none"/>
          <w:lang w:val="zh-CN" w:eastAsia="zh-CN" w:bidi="ar-SA"/>
        </w:rPr>
        <w:t>年，深汕特别合作区</w:t>
      </w:r>
      <w:r>
        <w:rPr>
          <w:rFonts w:hint="eastAsia" w:ascii="仿宋_GB2312" w:eastAsia="仿宋_GB2312" w:cs="仿宋_GB2312"/>
          <w:b/>
          <w:kern w:val="0"/>
          <w:sz w:val="32"/>
          <w:szCs w:val="32"/>
          <w:highlight w:val="none"/>
          <w:u w:val="none"/>
          <w:lang w:val="zh-CN" w:eastAsia="zh-CN" w:bidi="ar-SA"/>
        </w:rPr>
        <w:t>一般公共预算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val="en-US" w:eastAsia="zh-CN" w:bidi="ar-SA"/>
        </w:rPr>
        <w:t>41.5</w:t>
      </w:r>
      <w:r>
        <w:rPr>
          <w:rFonts w:hint="eastAsia" w:ascii="仿宋_GB2312" w:eastAsia="仿宋_GB2312" w:cs="仿宋_GB2312"/>
          <w:kern w:val="0"/>
          <w:sz w:val="32"/>
          <w:szCs w:val="32"/>
          <w:highlight w:val="none"/>
          <w:u w:val="none"/>
          <w:lang w:val="zh-CN" w:eastAsia="zh-CN" w:bidi="ar-SA"/>
        </w:rPr>
        <w:t>亿元，其中：一般公共预算收入</w:t>
      </w:r>
      <w:r>
        <w:rPr>
          <w:rFonts w:hint="eastAsia" w:ascii="仿宋_GB2312" w:eastAsia="仿宋_GB2312" w:cs="仿宋_GB2312"/>
          <w:kern w:val="0"/>
          <w:sz w:val="32"/>
          <w:szCs w:val="32"/>
          <w:highlight w:val="none"/>
          <w:u w:val="none"/>
          <w:lang w:bidi="ar-SA"/>
        </w:rPr>
        <w:t>4.6</w:t>
      </w:r>
      <w:r>
        <w:rPr>
          <w:rFonts w:hint="eastAsia" w:ascii="仿宋_GB2312" w:eastAsia="仿宋_GB2312" w:cs="仿宋_GB2312"/>
          <w:kern w:val="0"/>
          <w:sz w:val="32"/>
          <w:szCs w:val="32"/>
          <w:highlight w:val="none"/>
          <w:u w:val="none"/>
          <w:lang w:val="zh-CN" w:eastAsia="zh-CN" w:bidi="ar-SA"/>
        </w:rPr>
        <w:t>亿元、转移性收入</w:t>
      </w:r>
      <w:r>
        <w:rPr>
          <w:rFonts w:hint="eastAsia" w:ascii="仿宋_GB2312" w:eastAsia="仿宋_GB2312" w:cs="仿宋_GB2312"/>
          <w:kern w:val="0"/>
          <w:sz w:val="32"/>
          <w:szCs w:val="32"/>
          <w:highlight w:val="none"/>
          <w:u w:val="none"/>
          <w:lang w:bidi="ar-SA"/>
        </w:rPr>
        <w:t>3</w:t>
      </w:r>
      <w:r>
        <w:rPr>
          <w:rFonts w:hint="eastAsia" w:ascii="仿宋_GB2312" w:eastAsia="仿宋_GB2312" w:cs="仿宋_GB2312"/>
          <w:kern w:val="0"/>
          <w:sz w:val="32"/>
          <w:szCs w:val="32"/>
          <w:highlight w:val="none"/>
          <w:u w:val="none"/>
          <w:lang w:val="en-US" w:eastAsia="zh-CN" w:bidi="ar-SA"/>
        </w:rPr>
        <w:t>6.9</w:t>
      </w:r>
      <w:r>
        <w:rPr>
          <w:rFonts w:hint="eastAsia" w:ascii="仿宋_GB2312" w:eastAsia="仿宋_GB2312" w:cs="仿宋_GB2312"/>
          <w:kern w:val="0"/>
          <w:sz w:val="32"/>
          <w:szCs w:val="32"/>
          <w:highlight w:val="none"/>
          <w:u w:val="none"/>
          <w:lang w:val="zh-CN" w:eastAsia="zh-CN" w:bidi="ar-SA"/>
        </w:rPr>
        <w:t>亿元；一般公共预算总支出预计</w:t>
      </w:r>
      <w:r>
        <w:rPr>
          <w:rFonts w:hint="eastAsia" w:ascii="仿宋_GB2312" w:eastAsia="仿宋_GB2312" w:cs="仿宋_GB2312"/>
          <w:kern w:val="0"/>
          <w:sz w:val="32"/>
          <w:szCs w:val="32"/>
          <w:highlight w:val="none"/>
          <w:u w:val="none"/>
          <w:lang w:val="en-US" w:eastAsia="zh-CN" w:bidi="ar-SA"/>
        </w:rPr>
        <w:t>41.5</w:t>
      </w:r>
      <w:r>
        <w:rPr>
          <w:rFonts w:hint="eastAsia" w:ascii="仿宋_GB2312" w:eastAsia="仿宋_GB2312" w:cs="仿宋_GB2312"/>
          <w:kern w:val="0"/>
          <w:sz w:val="32"/>
          <w:szCs w:val="32"/>
          <w:highlight w:val="none"/>
          <w:u w:val="none"/>
          <w:lang w:val="zh-CN" w:eastAsia="zh-CN" w:bidi="ar-SA"/>
        </w:rPr>
        <w:t>亿元，收支平衡。</w:t>
      </w:r>
      <w:r>
        <w:rPr>
          <w:rFonts w:hint="eastAsia" w:ascii="仿宋_GB2312" w:eastAsia="仿宋_GB2312" w:cs="仿宋_GB2312"/>
          <w:b/>
          <w:kern w:val="0"/>
          <w:sz w:val="32"/>
          <w:szCs w:val="32"/>
          <w:highlight w:val="none"/>
          <w:u w:val="none"/>
          <w:lang w:val="zh-CN" w:eastAsia="zh-CN" w:bidi="ar-SA"/>
        </w:rPr>
        <w:t>政府性基金预算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val="en-US" w:eastAsia="zh-CN" w:bidi="ar-SA"/>
        </w:rPr>
        <w:t>80.6</w:t>
      </w:r>
      <w:r>
        <w:rPr>
          <w:rFonts w:hint="eastAsia" w:ascii="仿宋_GB2312" w:eastAsia="仿宋_GB2312" w:cs="仿宋_GB2312"/>
          <w:kern w:val="0"/>
          <w:sz w:val="32"/>
          <w:szCs w:val="32"/>
          <w:highlight w:val="none"/>
          <w:u w:val="none"/>
          <w:lang w:val="zh-CN" w:eastAsia="zh-CN" w:bidi="ar-SA"/>
        </w:rPr>
        <w:t>亿元</w:t>
      </w:r>
      <w:r>
        <w:rPr>
          <w:rFonts w:hint="eastAsia" w:ascii="仿宋_GB2312" w:eastAsia="仿宋_GB2312" w:cs="仿宋_GB2312"/>
          <w:kern w:val="0"/>
          <w:sz w:val="32"/>
          <w:szCs w:val="32"/>
          <w:highlight w:val="none"/>
          <w:u w:val="none"/>
          <w:lang w:bidi="ar-SA"/>
        </w:rPr>
        <w:t>（含</w:t>
      </w:r>
      <w:r>
        <w:rPr>
          <w:rFonts w:hint="eastAsia" w:ascii="仿宋_GB2312" w:eastAsia="仿宋_GB2312" w:cs="仿宋_GB2312"/>
          <w:kern w:val="0"/>
          <w:sz w:val="32"/>
          <w:szCs w:val="32"/>
          <w:highlight w:val="none"/>
          <w:u w:val="none"/>
          <w:lang w:eastAsia="zh-CN" w:bidi="ar-SA"/>
        </w:rPr>
        <w:t>提前下达的</w:t>
      </w:r>
      <w:r>
        <w:rPr>
          <w:rFonts w:hint="eastAsia" w:ascii="仿宋_GB2312" w:eastAsia="仿宋_GB2312" w:cs="仿宋_GB2312"/>
          <w:kern w:val="0"/>
          <w:sz w:val="32"/>
          <w:szCs w:val="32"/>
          <w:highlight w:val="none"/>
          <w:u w:val="none"/>
          <w:lang w:bidi="ar-SA"/>
        </w:rPr>
        <w:t>专项债）</w:t>
      </w:r>
      <w:r>
        <w:rPr>
          <w:rFonts w:hint="eastAsia" w:ascii="仿宋_GB2312" w:eastAsia="仿宋_GB2312" w:cs="仿宋_GB2312"/>
          <w:kern w:val="0"/>
          <w:sz w:val="32"/>
          <w:szCs w:val="32"/>
          <w:highlight w:val="none"/>
          <w:u w:val="none"/>
          <w:lang w:val="zh-CN" w:eastAsia="zh-CN" w:bidi="ar-SA"/>
        </w:rPr>
        <w:t>，总支出预计</w:t>
      </w:r>
      <w:r>
        <w:rPr>
          <w:rFonts w:hint="eastAsia" w:ascii="仿宋_GB2312" w:eastAsia="仿宋_GB2312" w:cs="仿宋_GB2312"/>
          <w:kern w:val="0"/>
          <w:sz w:val="32"/>
          <w:szCs w:val="32"/>
          <w:highlight w:val="none"/>
          <w:u w:val="none"/>
          <w:lang w:val="en-US" w:eastAsia="zh-CN" w:bidi="ar-SA"/>
        </w:rPr>
        <w:t>80.6</w:t>
      </w:r>
      <w:r>
        <w:rPr>
          <w:rFonts w:hint="eastAsia" w:ascii="仿宋_GB2312" w:eastAsia="仿宋_GB2312" w:cs="仿宋_GB2312"/>
          <w:kern w:val="0"/>
          <w:sz w:val="32"/>
          <w:szCs w:val="32"/>
          <w:highlight w:val="none"/>
          <w:u w:val="none"/>
          <w:lang w:val="zh-CN" w:eastAsia="zh-CN" w:bidi="ar-SA"/>
        </w:rPr>
        <w:t>亿元，收支平衡。</w:t>
      </w:r>
      <w:r>
        <w:rPr>
          <w:rFonts w:hint="eastAsia" w:ascii="仿宋_GB2312" w:eastAsia="仿宋_GB2312" w:cs="仿宋_GB2312"/>
          <w:b/>
          <w:kern w:val="0"/>
          <w:sz w:val="32"/>
          <w:szCs w:val="32"/>
          <w:highlight w:val="none"/>
          <w:u w:val="none"/>
          <w:lang w:val="zh-CN" w:eastAsia="zh-CN" w:bidi="ar-SA"/>
        </w:rPr>
        <w:t>国有资本经营预算总收入</w:t>
      </w:r>
      <w:r>
        <w:rPr>
          <w:rFonts w:hint="eastAsia" w:ascii="仿宋_GB2312" w:eastAsia="仿宋_GB2312" w:cs="仿宋_GB2312"/>
          <w:kern w:val="0"/>
          <w:sz w:val="32"/>
          <w:szCs w:val="32"/>
          <w:highlight w:val="none"/>
          <w:u w:val="none"/>
          <w:lang w:val="zh-CN" w:eastAsia="zh-CN" w:bidi="ar-SA"/>
        </w:rPr>
        <w:t>预计</w:t>
      </w:r>
      <w:r>
        <w:rPr>
          <w:rFonts w:hint="eastAsia" w:ascii="仿宋_GB2312" w:eastAsia="仿宋_GB2312" w:cs="仿宋_GB2312"/>
          <w:kern w:val="0"/>
          <w:sz w:val="32"/>
          <w:szCs w:val="32"/>
          <w:highlight w:val="none"/>
          <w:u w:val="none"/>
          <w:lang w:val="en-US" w:eastAsia="zh-CN" w:bidi="ar-SA"/>
        </w:rPr>
        <w:t>1.8</w:t>
      </w:r>
      <w:r>
        <w:rPr>
          <w:rFonts w:hint="eastAsia" w:ascii="仿宋_GB2312" w:eastAsia="仿宋_GB2312" w:cs="仿宋_GB2312"/>
          <w:kern w:val="0"/>
          <w:sz w:val="32"/>
          <w:szCs w:val="32"/>
          <w:highlight w:val="none"/>
          <w:u w:val="none"/>
          <w:lang w:bidi="ar-SA"/>
        </w:rPr>
        <w:t>亿</w:t>
      </w:r>
      <w:r>
        <w:rPr>
          <w:rFonts w:hint="eastAsia" w:ascii="仿宋_GB2312" w:eastAsia="仿宋_GB2312" w:cs="仿宋_GB2312"/>
          <w:kern w:val="0"/>
          <w:sz w:val="32"/>
          <w:szCs w:val="32"/>
          <w:highlight w:val="none"/>
          <w:u w:val="none"/>
          <w:lang w:val="zh-CN" w:eastAsia="zh-CN" w:bidi="ar-SA"/>
        </w:rPr>
        <w:t>元，全部调出至一般公共预算统筹使用，收支平衡。</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黑体" w:eastAsia="黑体" w:cs="仿宋_GB2312"/>
          <w:sz w:val="32"/>
          <w:szCs w:val="32"/>
          <w:highlight w:val="none"/>
          <w:u w:val="none"/>
          <w:lang w:bidi="ar-SA"/>
        </w:rPr>
      </w:pPr>
      <w:r>
        <w:rPr>
          <w:rFonts w:hint="eastAsia" w:ascii="黑体" w:eastAsia="黑体" w:cs="仿宋_GB2312"/>
          <w:sz w:val="32"/>
          <w:szCs w:val="32"/>
          <w:highlight w:val="none"/>
          <w:u w:val="none"/>
          <w:lang w:bidi="ar-SA"/>
        </w:rPr>
        <w:t>三、2022年前海管理局预算草案</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黑体" w:eastAsia="黑体" w:cs="黑体"/>
          <w:highlight w:val="none"/>
          <w:u w:val="none"/>
          <w:lang w:val="en-US" w:eastAsia="zh-CN" w:bidi="ar-SA"/>
        </w:rPr>
      </w:pPr>
      <w:r>
        <w:rPr>
          <w:rFonts w:hint="eastAsia" w:ascii="仿宋_GB2312" w:eastAsia="仿宋_GB2312" w:cs="仿宋_GB2312"/>
          <w:sz w:val="32"/>
          <w:szCs w:val="32"/>
          <w:highlight w:val="none"/>
          <w:u w:val="none"/>
          <w:lang w:bidi="ar-SA"/>
        </w:rPr>
        <w:t>2022年，前海管理局</w:t>
      </w:r>
      <w:r>
        <w:rPr>
          <w:rFonts w:hint="eastAsia" w:ascii="仿宋_GB2312" w:eastAsia="仿宋_GB2312" w:cs="仿宋_GB2312"/>
          <w:b/>
          <w:kern w:val="0"/>
          <w:sz w:val="32"/>
          <w:szCs w:val="32"/>
          <w:highlight w:val="none"/>
          <w:u w:val="none"/>
          <w:lang w:val="zh-CN" w:eastAsia="zh-CN" w:bidi="ar-SA"/>
        </w:rPr>
        <w:t>一般公共预算</w:t>
      </w:r>
      <w:r>
        <w:rPr>
          <w:rFonts w:hint="eastAsia" w:ascii="仿宋_GB2312" w:eastAsia="仿宋_GB2312" w:cs="仿宋_GB2312"/>
          <w:sz w:val="32"/>
          <w:szCs w:val="32"/>
          <w:highlight w:val="none"/>
          <w:u w:val="none"/>
          <w:lang w:bidi="ar-SA"/>
        </w:rPr>
        <w:t>总收入预计36.6亿元，总支出36.6亿元，</w:t>
      </w:r>
      <w:r>
        <w:rPr>
          <w:rFonts w:hint="eastAsia" w:ascii="仿宋_GB2312" w:eastAsia="仿宋_GB2312" w:cs="仿宋_GB2312"/>
          <w:kern w:val="0"/>
          <w:sz w:val="32"/>
          <w:szCs w:val="32"/>
          <w:highlight w:val="none"/>
          <w:u w:val="none"/>
          <w:lang w:val="zh-CN" w:eastAsia="zh-CN" w:bidi="ar-SA"/>
        </w:rPr>
        <w:t>收支平衡，</w:t>
      </w:r>
      <w:r>
        <w:rPr>
          <w:rFonts w:hint="eastAsia" w:ascii="仿宋_GB2312" w:eastAsia="仿宋_GB2312" w:cs="仿宋_GB2312"/>
          <w:sz w:val="32"/>
          <w:szCs w:val="32"/>
          <w:highlight w:val="none"/>
          <w:u w:val="none"/>
          <w:lang w:bidi="ar-SA"/>
        </w:rPr>
        <w:t>其中：基本支出2.1亿元、履职类支出7.9亿元、专项资金支出23.9亿元和政府投资项目支出2.6亿元。</w:t>
      </w:r>
      <w:r>
        <w:rPr>
          <w:rFonts w:hint="eastAsia" w:ascii="仿宋_GB2312" w:eastAsia="仿宋_GB2312" w:cs="仿宋_GB2312"/>
          <w:b/>
          <w:kern w:val="0"/>
          <w:sz w:val="32"/>
          <w:szCs w:val="32"/>
          <w:highlight w:val="none"/>
          <w:u w:val="none"/>
          <w:lang w:val="zh-CN" w:eastAsia="zh-CN" w:bidi="ar-SA"/>
        </w:rPr>
        <w:t>政府性基金预算（国土基金）</w:t>
      </w:r>
      <w:r>
        <w:rPr>
          <w:rFonts w:hint="eastAsia" w:ascii="仿宋_GB2312" w:eastAsia="仿宋_GB2312" w:cs="仿宋_GB2312"/>
          <w:sz w:val="32"/>
          <w:szCs w:val="32"/>
          <w:highlight w:val="none"/>
          <w:u w:val="none"/>
          <w:lang w:bidi="ar-SA"/>
        </w:rPr>
        <w:t>总收入预计77.2亿元，总支出预计77.2亿元，</w:t>
      </w:r>
      <w:r>
        <w:rPr>
          <w:rFonts w:hint="eastAsia" w:ascii="仿宋_GB2312" w:eastAsia="仿宋_GB2312" w:cs="仿宋_GB2312"/>
          <w:kern w:val="0"/>
          <w:sz w:val="32"/>
          <w:szCs w:val="32"/>
          <w:highlight w:val="none"/>
          <w:u w:val="none"/>
          <w:lang w:val="zh-CN" w:eastAsia="zh-CN" w:bidi="ar-SA"/>
        </w:rPr>
        <w:t>收支平衡</w:t>
      </w:r>
      <w:r>
        <w:rPr>
          <w:rFonts w:hint="eastAsia" w:ascii="仿宋_GB2312" w:eastAsia="仿宋_GB2312" w:cs="仿宋_GB2312"/>
          <w:sz w:val="32"/>
          <w:szCs w:val="32"/>
          <w:highlight w:val="none"/>
          <w:u w:val="none"/>
          <w:lang w:bidi="ar-SA"/>
        </w:rPr>
        <w:t>。</w:t>
      </w:r>
      <w:r>
        <w:rPr>
          <w:rFonts w:hint="eastAsia" w:ascii="仿宋_GB2312" w:eastAsia="仿宋_GB2312" w:cs="仿宋_GB2312"/>
          <w:b/>
          <w:kern w:val="0"/>
          <w:sz w:val="32"/>
          <w:szCs w:val="32"/>
          <w:highlight w:val="none"/>
          <w:u w:val="none"/>
          <w:lang w:val="zh-CN" w:eastAsia="zh-CN" w:bidi="ar-SA"/>
        </w:rPr>
        <w:t>国有资本经营预算</w:t>
      </w:r>
      <w:r>
        <w:rPr>
          <w:rFonts w:hint="eastAsia" w:ascii="仿宋_GB2312" w:eastAsia="仿宋_GB2312" w:cs="仿宋_GB2312"/>
          <w:kern w:val="0"/>
          <w:sz w:val="32"/>
          <w:szCs w:val="32"/>
          <w:highlight w:val="none"/>
          <w:u w:val="none"/>
          <w:lang w:val="zh-CN" w:eastAsia="zh-CN" w:bidi="ar-SA"/>
        </w:rPr>
        <w:t>总收入预计</w:t>
      </w:r>
      <w:r>
        <w:rPr>
          <w:rFonts w:hint="eastAsia" w:ascii="仿宋_GB2312" w:eastAsia="仿宋_GB2312" w:cs="仿宋_GB2312"/>
          <w:kern w:val="0"/>
          <w:sz w:val="32"/>
          <w:szCs w:val="32"/>
          <w:highlight w:val="none"/>
          <w:u w:val="none"/>
          <w:lang w:bidi="ar-SA"/>
        </w:rPr>
        <w:t>0</w:t>
      </w:r>
      <w:r>
        <w:rPr>
          <w:rFonts w:hint="eastAsia" w:ascii="仿宋_GB2312" w:eastAsia="仿宋_GB2312" w:cs="仿宋_GB2312"/>
          <w:kern w:val="0"/>
          <w:sz w:val="32"/>
          <w:szCs w:val="32"/>
          <w:highlight w:val="none"/>
          <w:u w:val="none"/>
          <w:lang w:val="zh-CN" w:eastAsia="zh-CN" w:bidi="ar-SA"/>
        </w:rPr>
        <w:t>.3亿元，总支出预计</w:t>
      </w:r>
      <w:r>
        <w:rPr>
          <w:rFonts w:hint="eastAsia" w:ascii="仿宋_GB2312" w:eastAsia="仿宋_GB2312" w:cs="仿宋_GB2312"/>
          <w:kern w:val="0"/>
          <w:sz w:val="32"/>
          <w:szCs w:val="32"/>
          <w:highlight w:val="none"/>
          <w:u w:val="none"/>
          <w:lang w:bidi="ar-SA"/>
        </w:rPr>
        <w:t>0</w:t>
      </w:r>
      <w:r>
        <w:rPr>
          <w:rFonts w:hint="eastAsia" w:ascii="仿宋_GB2312" w:eastAsia="仿宋_GB2312" w:cs="仿宋_GB2312"/>
          <w:kern w:val="0"/>
          <w:sz w:val="32"/>
          <w:szCs w:val="32"/>
          <w:highlight w:val="none"/>
          <w:u w:val="none"/>
          <w:lang w:val="zh-CN" w:eastAsia="zh-CN" w:bidi="ar-SA"/>
        </w:rPr>
        <w:t>.3亿元(全部调入一般公共预算统筹使用)，收支平衡。</w:t>
      </w:r>
    </w:p>
    <w:sectPr>
      <w:footerReference r:id="rId3" w:type="default"/>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2000000000000000000"/>
    <w:charset w:val="00"/>
    <w:family w:val="script"/>
    <w:pitch w:val="default"/>
    <w:sig w:usb0="A00002BF" w:usb1="3ACF7CFA" w:usb2="0008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Helvetica">
    <w:altName w:val="DejaVu Sans"/>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3780" cy="170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3780" cy="17018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4pt;width:81.4pt;mso-position-horizontal:center;mso-position-horizontal-relative:margin;mso-wrap-style:none;z-index:251659264;mso-width-relative:page;mso-height-relative:page;" filled="f" stroked="f" coordsize="21600,21600" o:gfxdata="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2NalnRAAAABAEAAA8AAAAAAAAAAQAgAAAAIgAAAGRycy9kb3du&#10;cmV2LnhtbFBLAQIUABQAAAAIAIdO4kBbD2pYzQEAAJgDAAAOAAAAAAAAAAEAIAAAACABAABkcnMv&#10;ZTJvRG9jLnhtbFBLBQYAAAAABgAGAFkBAABf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zdhM2E1YTE0ODk4Zjc1ODdmMTc4ZGYwODk4NjMifQ=="/>
  </w:docVars>
  <w:rsids>
    <w:rsidRoot w:val="007D3D9E"/>
    <w:rsid w:val="5F7D4679"/>
    <w:rsid w:val="5FFA6758"/>
    <w:rsid w:val="6DA94D04"/>
    <w:rsid w:val="C6E767B7"/>
    <w:rsid w:val="FD1F2A1B"/>
    <w:rsid w:val="FFF7C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宋体" w:cs="方正兰亭黑_GBK"/>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方正兰亭黑_GBK" w:hAnsi="方正兰亭黑_GBK"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5">
    <w:name w:val="Normal Indent"/>
    <w:next w:val="6"/>
    <w:uiPriority w:val="0"/>
    <w:pPr>
      <w:widowControl w:val="0"/>
      <w:spacing w:after="200" w:line="276" w:lineRule="auto"/>
      <w:ind w:firstLine="200" w:firstLineChars="200"/>
      <w:jc w:val="both"/>
    </w:pPr>
    <w:rPr>
      <w:rFonts w:ascii="Calibri" w:hAnsi="Calibri" w:eastAsia="宋体" w:cs="Calibri"/>
      <w:kern w:val="2"/>
      <w:sz w:val="21"/>
      <w:szCs w:val="24"/>
      <w:lang w:val="en-US" w:eastAsia="zh-CN" w:bidi="ar-SA"/>
    </w:rPr>
  </w:style>
  <w:style w:type="paragraph" w:styleId="6">
    <w:name w:val="Body Text"/>
    <w:next w:val="7"/>
    <w:uiPriority w:val="0"/>
    <w:pPr>
      <w:widowControl w:val="0"/>
      <w:autoSpaceDE w:val="0"/>
      <w:autoSpaceDN w:val="0"/>
      <w:adjustRightInd w:val="0"/>
      <w:snapToGrid w:val="0"/>
      <w:spacing w:after="200" w:line="588" w:lineRule="atLeast"/>
      <w:jc w:val="both"/>
    </w:pPr>
    <w:rPr>
      <w:rFonts w:ascii="宋体" w:hAnsi="宋体" w:eastAsia="仿宋_GB2312" w:cs="Times New Roman"/>
      <w:spacing w:val="-2"/>
      <w:kern w:val="0"/>
      <w:sz w:val="32"/>
      <w:szCs w:val="24"/>
      <w:lang w:val="en-US" w:eastAsia="zh-CN" w:bidi="ar-SA"/>
    </w:rPr>
  </w:style>
  <w:style w:type="paragraph" w:styleId="7">
    <w:name w:val="Title"/>
    <w:next w:val="1"/>
    <w:uiPriority w:val="0"/>
    <w:pPr>
      <w:widowControl w:val="0"/>
      <w:spacing w:before="240" w:after="60" w:line="276" w:lineRule="auto"/>
      <w:jc w:val="center"/>
      <w:outlineLvl w:val="0"/>
    </w:pPr>
    <w:rPr>
      <w:rFonts w:ascii="Cambria" w:hAnsi="Cambria" w:eastAsia="宋体" w:cs="Times New Roman"/>
      <w:b/>
      <w:bCs/>
      <w:kern w:val="2"/>
      <w:sz w:val="32"/>
      <w:szCs w:val="32"/>
      <w:lang w:val="en-US" w:eastAsia="zh-CN" w:bidi="ar-SA"/>
    </w:rPr>
  </w:style>
  <w:style w:type="paragraph" w:styleId="8">
    <w:name w:val="Document Map"/>
    <w:uiPriority w:val="0"/>
    <w:pPr>
      <w:widowControl w:val="0"/>
      <w:shd w:val="clear" w:color="auto" w:fill="000080"/>
      <w:spacing w:after="200" w:line="276" w:lineRule="auto"/>
      <w:jc w:val="both"/>
    </w:pPr>
    <w:rPr>
      <w:rFonts w:ascii="Calibri" w:hAnsi="Calibri" w:eastAsia="宋体" w:cs="黑体"/>
      <w:kern w:val="2"/>
      <w:sz w:val="21"/>
      <w:szCs w:val="24"/>
      <w:lang w:val="en-US" w:eastAsia="zh-CN" w:bidi="ar-SA"/>
    </w:rPr>
  </w:style>
  <w:style w:type="paragraph" w:styleId="9">
    <w:name w:val="Plain Text"/>
    <w:uiPriority w:val="0"/>
    <w:pPr>
      <w:widowControl w:val="0"/>
      <w:spacing w:after="200" w:line="276" w:lineRule="auto"/>
      <w:jc w:val="both"/>
    </w:pPr>
    <w:rPr>
      <w:rFonts w:ascii="宋体" w:eastAsia="宋体" w:cs="Courier New"/>
      <w:kern w:val="2"/>
      <w:sz w:val="21"/>
      <w:szCs w:val="21"/>
      <w:lang w:val="en-US" w:eastAsia="zh-CN" w:bidi="ar-SA"/>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Normal (Web)"/>
    <w:uiPriority w:val="0"/>
    <w:pPr>
      <w:widowControl w:val="0"/>
      <w:spacing w:before="100" w:beforeAutospacing="1" w:after="100" w:afterAutospacing="1" w:line="276" w:lineRule="auto"/>
      <w:jc w:val="left"/>
    </w:pPr>
    <w:rPr>
      <w:rFonts w:ascii="Times New Roman" w:hAnsi="Times New Roman" w:eastAsia="宋体" w:cs="Times New Roman"/>
      <w:kern w:val="0"/>
      <w:sz w:val="24"/>
      <w:szCs w:val="24"/>
      <w:lang w:val="en-US" w:eastAsia="zh-CN" w:bidi="ar-SA"/>
    </w:rPr>
  </w:style>
  <w:style w:type="character" w:styleId="15">
    <w:name w:val="page number"/>
    <w:uiPriority w:val="0"/>
  </w:style>
  <w:style w:type="character" w:customStyle="1" w:styleId="16">
    <w:name w:val="awspan"/>
    <w:uiPriority w:val="0"/>
  </w:style>
  <w:style w:type="paragraph" w:customStyle="1" w:styleId="17">
    <w:name w:val="列出段落1"/>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8">
    <w:name w:val="Char Char Char Char Char Char1 Char"/>
    <w:uiPriority w:val="0"/>
    <w:pPr>
      <w:widowControl w:val="0"/>
      <w:shd w:val="clear" w:color="auto" w:fill="000080"/>
      <w:adjustRightInd w:val="0"/>
      <w:spacing w:after="0" w:line="436" w:lineRule="exact"/>
      <w:ind w:left="357"/>
      <w:jc w:val="left"/>
      <w:outlineLvl w:val="3"/>
    </w:pPr>
    <w:rPr>
      <w:rFonts w:ascii="Times New Roman" w:hAnsi="Times New Roman" w:eastAsia="宋体" w:cs="Times New Roman"/>
      <w:kern w:val="2"/>
      <w:sz w:val="21"/>
      <w:szCs w:val="24"/>
      <w:lang w:val="en-US" w:eastAsia="zh-CN" w:bidi="ar-SA"/>
    </w:rPr>
  </w:style>
  <w:style w:type="paragraph" w:customStyle="1" w:styleId="19">
    <w:name w:val="p0"/>
    <w:uiPriority w:val="0"/>
    <w:pPr>
      <w:spacing w:after="200" w:line="276" w:lineRule="auto"/>
      <w:jc w:val="both"/>
    </w:pPr>
    <w:rPr>
      <w:rFonts w:ascii="Calibri" w:hAnsi="Calibri" w:eastAsia="宋体" w:cs="宋体"/>
      <w:sz w:val="21"/>
      <w:szCs w:val="21"/>
      <w:lang w:val="en-US" w:eastAsia="zh-CN" w:bidi="ar-SA"/>
    </w:rPr>
  </w:style>
  <w:style w:type="paragraph" w:customStyle="1" w:styleId="20">
    <w:name w:val="正文 A"/>
    <w:uiPriority w:val="0"/>
    <w:pPr>
      <w:spacing w:after="200" w:line="276" w:lineRule="auto"/>
    </w:pPr>
    <w:rPr>
      <w:rFonts w:ascii="Helvetica" w:hAnsi="Helvetica" w:eastAsia="Arial Unicode MS" w:cs="Arial Unicode MS"/>
      <w:color w:val="000000"/>
      <w:sz w:val="22"/>
      <w:szCs w:val="22"/>
      <w:lang w:val="en-US" w:eastAsia="zh-CN" w:bidi="ar-SA"/>
    </w:rPr>
  </w:style>
  <w:style w:type="paragraph" w:customStyle="1" w:styleId="21">
    <w:name w:val="文件正文"/>
    <w:uiPriority w:val="0"/>
    <w:pPr>
      <w:spacing w:after="200" w:line="276" w:lineRule="auto"/>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TotalTime>1.33333333333333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2022-01-24T16:28:00Z</dcterms:created>
  <dc:creator>喻定果</dc:creator>
  <cp:lastModifiedBy>WPS_1476674246</cp:lastModifiedBy>
  <cp:lastPrinted>2022-01-26T19:39:00Z</cp:lastPrinted>
  <dcterms:modified xsi:type="dcterms:W3CDTF">2024-05-17T02:05:04Z</dcterms:modified>
  <dc:title>预算处关于提供汇报稿和上会材料的请示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359937900E68470593E2F4C101A9F80A_13</vt:lpwstr>
  </property>
</Properties>
</file>