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p>
    <w:p>
      <w:pPr>
        <w:spacing w:line="560" w:lineRule="exact"/>
        <w:jc w:val="center"/>
        <w:rPr>
          <w:rFonts w:ascii="宋体" w:hAnsi="宋体" w:cs="宋体"/>
          <w:b/>
          <w:bCs/>
          <w:sz w:val="44"/>
          <w:szCs w:val="44"/>
        </w:rPr>
      </w:pPr>
      <w:r>
        <w:rPr>
          <w:rFonts w:hint="eastAsia" w:ascii="方正小标宋简体" w:hAnsi="方正小标宋简体" w:eastAsia="方正小标宋简体" w:cs="方正小标宋简体"/>
          <w:sz w:val="44"/>
          <w:szCs w:val="44"/>
        </w:rPr>
        <w:t>《关于积极稳步推进城中村改造实现高质量发展的实施意见》的政策解读</w:t>
      </w:r>
    </w:p>
    <w:p>
      <w:pPr>
        <w:spacing w:line="560" w:lineRule="exact"/>
        <w:jc w:val="center"/>
        <w:rPr>
          <w:rFonts w:ascii="宋体" w:hAnsi="宋体" w:cs="宋体"/>
          <w:b/>
          <w:bCs/>
          <w:sz w:val="44"/>
          <w:szCs w:val="44"/>
        </w:rPr>
      </w:pPr>
    </w:p>
    <w:p>
      <w:pPr>
        <w:spacing w:line="560" w:lineRule="exact"/>
        <w:ind w:firstLine="640" w:firstLineChars="200"/>
        <w:rPr>
          <w:rFonts w:ascii="黑体" w:hAnsi="黑体" w:eastAsia="黑体" w:cs="黑体"/>
          <w:sz w:val="32"/>
          <w:szCs w:val="32"/>
        </w:rPr>
      </w:pPr>
      <w:r>
        <w:rPr>
          <w:rFonts w:hint="eastAsia" w:ascii="仿宋" w:hAnsi="仿宋" w:eastAsia="仿宋_GB2312"/>
          <w:kern w:val="24"/>
          <w:sz w:val="32"/>
          <w:szCs w:val="28"/>
        </w:rPr>
        <w:t>近日，市政府办公厅印发了《关于积极稳步推进城中村改造实现高质量发展的实施意见》（</w:t>
      </w:r>
      <w:r>
        <w:rPr>
          <w:rFonts w:ascii="仿宋" w:hAnsi="仿宋" w:eastAsia="仿宋_GB2312"/>
          <w:kern w:val="24"/>
          <w:sz w:val="32"/>
          <w:szCs w:val="28"/>
        </w:rPr>
        <w:t>深府办规</w:t>
      </w:r>
      <w:r>
        <w:rPr>
          <w:rFonts w:hint="eastAsia" w:ascii="仿宋" w:hAnsi="仿宋" w:eastAsia="仿宋_GB2312"/>
          <w:kern w:val="24"/>
          <w:sz w:val="32"/>
          <w:szCs w:val="28"/>
        </w:rPr>
        <w:t>〔</w:t>
      </w:r>
      <w:r>
        <w:rPr>
          <w:rFonts w:ascii="仿宋" w:hAnsi="仿宋" w:eastAsia="仿宋_GB2312"/>
          <w:kern w:val="24"/>
          <w:sz w:val="32"/>
          <w:szCs w:val="28"/>
        </w:rPr>
        <w:t>2024</w:t>
      </w:r>
      <w:r>
        <w:rPr>
          <w:rFonts w:hint="eastAsia" w:ascii="仿宋" w:hAnsi="仿宋" w:eastAsia="仿宋_GB2312"/>
          <w:kern w:val="24"/>
          <w:sz w:val="32"/>
          <w:szCs w:val="28"/>
        </w:rPr>
        <w:t>〕</w:t>
      </w:r>
      <w:r>
        <w:rPr>
          <w:rFonts w:ascii="仿宋" w:hAnsi="仿宋" w:eastAsia="仿宋_GB2312"/>
          <w:kern w:val="24"/>
          <w:sz w:val="32"/>
          <w:szCs w:val="28"/>
        </w:rPr>
        <w:t>1号，</w:t>
      </w:r>
      <w:r>
        <w:rPr>
          <w:rFonts w:hint="eastAsia" w:ascii="仿宋" w:hAnsi="仿宋" w:eastAsia="仿宋_GB2312"/>
          <w:kern w:val="24"/>
          <w:sz w:val="32"/>
          <w:szCs w:val="28"/>
        </w:rPr>
        <w:t>以下简称《实施意见》），现</w:t>
      </w:r>
      <w:r>
        <w:rPr>
          <w:rFonts w:ascii="仿宋" w:hAnsi="仿宋" w:eastAsia="仿宋_GB2312"/>
          <w:kern w:val="24"/>
          <w:sz w:val="32"/>
          <w:szCs w:val="28"/>
        </w:rPr>
        <w:t>就《实施意见》</w:t>
      </w:r>
      <w:r>
        <w:rPr>
          <w:rFonts w:hint="eastAsia" w:ascii="仿宋" w:hAnsi="仿宋" w:eastAsia="仿宋_GB2312"/>
          <w:kern w:val="24"/>
          <w:sz w:val="32"/>
          <w:szCs w:val="28"/>
        </w:rPr>
        <w:t>解读如下：</w:t>
      </w:r>
    </w:p>
    <w:p>
      <w:pPr>
        <w:widowControl/>
        <w:spacing w:line="560" w:lineRule="exact"/>
        <w:ind w:firstLine="640" w:firstLineChars="200"/>
        <w:rPr>
          <w:rFonts w:ascii="CESI黑体-GB2312" w:hAnsi="CESI黑体-GB2312" w:eastAsia="CESI黑体-GB2312" w:cs="CESI黑体-GB2312"/>
          <w:sz w:val="32"/>
          <w:szCs w:val="32"/>
        </w:rPr>
      </w:pPr>
      <w:r>
        <w:rPr>
          <w:rFonts w:ascii="黑体" w:hAnsi="黑体" w:eastAsia="黑体" w:cs="黑体"/>
          <w:sz w:val="32"/>
          <w:szCs w:val="32"/>
        </w:rPr>
        <w:t>一、</w:t>
      </w:r>
      <w:r>
        <w:rPr>
          <w:rFonts w:hint="eastAsia" w:ascii="黑体" w:hAnsi="黑体" w:eastAsia="黑体" w:cs="黑体"/>
          <w:sz w:val="32"/>
          <w:szCs w:val="32"/>
        </w:rPr>
        <w:t>出台《实施意见》的必要性是什么？</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一是认真贯彻落实党中央、国务院关于城中村改造的决策部署的重要举措。</w:t>
      </w:r>
      <w:r>
        <w:rPr>
          <w:rFonts w:ascii="仿宋" w:hAnsi="仿宋" w:eastAsia="仿宋_GB2312"/>
          <w:kern w:val="24"/>
          <w:sz w:val="32"/>
          <w:szCs w:val="28"/>
        </w:rPr>
        <w:t>2023</w:t>
      </w:r>
      <w:r>
        <w:rPr>
          <w:rFonts w:hint="eastAsia" w:ascii="仿宋" w:hAnsi="仿宋" w:eastAsia="仿宋_GB2312"/>
          <w:kern w:val="24"/>
          <w:sz w:val="32"/>
          <w:szCs w:val="28"/>
        </w:rPr>
        <w:t>年</w:t>
      </w:r>
      <w:r>
        <w:rPr>
          <w:rFonts w:ascii="仿宋" w:hAnsi="仿宋" w:eastAsia="仿宋_GB2312"/>
          <w:kern w:val="24"/>
          <w:sz w:val="32"/>
          <w:szCs w:val="28"/>
        </w:rPr>
        <w:t>7</w:t>
      </w:r>
      <w:r>
        <w:rPr>
          <w:rFonts w:hint="eastAsia" w:ascii="仿宋" w:hAnsi="仿宋" w:eastAsia="仿宋_GB2312"/>
          <w:kern w:val="24"/>
          <w:sz w:val="32"/>
          <w:szCs w:val="28"/>
        </w:rPr>
        <w:t>月，国务院办公厅印发《</w:t>
      </w:r>
      <w:r>
        <w:rPr>
          <w:rFonts w:ascii="仿宋" w:hAnsi="仿宋" w:eastAsia="仿宋_GB2312"/>
          <w:kern w:val="24"/>
          <w:sz w:val="32"/>
          <w:szCs w:val="28"/>
        </w:rPr>
        <w:t>关于在超大特大城市积极稳步推进城中村改造的</w:t>
      </w:r>
      <w:r>
        <w:rPr>
          <w:rFonts w:hint="eastAsia" w:ascii="仿宋" w:hAnsi="仿宋" w:eastAsia="仿宋_GB2312"/>
          <w:kern w:val="24"/>
          <w:sz w:val="32"/>
          <w:szCs w:val="28"/>
        </w:rPr>
        <w:t>指导意见》</w:t>
      </w:r>
      <w:r>
        <w:rPr>
          <w:rFonts w:ascii="仿宋" w:hAnsi="仿宋" w:eastAsia="仿宋_GB2312"/>
          <w:kern w:val="24"/>
          <w:sz w:val="32"/>
          <w:szCs w:val="28"/>
        </w:rPr>
        <w:t>（以下简称《指导意见》）</w:t>
      </w:r>
      <w:r>
        <w:rPr>
          <w:rFonts w:hint="eastAsia" w:ascii="仿宋" w:hAnsi="仿宋" w:eastAsia="仿宋_GB2312"/>
          <w:kern w:val="24"/>
          <w:sz w:val="32"/>
          <w:szCs w:val="28"/>
        </w:rPr>
        <w:t>。积极稳步推进城中村改造，是</w:t>
      </w:r>
      <w:r>
        <w:rPr>
          <w:rFonts w:ascii="仿宋" w:hAnsi="仿宋" w:eastAsia="仿宋_GB2312"/>
          <w:kern w:val="24"/>
          <w:sz w:val="32"/>
          <w:szCs w:val="28"/>
        </w:rPr>
        <w:t>我市</w:t>
      </w:r>
      <w:r>
        <w:rPr>
          <w:rFonts w:hint="eastAsia" w:ascii="仿宋" w:hAnsi="仿宋" w:eastAsia="仿宋_GB2312"/>
          <w:kern w:val="24"/>
          <w:sz w:val="32"/>
          <w:szCs w:val="28"/>
        </w:rPr>
        <w:t>落实党中央、</w:t>
      </w:r>
      <w:r>
        <w:rPr>
          <w:rFonts w:ascii="仿宋" w:hAnsi="仿宋" w:eastAsia="仿宋_GB2312"/>
          <w:kern w:val="24"/>
          <w:sz w:val="32"/>
          <w:szCs w:val="28"/>
        </w:rPr>
        <w:t>国务院</w:t>
      </w:r>
      <w:r>
        <w:rPr>
          <w:rFonts w:hint="eastAsia" w:ascii="仿宋" w:hAnsi="仿宋" w:eastAsia="仿宋_GB2312"/>
          <w:kern w:val="24"/>
          <w:sz w:val="32"/>
          <w:szCs w:val="28"/>
        </w:rPr>
        <w:t>的</w:t>
      </w:r>
      <w:r>
        <w:rPr>
          <w:rFonts w:ascii="仿宋" w:hAnsi="仿宋" w:eastAsia="仿宋_GB2312"/>
          <w:kern w:val="24"/>
          <w:sz w:val="32"/>
          <w:szCs w:val="28"/>
        </w:rPr>
        <w:t>决策部署</w:t>
      </w:r>
      <w:r>
        <w:rPr>
          <w:rFonts w:hint="eastAsia" w:ascii="仿宋" w:hAnsi="仿宋" w:eastAsia="仿宋_GB2312"/>
          <w:kern w:val="24"/>
          <w:sz w:val="32"/>
          <w:szCs w:val="28"/>
        </w:rPr>
        <w:t>，践行以人民为中心的发展思想，推进城市治理体系和治理能力现代化的重要举措。</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二是切实消除城中村安全风险隐患，推动城市高质量发展的需要。我市部分城中村存在公共卫生安全风险大、房屋安全和消防安全隐患多、配套设施落后、环境脏乱差、社会治理难等突出问题，亟需有力有序有效推进改造，切实消除安全风险隐患，改善居住条件和生态环境，</w:t>
      </w:r>
      <w:r>
        <w:rPr>
          <w:rFonts w:ascii="仿宋" w:hAnsi="仿宋" w:eastAsia="仿宋_GB2312"/>
          <w:kern w:val="24"/>
          <w:sz w:val="32"/>
          <w:szCs w:val="28"/>
        </w:rPr>
        <w:t>提升城市功能品质和综合承载力，</w:t>
      </w:r>
      <w:r>
        <w:rPr>
          <w:rFonts w:hint="eastAsia" w:ascii="仿宋" w:hAnsi="仿宋" w:eastAsia="仿宋_GB2312"/>
          <w:kern w:val="24"/>
          <w:sz w:val="32"/>
          <w:szCs w:val="28"/>
        </w:rPr>
        <w:t>不断增强人民群众的获得感、幸福感、安全感。</w:t>
      </w:r>
    </w:p>
    <w:p>
      <w:pPr>
        <w:widowControl/>
        <w:spacing w:line="560" w:lineRule="exact"/>
        <w:ind w:firstLine="640" w:firstLineChars="200"/>
        <w:rPr>
          <w:rFonts w:ascii="仿宋_GB2312" w:hAnsi="仿宋_GB2312" w:eastAsia="仿宋_GB2312" w:cs="仿宋_GB2312"/>
          <w:sz w:val="32"/>
          <w:szCs w:val="32"/>
        </w:rPr>
      </w:pPr>
      <w:r>
        <w:rPr>
          <w:rFonts w:hint="eastAsia" w:ascii="仿宋" w:hAnsi="仿宋" w:eastAsia="仿宋_GB2312"/>
          <w:kern w:val="24"/>
          <w:sz w:val="32"/>
          <w:szCs w:val="28"/>
        </w:rPr>
        <w:t>三是</w:t>
      </w:r>
      <w:r>
        <w:rPr>
          <w:rFonts w:ascii="仿宋" w:hAnsi="仿宋" w:eastAsia="仿宋_GB2312"/>
          <w:kern w:val="24"/>
          <w:sz w:val="32"/>
          <w:szCs w:val="28"/>
        </w:rPr>
        <w:t>规范</w:t>
      </w:r>
      <w:r>
        <w:rPr>
          <w:rFonts w:hint="eastAsia" w:ascii="仿宋" w:hAnsi="仿宋" w:eastAsia="仿宋_GB2312"/>
          <w:kern w:val="24"/>
          <w:sz w:val="32"/>
          <w:szCs w:val="28"/>
        </w:rPr>
        <w:t>我市城中村</w:t>
      </w:r>
      <w:r>
        <w:rPr>
          <w:rFonts w:ascii="仿宋" w:hAnsi="仿宋" w:eastAsia="仿宋_GB2312"/>
          <w:kern w:val="24"/>
          <w:sz w:val="32"/>
          <w:szCs w:val="28"/>
        </w:rPr>
        <w:t>改造工作</w:t>
      </w:r>
      <w:r>
        <w:rPr>
          <w:rFonts w:hint="eastAsia" w:ascii="仿宋" w:hAnsi="仿宋" w:eastAsia="仿宋_GB2312"/>
          <w:kern w:val="24"/>
          <w:sz w:val="32"/>
          <w:szCs w:val="28"/>
        </w:rPr>
        <w:t>，</w:t>
      </w:r>
      <w:r>
        <w:rPr>
          <w:rFonts w:ascii="仿宋" w:hAnsi="仿宋" w:eastAsia="仿宋_GB2312"/>
          <w:kern w:val="24"/>
          <w:sz w:val="32"/>
          <w:szCs w:val="28"/>
        </w:rPr>
        <w:t>保障项目落地实施</w:t>
      </w:r>
      <w:r>
        <w:rPr>
          <w:rFonts w:hint="eastAsia" w:ascii="仿宋" w:hAnsi="仿宋" w:eastAsia="仿宋_GB2312"/>
          <w:kern w:val="24"/>
          <w:sz w:val="32"/>
          <w:szCs w:val="28"/>
        </w:rPr>
        <w:t>的需要。城中村改造涉及面广、情况复杂，亟需出台相关政策文件，</w:t>
      </w:r>
      <w:r>
        <w:rPr>
          <w:rFonts w:ascii="仿宋" w:hAnsi="仿宋" w:eastAsia="仿宋_GB2312"/>
          <w:kern w:val="24"/>
          <w:sz w:val="32"/>
          <w:szCs w:val="28"/>
        </w:rPr>
        <w:t>明确总体要求、实施要点及组织保障，</w:t>
      </w:r>
      <w:r>
        <w:rPr>
          <w:rFonts w:hint="eastAsia" w:ascii="仿宋" w:hAnsi="仿宋" w:eastAsia="仿宋_GB2312"/>
          <w:kern w:val="24"/>
          <w:sz w:val="32"/>
          <w:szCs w:val="28"/>
        </w:rPr>
        <w:t>规范工作流程，确保城中村改造工作依法依规、稳步有序推进。</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二、城中村改造的基本原则</w:t>
      </w:r>
      <w:r>
        <w:rPr>
          <w:rFonts w:ascii="黑体" w:hAnsi="黑体" w:eastAsia="黑体" w:cs="黑体"/>
          <w:sz w:val="32"/>
          <w:szCs w:val="32"/>
        </w:rPr>
        <w:t>是什么？</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以习近平新时代中国特色社会主义思想为指导，全面贯彻落实党的二十大和二十届二中全会精神，严格</w:t>
      </w:r>
      <w:r>
        <w:rPr>
          <w:rFonts w:ascii="仿宋" w:hAnsi="仿宋" w:eastAsia="仿宋_GB2312"/>
          <w:kern w:val="24"/>
          <w:sz w:val="32"/>
          <w:szCs w:val="28"/>
        </w:rPr>
        <w:t>按照</w:t>
      </w:r>
      <w:r>
        <w:rPr>
          <w:rFonts w:hint="eastAsia" w:ascii="仿宋" w:hAnsi="仿宋" w:eastAsia="仿宋_GB2312"/>
          <w:kern w:val="24"/>
          <w:sz w:val="32"/>
          <w:szCs w:val="28"/>
        </w:rPr>
        <w:t>《</w:t>
      </w:r>
      <w:r>
        <w:rPr>
          <w:rFonts w:ascii="仿宋_GB2312" w:hAnsi="仿宋_GB2312" w:eastAsia="仿宋_GB2312" w:cs="仿宋_GB2312"/>
          <w:sz w:val="32"/>
          <w:szCs w:val="32"/>
        </w:rPr>
        <w:t>指导意见</w:t>
      </w:r>
      <w:r>
        <w:rPr>
          <w:rFonts w:hint="eastAsia" w:ascii="仿宋" w:hAnsi="仿宋" w:eastAsia="仿宋_GB2312"/>
          <w:kern w:val="24"/>
          <w:sz w:val="32"/>
          <w:szCs w:val="28"/>
        </w:rPr>
        <w:t>》</w:t>
      </w:r>
      <w:r>
        <w:rPr>
          <w:rFonts w:ascii="仿宋" w:hAnsi="仿宋" w:eastAsia="仿宋_GB2312"/>
          <w:kern w:val="24"/>
          <w:sz w:val="32"/>
          <w:szCs w:val="28"/>
        </w:rPr>
        <w:t>要求</w:t>
      </w:r>
      <w:r>
        <w:rPr>
          <w:rFonts w:hint="eastAsia" w:ascii="仿宋" w:hAnsi="仿宋" w:eastAsia="仿宋_GB2312"/>
          <w:kern w:val="24"/>
          <w:sz w:val="32"/>
          <w:szCs w:val="28"/>
        </w:rPr>
        <w:t>，坚持问题导向</w:t>
      </w:r>
      <w:r>
        <w:rPr>
          <w:rFonts w:ascii="仿宋" w:hAnsi="仿宋" w:eastAsia="仿宋_GB2312"/>
          <w:kern w:val="24"/>
          <w:sz w:val="32"/>
          <w:szCs w:val="28"/>
        </w:rPr>
        <w:t>、</w:t>
      </w:r>
      <w:r>
        <w:rPr>
          <w:rFonts w:hint="eastAsia" w:ascii="仿宋" w:hAnsi="仿宋" w:eastAsia="仿宋_GB2312"/>
          <w:kern w:val="24"/>
          <w:sz w:val="32"/>
          <w:szCs w:val="28"/>
        </w:rPr>
        <w:t>目标导向</w:t>
      </w:r>
      <w:r>
        <w:rPr>
          <w:rFonts w:ascii="仿宋" w:hAnsi="仿宋" w:eastAsia="仿宋_GB2312"/>
          <w:kern w:val="24"/>
          <w:sz w:val="32"/>
          <w:szCs w:val="28"/>
        </w:rPr>
        <w:t>、</w:t>
      </w:r>
      <w:r>
        <w:rPr>
          <w:rFonts w:hint="eastAsia" w:ascii="仿宋" w:hAnsi="仿宋" w:eastAsia="仿宋_GB2312"/>
          <w:kern w:val="24"/>
          <w:sz w:val="32"/>
          <w:szCs w:val="28"/>
        </w:rPr>
        <w:t>先谋后动，坚持市场在资源配置中起决定性作用、更好发挥政府作用，坚持市和区两级政府履行主体责任为基本原则，积极稳步推进我市城中村改造工作。</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三、城中村改造的对象是什么？</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以深圳市</w:t>
      </w:r>
      <w:r>
        <w:rPr>
          <w:rFonts w:hint="eastAsia" w:ascii="仿宋_GB2312" w:hAnsi="仿宋_GB2312" w:eastAsia="仿宋_GB2312" w:cs="仿宋_GB2312"/>
          <w:color w:val="000000"/>
          <w:kern w:val="0"/>
          <w:sz w:val="32"/>
          <w:szCs w:val="32"/>
        </w:rPr>
        <w:t>行政区域</w:t>
      </w:r>
      <w:r>
        <w:rPr>
          <w:rFonts w:hint="eastAsia" w:ascii="仿宋" w:hAnsi="仿宋" w:eastAsia="仿宋_GB2312"/>
          <w:kern w:val="24"/>
          <w:sz w:val="32"/>
          <w:szCs w:val="28"/>
        </w:rPr>
        <w:t>内原农村集体经济组织继受单位及原村民实际占有使用的现状居住用地为主的区域，具体</w:t>
      </w:r>
      <w:r>
        <w:rPr>
          <w:rFonts w:ascii="仿宋" w:hAnsi="仿宋" w:eastAsia="仿宋_GB2312"/>
          <w:kern w:val="24"/>
          <w:sz w:val="32"/>
          <w:szCs w:val="28"/>
        </w:rPr>
        <w:t>范围</w:t>
      </w:r>
      <w:r>
        <w:rPr>
          <w:rFonts w:hint="eastAsia" w:ascii="仿宋" w:hAnsi="仿宋" w:eastAsia="仿宋_GB2312"/>
          <w:kern w:val="24"/>
          <w:sz w:val="32"/>
          <w:szCs w:val="28"/>
        </w:rPr>
        <w:t>将在</w:t>
      </w:r>
      <w:r>
        <w:rPr>
          <w:rFonts w:ascii="仿宋" w:hAnsi="仿宋" w:eastAsia="仿宋_GB2312"/>
          <w:kern w:val="24"/>
          <w:sz w:val="32"/>
          <w:szCs w:val="28"/>
        </w:rPr>
        <w:t>城中村改造规划中</w:t>
      </w:r>
      <w:r>
        <w:rPr>
          <w:rFonts w:hint="eastAsia" w:ascii="仿宋" w:hAnsi="仿宋" w:eastAsia="仿宋_GB2312"/>
          <w:kern w:val="24"/>
          <w:sz w:val="32"/>
          <w:szCs w:val="28"/>
        </w:rPr>
        <w:t>予以</w:t>
      </w:r>
      <w:r>
        <w:rPr>
          <w:rFonts w:ascii="仿宋" w:hAnsi="仿宋" w:eastAsia="仿宋_GB2312"/>
          <w:kern w:val="24"/>
          <w:sz w:val="32"/>
          <w:szCs w:val="28"/>
        </w:rPr>
        <w:t>明确</w:t>
      </w:r>
      <w:r>
        <w:rPr>
          <w:rFonts w:hint="eastAsia" w:ascii="仿宋" w:hAnsi="仿宋" w:eastAsia="仿宋_GB2312"/>
          <w:kern w:val="24"/>
          <w:sz w:val="32"/>
          <w:szCs w:val="28"/>
        </w:rPr>
        <w:t>。</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四、城中村改造的</w:t>
      </w:r>
      <w:r>
        <w:rPr>
          <w:rFonts w:ascii="黑体" w:hAnsi="黑体" w:eastAsia="黑体" w:cs="黑体"/>
          <w:sz w:val="32"/>
          <w:szCs w:val="32"/>
        </w:rPr>
        <w:t>方式有哪些？</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城中村改造</w:t>
      </w:r>
      <w:r>
        <w:rPr>
          <w:rFonts w:ascii="仿宋" w:hAnsi="仿宋" w:eastAsia="仿宋_GB2312"/>
          <w:kern w:val="24"/>
          <w:sz w:val="32"/>
          <w:szCs w:val="28"/>
        </w:rPr>
        <w:t>方式</w:t>
      </w:r>
      <w:r>
        <w:rPr>
          <w:rFonts w:hint="eastAsia" w:ascii="仿宋" w:hAnsi="仿宋" w:eastAsia="仿宋_GB2312"/>
          <w:kern w:val="24"/>
          <w:sz w:val="32"/>
          <w:szCs w:val="28"/>
        </w:rPr>
        <w:t>分为拆除新建</w:t>
      </w:r>
      <w:r>
        <w:rPr>
          <w:rFonts w:ascii="仿宋" w:hAnsi="仿宋" w:eastAsia="仿宋_GB2312"/>
          <w:kern w:val="24"/>
          <w:sz w:val="32"/>
          <w:szCs w:val="28"/>
        </w:rPr>
        <w:t>、</w:t>
      </w:r>
      <w:r>
        <w:rPr>
          <w:rFonts w:hint="eastAsia" w:ascii="仿宋" w:hAnsi="仿宋" w:eastAsia="仿宋_GB2312"/>
          <w:kern w:val="24"/>
          <w:sz w:val="32"/>
          <w:szCs w:val="28"/>
        </w:rPr>
        <w:t>整治提升、拆整结合三类：对具备条件的城中村实施拆除新建；不具备条件的不可强行推进，</w:t>
      </w:r>
      <w:r>
        <w:rPr>
          <w:rFonts w:ascii="仿宋" w:hAnsi="仿宋" w:eastAsia="仿宋_GB2312"/>
          <w:kern w:val="24"/>
          <w:sz w:val="32"/>
          <w:szCs w:val="28"/>
        </w:rPr>
        <w:t>要</w:t>
      </w:r>
      <w:r>
        <w:rPr>
          <w:rFonts w:hint="eastAsia" w:ascii="仿宋" w:hAnsi="仿宋" w:eastAsia="仿宋_GB2312"/>
          <w:kern w:val="24"/>
          <w:sz w:val="32"/>
          <w:szCs w:val="28"/>
        </w:rPr>
        <w:t>开展经常性整治提升，防控风险隐患；介于前两类之间的实施拆整结合。</w:t>
      </w:r>
    </w:p>
    <w:p>
      <w:pPr>
        <w:spacing w:line="560" w:lineRule="exact"/>
        <w:ind w:firstLine="640" w:firstLineChars="200"/>
      </w:pPr>
      <w:r>
        <w:rPr>
          <w:rFonts w:hint="eastAsia" w:ascii="仿宋" w:hAnsi="仿宋" w:eastAsia="仿宋_GB2312"/>
          <w:kern w:val="24"/>
          <w:sz w:val="32"/>
          <w:szCs w:val="28"/>
        </w:rPr>
        <w:t>具体改造方式以城中村改造规划为引导，结合居民改造意愿、城市安全和社会治理隐患排查、历史文化风貌保护等</w:t>
      </w:r>
      <w:r>
        <w:rPr>
          <w:rFonts w:ascii="仿宋" w:hAnsi="仿宋" w:eastAsia="仿宋_GB2312"/>
          <w:kern w:val="24"/>
          <w:sz w:val="32"/>
          <w:szCs w:val="28"/>
        </w:rPr>
        <w:t>因素</w:t>
      </w:r>
      <w:r>
        <w:rPr>
          <w:rFonts w:hint="eastAsia" w:ascii="仿宋" w:hAnsi="仿宋" w:eastAsia="仿宋_GB2312"/>
          <w:kern w:val="24"/>
          <w:sz w:val="32"/>
          <w:szCs w:val="28"/>
        </w:rPr>
        <w:t>综合确定。</w:t>
      </w:r>
    </w:p>
    <w:p>
      <w:pPr>
        <w:widowControl/>
        <w:spacing w:line="560" w:lineRule="exact"/>
        <w:ind w:firstLine="640" w:firstLineChars="200"/>
        <w:rPr>
          <w:rFonts w:ascii="CESI黑体-GB2312" w:hAnsi="CESI黑体-GB2312" w:eastAsia="CESI黑体-GB2312" w:cs="CESI黑体-GB2312"/>
          <w:sz w:val="32"/>
          <w:szCs w:val="32"/>
        </w:rPr>
      </w:pPr>
      <w:r>
        <w:rPr>
          <w:rFonts w:hint="eastAsia" w:ascii="黑体" w:hAnsi="黑体" w:eastAsia="黑体" w:cs="黑体"/>
          <w:sz w:val="32"/>
          <w:szCs w:val="32"/>
        </w:rPr>
        <w:t>五、城中村改造项目的实施范围</w:t>
      </w:r>
      <w:r>
        <w:rPr>
          <w:rFonts w:ascii="黑体" w:hAnsi="黑体" w:eastAsia="黑体" w:cs="黑体"/>
          <w:sz w:val="32"/>
          <w:szCs w:val="32"/>
        </w:rPr>
        <w:t>如何</w:t>
      </w:r>
      <w:r>
        <w:rPr>
          <w:rFonts w:hint="eastAsia" w:ascii="黑体" w:hAnsi="黑体" w:eastAsia="黑体" w:cs="黑体"/>
          <w:sz w:val="32"/>
          <w:szCs w:val="32"/>
        </w:rPr>
        <w:t>划定</w:t>
      </w:r>
      <w:r>
        <w:rPr>
          <w:rFonts w:ascii="黑体" w:hAnsi="黑体" w:eastAsia="黑体" w:cs="黑体"/>
          <w:sz w:val="32"/>
          <w:szCs w:val="32"/>
        </w:rPr>
        <w:t>？</w:t>
      </w:r>
    </w:p>
    <w:p>
      <w:pPr>
        <w:spacing w:line="560" w:lineRule="exact"/>
        <w:ind w:firstLine="640" w:firstLineChars="200"/>
        <w:rPr>
          <w:rFonts w:ascii="仿宋" w:hAnsi="仿宋" w:eastAsia="仿宋_GB2312"/>
          <w:kern w:val="24"/>
          <w:sz w:val="32"/>
          <w:szCs w:val="28"/>
        </w:rPr>
      </w:pPr>
      <w:r>
        <w:rPr>
          <w:rFonts w:ascii="仿宋" w:hAnsi="仿宋" w:eastAsia="仿宋_GB2312"/>
          <w:kern w:val="24"/>
          <w:sz w:val="32"/>
          <w:szCs w:val="28"/>
        </w:rPr>
        <w:t>城中村改造项目实施范围原则上以整村范围为基础，可整合周边少量低效或者零散用地，保证市政基础设施和公共服务设施相对完整，鼓励实施区域统筹和成片开发。</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六、拆除新建类城中村改造项目实施要点有哪些？</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拆除新建</w:t>
      </w:r>
      <w:r>
        <w:rPr>
          <w:rFonts w:ascii="仿宋" w:hAnsi="仿宋" w:eastAsia="仿宋_GB2312"/>
          <w:kern w:val="24"/>
          <w:sz w:val="32"/>
          <w:szCs w:val="28"/>
        </w:rPr>
        <w:t>类</w:t>
      </w:r>
      <w:r>
        <w:rPr>
          <w:rFonts w:hint="eastAsia" w:ascii="仿宋" w:hAnsi="仿宋" w:eastAsia="仿宋_GB2312"/>
          <w:kern w:val="24"/>
          <w:sz w:val="32"/>
          <w:szCs w:val="28"/>
        </w:rPr>
        <w:t>城中村改造项目</w:t>
      </w:r>
      <w:r>
        <w:rPr>
          <w:rFonts w:ascii="仿宋" w:hAnsi="仿宋" w:eastAsia="仿宋_GB2312"/>
          <w:kern w:val="24"/>
          <w:sz w:val="32"/>
          <w:szCs w:val="28"/>
        </w:rPr>
        <w:t>，</w:t>
      </w:r>
      <w:r>
        <w:rPr>
          <w:rFonts w:hint="eastAsia" w:ascii="仿宋" w:hAnsi="仿宋" w:eastAsia="仿宋_GB2312"/>
          <w:kern w:val="24"/>
          <w:sz w:val="32"/>
          <w:szCs w:val="28"/>
        </w:rPr>
        <w:t>需开展意愿征集</w:t>
      </w:r>
      <w:r>
        <w:rPr>
          <w:rFonts w:ascii="仿宋" w:hAnsi="仿宋" w:eastAsia="仿宋_GB2312"/>
          <w:kern w:val="24"/>
          <w:sz w:val="32"/>
          <w:szCs w:val="28"/>
        </w:rPr>
        <w:t>、</w:t>
      </w:r>
      <w:r>
        <w:rPr>
          <w:rFonts w:hint="eastAsia" w:ascii="仿宋" w:hAnsi="仿宋" w:eastAsia="仿宋_GB2312"/>
          <w:kern w:val="24"/>
          <w:sz w:val="32"/>
          <w:szCs w:val="28"/>
        </w:rPr>
        <w:t>项目可行性研究、基础信息核查、编制实施方案和单元规划、合作单位引入、搬迁补偿和安置、土地清理与收储、用地出让及开发建设等工作。</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w:t>
      </w:r>
      <w:r>
        <w:rPr>
          <w:rFonts w:ascii="黑体" w:hAnsi="黑体" w:eastAsia="黑体" w:cs="黑体"/>
          <w:sz w:val="32"/>
          <w:szCs w:val="32"/>
        </w:rPr>
        <w:t>物业</w:t>
      </w:r>
      <w:r>
        <w:rPr>
          <w:rFonts w:hint="eastAsia" w:ascii="黑体" w:hAnsi="黑体" w:eastAsia="黑体" w:cs="黑体"/>
          <w:sz w:val="32"/>
          <w:szCs w:val="32"/>
        </w:rPr>
        <w:t>权利人合法权益如何保障？</w:t>
      </w:r>
    </w:p>
    <w:p>
      <w:pPr>
        <w:widowControl/>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拆除新建类城中村改造项目</w:t>
      </w:r>
      <w:r>
        <w:rPr>
          <w:rFonts w:ascii="仿宋" w:hAnsi="仿宋" w:eastAsia="仿宋_GB2312"/>
          <w:kern w:val="24"/>
          <w:sz w:val="32"/>
          <w:szCs w:val="28"/>
        </w:rPr>
        <w:t>，</w:t>
      </w:r>
      <w:r>
        <w:rPr>
          <w:rFonts w:hint="eastAsia" w:ascii="仿宋" w:hAnsi="仿宋" w:eastAsia="仿宋_GB2312"/>
          <w:kern w:val="24"/>
          <w:sz w:val="32"/>
          <w:szCs w:val="28"/>
        </w:rPr>
        <w:t>需经物业权利人三分之二以上同意，并经原农村集体经济组织继受单位依据集体资产管理相关规定及公司章程决策同意后方可实施</w:t>
      </w:r>
      <w:r>
        <w:rPr>
          <w:rFonts w:ascii="仿宋" w:hAnsi="仿宋" w:eastAsia="仿宋_GB2312"/>
          <w:kern w:val="24"/>
          <w:sz w:val="32"/>
          <w:szCs w:val="28"/>
        </w:rPr>
        <w:t>。</w:t>
      </w:r>
      <w:r>
        <w:rPr>
          <w:rFonts w:hint="eastAsia" w:ascii="仿宋" w:hAnsi="仿宋" w:eastAsia="仿宋_GB2312"/>
          <w:kern w:val="24"/>
          <w:sz w:val="32"/>
          <w:szCs w:val="28"/>
        </w:rPr>
        <w:t>在城中村改造过程中，需听取原农村集体经济组织继受单位及物业权利人对城中村改造综合方案、征收补偿方案、集体资产处置等的意见，保障其知情权和参与权。</w:t>
      </w:r>
      <w:r>
        <w:rPr>
          <w:rFonts w:hint="eastAsia" w:ascii="仿宋_GB2312" w:hAnsi="仿宋" w:eastAsia="仿宋_GB2312"/>
          <w:kern w:val="24"/>
          <w:sz w:val="32"/>
          <w:szCs w:val="32"/>
        </w:rPr>
        <w:t>在安置房建设方面，将先行安排安置房项目供地和建设，加强安置房规划设计和建设管理工作，确保在合理工期内建成。</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八、拆除新建类城中村改造搬迁补偿标准如何确定？</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我市将结合城市更新、土地整备、房屋征收等各类项目补偿情况，按照分类核定、政策衔接、利于实施、成本可控的原则，研究出台搬迁补偿指引。拆除新建类城中村改造项目的</w:t>
      </w:r>
      <w:r>
        <w:rPr>
          <w:rFonts w:ascii="仿宋" w:hAnsi="仿宋" w:eastAsia="仿宋_GB2312"/>
          <w:kern w:val="24"/>
          <w:sz w:val="32"/>
          <w:szCs w:val="28"/>
        </w:rPr>
        <w:t>搬迁补偿标准按照搬迁补偿指引</w:t>
      </w:r>
      <w:r>
        <w:rPr>
          <w:rFonts w:hint="eastAsia" w:ascii="仿宋" w:hAnsi="仿宋" w:eastAsia="仿宋_GB2312"/>
          <w:kern w:val="24"/>
          <w:sz w:val="32"/>
          <w:szCs w:val="28"/>
        </w:rPr>
        <w:t>确定</w:t>
      </w:r>
      <w:r>
        <w:rPr>
          <w:rFonts w:ascii="仿宋" w:hAnsi="仿宋" w:eastAsia="仿宋_GB2312"/>
          <w:kern w:val="24"/>
          <w:sz w:val="32"/>
          <w:szCs w:val="28"/>
        </w:rPr>
        <w:t>。</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九、拆除新建类城中村改造合作单位如何引入？</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在先行确定规划指标、选择条件和净地出让等前提下，政府按照公开择优原则，建立竞争性准入机制</w:t>
      </w:r>
      <w:r>
        <w:rPr>
          <w:rFonts w:ascii="仿宋" w:hAnsi="仿宋" w:eastAsia="仿宋_GB2312"/>
          <w:kern w:val="24"/>
          <w:sz w:val="32"/>
          <w:szCs w:val="28"/>
        </w:rPr>
        <w:t>，</w:t>
      </w:r>
      <w:r>
        <w:rPr>
          <w:rFonts w:hint="eastAsia" w:ascii="仿宋" w:hAnsi="仿宋" w:eastAsia="仿宋_GB2312"/>
          <w:kern w:val="24"/>
          <w:sz w:val="32"/>
          <w:szCs w:val="28"/>
        </w:rPr>
        <w:t>组织采用公开招标、邀请招标、竞争性磋商等方式，选择优质合作单位协助开展相关工作。</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十、整治提升类城中村改造项目实施要点有</w:t>
      </w:r>
      <w:r>
        <w:rPr>
          <w:rFonts w:ascii="黑体" w:hAnsi="黑体" w:eastAsia="黑体" w:cs="黑体"/>
          <w:sz w:val="32"/>
          <w:szCs w:val="32"/>
        </w:rPr>
        <w:t>哪</w:t>
      </w:r>
      <w:r>
        <w:rPr>
          <w:rFonts w:hint="eastAsia" w:ascii="黑体" w:hAnsi="黑体" w:eastAsia="黑体" w:cs="黑体"/>
          <w:sz w:val="32"/>
          <w:szCs w:val="32"/>
        </w:rPr>
        <w:t>些</w:t>
      </w:r>
      <w:r>
        <w:rPr>
          <w:rFonts w:ascii="黑体" w:hAnsi="黑体" w:eastAsia="黑体" w:cs="黑体"/>
          <w:sz w:val="32"/>
          <w:szCs w:val="32"/>
        </w:rPr>
        <w:t>？</w:t>
      </w:r>
    </w:p>
    <w:p>
      <w:pPr>
        <w:spacing w:line="560" w:lineRule="exact"/>
        <w:ind w:firstLine="640" w:firstLineChars="200"/>
        <w:rPr>
          <w:rFonts w:ascii="仿宋" w:hAnsi="仿宋" w:eastAsia="仿宋_GB2312"/>
          <w:kern w:val="24"/>
          <w:sz w:val="32"/>
          <w:szCs w:val="28"/>
        </w:rPr>
      </w:pPr>
      <w:r>
        <w:rPr>
          <w:rFonts w:ascii="仿宋" w:hAnsi="仿宋" w:eastAsia="仿宋_GB2312"/>
          <w:kern w:val="24"/>
          <w:sz w:val="32"/>
          <w:szCs w:val="28"/>
        </w:rPr>
        <w:t>对纳入</w:t>
      </w:r>
      <w:r>
        <w:rPr>
          <w:rFonts w:hint="eastAsia" w:ascii="仿宋" w:hAnsi="仿宋" w:eastAsia="仿宋_GB2312"/>
          <w:kern w:val="24"/>
          <w:sz w:val="32"/>
          <w:szCs w:val="28"/>
        </w:rPr>
        <w:t>整治提升类</w:t>
      </w:r>
      <w:r>
        <w:rPr>
          <w:rFonts w:ascii="仿宋" w:hAnsi="仿宋" w:eastAsia="仿宋_GB2312"/>
          <w:kern w:val="24"/>
          <w:sz w:val="32"/>
          <w:szCs w:val="28"/>
        </w:rPr>
        <w:t>改造空间范围的城中村</w:t>
      </w:r>
      <w:r>
        <w:rPr>
          <w:rFonts w:hint="eastAsia" w:ascii="仿宋" w:hAnsi="仿宋" w:eastAsia="仿宋_GB2312"/>
          <w:kern w:val="24"/>
          <w:sz w:val="32"/>
          <w:szCs w:val="28"/>
        </w:rPr>
        <w:t>，一是开展现状调查评估，建立基础信息台账；二是尊重居民意愿，编制整治提升实施方案，</w:t>
      </w:r>
      <w:r>
        <w:rPr>
          <w:rFonts w:hint="eastAsia" w:ascii="仿宋_GB2312" w:hAnsi="仿宋_GB2312" w:eastAsia="仿宋_GB2312" w:cs="仿宋_GB2312"/>
          <w:kern w:val="0"/>
          <w:sz w:val="32"/>
          <w:szCs w:val="32"/>
        </w:rPr>
        <w:t>确定安全风险隐患治理内容，明确公共配套等完善或提升内容，做好历史文化</w:t>
      </w:r>
      <w:r>
        <w:rPr>
          <w:rFonts w:ascii="仿宋_GB2312" w:hAnsi="仿宋_GB2312" w:eastAsia="仿宋_GB2312" w:cs="仿宋_GB2312"/>
          <w:kern w:val="0"/>
          <w:sz w:val="32"/>
          <w:szCs w:val="32"/>
        </w:rPr>
        <w:t>传承保护</w:t>
      </w:r>
      <w:r>
        <w:rPr>
          <w:rFonts w:hint="eastAsia" w:ascii="仿宋" w:hAnsi="仿宋" w:eastAsia="仿宋_GB2312"/>
          <w:kern w:val="24"/>
          <w:sz w:val="32"/>
          <w:szCs w:val="28"/>
        </w:rPr>
        <w:t>；三是常态化开展整治提升，统筹做好项目资金安排，充分调动原农村集体经济组织继受单位、物业权利人和各类社会主体的积极性，加快提升城中村物业管理服务水平，引导城中村居民广泛参与社区共建。</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一</w:t>
      </w:r>
      <w:r>
        <w:rPr>
          <w:rFonts w:hint="eastAsia" w:ascii="黑体" w:hAnsi="黑体" w:eastAsia="黑体" w:cs="黑体"/>
          <w:sz w:val="32"/>
          <w:szCs w:val="32"/>
        </w:rPr>
        <w:t>、拆整结合类城中村改造项目实施要点有哪些</w:t>
      </w:r>
      <w:r>
        <w:rPr>
          <w:rFonts w:ascii="黑体" w:hAnsi="黑体" w:eastAsia="黑体" w:cs="黑体"/>
          <w:sz w:val="32"/>
          <w:szCs w:val="32"/>
        </w:rPr>
        <w:t>？</w:t>
      </w:r>
    </w:p>
    <w:p>
      <w:pPr>
        <w:spacing w:line="560" w:lineRule="exact"/>
        <w:ind w:firstLine="640" w:firstLineChars="200"/>
        <w:rPr>
          <w:rFonts w:ascii="仿宋" w:hAnsi="仿宋" w:eastAsia="仿宋_GB2312"/>
          <w:kern w:val="24"/>
          <w:sz w:val="32"/>
          <w:szCs w:val="28"/>
        </w:rPr>
      </w:pPr>
      <w:r>
        <w:rPr>
          <w:rFonts w:hint="eastAsia" w:ascii="仿宋" w:hAnsi="仿宋" w:eastAsia="仿宋_GB2312"/>
          <w:kern w:val="24"/>
          <w:sz w:val="32"/>
          <w:szCs w:val="28"/>
        </w:rPr>
        <w:t>拆整结合类城中村改造项目</w:t>
      </w:r>
      <w:r>
        <w:rPr>
          <w:rFonts w:ascii="仿宋" w:hAnsi="仿宋" w:eastAsia="仿宋_GB2312"/>
          <w:kern w:val="24"/>
          <w:sz w:val="32"/>
          <w:szCs w:val="28"/>
        </w:rPr>
        <w:t>，</w:t>
      </w:r>
      <w:r>
        <w:rPr>
          <w:rFonts w:hint="eastAsia" w:ascii="仿宋" w:hAnsi="仿宋" w:eastAsia="仿宋_GB2312"/>
          <w:kern w:val="24"/>
          <w:sz w:val="32"/>
          <w:szCs w:val="28"/>
        </w:rPr>
        <w:t>在做好相关权利人意愿征集和可行性研究工作的前提下，综合考虑安全风险隐患消除等因素，划定拆除和整治的空间范围，编制拆整结合方案，整体推进</w:t>
      </w:r>
      <w:r>
        <w:rPr>
          <w:rFonts w:ascii="仿宋" w:hAnsi="仿宋" w:eastAsia="仿宋_GB2312"/>
          <w:kern w:val="24"/>
          <w:sz w:val="32"/>
          <w:szCs w:val="28"/>
        </w:rPr>
        <w:t>项目</w:t>
      </w:r>
      <w:r>
        <w:rPr>
          <w:rFonts w:hint="eastAsia" w:ascii="仿宋" w:hAnsi="仿宋" w:eastAsia="仿宋_GB2312"/>
          <w:kern w:val="24"/>
          <w:sz w:val="32"/>
          <w:szCs w:val="28"/>
        </w:rPr>
        <w:t>实施。其中，属于整治范围的，按照整治提升类城中村改造项目编制实施方案，并</w:t>
      </w:r>
      <w:r>
        <w:rPr>
          <w:rFonts w:ascii="仿宋" w:hAnsi="仿宋" w:eastAsia="仿宋_GB2312"/>
          <w:kern w:val="24"/>
          <w:sz w:val="32"/>
          <w:szCs w:val="28"/>
        </w:rPr>
        <w:t>组织</w:t>
      </w:r>
      <w:r>
        <w:rPr>
          <w:rFonts w:hint="eastAsia" w:ascii="仿宋" w:hAnsi="仿宋" w:eastAsia="仿宋_GB2312"/>
          <w:kern w:val="24"/>
          <w:sz w:val="32"/>
          <w:szCs w:val="28"/>
        </w:rPr>
        <w:t>实施；属于拆除范围的，按照拆除新建类城中村改造项目编制拆除新建实施方案和改造单元规划，并</w:t>
      </w:r>
      <w:r>
        <w:rPr>
          <w:rFonts w:ascii="仿宋" w:hAnsi="仿宋" w:eastAsia="仿宋_GB2312"/>
          <w:kern w:val="24"/>
          <w:sz w:val="32"/>
          <w:szCs w:val="28"/>
        </w:rPr>
        <w:t>组织</w:t>
      </w:r>
      <w:r>
        <w:rPr>
          <w:rFonts w:hint="eastAsia" w:ascii="仿宋" w:hAnsi="仿宋" w:eastAsia="仿宋_GB2312"/>
          <w:kern w:val="24"/>
          <w:sz w:val="32"/>
          <w:szCs w:val="28"/>
        </w:rPr>
        <w:t>实施。</w:t>
      </w:r>
    </w:p>
    <w:p>
      <w:pPr>
        <w:widowControl/>
        <w:spacing w:line="560" w:lineRule="exact"/>
        <w:ind w:firstLine="640" w:firstLineChars="200"/>
        <w:rPr>
          <w:rFonts w:ascii="黑体" w:hAnsi="黑体" w:eastAsia="黑体" w:cs="黑体"/>
          <w:sz w:val="32"/>
          <w:szCs w:val="32"/>
        </w:rPr>
      </w:pPr>
      <w:r>
        <w:rPr>
          <w:rFonts w:ascii="黑体" w:hAnsi="黑体" w:eastAsia="黑体" w:cs="黑体"/>
          <w:sz w:val="32"/>
          <w:szCs w:val="32"/>
        </w:rPr>
        <w:t>十二</w:t>
      </w:r>
      <w:r>
        <w:rPr>
          <w:rFonts w:hint="eastAsia" w:ascii="黑体" w:hAnsi="黑体" w:eastAsia="黑体" w:cs="黑体"/>
          <w:sz w:val="32"/>
          <w:szCs w:val="32"/>
        </w:rPr>
        <w:t>、新旧政策</w:t>
      </w:r>
      <w:r>
        <w:rPr>
          <w:rFonts w:ascii="黑体" w:hAnsi="黑体" w:eastAsia="黑体" w:cs="黑体"/>
          <w:sz w:val="32"/>
          <w:szCs w:val="32"/>
        </w:rPr>
        <w:t>如何</w:t>
      </w:r>
      <w:r>
        <w:rPr>
          <w:rFonts w:hint="eastAsia" w:ascii="黑体" w:hAnsi="黑体" w:eastAsia="黑体" w:cs="黑体"/>
          <w:sz w:val="32"/>
          <w:szCs w:val="32"/>
        </w:rPr>
        <w:t>衔接</w:t>
      </w:r>
      <w:r>
        <w:rPr>
          <w:rFonts w:ascii="黑体" w:hAnsi="黑体" w:eastAsia="黑体" w:cs="黑体"/>
          <w:sz w:val="32"/>
          <w:szCs w:val="32"/>
        </w:rPr>
        <w:t>？</w:t>
      </w:r>
    </w:p>
    <w:p>
      <w:pPr>
        <w:adjustRightInd w:val="0"/>
        <w:snapToGrid w:val="0"/>
        <w:spacing w:line="560" w:lineRule="exact"/>
        <w:ind w:firstLine="640" w:firstLineChars="200"/>
        <w:rPr>
          <w:rFonts w:ascii="仿宋" w:hAnsi="仿宋" w:eastAsia="仿宋_GB2312"/>
          <w:kern w:val="24"/>
          <w:sz w:val="32"/>
          <w:szCs w:val="28"/>
        </w:rPr>
      </w:pPr>
      <w:r>
        <w:rPr>
          <w:rFonts w:hint="eastAsia" w:ascii="仿宋_GB2312" w:hAnsi="仿宋_GB2312" w:eastAsia="仿宋_GB2312" w:cs="仿宋_GB2312"/>
          <w:sz w:val="32"/>
          <w:szCs w:val="32"/>
        </w:rPr>
        <w:t>在推进城中村改造方式转型的过程中，做好新旧政策衔接，相关政策另行研究制</w:t>
      </w:r>
      <w:r>
        <w:rPr>
          <w:rFonts w:ascii="仿宋_GB2312" w:hAnsi="仿宋_GB2312" w:eastAsia="仿宋_GB2312" w:cs="仿宋_GB2312"/>
          <w:sz w:val="32"/>
          <w:szCs w:val="32"/>
        </w:rPr>
        <w:t>定</w:t>
      </w:r>
      <w:r>
        <w:rPr>
          <w:rFonts w:hint="eastAsia" w:ascii="仿宋_GB2312" w:hAnsi="仿宋_GB2312" w:eastAsia="仿宋_GB2312" w:cs="仿宋_GB2312"/>
          <w:sz w:val="32"/>
          <w:szCs w:val="32"/>
        </w:rPr>
        <w:t>。</w:t>
      </w:r>
    </w:p>
    <w:p/>
    <w:sectPr>
      <w:footerReference r:id="rId3" w:type="default"/>
      <w:pgSz w:w="11906" w:h="16838"/>
      <w:pgMar w:top="204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LJQ28NEBAACi&#10;AwAADgAAAAAAAAABACAAAAA1AQAAZHJzL2Uyb0RvYy54bWxQSwUGAAAAAAYABgBZAQAAeAUAAAAA&#10;">
          <v:path/>
          <v:fill on="f" focussize="0,0"/>
          <v:stroke on="f" weight="0.5pt" joinstyle="miter"/>
          <v:imagedata o:title=""/>
          <o:lock v:ext="edit"/>
          <v:textbox inset="0mm,0mm,0mm,0mm" style="mso-fit-shape-to-text:t;">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r>
      <w:pict>
        <v:shape id="文本框 1"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path/>
          <v:fill on="f" focussize="0,0"/>
          <v:stroke on="f" joinstyle="miter"/>
          <v:imagedata o:title=""/>
          <o:lock v:ext="edit"/>
          <v:textbox inset="0mm,0mm,0mm,0mm" style="mso-fit-shape-to-text:t;">
            <w:txbxContent>
              <w:p>
                <w:pPr>
                  <w:pStyle w:val="8"/>
                  <w:rPr>
                    <w:rFonts w:ascii="宋体" w:hAnsi="宋体" w:cs="宋体"/>
                    <w:sz w:val="32"/>
                    <w:szCs w:val="32"/>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mZTk1NDI2Nzk4NWM2NGJmNTRjNjI1YjdmNTk3YzMifQ=="/>
  </w:docVars>
  <w:rsids>
    <w:rsidRoot w:val="C9EF989E"/>
    <w:rsid w:val="00060BDB"/>
    <w:rsid w:val="00133047"/>
    <w:rsid w:val="00180045"/>
    <w:rsid w:val="0025212C"/>
    <w:rsid w:val="00256D0D"/>
    <w:rsid w:val="00395833"/>
    <w:rsid w:val="00441AF4"/>
    <w:rsid w:val="004D61A0"/>
    <w:rsid w:val="004F2C27"/>
    <w:rsid w:val="00521E8C"/>
    <w:rsid w:val="005413E7"/>
    <w:rsid w:val="007D72AB"/>
    <w:rsid w:val="00836AD2"/>
    <w:rsid w:val="00895B3B"/>
    <w:rsid w:val="00973066"/>
    <w:rsid w:val="00977680"/>
    <w:rsid w:val="00A92C93"/>
    <w:rsid w:val="00AD0EDB"/>
    <w:rsid w:val="00B06B61"/>
    <w:rsid w:val="00C16CAC"/>
    <w:rsid w:val="00C816CB"/>
    <w:rsid w:val="00CB36DF"/>
    <w:rsid w:val="00D10700"/>
    <w:rsid w:val="00EE0ED2"/>
    <w:rsid w:val="00F66F74"/>
    <w:rsid w:val="00F976A2"/>
    <w:rsid w:val="00FD7497"/>
    <w:rsid w:val="0EDC047B"/>
    <w:rsid w:val="11BE5E39"/>
    <w:rsid w:val="157FE969"/>
    <w:rsid w:val="17F905E1"/>
    <w:rsid w:val="1FFF38F0"/>
    <w:rsid w:val="28FB60C7"/>
    <w:rsid w:val="2FC76B60"/>
    <w:rsid w:val="2FFB900B"/>
    <w:rsid w:val="2FFD84ED"/>
    <w:rsid w:val="37BF453A"/>
    <w:rsid w:val="38FF8792"/>
    <w:rsid w:val="3DFF5500"/>
    <w:rsid w:val="3F7D43D4"/>
    <w:rsid w:val="3FBDDA46"/>
    <w:rsid w:val="3FEEC664"/>
    <w:rsid w:val="3FFBBC67"/>
    <w:rsid w:val="4DFFB098"/>
    <w:rsid w:val="53516F0E"/>
    <w:rsid w:val="555780FD"/>
    <w:rsid w:val="5577FE5E"/>
    <w:rsid w:val="55EF40FE"/>
    <w:rsid w:val="57EFDD37"/>
    <w:rsid w:val="5E2AC237"/>
    <w:rsid w:val="5E57F291"/>
    <w:rsid w:val="5E63A376"/>
    <w:rsid w:val="5F3BAD22"/>
    <w:rsid w:val="67B1791F"/>
    <w:rsid w:val="69974DAE"/>
    <w:rsid w:val="6BAC4951"/>
    <w:rsid w:val="6F349903"/>
    <w:rsid w:val="6F9C42DB"/>
    <w:rsid w:val="6FF04D15"/>
    <w:rsid w:val="6FFA982D"/>
    <w:rsid w:val="6FFFA7A0"/>
    <w:rsid w:val="71FE7DE4"/>
    <w:rsid w:val="73F64CA1"/>
    <w:rsid w:val="73F7F4D0"/>
    <w:rsid w:val="74FD667B"/>
    <w:rsid w:val="75DDD2BD"/>
    <w:rsid w:val="75E62B7B"/>
    <w:rsid w:val="75FF9F7F"/>
    <w:rsid w:val="77E421B0"/>
    <w:rsid w:val="787E9748"/>
    <w:rsid w:val="7BAE719E"/>
    <w:rsid w:val="7BBFBDD7"/>
    <w:rsid w:val="7D7FF7F4"/>
    <w:rsid w:val="7E5F86CE"/>
    <w:rsid w:val="7EAF959E"/>
    <w:rsid w:val="7F63685A"/>
    <w:rsid w:val="7F6E53C0"/>
    <w:rsid w:val="7F6F3740"/>
    <w:rsid w:val="7F7BCF02"/>
    <w:rsid w:val="7F7E863B"/>
    <w:rsid w:val="7FCFB08A"/>
    <w:rsid w:val="7FD879F9"/>
    <w:rsid w:val="7FDF3481"/>
    <w:rsid w:val="7FFFACD0"/>
    <w:rsid w:val="9AFBEACB"/>
    <w:rsid w:val="9BDBF7E2"/>
    <w:rsid w:val="9FDB0996"/>
    <w:rsid w:val="9FED1DBD"/>
    <w:rsid w:val="A397E776"/>
    <w:rsid w:val="A7CF61D1"/>
    <w:rsid w:val="A87BDE24"/>
    <w:rsid w:val="AFFF78B6"/>
    <w:rsid w:val="B2DF0B3C"/>
    <w:rsid w:val="B77EA0CC"/>
    <w:rsid w:val="BB7317F0"/>
    <w:rsid w:val="BBEFDAD7"/>
    <w:rsid w:val="BDF3722D"/>
    <w:rsid w:val="BFAFD432"/>
    <w:rsid w:val="BFBF0458"/>
    <w:rsid w:val="BFBFE928"/>
    <w:rsid w:val="BFDB6F6C"/>
    <w:rsid w:val="BFEF96FB"/>
    <w:rsid w:val="C6EFCF0C"/>
    <w:rsid w:val="C9EF989E"/>
    <w:rsid w:val="CDFEB846"/>
    <w:rsid w:val="CED395A7"/>
    <w:rsid w:val="CFDB24F4"/>
    <w:rsid w:val="D6FFD63D"/>
    <w:rsid w:val="D97F17BB"/>
    <w:rsid w:val="DB1F6765"/>
    <w:rsid w:val="DBFBAB4F"/>
    <w:rsid w:val="DF3B1DB9"/>
    <w:rsid w:val="DF7B4B18"/>
    <w:rsid w:val="DFFF0A1C"/>
    <w:rsid w:val="DFFFF493"/>
    <w:rsid w:val="EA9F076D"/>
    <w:rsid w:val="ED6DAC1E"/>
    <w:rsid w:val="EDD04794"/>
    <w:rsid w:val="EE7793A6"/>
    <w:rsid w:val="EEBF3221"/>
    <w:rsid w:val="EEFF619A"/>
    <w:rsid w:val="EFB9B288"/>
    <w:rsid w:val="EFFF2D11"/>
    <w:rsid w:val="EFFFD880"/>
    <w:rsid w:val="EFFFEBB3"/>
    <w:rsid w:val="F3575471"/>
    <w:rsid w:val="F3FF9B29"/>
    <w:rsid w:val="F77F6298"/>
    <w:rsid w:val="F7EFA94D"/>
    <w:rsid w:val="F7FFF1C3"/>
    <w:rsid w:val="FA7C56DE"/>
    <w:rsid w:val="FBAF9758"/>
    <w:rsid w:val="FBDB6708"/>
    <w:rsid w:val="FC7BE35F"/>
    <w:rsid w:val="FDBBFE8E"/>
    <w:rsid w:val="FDBF1A3E"/>
    <w:rsid w:val="FDFF27DE"/>
    <w:rsid w:val="FDFF6A3B"/>
    <w:rsid w:val="FE56B6CF"/>
    <w:rsid w:val="FEFBF91C"/>
    <w:rsid w:val="FF378F71"/>
    <w:rsid w:val="FF562DB1"/>
    <w:rsid w:val="FF7BC801"/>
    <w:rsid w:val="FF7CE8C5"/>
    <w:rsid w:val="FF7ECAFA"/>
    <w:rsid w:val="FFDD71AC"/>
    <w:rsid w:val="FFE51640"/>
    <w:rsid w:val="FFED274C"/>
    <w:rsid w:val="FFEF8BE0"/>
    <w:rsid w:val="FFFB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Calibri" w:hAnsi="Calibri"/>
    </w:r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 w:type="paragraph" w:styleId="4">
    <w:name w:val="annotation text"/>
    <w:basedOn w:val="1"/>
    <w:qFormat/>
    <w:uiPriority w:val="0"/>
    <w:pPr>
      <w:jc w:val="left"/>
    </w:pPr>
  </w:style>
  <w:style w:type="paragraph" w:styleId="5">
    <w:name w:val="Body Text Indent"/>
    <w:basedOn w:val="1"/>
    <w:qFormat/>
    <w:uiPriority w:val="0"/>
    <w:pPr>
      <w:ind w:firstLine="547" w:firstLineChars="228"/>
    </w:pPr>
    <w:rPr>
      <w:rFonts w:hint="eastAsia" w:ascii="仿宋_GB2312" w:hAnsi="仿宋_GB2312" w:eastAsia="仿宋_GB2312"/>
      <w:sz w:val="32"/>
    </w:r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5"/>
    <w:qFormat/>
    <w:uiPriority w:val="99"/>
    <w:pPr>
      <w:ind w:firstLine="420" w:firstLineChars="200"/>
    </w:pPr>
  </w:style>
  <w:style w:type="character" w:styleId="14">
    <w:name w:val="annotation reference"/>
    <w:basedOn w:val="13"/>
    <w:qFormat/>
    <w:uiPriority w:val="0"/>
    <w:rPr>
      <w:sz w:val="21"/>
      <w:szCs w:val="21"/>
    </w:rPr>
  </w:style>
  <w:style w:type="character" w:customStyle="1" w:styleId="15">
    <w:name w:val="批注框文本 Char"/>
    <w:link w:val="7"/>
    <w:qFormat/>
    <w:uiPriority w:val="0"/>
    <w:rPr>
      <w:kern w:val="2"/>
      <w:sz w:val="18"/>
      <w:szCs w:val="18"/>
    </w:rPr>
  </w:style>
  <w:style w:type="character" w:customStyle="1" w:styleId="16">
    <w:name w:val="页眉 Char"/>
    <w:link w:val="9"/>
    <w:qFormat/>
    <w:uiPriority w:val="0"/>
    <w:rPr>
      <w:kern w:val="2"/>
      <w:sz w:val="18"/>
      <w:szCs w:val="18"/>
    </w:rPr>
  </w:style>
  <w:style w:type="paragraph" w:styleId="17">
    <w:name w:val="List Paragraph"/>
    <w:qFormat/>
    <w:uiPriority w:val="99"/>
    <w:pPr>
      <w:widowControl w:val="0"/>
      <w:spacing w:line="440" w:lineRule="exact"/>
      <w:ind w:firstLine="420" w:firstLineChars="200"/>
      <w:jc w:val="both"/>
    </w:pPr>
    <w:rPr>
      <w:rFonts w:ascii="Calibri" w:hAnsi="Calibri" w:eastAsia="CESI仿宋-GB2312" w:cs="Times New Roman"/>
      <w:kern w:val="2"/>
      <w:sz w:val="32"/>
      <w:szCs w:val="22"/>
      <w:lang w:val="en-US" w:eastAsia="zh-CN" w:bidi="ar-SA"/>
    </w:rPr>
  </w:style>
  <w:style w:type="character" w:customStyle="1" w:styleId="18">
    <w:name w:val="fontstyle01"/>
    <w:qFormat/>
    <w:uiPriority w:val="0"/>
    <w:rPr>
      <w:rFonts w:hint="eastAsia" w:ascii="仿宋_GB2312" w:eastAsia="仿宋_GB2312"/>
      <w:color w:val="000000"/>
      <w:sz w:val="32"/>
      <w:szCs w:val="32"/>
    </w:rPr>
  </w:style>
  <w:style w:type="paragraph" w:customStyle="1" w:styleId="19">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305</Words>
  <Characters>1742</Characters>
  <Lines>14</Lines>
  <Paragraphs>4</Paragraphs>
  <TotalTime>1</TotalTime>
  <ScaleCrop>false</ScaleCrop>
  <LinksUpToDate>false</LinksUpToDate>
  <CharactersWithSpaces>2043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2024-05-07T11:03:00Z</dcterms:created>
  <dc:creator>qilin</dc:creator>
  <cp:lastModifiedBy>qilin</cp:lastModifiedBy>
  <cp:lastPrinted>2024-05-08T16:53:00Z</cp:lastPrinted>
  <dcterms:modified xsi:type="dcterms:W3CDTF">2024-05-07T10:59:35Z</dcterms:modified>
  <dc:title>《关于积极稳步推进城中村改造实现高质量发展的实施意见》的政策解读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9500CD046A9E453AB2235D759C3F111C_12</vt:lpwstr>
  </property>
</Properties>
</file>