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right="126"/>
        <w:jc w:val="center"/>
        <w:rPr>
          <w:rFonts w:hint="eastAsia" w:ascii="仿宋" w:hAnsi="仿宋" w:eastAsia="仿宋" w:cs="仿宋"/>
          <w:sz w:val="24"/>
          <w:szCs w:val="24"/>
        </w:rPr>
      </w:pPr>
      <w:bookmarkStart w:id="0" w:name="page1"/>
      <w:bookmarkEnd w:id="0"/>
      <w:r>
        <w:rPr>
          <w:rFonts w:hint="eastAsia" w:ascii="仿宋" w:hAnsi="仿宋" w:eastAsia="仿宋" w:cs="仿宋"/>
          <w:b/>
          <w:bCs/>
          <w:sz w:val="32"/>
          <w:szCs w:val="32"/>
          <w:lang w:eastAsia="zh-CN"/>
        </w:rPr>
        <w:t>深圳市地方标准</w:t>
      </w:r>
      <w:r>
        <w:rPr>
          <w:rFonts w:hint="eastAsia" w:ascii="仿宋" w:hAnsi="仿宋" w:eastAsia="仿宋" w:cs="仿宋"/>
          <w:b/>
          <w:bCs/>
          <w:sz w:val="32"/>
          <w:szCs w:val="32"/>
        </w:rPr>
        <w:t>《磷酸铁锂废旧电池湿法回收技术规范》</w:t>
      </w:r>
    </w:p>
    <w:p>
      <w:pPr>
        <w:spacing w:line="360" w:lineRule="auto"/>
        <w:ind w:right="126"/>
        <w:jc w:val="center"/>
        <w:rPr>
          <w:rFonts w:hint="eastAsia" w:ascii="仿宋" w:hAnsi="仿宋" w:eastAsia="仿宋" w:cs="仿宋"/>
          <w:sz w:val="20"/>
          <w:szCs w:val="20"/>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征求意见稿</w:t>
      </w:r>
      <w:r>
        <w:rPr>
          <w:rFonts w:hint="eastAsia" w:ascii="仿宋" w:hAnsi="仿宋" w:eastAsia="仿宋" w:cs="仿宋"/>
          <w:b/>
          <w:bCs/>
          <w:sz w:val="32"/>
          <w:szCs w:val="32"/>
          <w:lang w:eastAsia="zh-CN"/>
        </w:rPr>
        <w:t>）</w:t>
      </w:r>
      <w:r>
        <w:rPr>
          <w:rFonts w:hint="eastAsia" w:ascii="仿宋" w:hAnsi="仿宋" w:eastAsia="仿宋" w:cs="仿宋"/>
          <w:b/>
          <w:bCs/>
          <w:sz w:val="32"/>
          <w:szCs w:val="32"/>
        </w:rPr>
        <w:t>编制说明</w:t>
      </w:r>
    </w:p>
    <w:p>
      <w:pPr>
        <w:numPr>
          <w:numId w:val="0"/>
        </w:numPr>
        <w:spacing w:line="360" w:lineRule="auto"/>
        <w:ind w:right="166" w:rightChars="0"/>
        <w:jc w:val="both"/>
        <w:outlineLvl w:val="0"/>
        <w:rPr>
          <w:rFonts w:hint="eastAsia" w:ascii="仿宋" w:hAnsi="仿宋" w:eastAsia="仿宋" w:cs="仿宋"/>
          <w:b/>
          <w:sz w:val="28"/>
          <w:szCs w:val="28"/>
          <w:lang w:eastAsia="zh-CN"/>
        </w:rPr>
      </w:pPr>
      <w:r>
        <w:rPr>
          <w:rFonts w:hint="eastAsia" w:ascii="仿宋" w:hAnsi="仿宋" w:eastAsia="仿宋" w:cs="仿宋"/>
          <w:b/>
          <w:sz w:val="28"/>
          <w:szCs w:val="28"/>
          <w:lang w:eastAsia="zh-CN"/>
        </w:rPr>
        <w:t>一、项目背景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随着锂电池大规模使用，磷酸铁锂由于其成本低廉、循环性能好的特点，成为了主流正极材料，主要应用于动力电池或者储能电池的正极，目前广泛应用在电动大巴车上。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由于动力和储能电池对电池材料的需求要大于常规的小型电池，因此对其进行回收具有很高的社会价值。但由于磷酸铁锂电池中不含有稀有金属，因此未能受到电池回收企业的重视，所以国内目前没有专业的磷酸铁锂电池回收公司。随着报废电池年限的到来，大量废旧磷酸铁锂电池有待处置，通过回收再生废旧磷酸铁锂电池不仅带来显著的经济效益更提高了资源的利用率，减少了废旧电池的处理成本，也间接保护了环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磷酸铁锂电池的回收工艺可以分为干法、火法、湿法、生物浸出等多种技术路线，其中湿法回收在我国的应用较为广泛，其优点在于生产工艺灵活、金属回收率高、产品纯度高、产品灵活性强、低温、低能耗、能量利用率高、无废气排放。本标准的制定，有助于解决迫在眉睫的磷酸铁锂动力电池的回收问题，主要包括磷酸铁锂废旧电池中电解液在拆解过程中的无害化处理和铜、铝、锂、铁等有价资源再生利用两个方面。</w:t>
      </w:r>
    </w:p>
    <w:p>
      <w:pPr>
        <w:numPr>
          <w:numId w:val="0"/>
        </w:numPr>
        <w:spacing w:line="360" w:lineRule="auto"/>
        <w:ind w:right="166" w:rightChars="0"/>
        <w:jc w:val="both"/>
        <w:outlineLvl w:val="0"/>
        <w:rPr>
          <w:rFonts w:hint="eastAsia" w:ascii="仿宋" w:hAnsi="仿宋" w:eastAsia="仿宋" w:cs="仿宋"/>
          <w:b/>
          <w:sz w:val="28"/>
          <w:szCs w:val="28"/>
          <w:lang w:eastAsia="zh-CN"/>
        </w:rPr>
      </w:pPr>
      <w:r>
        <w:rPr>
          <w:rFonts w:hint="eastAsia" w:ascii="仿宋" w:hAnsi="仿宋" w:eastAsia="仿宋" w:cs="仿宋"/>
          <w:b/>
          <w:sz w:val="28"/>
          <w:szCs w:val="28"/>
          <w:lang w:eastAsia="zh-CN"/>
        </w:rPr>
        <w:t>二、工作简况</w:t>
      </w:r>
    </w:p>
    <w:p>
      <w:pPr>
        <w:widowControl/>
        <w:numPr>
          <w:ilvl w:val="0"/>
          <w:numId w:val="0"/>
        </w:numPr>
        <w:spacing w:line="360" w:lineRule="auto"/>
        <w:ind w:right="166" w:rightChars="0"/>
        <w:jc w:val="both"/>
        <w:outlineLvl w:val="1"/>
        <w:rPr>
          <w:rFonts w:hint="eastAsia" w:ascii="仿宋" w:hAnsi="仿宋" w:eastAsia="仿宋" w:cs="仿宋"/>
          <w:b/>
          <w:bCs/>
          <w:kern w:val="0"/>
          <w:sz w:val="24"/>
          <w:szCs w:val="24"/>
        </w:rPr>
      </w:pPr>
      <w:r>
        <w:rPr>
          <w:rFonts w:hint="eastAsia" w:ascii="仿宋" w:hAnsi="仿宋" w:eastAsia="仿宋" w:cs="仿宋"/>
          <w:b/>
          <w:bCs/>
          <w:kern w:val="0"/>
          <w:sz w:val="24"/>
          <w:szCs w:val="24"/>
          <w:lang w:eastAsia="zh-CN"/>
        </w:rPr>
        <w:t>（一）</w:t>
      </w:r>
      <w:r>
        <w:rPr>
          <w:rFonts w:hint="eastAsia" w:ascii="仿宋" w:hAnsi="仿宋" w:eastAsia="仿宋" w:cs="仿宋"/>
          <w:b/>
          <w:bCs/>
          <w:kern w:val="0"/>
          <w:sz w:val="24"/>
          <w:szCs w:val="24"/>
        </w:rPr>
        <w:t>任务来源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2018年12月，团体标准T/SPSTS 003-2018《磷酸铁锂废旧电池湿法工艺回收利用的方法》由深圳市电源技术学会正式发布。该团体标准经过实施应用，充分</w:t>
      </w:r>
      <w:r>
        <w:rPr>
          <w:rFonts w:hint="eastAsia" w:ascii="仿宋" w:hAnsi="仿宋" w:eastAsia="仿宋" w:cs="仿宋"/>
          <w:sz w:val="24"/>
          <w:szCs w:val="24"/>
          <w:lang w:eastAsia="zh-CN"/>
        </w:rPr>
        <w:t>符合</w:t>
      </w:r>
      <w:r>
        <w:rPr>
          <w:rFonts w:hint="eastAsia" w:ascii="仿宋" w:hAnsi="仿宋" w:eastAsia="仿宋" w:cs="仿宋"/>
          <w:sz w:val="24"/>
          <w:szCs w:val="24"/>
        </w:rPr>
        <w:t>行业发展需求</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2023年2月，由深圳市电源技术学会牵头向深圳市市场监督管理局申报地标，2023年4月，深圳市地方标准《磷酸铁锂废旧电池湿法回收技术规范》成功立项（项目序号9）。</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本标准主要适用于电池再生利用产业，特</w:t>
      </w:r>
      <w:r>
        <w:rPr>
          <w:rFonts w:hint="eastAsia" w:ascii="仿宋" w:hAnsi="仿宋" w:eastAsia="仿宋" w:cs="仿宋"/>
          <w:color w:val="000000" w:themeColor="text1"/>
          <w:sz w:val="24"/>
          <w:szCs w:val="24"/>
          <w14:textFill>
            <w14:solidFill>
              <w14:schemeClr w14:val="tx1"/>
            </w14:solidFill>
          </w14:textFill>
        </w:rPr>
        <w:t>别是对于磷酸铁锂生产企业、电池制造企业以及电动汽车电池再生过程中产生的磷酸铁锂废旧电池等领域。</w:t>
      </w:r>
      <w:r>
        <w:rPr>
          <w:rFonts w:hint="eastAsia" w:ascii="仿宋" w:hAnsi="仿宋" w:eastAsia="仿宋" w:cs="仿宋"/>
          <w:sz w:val="24"/>
          <w:szCs w:val="24"/>
        </w:rPr>
        <w:t>本标准规定了磷酸铁锂废旧电池中破碎、拆解、分选和电解液处理等工艺，锂、铁、铜、铝等金属元素再生方法和工艺环保要求等。</w:t>
      </w:r>
    </w:p>
    <w:p>
      <w:pPr>
        <w:widowControl/>
        <w:numPr>
          <w:ilvl w:val="0"/>
          <w:numId w:val="6"/>
        </w:numPr>
        <w:spacing w:line="360" w:lineRule="auto"/>
        <w:ind w:right="166" w:rightChars="0"/>
        <w:jc w:val="both"/>
        <w:outlineLvl w:val="1"/>
        <w:rPr>
          <w:rFonts w:hint="eastAsia" w:ascii="仿宋" w:hAnsi="仿宋" w:eastAsia="仿宋" w:cs="仿宋"/>
          <w:b/>
          <w:bCs/>
          <w:kern w:val="0"/>
          <w:sz w:val="24"/>
          <w:szCs w:val="24"/>
        </w:rPr>
      </w:pPr>
      <w:r>
        <w:rPr>
          <w:rFonts w:hint="eastAsia" w:ascii="仿宋" w:hAnsi="仿宋" w:eastAsia="仿宋" w:cs="仿宋"/>
          <w:b/>
          <w:bCs/>
          <w:kern w:val="0"/>
          <w:sz w:val="24"/>
          <w:szCs w:val="24"/>
        </w:rPr>
        <w:t>主要</w:t>
      </w:r>
      <w:r>
        <w:rPr>
          <w:rFonts w:hint="eastAsia" w:ascii="仿宋" w:hAnsi="仿宋" w:eastAsia="仿宋" w:cs="仿宋"/>
          <w:b/>
          <w:bCs/>
          <w:kern w:val="0"/>
          <w:sz w:val="24"/>
          <w:szCs w:val="24"/>
          <w:lang w:eastAsia="zh-CN"/>
        </w:rPr>
        <w:t>编制</w:t>
      </w:r>
      <w:r>
        <w:rPr>
          <w:rFonts w:hint="eastAsia" w:ascii="仿宋" w:hAnsi="仿宋" w:eastAsia="仿宋" w:cs="仿宋"/>
          <w:b/>
          <w:bCs/>
          <w:kern w:val="0"/>
          <w:sz w:val="24"/>
          <w:szCs w:val="24"/>
        </w:rPr>
        <w:t>过程</w:t>
      </w:r>
    </w:p>
    <w:p>
      <w:pPr>
        <w:widowControl/>
        <w:numPr>
          <w:ilvl w:val="0"/>
          <w:numId w:val="0"/>
        </w:numPr>
        <w:spacing w:line="360" w:lineRule="auto"/>
        <w:ind w:right="166" w:rightChars="0"/>
        <w:jc w:val="both"/>
        <w:outlineLvl w:val="2"/>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val="en-US" w:eastAsia="zh-CN"/>
        </w:rPr>
        <w:t>1.</w:t>
      </w:r>
      <w:r>
        <w:rPr>
          <w:rFonts w:hint="eastAsia" w:ascii="仿宋" w:hAnsi="仿宋" w:eastAsia="仿宋" w:cs="仿宋"/>
          <w:b/>
          <w:bCs/>
          <w:kern w:val="0"/>
          <w:sz w:val="24"/>
          <w:szCs w:val="24"/>
          <w:lang w:eastAsia="zh-CN"/>
        </w:rPr>
        <w:t>前期准备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按照《深圳市地方标准管理办法》及本标准制修订计划进度的要求，深圳市电源技术学会秘书处组织成立</w:t>
      </w:r>
      <w:r>
        <w:rPr>
          <w:rFonts w:hint="eastAsia" w:ascii="仿宋" w:hAnsi="仿宋" w:eastAsia="仿宋" w:cs="仿宋"/>
          <w:sz w:val="24"/>
          <w:szCs w:val="24"/>
          <w:lang w:eastAsia="zh-CN"/>
        </w:rPr>
        <w:t>了</w:t>
      </w:r>
      <w:r>
        <w:rPr>
          <w:rFonts w:hint="eastAsia" w:ascii="仿宋" w:hAnsi="仿宋" w:eastAsia="仿宋" w:cs="仿宋"/>
          <w:sz w:val="24"/>
          <w:szCs w:val="24"/>
        </w:rPr>
        <w:t>标准起草工作组</w:t>
      </w:r>
      <w:r>
        <w:rPr>
          <w:rFonts w:hint="eastAsia" w:ascii="仿宋" w:hAnsi="仿宋" w:eastAsia="仿宋" w:cs="仿宋"/>
          <w:sz w:val="24"/>
          <w:szCs w:val="24"/>
          <w:lang w:val="en-US" w:eastAsia="zh-CN"/>
        </w:rPr>
        <w:t>，</w:t>
      </w:r>
      <w:r>
        <w:rPr>
          <w:rFonts w:hint="eastAsia" w:ascii="仿宋" w:hAnsi="仿宋" w:eastAsia="仿宋" w:cs="仿宋"/>
          <w:sz w:val="24"/>
          <w:szCs w:val="24"/>
        </w:rPr>
        <w:t>组织调研了废旧蓄电池回收和再生利用市场，收集了有关资料，对磷酸铁锂废旧电池回收技术和装置进行了分析、比较和验证等</w:t>
      </w:r>
      <w:r>
        <w:rPr>
          <w:rFonts w:hint="eastAsia" w:ascii="仿宋" w:hAnsi="仿宋" w:eastAsia="仿宋" w:cs="仿宋"/>
          <w:sz w:val="24"/>
          <w:szCs w:val="24"/>
          <w:lang w:eastAsia="zh-CN"/>
        </w:rPr>
        <w:t>，以及团</w:t>
      </w:r>
      <w:r>
        <w:rPr>
          <w:rFonts w:hint="eastAsia" w:ascii="仿宋" w:hAnsi="仿宋" w:eastAsia="仿宋" w:cs="仿宋"/>
          <w:sz w:val="24"/>
          <w:szCs w:val="24"/>
        </w:rPr>
        <w:t>体标准T/SPSTS 003-2018《磷酸铁锂废旧电池湿法工艺回收利用的方法》实施应用</w:t>
      </w:r>
      <w:r>
        <w:rPr>
          <w:rFonts w:hint="eastAsia" w:ascii="仿宋" w:hAnsi="仿宋" w:eastAsia="仿宋" w:cs="仿宋"/>
          <w:sz w:val="24"/>
          <w:szCs w:val="24"/>
          <w:lang w:eastAsia="zh-CN"/>
        </w:rPr>
        <w:t>情况</w:t>
      </w:r>
      <w:r>
        <w:rPr>
          <w:rFonts w:hint="eastAsia" w:ascii="仿宋" w:hAnsi="仿宋" w:eastAsia="仿宋" w:cs="仿宋"/>
          <w:sz w:val="24"/>
          <w:szCs w:val="24"/>
        </w:rPr>
        <w:t>，为标准编制奠定良好的工作基础。</w:t>
      </w:r>
    </w:p>
    <w:p>
      <w:pPr>
        <w:widowControl/>
        <w:numPr>
          <w:ilvl w:val="0"/>
          <w:numId w:val="0"/>
        </w:numPr>
        <w:spacing w:line="360" w:lineRule="auto"/>
        <w:ind w:right="166" w:rightChars="0"/>
        <w:jc w:val="both"/>
        <w:outlineLvl w:val="2"/>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val="en-US" w:eastAsia="zh-CN"/>
        </w:rPr>
        <w:t>2.</w:t>
      </w:r>
      <w:r>
        <w:rPr>
          <w:rFonts w:hint="eastAsia" w:ascii="仿宋" w:hAnsi="仿宋" w:eastAsia="仿宋" w:cs="仿宋"/>
          <w:b/>
          <w:bCs/>
          <w:kern w:val="0"/>
          <w:sz w:val="24"/>
          <w:szCs w:val="24"/>
          <w:lang w:eastAsia="zh-CN"/>
        </w:rPr>
        <w:t>标准立项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20</w:t>
      </w:r>
      <w:r>
        <w:rPr>
          <w:rFonts w:hint="eastAsia" w:ascii="仿宋" w:hAnsi="仿宋" w:eastAsia="仿宋" w:cs="仿宋"/>
          <w:sz w:val="24"/>
          <w:szCs w:val="24"/>
          <w:lang w:val="en-US" w:eastAsia="zh-CN"/>
        </w:rPr>
        <w:t>23</w:t>
      </w:r>
      <w:r>
        <w:rPr>
          <w:rFonts w:hint="eastAsia" w:ascii="仿宋" w:hAnsi="仿宋" w:eastAsia="仿宋" w:cs="仿宋"/>
          <w:sz w:val="24"/>
          <w:szCs w:val="24"/>
        </w:rPr>
        <w:t>年</w:t>
      </w:r>
      <w:r>
        <w:rPr>
          <w:rFonts w:hint="eastAsia" w:ascii="仿宋" w:hAnsi="仿宋" w:eastAsia="仿宋" w:cs="仿宋"/>
          <w:sz w:val="24"/>
          <w:szCs w:val="24"/>
          <w:lang w:val="en-US" w:eastAsia="zh-CN"/>
        </w:rPr>
        <w:t>2</w:t>
      </w:r>
      <w:r>
        <w:rPr>
          <w:rFonts w:hint="eastAsia" w:ascii="仿宋" w:hAnsi="仿宋" w:eastAsia="仿宋" w:cs="仿宋"/>
          <w:sz w:val="24"/>
          <w:szCs w:val="24"/>
        </w:rPr>
        <w:t>月，本标准起草工作组向标准化主管部门申请立项。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2023年4月29日，深圳市市场监督管理局下达了2023年深圳市地方标准计划项目表，本标准正式立项。</w:t>
      </w:r>
    </w:p>
    <w:p>
      <w:pPr>
        <w:widowControl/>
        <w:numPr>
          <w:ilvl w:val="0"/>
          <w:numId w:val="0"/>
        </w:numPr>
        <w:spacing w:line="360" w:lineRule="auto"/>
        <w:ind w:right="166" w:rightChars="0"/>
        <w:jc w:val="both"/>
        <w:outlineLvl w:val="2"/>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3.标准编制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20</w:t>
      </w:r>
      <w:r>
        <w:rPr>
          <w:rFonts w:hint="eastAsia" w:ascii="仿宋" w:hAnsi="仿宋" w:eastAsia="仿宋" w:cs="仿宋"/>
          <w:sz w:val="24"/>
          <w:szCs w:val="24"/>
          <w:lang w:val="en-US" w:eastAsia="zh-CN"/>
        </w:rPr>
        <w:t>23</w:t>
      </w:r>
      <w:r>
        <w:rPr>
          <w:rFonts w:hint="eastAsia" w:ascii="仿宋" w:hAnsi="仿宋" w:eastAsia="仿宋" w:cs="仿宋"/>
          <w:sz w:val="24"/>
          <w:szCs w:val="24"/>
        </w:rPr>
        <w:t>年</w:t>
      </w:r>
      <w:r>
        <w:rPr>
          <w:rFonts w:hint="eastAsia" w:ascii="仿宋" w:hAnsi="仿宋" w:eastAsia="仿宋" w:cs="仿宋"/>
          <w:sz w:val="24"/>
          <w:szCs w:val="24"/>
          <w:lang w:val="en-US" w:eastAsia="zh-CN"/>
        </w:rPr>
        <w:t>5～9</w:t>
      </w:r>
      <w:r>
        <w:rPr>
          <w:rFonts w:hint="eastAsia" w:ascii="仿宋" w:hAnsi="仿宋" w:eastAsia="仿宋" w:cs="仿宋"/>
          <w:sz w:val="24"/>
          <w:szCs w:val="24"/>
        </w:rPr>
        <w:t>月，工作组在</w:t>
      </w:r>
      <w:r>
        <w:rPr>
          <w:rFonts w:hint="eastAsia" w:ascii="仿宋" w:hAnsi="仿宋" w:eastAsia="仿宋" w:cs="仿宋"/>
          <w:sz w:val="24"/>
          <w:szCs w:val="24"/>
          <w:lang w:eastAsia="zh-CN"/>
        </w:rPr>
        <w:t>前期准备工作</w:t>
      </w:r>
      <w:r>
        <w:rPr>
          <w:rFonts w:hint="eastAsia" w:ascii="仿宋" w:hAnsi="仿宋" w:eastAsia="仿宋" w:cs="仿宋"/>
          <w:sz w:val="24"/>
          <w:szCs w:val="24"/>
        </w:rPr>
        <w:t>基础上，充分调研需求，结合磷酸铁锂废旧电池湿法</w:t>
      </w:r>
      <w:r>
        <w:rPr>
          <w:rFonts w:hint="eastAsia" w:ascii="仿宋" w:hAnsi="仿宋" w:eastAsia="仿宋" w:cs="仿宋"/>
          <w:sz w:val="24"/>
          <w:szCs w:val="24"/>
          <w:lang w:eastAsia="zh-CN"/>
        </w:rPr>
        <w:t>回收</w:t>
      </w:r>
      <w:r>
        <w:rPr>
          <w:rFonts w:hint="eastAsia" w:ascii="仿宋" w:hAnsi="仿宋" w:eastAsia="仿宋" w:cs="仿宋"/>
          <w:sz w:val="24"/>
          <w:szCs w:val="24"/>
        </w:rPr>
        <w:t>实际情况，经过多次修改及讨论，形成标准草案稿</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2023年10月24日，工作组在深圳市电源技术学会理事单位中国人民财产保险股份有限公司深圳市分公司会议室成功召开深圳市地方标准《磷酸铁锂废旧电池湿法回收技术规范》编制启动会暨第一次工作会议。会议邀请了深圳市工业和信息化局、中国人民财产保险股份有限公司、清华大学深圳国际研究生院、深圳市标准技术研究院、东莞新能源科技有限公司、深圳吉阳智能科技有限公司、中国科学院深圳先进技术研究院、北京理工大学深圳汽车研究院、深圳市清新电源研究院、欣旺达电子股份有限公司、惠州比亚迪电池有限公司、深圳海辰储能科技有限公司、深圳市翔丰华科技股份有限公司、深圳市德方纳米科技股份有限公司、深圳佳彬科技有限公司、深圳市环境工程科学技术中心有限公司、深圳市城市公共安全技术研究院有限公司、深圳市星源材质科技股份有限公司、深圳普瑞赛思检测技术有限公司、深圳先阳新能源技术有限公司、深圳市浩能科技有限公司、深圳天溯计量检测股份有限公司、深圳古瑞瓦特新能源有限公司、深圳三晖能源科技有限公司、协鑫超分子技术（深圳）有限公司、原力能源科技（深圳）有限公司、杭州协能科技股份有限公司、深圳市晶日光电新能源科技有限公司、禹创半导体(深圳)有限公司、广东省循环经济和资源综合利用协会等50余位专家出席。会上，起草组负责人就编制情况进行汇报，与会专家对标准内容进行了深入探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2023年11月～2024年1月，起草组根据会议讨论情况，同步调研相关回收企业回收技术现状，</w:t>
      </w:r>
      <w:r>
        <w:rPr>
          <w:rFonts w:hint="eastAsia" w:ascii="仿宋" w:hAnsi="仿宋" w:eastAsia="仿宋" w:cs="仿宋"/>
          <w:sz w:val="24"/>
          <w:szCs w:val="24"/>
          <w:lang w:eastAsia="zh-CN"/>
        </w:rPr>
        <w:t>修改完善</w:t>
      </w:r>
      <w:r>
        <w:rPr>
          <w:rFonts w:hint="eastAsia" w:ascii="仿宋" w:hAnsi="仿宋" w:eastAsia="仿宋" w:cs="仿宋"/>
          <w:sz w:val="24"/>
          <w:szCs w:val="24"/>
        </w:rPr>
        <w:t>形成标准草案稿</w:t>
      </w: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2稿和标准编制说明。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2024年2月～3月，起草组通过深圳市电源技术学会微信公众号平台面向社会公开征求意见，目前共征求到26条意见，并根据这些意见进行修改，形成了</w:t>
      </w:r>
      <w:r>
        <w:rPr>
          <w:rFonts w:hint="eastAsia" w:ascii="仿宋" w:hAnsi="仿宋" w:eastAsia="仿宋" w:cs="仿宋"/>
          <w:sz w:val="24"/>
          <w:szCs w:val="24"/>
          <w:lang w:eastAsia="zh-CN"/>
        </w:rPr>
        <w:t>标准征求意见</w:t>
      </w:r>
      <w:r>
        <w:rPr>
          <w:rFonts w:hint="eastAsia" w:ascii="仿宋" w:hAnsi="仿宋" w:eastAsia="仿宋" w:cs="仿宋"/>
          <w:sz w:val="24"/>
          <w:szCs w:val="24"/>
        </w:rPr>
        <w:t>稿</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编制说明和征求意见汇总处理表。</w:t>
      </w:r>
    </w:p>
    <w:p>
      <w:pPr>
        <w:numPr>
          <w:numId w:val="0"/>
        </w:numPr>
        <w:spacing w:line="360" w:lineRule="auto"/>
        <w:ind w:right="166" w:rightChars="0"/>
        <w:jc w:val="both"/>
        <w:outlineLvl w:val="0"/>
        <w:rPr>
          <w:rFonts w:hint="eastAsia" w:ascii="仿宋" w:hAnsi="仿宋" w:eastAsia="仿宋" w:cs="仿宋"/>
          <w:b/>
          <w:sz w:val="28"/>
          <w:szCs w:val="28"/>
          <w:lang w:eastAsia="zh-CN"/>
        </w:rPr>
      </w:pPr>
      <w:r>
        <w:rPr>
          <w:rFonts w:hint="eastAsia" w:ascii="仿宋" w:hAnsi="仿宋" w:eastAsia="仿宋" w:cs="仿宋"/>
          <w:b/>
          <w:sz w:val="28"/>
          <w:szCs w:val="28"/>
          <w:lang w:val="en-US" w:eastAsia="zh-CN"/>
        </w:rPr>
        <w:t>三、</w:t>
      </w:r>
      <w:r>
        <w:rPr>
          <w:rFonts w:hint="eastAsia" w:ascii="仿宋" w:hAnsi="仿宋" w:eastAsia="仿宋" w:cs="仿宋"/>
          <w:b/>
          <w:sz w:val="28"/>
          <w:szCs w:val="28"/>
          <w:lang w:eastAsia="zh-CN"/>
        </w:rPr>
        <w:t>主要条款及技术依据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本标准基于国内锂离子电池回收利用的现有行业水平实际情况编写，标准内容中关于技术条款已经过企业生产实际试验或验证</w:t>
      </w:r>
      <w:r>
        <w:rPr>
          <w:rFonts w:hint="eastAsia" w:ascii="仿宋" w:hAnsi="仿宋" w:eastAsia="仿宋" w:cs="仿宋"/>
          <w:sz w:val="24"/>
          <w:szCs w:val="24"/>
          <w:lang w:eastAsia="zh-CN"/>
        </w:rPr>
        <w:t>。</w:t>
      </w:r>
    </w:p>
    <w:p>
      <w:pPr>
        <w:widowControl/>
        <w:numPr>
          <w:ilvl w:val="0"/>
          <w:numId w:val="0"/>
        </w:numPr>
        <w:spacing w:line="360" w:lineRule="auto"/>
        <w:ind w:right="166" w:rightChars="0"/>
        <w:jc w:val="both"/>
        <w:outlineLvl w:val="1"/>
        <w:rPr>
          <w:rFonts w:hint="default" w:ascii="仿宋" w:hAnsi="仿宋" w:eastAsia="仿宋" w:cs="仿宋"/>
          <w:b/>
          <w:bCs/>
          <w:kern w:val="0"/>
          <w:sz w:val="24"/>
          <w:szCs w:val="24"/>
          <w:lang w:val="en-US" w:eastAsia="zh-CN"/>
        </w:rPr>
      </w:pP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lang w:val="en-US" w:eastAsia="zh-CN"/>
        </w:rPr>
        <w:t>一</w:t>
      </w:r>
      <w:r>
        <w:rPr>
          <w:rFonts w:hint="eastAsia" w:ascii="仿宋" w:hAnsi="仿宋" w:eastAsia="仿宋" w:cs="仿宋"/>
          <w:b/>
          <w:bCs/>
          <w:kern w:val="0"/>
          <w:sz w:val="24"/>
          <w:szCs w:val="24"/>
          <w:lang w:eastAsia="zh-CN"/>
        </w:rPr>
        <w:t>）第</w:t>
      </w:r>
      <w:r>
        <w:rPr>
          <w:rFonts w:hint="eastAsia" w:ascii="仿宋" w:hAnsi="仿宋" w:eastAsia="仿宋" w:cs="仿宋"/>
          <w:b/>
          <w:bCs/>
          <w:kern w:val="0"/>
          <w:sz w:val="24"/>
          <w:szCs w:val="24"/>
          <w:lang w:val="en-US" w:eastAsia="zh-CN"/>
        </w:rPr>
        <w:t>1章范围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lang w:eastAsia="zh-CN"/>
        </w:rPr>
      </w:pPr>
      <w:r>
        <w:rPr>
          <w:rFonts w:hint="eastAsia" w:ascii="仿宋" w:hAnsi="仿宋" w:eastAsia="仿宋" w:cs="仿宋"/>
          <w:b w:val="0"/>
          <w:bCs w:val="0"/>
          <w:kern w:val="0"/>
          <w:sz w:val="24"/>
          <w:szCs w:val="24"/>
          <w:lang w:eastAsia="zh-CN"/>
        </w:rPr>
        <w:t>本文件规定了磷酸铁锂废旧电池的湿法回收和回收后材料再生利用的技术要求，描述了相应的工艺和控制条件以及环保要求。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lang w:eastAsia="zh-CN"/>
        </w:rPr>
      </w:pPr>
      <w:r>
        <w:rPr>
          <w:rFonts w:hint="eastAsia" w:ascii="仿宋" w:hAnsi="仿宋" w:eastAsia="仿宋" w:cs="仿宋"/>
          <w:b w:val="0"/>
          <w:bCs w:val="0"/>
          <w:kern w:val="0"/>
          <w:sz w:val="24"/>
          <w:szCs w:val="24"/>
          <w:lang w:eastAsia="zh-CN"/>
        </w:rPr>
        <w:t>本文件适用于各种类型和用途的磷酸铁锂废旧电池。本文件不适用于磷酸锰铁锂电池。</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kern w:val="0"/>
          <w:sz w:val="24"/>
          <w:szCs w:val="24"/>
          <w:lang w:eastAsia="zh-CN"/>
        </w:rPr>
      </w:pPr>
      <w:r>
        <w:rPr>
          <w:rFonts w:hint="eastAsia" w:ascii="仿宋" w:hAnsi="仿宋" w:eastAsia="仿宋" w:cs="仿宋"/>
          <w:b/>
          <w:bCs/>
          <w:kern w:val="0"/>
          <w:sz w:val="24"/>
          <w:szCs w:val="24"/>
          <w:lang w:eastAsia="zh-CN"/>
        </w:rPr>
        <w:t>说明</w:t>
      </w:r>
      <w:r>
        <w:rPr>
          <w:rFonts w:hint="eastAsia" w:ascii="仿宋" w:hAnsi="仿宋" w:eastAsia="仿宋" w:cs="仿宋"/>
          <w:b w:val="0"/>
          <w:bCs w:val="0"/>
          <w:kern w:val="0"/>
          <w:sz w:val="24"/>
          <w:szCs w:val="24"/>
          <w:lang w:eastAsia="zh-CN"/>
        </w:rPr>
        <w:t>：因为磷酸锰铁锂电池目前刚开始投入市场，还没有大规模退役，且磷酸锰铁锂电池的回收方法跟本工艺在浸出、锰元素的除杂、磷酸铁回收等方面有所不同，故本文件暂不考虑涵盖磷酸锰铁锂电池。</w:t>
      </w:r>
    </w:p>
    <w:p>
      <w:pPr>
        <w:widowControl/>
        <w:numPr>
          <w:ilvl w:val="0"/>
          <w:numId w:val="0"/>
        </w:numPr>
        <w:spacing w:line="360" w:lineRule="auto"/>
        <w:ind w:right="166" w:rightChars="0"/>
        <w:jc w:val="both"/>
        <w:outlineLvl w:val="1"/>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lang w:val="en-US" w:eastAsia="zh-CN"/>
        </w:rPr>
        <w:t>二</w:t>
      </w:r>
      <w:r>
        <w:rPr>
          <w:rFonts w:hint="eastAsia" w:ascii="仿宋" w:hAnsi="仿宋" w:eastAsia="仿宋" w:cs="仿宋"/>
          <w:b/>
          <w:bCs/>
          <w:kern w:val="0"/>
          <w:sz w:val="24"/>
          <w:szCs w:val="24"/>
          <w:lang w:eastAsia="zh-CN"/>
        </w:rPr>
        <w:t>）第</w:t>
      </w:r>
      <w:r>
        <w:rPr>
          <w:rFonts w:hint="eastAsia" w:ascii="仿宋" w:hAnsi="仿宋" w:eastAsia="仿宋" w:cs="仿宋"/>
          <w:b/>
          <w:bCs/>
          <w:kern w:val="0"/>
          <w:sz w:val="24"/>
          <w:szCs w:val="24"/>
          <w:lang w:val="en-US" w:eastAsia="zh-CN"/>
        </w:rPr>
        <w:t>2章规范性引用文件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highlight w:val="none"/>
          <w:lang w:eastAsia="zh-CN"/>
        </w:rPr>
      </w:pPr>
      <w:r>
        <w:rPr>
          <w:rFonts w:hint="default" w:ascii="仿宋" w:hAnsi="仿宋" w:eastAsia="仿宋" w:cs="仿宋"/>
          <w:b w:val="0"/>
          <w:bCs w:val="0"/>
          <w:kern w:val="0"/>
          <w:sz w:val="24"/>
          <w:szCs w:val="24"/>
          <w:highlight w:val="none"/>
          <w:lang w:eastAsia="zh-CN"/>
        </w:rPr>
        <w:t>GB/T 11075  碳酸锂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highlight w:val="none"/>
          <w:lang w:eastAsia="zh-CN"/>
        </w:rPr>
      </w:pPr>
      <w:r>
        <w:rPr>
          <w:rFonts w:hint="default" w:ascii="仿宋" w:hAnsi="仿宋" w:eastAsia="仿宋" w:cs="仿宋"/>
          <w:b w:val="0"/>
          <w:bCs w:val="0"/>
          <w:kern w:val="0"/>
          <w:sz w:val="24"/>
          <w:szCs w:val="24"/>
          <w:highlight w:val="none"/>
          <w:lang w:eastAsia="zh-CN"/>
        </w:rPr>
        <w:t>GB/T 20861-2007  废弃产品回收利用术语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highlight w:val="none"/>
          <w:lang w:eastAsia="zh-CN"/>
        </w:rPr>
      </w:pPr>
      <w:r>
        <w:rPr>
          <w:rFonts w:hint="default" w:ascii="仿宋" w:hAnsi="仿宋" w:eastAsia="仿宋" w:cs="仿宋"/>
          <w:b w:val="0"/>
          <w:bCs w:val="0"/>
          <w:kern w:val="0"/>
          <w:sz w:val="24"/>
          <w:szCs w:val="24"/>
          <w:highlight w:val="none"/>
          <w:lang w:eastAsia="zh-CN"/>
        </w:rPr>
        <w:t>GB/T 34695-2017  废弃电池化学品处理处置术语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highlight w:val="none"/>
          <w:lang w:eastAsia="zh-CN"/>
        </w:rPr>
      </w:pPr>
      <w:r>
        <w:rPr>
          <w:rFonts w:hint="default" w:ascii="仿宋" w:hAnsi="仿宋" w:eastAsia="仿宋" w:cs="仿宋"/>
          <w:b w:val="0"/>
          <w:bCs w:val="0"/>
          <w:kern w:val="0"/>
          <w:sz w:val="24"/>
          <w:szCs w:val="24"/>
          <w:highlight w:val="none"/>
          <w:lang w:eastAsia="zh-CN"/>
        </w:rPr>
        <w:t>GB/T 39224-2020  废旧电池回收技术规范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highlight w:val="none"/>
          <w:lang w:eastAsia="zh-CN"/>
        </w:rPr>
      </w:pPr>
      <w:r>
        <w:rPr>
          <w:rFonts w:hint="default" w:ascii="仿宋" w:hAnsi="仿宋" w:eastAsia="仿宋" w:cs="仿宋"/>
          <w:b w:val="0"/>
          <w:bCs w:val="0"/>
          <w:kern w:val="0"/>
          <w:sz w:val="24"/>
          <w:szCs w:val="24"/>
          <w:highlight w:val="none"/>
          <w:lang w:eastAsia="zh-CN"/>
        </w:rPr>
        <w:t>HG/T 4701  电池用磷酸铁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highlight w:val="none"/>
          <w:lang w:eastAsia="zh-CN"/>
        </w:rPr>
      </w:pPr>
      <w:r>
        <w:rPr>
          <w:rFonts w:hint="default" w:ascii="仿宋" w:hAnsi="仿宋" w:eastAsia="仿宋" w:cs="仿宋"/>
          <w:b w:val="0"/>
          <w:bCs w:val="0"/>
          <w:kern w:val="0"/>
          <w:sz w:val="24"/>
          <w:szCs w:val="24"/>
          <w:highlight w:val="none"/>
          <w:lang w:eastAsia="zh-CN"/>
        </w:rPr>
        <w:t>HJ 1186—2021  废锂离子动力蓄电池处理污染控制技术规范（试行）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highlight w:val="none"/>
          <w:lang w:eastAsia="zh-CN"/>
        </w:rPr>
      </w:pPr>
      <w:r>
        <w:rPr>
          <w:rFonts w:hint="default" w:ascii="仿宋" w:hAnsi="仿宋" w:eastAsia="仿宋" w:cs="仿宋"/>
          <w:b w:val="0"/>
          <w:bCs w:val="0"/>
          <w:kern w:val="0"/>
          <w:sz w:val="24"/>
          <w:szCs w:val="24"/>
          <w:highlight w:val="none"/>
          <w:lang w:eastAsia="zh-CN"/>
        </w:rPr>
        <w:t>YS/T 582  电池级碳酸锂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highlight w:val="none"/>
          <w:lang w:eastAsia="zh-CN"/>
        </w:rPr>
      </w:pPr>
      <w:r>
        <w:rPr>
          <w:rFonts w:hint="default" w:ascii="仿宋" w:hAnsi="仿宋" w:eastAsia="仿宋" w:cs="仿宋"/>
          <w:b w:val="0"/>
          <w:bCs w:val="0"/>
          <w:kern w:val="0"/>
          <w:sz w:val="24"/>
          <w:szCs w:val="24"/>
          <w:highlight w:val="none"/>
          <w:lang w:eastAsia="zh-CN"/>
        </w:rPr>
        <w:t>YS/T 744  电池级无水氯化锂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highlight w:val="none"/>
          <w:lang w:eastAsia="zh-CN"/>
        </w:rPr>
      </w:pPr>
      <w:r>
        <w:rPr>
          <w:rFonts w:hint="default" w:ascii="仿宋" w:hAnsi="仿宋" w:eastAsia="仿宋" w:cs="仿宋"/>
          <w:b w:val="0"/>
          <w:bCs w:val="0"/>
          <w:kern w:val="0"/>
          <w:sz w:val="24"/>
          <w:szCs w:val="24"/>
          <w:highlight w:val="none"/>
          <w:lang w:eastAsia="zh-CN"/>
        </w:rPr>
        <w:t>YS/T 1174—2017  废旧电池破碎分选回收技术规范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highlight w:val="none"/>
          <w:lang w:eastAsia="zh-CN"/>
        </w:rPr>
      </w:pPr>
      <w:r>
        <w:rPr>
          <w:rFonts w:hint="default" w:ascii="仿宋" w:hAnsi="仿宋" w:eastAsia="仿宋" w:cs="仿宋"/>
          <w:b w:val="0"/>
          <w:bCs w:val="0"/>
          <w:kern w:val="0"/>
          <w:sz w:val="24"/>
          <w:szCs w:val="24"/>
          <w:highlight w:val="none"/>
          <w:lang w:eastAsia="zh-CN"/>
        </w:rPr>
        <w:t>DB44/T 1369  废旧电池回收处理场地要求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kern w:val="0"/>
          <w:sz w:val="24"/>
          <w:szCs w:val="24"/>
          <w:lang w:val="en-US" w:eastAsia="zh-CN"/>
        </w:rPr>
      </w:pPr>
      <w:r>
        <w:rPr>
          <w:rFonts w:hint="eastAsia" w:ascii="仿宋" w:hAnsi="仿宋" w:eastAsia="仿宋" w:cs="仿宋"/>
          <w:b/>
          <w:bCs/>
          <w:kern w:val="0"/>
          <w:sz w:val="24"/>
          <w:szCs w:val="24"/>
          <w:lang w:eastAsia="zh-CN"/>
        </w:rPr>
        <w:t>说明</w:t>
      </w:r>
      <w:r>
        <w:rPr>
          <w:rFonts w:hint="eastAsia" w:ascii="仿宋" w:hAnsi="仿宋" w:eastAsia="仿宋" w:cs="仿宋"/>
          <w:b w:val="0"/>
          <w:bCs w:val="0"/>
          <w:kern w:val="0"/>
          <w:sz w:val="24"/>
          <w:szCs w:val="24"/>
          <w:lang w:eastAsia="zh-CN"/>
        </w:rPr>
        <w:t>：在标准的编制过程中，起草组成员查阅了大量的标准及文献资料，根据文本内容的编制需要，对以上文件进行了规范性引用，同时按</w:t>
      </w:r>
      <w:r>
        <w:rPr>
          <w:rFonts w:hint="eastAsia" w:ascii="仿宋" w:hAnsi="仿宋" w:eastAsia="仿宋" w:cs="仿宋"/>
          <w:b w:val="0"/>
          <w:bCs w:val="0"/>
          <w:kern w:val="0"/>
          <w:sz w:val="24"/>
          <w:szCs w:val="24"/>
          <w:lang w:val="en-US" w:eastAsia="zh-CN"/>
        </w:rPr>
        <w:t>GB/T 1.1-2020的要求排序。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lang w:val="en-US" w:eastAsia="zh-CN"/>
        </w:rPr>
      </w:pPr>
    </w:p>
    <w:p>
      <w:pPr>
        <w:widowControl/>
        <w:numPr>
          <w:ilvl w:val="0"/>
          <w:numId w:val="0"/>
        </w:numPr>
        <w:spacing w:line="360" w:lineRule="auto"/>
        <w:ind w:right="166" w:rightChars="0"/>
        <w:jc w:val="both"/>
        <w:outlineLvl w:val="1"/>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lang w:val="en-US" w:eastAsia="zh-CN"/>
        </w:rPr>
        <w:t>三</w:t>
      </w:r>
      <w:r>
        <w:rPr>
          <w:rFonts w:hint="eastAsia" w:ascii="仿宋" w:hAnsi="仿宋" w:eastAsia="仿宋" w:cs="仿宋"/>
          <w:b/>
          <w:bCs/>
          <w:kern w:val="0"/>
          <w:sz w:val="24"/>
          <w:szCs w:val="24"/>
          <w:lang w:eastAsia="zh-CN"/>
        </w:rPr>
        <w:t>）第</w:t>
      </w:r>
      <w:r>
        <w:rPr>
          <w:rFonts w:hint="eastAsia" w:ascii="仿宋" w:hAnsi="仿宋" w:eastAsia="仿宋" w:cs="仿宋"/>
          <w:b/>
          <w:bCs/>
          <w:kern w:val="0"/>
          <w:sz w:val="24"/>
          <w:szCs w:val="24"/>
          <w:lang w:val="en-US" w:eastAsia="zh-CN"/>
        </w:rPr>
        <w:t>3章术语和定义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GB/T 34695界定的以及下列术语和定义适用于本文件。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3.1废旧电池 uesd batteries：失去原有使用价值的电池及其废元(器)件、零(部)件和废原材料，以及失去使用价值仍可用于其他目标领域的蓄电池。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注：废旧电池包括工业生产过程中产生的报废电池、报废的半成品，以及工业用途、日常生活或者流通领域中产生的失去原有使用价值仍可用于其他目标领域的电池。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3.2湿法回收 hydrometallurgy：利用浸取剂将废电池中有价组分溶解在溶液中或以新的固相析出，进行有价组分分离、富集和提取的过程。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3.3再生利用 recycling：对废电池进行拆解、破碎、分选、材料修复或冶炼等处理，进行资源化利用的过程。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3.4电极材料粉 Electrode material powder：又称黑粉，废旧电池经放电、破碎、热解、分选处理等工序，得到的以锂、磷、铁、碳等元素构成的黑色或灰黑色粉末。</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bCs w:val="0"/>
          <w:kern w:val="0"/>
          <w:sz w:val="24"/>
          <w:szCs w:val="24"/>
          <w:lang w:val="en-US" w:eastAsia="zh-CN"/>
        </w:rPr>
      </w:pPr>
      <w:r>
        <w:rPr>
          <w:rFonts w:hint="eastAsia" w:ascii="仿宋" w:hAnsi="仿宋" w:eastAsia="仿宋" w:cs="仿宋"/>
          <w:b/>
          <w:bCs/>
          <w:kern w:val="0"/>
          <w:sz w:val="24"/>
          <w:szCs w:val="24"/>
          <w:lang w:val="en-US" w:eastAsia="zh-CN"/>
        </w:rPr>
        <w:t>说明</w:t>
      </w:r>
      <w:r>
        <w:rPr>
          <w:rFonts w:hint="eastAsia" w:ascii="仿宋" w:hAnsi="仿宋" w:eastAsia="仿宋" w:cs="仿宋"/>
          <w:b w:val="0"/>
          <w:bCs w:val="0"/>
          <w:kern w:val="0"/>
          <w:sz w:val="24"/>
          <w:szCs w:val="24"/>
          <w:lang w:val="en-US" w:eastAsia="zh-CN"/>
        </w:rPr>
        <w:t>：为了便于理解和实施本标准，标准中规定了废旧电池、湿法回收、再生利用、电极材料粉的定义。其中，“废旧电池”定义与GB/T 39224-2020《废旧电池回收技术规范》3.1一致；“湿法回收”定义与GB/T 34695-2017《废弃电化学品处理处置术语》2.3.9一致；“再生利用”定义在GB/T 20861-2007《废弃产品回收利用术语》2.10（再生利用：对废弃产品进行处理，使之能够作为原材料重新利用的过程，但不包括对能量的回收和利用）基础上修改，详细写明拆解、破碎、分选、材料修复或冶炼等处理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kern w:val="0"/>
          <w:sz w:val="24"/>
          <w:szCs w:val="24"/>
          <w:lang w:val="en-US" w:eastAsia="zh-CN"/>
        </w:rPr>
      </w:pPr>
      <w:r>
        <w:rPr>
          <w:rFonts w:hint="eastAsia" w:ascii="仿宋" w:hAnsi="仿宋" w:eastAsia="仿宋" w:cs="仿宋"/>
          <w:b w:val="0"/>
          <w:bCs w:val="0"/>
          <w:kern w:val="0"/>
          <w:sz w:val="24"/>
          <w:szCs w:val="24"/>
          <w:lang w:val="en-US" w:eastAsia="zh-CN"/>
        </w:rPr>
        <w:t>放电、热处理等处理处置工艺术语的定义见GB/T 34695-2017《废弃电池化学品处理处置术语》的2.3定义，本标准部单独列出。</w:t>
      </w:r>
    </w:p>
    <w:p>
      <w:pPr>
        <w:widowControl/>
        <w:numPr>
          <w:ilvl w:val="0"/>
          <w:numId w:val="0"/>
        </w:numPr>
        <w:spacing w:line="360" w:lineRule="auto"/>
        <w:ind w:right="166" w:rightChars="0"/>
        <w:jc w:val="both"/>
        <w:outlineLvl w:val="1"/>
        <w:rPr>
          <w:rFonts w:hint="default" w:ascii="仿宋" w:hAnsi="仿宋" w:eastAsia="仿宋" w:cs="仿宋"/>
          <w:b/>
          <w:bCs/>
          <w:kern w:val="0"/>
          <w:sz w:val="24"/>
          <w:szCs w:val="24"/>
          <w:lang w:eastAsia="zh-CN"/>
        </w:rPr>
      </w:pPr>
      <w:r>
        <w:rPr>
          <w:rFonts w:hint="eastAsia" w:ascii="仿宋" w:hAnsi="仿宋" w:eastAsia="仿宋" w:cs="仿宋"/>
          <w:b/>
          <w:bCs/>
          <w:kern w:val="0"/>
          <w:sz w:val="24"/>
          <w:szCs w:val="24"/>
          <w:lang w:val="en-US" w:eastAsia="zh-CN"/>
        </w:rPr>
        <w:t>（四）第4章</w:t>
      </w:r>
      <w:r>
        <w:rPr>
          <w:rFonts w:hint="default" w:ascii="仿宋" w:hAnsi="仿宋" w:eastAsia="仿宋" w:cs="仿宋"/>
          <w:b/>
          <w:bCs/>
          <w:kern w:val="0"/>
          <w:sz w:val="24"/>
          <w:szCs w:val="24"/>
          <w:lang w:eastAsia="zh-CN"/>
        </w:rPr>
        <w:t>总体要求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eastAsia="zh-CN"/>
        </w:rPr>
      </w:pPr>
      <w:r>
        <w:rPr>
          <w:rFonts w:hint="default" w:ascii="仿宋" w:hAnsi="仿宋" w:eastAsia="仿宋" w:cs="仿宋"/>
          <w:sz w:val="24"/>
          <w:szCs w:val="24"/>
          <w:lang w:eastAsia="zh-CN"/>
        </w:rPr>
        <w:t>分为一般要求、场地要求、人员要求、安全要求。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）一般要求：</w:t>
      </w:r>
      <w:r>
        <w:rPr>
          <w:rFonts w:hint="default" w:ascii="仿宋" w:hAnsi="仿宋" w:eastAsia="仿宋" w:cs="仿宋"/>
          <w:sz w:val="24"/>
          <w:szCs w:val="24"/>
          <w:lang w:eastAsia="zh-CN"/>
        </w:rPr>
        <w:t>电池回收利用企业应具有危险废弃物经营许可证，核准经营方式应包括收集、处置、利用。磷酸铁锂废旧电池收集、分拣、运输和贮存应符合GB/T 39224的要求。磷酸铁锂废旧电池回收利用不应混入其他电池，鉴别方法见附录A。</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lang w:val="en-US" w:eastAsia="zh-CN"/>
        </w:rPr>
      </w:pPr>
      <w:r>
        <w:rPr>
          <w:rFonts w:hint="default" w:ascii="仿宋" w:hAnsi="仿宋" w:eastAsia="仿宋" w:cs="仿宋"/>
          <w:b/>
          <w:bCs/>
          <w:sz w:val="24"/>
          <w:szCs w:val="24"/>
          <w:lang w:eastAsia="zh-CN"/>
        </w:rPr>
        <w:t>说明</w:t>
      </w:r>
      <w:r>
        <w:rPr>
          <w:rFonts w:hint="default" w:ascii="仿宋" w:hAnsi="仿宋" w:eastAsia="仿宋" w:cs="仿宋"/>
          <w:sz w:val="24"/>
          <w:szCs w:val="24"/>
          <w:lang w:eastAsia="zh-CN"/>
        </w:rPr>
        <w:t>：为保障参与电池回收市场的企业的合规合理性，规定电池回收利用企业应具有危险废弃物经营许可证。本标准中的磷酸铁锂废旧电池湿法回收工艺从磷酸铁锂废旧电池开始，未包括废旧电池收集、分拣、运输和贮存要求，</w:t>
      </w:r>
      <w:r>
        <w:rPr>
          <w:rFonts w:hint="eastAsia" w:ascii="仿宋" w:hAnsi="仿宋" w:eastAsia="仿宋" w:cs="仿宋"/>
          <w:sz w:val="24"/>
          <w:szCs w:val="24"/>
          <w:lang w:eastAsia="zh-CN"/>
        </w:rPr>
        <w:t>此处规定其</w:t>
      </w:r>
      <w:r>
        <w:rPr>
          <w:rFonts w:hint="default" w:ascii="仿宋" w:hAnsi="仿宋" w:eastAsia="仿宋" w:cs="仿宋"/>
          <w:sz w:val="24"/>
          <w:szCs w:val="24"/>
          <w:lang w:eastAsia="zh-CN"/>
        </w:rPr>
        <w:t>应符合GB/T 39224的要求</w:t>
      </w:r>
      <w:r>
        <w:rPr>
          <w:rFonts w:hint="eastAsia" w:ascii="仿宋" w:hAnsi="仿宋" w:eastAsia="仿宋" w:cs="仿宋"/>
          <w:sz w:val="24"/>
          <w:szCs w:val="24"/>
          <w:lang w:eastAsia="zh-CN"/>
        </w:rPr>
        <w:t>，同时给出了</w:t>
      </w:r>
      <w:r>
        <w:rPr>
          <w:rFonts w:hint="eastAsia" w:ascii="仿宋" w:hAnsi="仿宋" w:eastAsia="仿宋" w:cs="仿宋"/>
          <w:sz w:val="24"/>
          <w:szCs w:val="24"/>
          <w:lang w:val="en-US" w:eastAsia="zh-CN"/>
        </w:rPr>
        <w:t>3种</w:t>
      </w:r>
      <w:r>
        <w:rPr>
          <w:rFonts w:hint="eastAsia" w:ascii="仿宋" w:hAnsi="仿宋" w:eastAsia="仿宋" w:cs="仿宋"/>
          <w:sz w:val="24"/>
          <w:szCs w:val="24"/>
          <w:lang w:eastAsia="zh-CN"/>
        </w:rPr>
        <w:t>鉴别方法，即外观检测法、元素滴定检测法和仪器检测法，电池的电子信息、标签、壳体材料、形状和重量等完好的，优先采用外观检测方法鉴别；标签残缺或从外形无法确认其种类、成分的废旧电池，采用元素滴定检测法和仪器检测法鉴别。</w:t>
      </w:r>
      <w:r>
        <w:rPr>
          <w:rFonts w:hint="eastAsia" w:ascii="仿宋" w:hAnsi="仿宋" w:eastAsia="仿宋" w:cs="仿宋"/>
          <w:sz w:val="24"/>
          <w:szCs w:val="24"/>
          <w:lang w:val="en-US" w:eastAsia="zh-CN"/>
        </w:rPr>
        <w:t>3种</w:t>
      </w:r>
      <w:r>
        <w:rPr>
          <w:rFonts w:hint="eastAsia" w:ascii="仿宋" w:hAnsi="仿宋" w:eastAsia="仿宋" w:cs="仿宋"/>
          <w:sz w:val="24"/>
          <w:szCs w:val="24"/>
          <w:lang w:eastAsia="zh-CN"/>
        </w:rPr>
        <w:t>鉴别方法操作详见附录</w:t>
      </w:r>
      <w:r>
        <w:rPr>
          <w:rFonts w:hint="eastAsia" w:ascii="仿宋" w:hAnsi="仿宋" w:eastAsia="仿宋" w:cs="仿宋"/>
          <w:sz w:val="24"/>
          <w:szCs w:val="24"/>
          <w:lang w:val="en-US" w:eastAsia="zh-CN"/>
        </w:rPr>
        <w:t>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（2）场地要求：磷酸铁锂废旧电池回收利用场地符合DB44/T 1369的规定。</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sz w:val="24"/>
          <w:szCs w:val="24"/>
          <w:lang w:val="en-US" w:eastAsia="zh-CN"/>
        </w:rPr>
      </w:pPr>
      <w:r>
        <w:rPr>
          <w:rFonts w:hint="default" w:ascii="仿宋" w:hAnsi="仿宋" w:eastAsia="仿宋" w:cs="仿宋"/>
          <w:b/>
          <w:bCs/>
          <w:sz w:val="24"/>
          <w:szCs w:val="24"/>
          <w:lang w:eastAsia="zh-CN"/>
        </w:rPr>
        <w:t>说明</w:t>
      </w:r>
      <w:r>
        <w:rPr>
          <w:rFonts w:hint="default" w:ascii="仿宋" w:hAnsi="仿宋" w:eastAsia="仿宋" w:cs="仿宋"/>
          <w:sz w:val="24"/>
          <w:szCs w:val="24"/>
          <w:lang w:eastAsia="zh-CN"/>
        </w:rPr>
        <w:t>：</w:t>
      </w:r>
      <w:r>
        <w:rPr>
          <w:rFonts w:hint="eastAsia" w:ascii="仿宋" w:hAnsi="仿宋" w:eastAsia="仿宋" w:cs="仿宋"/>
          <w:sz w:val="24"/>
          <w:szCs w:val="24"/>
          <w:lang w:val="en-US" w:eastAsia="zh-CN"/>
        </w:rPr>
        <w:t>DB44/T 1369—2014《废旧电池回收处理场地要求》规定了废旧电池回收处理场地的总体要求及选址和各功能区域的一般性要求，涵盖贮存区、预处理区、处理区、分析检测区、废弃物处理区、管理区的设计、液体、粉尘收集、废气处理、噪音排放、标识等要求，同时详细规定了采用湿法冶金的处理区（一般包括浸出区、液固分离区、溶液净化区、金属提取区及废水处理区）应采用自动化程度高、耐腐蚀性的处理设施，应设置废液、废气处理系统，固体废弃物交由相关企业处理，排放的废水、废气、噪声应分别符合GB8978、GB16297、GB 12348的有关规定。应具备报警系统和应急处理系统。部分废旧电池带有一定的电量，应具备防火、防爆、防腐蚀等安全防护措施。</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lang w:eastAsia="zh-CN"/>
        </w:rPr>
        <w:t>人员要求：回收利用企</w:t>
      </w:r>
      <w:r>
        <w:rPr>
          <w:rFonts w:hint="eastAsia" w:ascii="仿宋" w:hAnsi="仿宋" w:eastAsia="仿宋" w:cs="仿宋"/>
          <w:sz w:val="24"/>
          <w:szCs w:val="24"/>
          <w:highlight w:val="none"/>
          <w:lang w:eastAsia="zh-CN"/>
        </w:rPr>
        <w:t>业应配备专业技术人员，其专业技能应能满足磷酸铁锂废旧电池性能检测、环保作业、安全操作等相应要求。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）安全要求：</w:t>
      </w:r>
      <w:r>
        <w:rPr>
          <w:rFonts w:hint="eastAsia" w:ascii="仿宋" w:hAnsi="仿宋" w:eastAsia="仿宋" w:cs="仿宋"/>
          <w:color w:val="000000" w:themeColor="text1"/>
          <w:sz w:val="24"/>
          <w:szCs w:val="24"/>
          <w:highlight w:val="none"/>
          <w:lang w:eastAsia="zh-CN"/>
          <w14:textFill>
            <w14:solidFill>
              <w14:schemeClr w14:val="tx1"/>
            </w14:solidFill>
          </w14:textFill>
        </w:rPr>
        <w:t>应符合YS/T 1174—2017第6章中的要求。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sz w:val="24"/>
          <w:szCs w:val="24"/>
          <w:lang w:eastAsia="zh-CN"/>
        </w:rPr>
      </w:pPr>
      <w:r>
        <w:rPr>
          <w:rFonts w:hint="eastAsia" w:ascii="仿宋" w:hAnsi="仿宋" w:eastAsia="仿宋" w:cs="仿宋"/>
          <w:b/>
          <w:bCs/>
          <w:sz w:val="24"/>
          <w:szCs w:val="24"/>
          <w:lang w:eastAsia="zh-CN"/>
        </w:rPr>
        <w:t>说明</w:t>
      </w:r>
      <w:r>
        <w:rPr>
          <w:rFonts w:hint="eastAsia" w:ascii="仿宋" w:hAnsi="仿宋" w:eastAsia="仿宋" w:cs="仿宋"/>
          <w:sz w:val="24"/>
          <w:szCs w:val="24"/>
          <w:lang w:eastAsia="zh-CN"/>
        </w:rPr>
        <w:t>：YS/T 1174—2017《废旧电池破碎分选回收技术规范》第6章规定了操作位置、控制系统、电气设备和防火的要求。</w:t>
      </w:r>
    </w:p>
    <w:p>
      <w:pPr>
        <w:widowControl/>
        <w:numPr>
          <w:ilvl w:val="0"/>
          <w:numId w:val="0"/>
        </w:numPr>
        <w:spacing w:line="360" w:lineRule="auto"/>
        <w:ind w:right="166" w:rightChars="0"/>
        <w:jc w:val="both"/>
        <w:outlineLvl w:val="1"/>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val="en-US" w:eastAsia="zh-CN"/>
        </w:rPr>
        <w:t>（五）第5章试剂和设备</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试剂：主要包括无机酸（硫酸、盐酸等）、过氧化氢、氢氧化钠和碳酸钠等。所使用的试剂应符合相应的工业用产品标准。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lang w:eastAsia="zh-CN"/>
        </w:rPr>
      </w:pPr>
      <w:r>
        <w:rPr>
          <w:rFonts w:hint="eastAsia" w:ascii="仿宋" w:hAnsi="仿宋" w:eastAsia="仿宋" w:cs="仿宋"/>
          <w:b/>
          <w:bCs/>
          <w:sz w:val="24"/>
          <w:szCs w:val="24"/>
          <w:lang w:eastAsia="zh-CN"/>
        </w:rPr>
        <w:t>说明</w:t>
      </w:r>
      <w:r>
        <w:rPr>
          <w:rFonts w:hint="eastAsia" w:ascii="仿宋" w:hAnsi="仿宋" w:eastAsia="仿宋" w:cs="仿宋"/>
          <w:sz w:val="24"/>
          <w:szCs w:val="24"/>
          <w:lang w:eastAsia="zh-CN"/>
        </w:rPr>
        <w:t>：本章给出了浸出和沉淀工序所需的试剂，其中浸出工序试剂有无机酸（硫酸、盐酸等）、过氧化氢等氧化剂；沉淀工序沉淀剂有碳酸钠等。</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仪器设备：主要包括破碎机、热解炉、分选机、搅拌机、电池放电设备、压滤机、反应装置、贮存装置、废气处理装置、废水处理装置和废渣收集装置等。所使用的仪器设备应符合相关标准要求及国家有关规定，由具有资质的专业生产单位生产，且安全可靠、节能环保。</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lang w:eastAsia="zh-CN"/>
        </w:rPr>
      </w:pPr>
      <w:r>
        <w:rPr>
          <w:rFonts w:hint="eastAsia" w:ascii="仿宋" w:hAnsi="仿宋" w:eastAsia="仿宋" w:cs="仿宋"/>
          <w:b/>
          <w:bCs/>
          <w:sz w:val="24"/>
          <w:szCs w:val="24"/>
          <w:lang w:eastAsia="zh-CN"/>
        </w:rPr>
        <w:t>说明</w:t>
      </w:r>
      <w:r>
        <w:rPr>
          <w:rFonts w:hint="eastAsia" w:ascii="仿宋" w:hAnsi="仿宋" w:eastAsia="仿宋" w:cs="仿宋"/>
          <w:sz w:val="24"/>
          <w:szCs w:val="24"/>
          <w:lang w:eastAsia="zh-CN"/>
        </w:rPr>
        <w:t>：为了保证湿法回收工艺过程的安全和高效，应使用专业的仪器设备，且由具有资质的专业生产单位生产，同时为满足工业安全生产和清洁生产要求，仪器设备最好是安全可靠、节能环保的。以下为各个工序所用到的设备清单：</w:t>
      </w:r>
    </w:p>
    <w:p>
      <w:pPr>
        <w:pStyle w:val="11"/>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黑体" w:cs="仿宋"/>
          <w:sz w:val="24"/>
          <w:szCs w:val="24"/>
          <w:lang w:val="en-US" w:eastAsia="zh-CN"/>
        </w:rPr>
      </w:pPr>
      <w:r>
        <w:t xml:space="preserve">表 </w:t>
      </w:r>
      <w:r>
        <w:fldChar w:fldCharType="begin"/>
      </w:r>
      <w:r>
        <w:instrText xml:space="preserve"> SEQ 表 \* ARABIC </w:instrText>
      </w:r>
      <w:r>
        <w:fldChar w:fldCharType="separate"/>
      </w:r>
      <w:r>
        <w:t>1</w:t>
      </w:r>
      <w:r>
        <w:fldChar w:fldCharType="end"/>
      </w:r>
      <w:r>
        <w:rPr>
          <w:rFonts w:hint="eastAsia"/>
          <w:lang w:val="en-US" w:eastAsia="zh-CN"/>
        </w:rPr>
        <w:t xml:space="preserve"> 工艺流程设备清单表</w:t>
      </w:r>
    </w:p>
    <w:tbl>
      <w:tblPr>
        <w:tblStyle w:val="22"/>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1850"/>
        <w:gridCol w:w="6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blHeader/>
        </w:trPr>
        <w:tc>
          <w:tcPr>
            <w:tcW w:w="637"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序号</w:t>
            </w:r>
          </w:p>
        </w:tc>
        <w:tc>
          <w:tcPr>
            <w:tcW w:w="1009"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工艺流程</w:t>
            </w:r>
          </w:p>
        </w:tc>
        <w:tc>
          <w:tcPr>
            <w:tcW w:w="3353"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主要设备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37" w:type="pct"/>
            <w:noWrap w:val="0"/>
            <w:vAlign w:val="center"/>
          </w:tcPr>
          <w:p>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sz w:val="24"/>
                <w:szCs w:val="24"/>
                <w:vertAlign w:val="baseline"/>
                <w:lang w:val="en-US" w:eastAsia="zh-CN"/>
              </w:rPr>
            </w:pPr>
          </w:p>
        </w:tc>
        <w:tc>
          <w:tcPr>
            <w:tcW w:w="1009"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auto"/>
              <w:rPr>
                <w:rFonts w:hint="default" w:ascii="仿宋" w:hAnsi="仿宋" w:eastAsia="仿宋" w:cs="仿宋"/>
                <w:b w:val="0"/>
                <w:bCs w:val="0"/>
                <w:sz w:val="24"/>
                <w:szCs w:val="24"/>
                <w:vertAlign w:val="baseline"/>
                <w:lang w:val="en-US" w:eastAsia="zh-CN"/>
              </w:rPr>
            </w:pPr>
            <w:r>
              <w:rPr>
                <w:rFonts w:hint="default" w:ascii="仿宋" w:hAnsi="仿宋" w:eastAsia="仿宋" w:cs="仿宋"/>
                <w:b w:val="0"/>
                <w:bCs w:val="0"/>
                <w:sz w:val="24"/>
                <w:szCs w:val="24"/>
                <w:vertAlign w:val="baseline"/>
                <w:lang w:val="en-US" w:eastAsia="zh-CN"/>
              </w:rPr>
              <w:t>放电</w:t>
            </w:r>
          </w:p>
        </w:tc>
        <w:tc>
          <w:tcPr>
            <w:tcW w:w="3353"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sz w:val="24"/>
                <w:szCs w:val="24"/>
                <w:lang w:eastAsia="zh-CN"/>
              </w:rPr>
              <w:t>电池放电设备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37" w:type="pct"/>
            <w:noWrap w:val="0"/>
            <w:vAlign w:val="center"/>
          </w:tcPr>
          <w:p>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sz w:val="24"/>
                <w:szCs w:val="24"/>
                <w:vertAlign w:val="baseline"/>
                <w:lang w:val="en-US" w:eastAsia="zh-CN"/>
              </w:rPr>
            </w:pPr>
          </w:p>
        </w:tc>
        <w:tc>
          <w:tcPr>
            <w:tcW w:w="1009"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auto"/>
              <w:rPr>
                <w:rFonts w:hint="default" w:ascii="仿宋" w:hAnsi="仿宋" w:eastAsia="仿宋" w:cs="仿宋"/>
                <w:b w:val="0"/>
                <w:bCs w:val="0"/>
                <w:sz w:val="24"/>
                <w:szCs w:val="24"/>
                <w:vertAlign w:val="baseline"/>
                <w:lang w:val="en-US" w:eastAsia="zh-CN"/>
              </w:rPr>
            </w:pPr>
            <w:r>
              <w:rPr>
                <w:rFonts w:hint="default" w:ascii="仿宋" w:hAnsi="仿宋" w:eastAsia="仿宋" w:cs="仿宋"/>
                <w:b w:val="0"/>
                <w:bCs w:val="0"/>
                <w:sz w:val="24"/>
                <w:szCs w:val="24"/>
                <w:vertAlign w:val="baseline"/>
                <w:lang w:val="en-US" w:eastAsia="zh-CN"/>
              </w:rPr>
              <w:t>破碎</w:t>
            </w:r>
          </w:p>
        </w:tc>
        <w:tc>
          <w:tcPr>
            <w:tcW w:w="3353"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sz w:val="24"/>
                <w:szCs w:val="24"/>
                <w:lang w:eastAsia="zh-CN"/>
              </w:rPr>
              <w:t>破碎机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37" w:type="pct"/>
            <w:noWrap w:val="0"/>
            <w:vAlign w:val="center"/>
          </w:tcPr>
          <w:p>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sz w:val="24"/>
                <w:szCs w:val="24"/>
                <w:vertAlign w:val="baseline"/>
                <w:lang w:val="en-US" w:eastAsia="zh-CN"/>
              </w:rPr>
            </w:pPr>
          </w:p>
        </w:tc>
        <w:tc>
          <w:tcPr>
            <w:tcW w:w="1009"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kern w:val="2"/>
                <w:sz w:val="24"/>
                <w:szCs w:val="24"/>
                <w:vertAlign w:val="baseline"/>
                <w:lang w:val="en-US" w:eastAsia="zh-CN" w:bidi="ar-SA"/>
              </w:rPr>
            </w:pPr>
            <w:r>
              <w:rPr>
                <w:rFonts w:hint="default" w:ascii="仿宋" w:hAnsi="仿宋" w:eastAsia="仿宋" w:cs="仿宋"/>
                <w:b w:val="0"/>
                <w:bCs w:val="0"/>
                <w:sz w:val="24"/>
                <w:szCs w:val="24"/>
                <w:vertAlign w:val="baseline"/>
                <w:lang w:val="en-US" w:eastAsia="zh-CN"/>
              </w:rPr>
              <w:t>热处理</w:t>
            </w:r>
          </w:p>
        </w:tc>
        <w:tc>
          <w:tcPr>
            <w:tcW w:w="3353"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left"/>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sz w:val="24"/>
                <w:szCs w:val="24"/>
                <w:lang w:eastAsia="zh-CN"/>
              </w:rPr>
              <w:t>热解炉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37" w:type="pct"/>
            <w:noWrap w:val="0"/>
            <w:vAlign w:val="center"/>
          </w:tcPr>
          <w:p>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sz w:val="24"/>
                <w:szCs w:val="24"/>
                <w:vertAlign w:val="baseline"/>
                <w:lang w:val="en-US" w:eastAsia="zh-CN"/>
              </w:rPr>
            </w:pPr>
          </w:p>
        </w:tc>
        <w:tc>
          <w:tcPr>
            <w:tcW w:w="1009"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auto"/>
              <w:rPr>
                <w:rFonts w:hint="default" w:ascii="仿宋" w:hAnsi="仿宋" w:eastAsia="仿宋" w:cs="仿宋"/>
                <w:b w:val="0"/>
                <w:bCs w:val="0"/>
                <w:sz w:val="24"/>
                <w:szCs w:val="24"/>
                <w:vertAlign w:val="baseline"/>
                <w:lang w:val="en-US" w:eastAsia="zh-CN"/>
              </w:rPr>
            </w:pPr>
            <w:r>
              <w:rPr>
                <w:rFonts w:hint="default" w:ascii="仿宋" w:hAnsi="仿宋" w:eastAsia="仿宋" w:cs="仿宋"/>
                <w:b w:val="0"/>
                <w:bCs w:val="0"/>
                <w:sz w:val="24"/>
                <w:szCs w:val="24"/>
                <w:vertAlign w:val="baseline"/>
                <w:lang w:val="en-US" w:eastAsia="zh-CN"/>
              </w:rPr>
              <w:t>物理分选</w:t>
            </w:r>
          </w:p>
        </w:tc>
        <w:tc>
          <w:tcPr>
            <w:tcW w:w="3353"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sz w:val="24"/>
                <w:szCs w:val="24"/>
                <w:lang w:eastAsia="zh-CN"/>
              </w:rPr>
              <w:t>分选机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37" w:type="pct"/>
            <w:noWrap w:val="0"/>
            <w:vAlign w:val="center"/>
          </w:tcPr>
          <w:p>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sz w:val="24"/>
                <w:szCs w:val="24"/>
                <w:vertAlign w:val="baseline"/>
                <w:lang w:val="en-US" w:eastAsia="zh-CN"/>
              </w:rPr>
            </w:pPr>
          </w:p>
        </w:tc>
        <w:tc>
          <w:tcPr>
            <w:tcW w:w="1009"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浸出</w:t>
            </w:r>
          </w:p>
        </w:tc>
        <w:tc>
          <w:tcPr>
            <w:tcW w:w="3353"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left"/>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sz w:val="24"/>
                <w:szCs w:val="24"/>
                <w:lang w:eastAsia="zh-CN"/>
              </w:rPr>
              <w:t>搅拌机、反应装置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37" w:type="pct"/>
            <w:noWrap w:val="0"/>
            <w:vAlign w:val="center"/>
          </w:tcPr>
          <w:p>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sz w:val="24"/>
                <w:szCs w:val="24"/>
                <w:vertAlign w:val="baseline"/>
                <w:lang w:val="en-US" w:eastAsia="zh-CN"/>
              </w:rPr>
            </w:pPr>
          </w:p>
        </w:tc>
        <w:tc>
          <w:tcPr>
            <w:tcW w:w="1009"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kern w:val="2"/>
                <w:sz w:val="24"/>
                <w:szCs w:val="24"/>
                <w:vertAlign w:val="baseline"/>
                <w:lang w:val="en-US" w:eastAsia="zh-CN" w:bidi="ar-SA"/>
              </w:rPr>
            </w:pPr>
            <w:r>
              <w:rPr>
                <w:rFonts w:hint="default" w:ascii="仿宋" w:hAnsi="仿宋" w:eastAsia="仿宋" w:cs="仿宋"/>
                <w:b w:val="0"/>
                <w:bCs w:val="0"/>
                <w:sz w:val="24"/>
                <w:szCs w:val="24"/>
                <w:vertAlign w:val="baseline"/>
                <w:lang w:val="en-US" w:eastAsia="zh-CN"/>
              </w:rPr>
              <w:t>过滤</w:t>
            </w:r>
          </w:p>
        </w:tc>
        <w:tc>
          <w:tcPr>
            <w:tcW w:w="3353"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left"/>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sz w:val="24"/>
                <w:szCs w:val="24"/>
                <w:lang w:eastAsia="zh-CN"/>
              </w:rPr>
              <w:t>压滤机、贮存装置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37" w:type="pct"/>
            <w:noWrap w:val="0"/>
            <w:vAlign w:val="center"/>
          </w:tcPr>
          <w:p>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sz w:val="24"/>
                <w:szCs w:val="24"/>
                <w:vertAlign w:val="baseline"/>
                <w:lang w:val="en-US" w:eastAsia="zh-CN"/>
              </w:rPr>
            </w:pPr>
          </w:p>
        </w:tc>
        <w:tc>
          <w:tcPr>
            <w:tcW w:w="1009"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kern w:val="2"/>
                <w:sz w:val="24"/>
                <w:szCs w:val="24"/>
                <w:vertAlign w:val="baseline"/>
                <w:lang w:val="en-US" w:eastAsia="zh-CN" w:bidi="ar-SA"/>
              </w:rPr>
            </w:pPr>
            <w:r>
              <w:rPr>
                <w:rFonts w:hint="default" w:ascii="仿宋" w:hAnsi="仿宋" w:eastAsia="仿宋" w:cs="仿宋"/>
                <w:b w:val="0"/>
                <w:bCs w:val="0"/>
                <w:sz w:val="24"/>
                <w:szCs w:val="24"/>
                <w:vertAlign w:val="baseline"/>
                <w:lang w:val="en-US" w:eastAsia="zh-CN"/>
              </w:rPr>
              <w:t>沉淀</w:t>
            </w:r>
          </w:p>
        </w:tc>
        <w:tc>
          <w:tcPr>
            <w:tcW w:w="3353"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left"/>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sz w:val="24"/>
                <w:szCs w:val="24"/>
                <w:lang w:eastAsia="zh-CN"/>
              </w:rPr>
              <w:t>贮存装置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37" w:type="pct"/>
            <w:noWrap w:val="0"/>
            <w:vAlign w:val="center"/>
          </w:tcPr>
          <w:p>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sz w:val="24"/>
                <w:szCs w:val="24"/>
                <w:vertAlign w:val="baseline"/>
                <w:lang w:val="en-US" w:eastAsia="zh-CN"/>
              </w:rPr>
            </w:pPr>
          </w:p>
        </w:tc>
        <w:tc>
          <w:tcPr>
            <w:tcW w:w="1009"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过滤</w:t>
            </w:r>
          </w:p>
        </w:tc>
        <w:tc>
          <w:tcPr>
            <w:tcW w:w="3353"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sz w:val="24"/>
                <w:szCs w:val="24"/>
                <w:lang w:eastAsia="zh-CN"/>
              </w:rPr>
              <w:t>压滤机、贮存装置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37" w:type="pct"/>
            <w:noWrap w:val="0"/>
            <w:vAlign w:val="center"/>
          </w:tcPr>
          <w:p>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0" w:firstLineChars="0"/>
              <w:jc w:val="center"/>
              <w:textAlignment w:val="auto"/>
              <w:rPr>
                <w:rFonts w:hint="default" w:ascii="仿宋" w:hAnsi="仿宋" w:eastAsia="仿宋" w:cs="仿宋"/>
                <w:b w:val="0"/>
                <w:bCs w:val="0"/>
                <w:sz w:val="24"/>
                <w:szCs w:val="24"/>
                <w:vertAlign w:val="baseline"/>
                <w:lang w:val="en-US" w:eastAsia="zh-CN"/>
              </w:rPr>
            </w:pPr>
          </w:p>
        </w:tc>
        <w:tc>
          <w:tcPr>
            <w:tcW w:w="1009"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全过程</w:t>
            </w:r>
          </w:p>
        </w:tc>
        <w:tc>
          <w:tcPr>
            <w:tcW w:w="3353" w:type="pct"/>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废气处理装置、废水处理装置、废渣收集装置、贮存装置</w:t>
            </w:r>
          </w:p>
        </w:tc>
      </w:tr>
    </w:tbl>
    <w:p>
      <w:pPr>
        <w:widowControl/>
        <w:numPr>
          <w:ilvl w:val="0"/>
          <w:numId w:val="0"/>
        </w:numPr>
        <w:spacing w:line="360" w:lineRule="auto"/>
        <w:ind w:right="166" w:rightChars="0"/>
        <w:jc w:val="both"/>
        <w:outlineLvl w:val="1"/>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lang w:val="en-US" w:eastAsia="zh-CN"/>
        </w:rPr>
        <w:t>六</w:t>
      </w:r>
      <w:r>
        <w:rPr>
          <w:rFonts w:hint="eastAsia" w:ascii="仿宋" w:hAnsi="仿宋" w:eastAsia="仿宋" w:cs="仿宋"/>
          <w:b/>
          <w:bCs/>
          <w:kern w:val="0"/>
          <w:sz w:val="24"/>
          <w:szCs w:val="24"/>
          <w:lang w:eastAsia="zh-CN"/>
        </w:rPr>
        <w:t>）第6章湿法回收工艺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包括工艺原理、工艺流程以及工艺控制条件和要求等。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）工艺原理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磷酸铁锂废旧电池应先采取放电、破碎和热处理工艺，去除隔膜、电解液和粘结剂等，再将物料分选得到铜、铝和包装材料，并将筛选后的电极材料粉经浸出、沉淀除杂工艺得到碳酸锂等锂盐。过程中产生的铁磷渣、碳渣等可作为副产品回收。</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lang w:eastAsia="zh-CN"/>
        </w:rPr>
      </w:pPr>
      <w:r>
        <w:rPr>
          <w:rFonts w:hint="eastAsia" w:ascii="仿宋" w:hAnsi="仿宋" w:eastAsia="仿宋" w:cs="仿宋"/>
          <w:b/>
          <w:bCs/>
          <w:sz w:val="24"/>
          <w:szCs w:val="24"/>
          <w:lang w:eastAsia="zh-CN"/>
        </w:rPr>
        <w:t>说明</w:t>
      </w:r>
      <w:r>
        <w:rPr>
          <w:rFonts w:hint="eastAsia" w:ascii="仿宋" w:hAnsi="仿宋" w:eastAsia="仿宋" w:cs="仿宋"/>
          <w:sz w:val="24"/>
          <w:szCs w:val="24"/>
          <w:lang w:eastAsia="zh-CN"/>
        </w:rPr>
        <w:t>：本标准工艺为较理想的湿法回收方式，即将磷酸铁锂废旧电池材料转化为锂盐和磷酸铁，可实现Li、Fe、P的全元素回收，且锂元素的回收率达到</w:t>
      </w:r>
      <w:r>
        <w:rPr>
          <w:rFonts w:hint="eastAsia" w:ascii="仿宋" w:hAnsi="仿宋" w:eastAsia="仿宋" w:cs="仿宋"/>
          <w:sz w:val="24"/>
          <w:szCs w:val="24"/>
          <w:lang w:val="en-US" w:eastAsia="zh-CN"/>
        </w:rPr>
        <w:t>90%以上</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）工艺流程如下图：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sz w:val="24"/>
          <w:szCs w:val="24"/>
          <w:lang w:eastAsia="zh-CN"/>
        </w:rPr>
      </w:pPr>
      <w:r>
        <w:drawing>
          <wp:inline distT="0" distB="0" distL="114300" distR="114300">
            <wp:extent cx="4411345" cy="4632325"/>
            <wp:effectExtent l="0" t="0" r="8255" b="63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
                    <pic:cNvPicPr>
                      <a:picLocks noChangeAspect="1"/>
                    </pic:cNvPicPr>
                  </pic:nvPicPr>
                  <pic:blipFill>
                    <a:blip r:embed="rId5"/>
                    <a:stretch>
                      <a:fillRect/>
                    </a:stretch>
                  </pic:blipFill>
                  <pic:spPr>
                    <a:xfrm>
                      <a:off x="0" y="0"/>
                      <a:ext cx="4411345" cy="4632325"/>
                    </a:xfrm>
                    <a:prstGeom prst="rect">
                      <a:avLst/>
                    </a:prstGeom>
                    <a:noFill/>
                    <a:ln>
                      <a:noFill/>
                    </a:ln>
                  </pic:spPr>
                </pic:pic>
              </a:graphicData>
            </a:graphic>
          </wp:inline>
        </w:drawing>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工艺工艺控制条件和要求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磷酸铁锂废旧电池湿法回收工艺要点见下表：</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2582"/>
        <w:gridCol w:w="5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1"/>
                <w:szCs w:val="21"/>
              </w:rPr>
            </w:pPr>
            <w:r>
              <w:rPr>
                <w:rFonts w:hint="eastAsia" w:ascii="仿宋" w:hAnsi="仿宋" w:eastAsia="仿宋" w:cs="仿宋"/>
                <w:sz w:val="21"/>
                <w:szCs w:val="21"/>
              </w:rPr>
              <w:t>序号</w:t>
            </w:r>
          </w:p>
        </w:tc>
        <w:tc>
          <w:tcPr>
            <w:tcW w:w="1407"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1"/>
                <w:szCs w:val="21"/>
              </w:rPr>
            </w:pPr>
            <w:r>
              <w:rPr>
                <w:rFonts w:hint="eastAsia" w:ascii="仿宋" w:hAnsi="仿宋" w:eastAsia="仿宋" w:cs="仿宋"/>
                <w:sz w:val="21"/>
                <w:szCs w:val="21"/>
              </w:rPr>
              <w:t>工艺流程</w:t>
            </w:r>
          </w:p>
        </w:tc>
        <w:tc>
          <w:tcPr>
            <w:tcW w:w="3235"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1"/>
                <w:szCs w:val="21"/>
              </w:rPr>
            </w:pPr>
            <w:r>
              <w:rPr>
                <w:rFonts w:hint="eastAsia" w:ascii="仿宋" w:hAnsi="仿宋" w:eastAsia="仿宋" w:cs="仿宋"/>
                <w:sz w:val="21"/>
                <w:szCs w:val="21"/>
              </w:rPr>
              <w:t>工艺控制条件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 w:type="pct"/>
            <w:shd w:val="clear" w:color="auto" w:fill="auto"/>
            <w:noWrap w:val="0"/>
            <w:vAlign w:val="center"/>
          </w:tcPr>
          <w:p>
            <w:pPr>
              <w:keepNext w:val="0"/>
              <w:keepLines w:val="0"/>
              <w:numPr>
                <w:ilvl w:val="0"/>
                <w:numId w:val="10"/>
              </w:numPr>
              <w:suppressLineNumbers w:val="0"/>
              <w:spacing w:before="0" w:beforeAutospacing="0" w:after="0" w:afterAutospacing="0"/>
              <w:ind w:right="0"/>
              <w:jc w:val="center"/>
              <w:rPr>
                <w:rFonts w:hint="default" w:ascii="仿宋" w:hAnsi="仿宋" w:eastAsia="仿宋" w:cs="仿宋"/>
                <w:sz w:val="21"/>
                <w:szCs w:val="21"/>
              </w:rPr>
            </w:pPr>
          </w:p>
        </w:tc>
        <w:tc>
          <w:tcPr>
            <w:tcW w:w="1407"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1"/>
                <w:szCs w:val="21"/>
              </w:rPr>
            </w:pPr>
            <w:r>
              <w:rPr>
                <w:rFonts w:hint="default" w:ascii="仿宋" w:hAnsi="仿宋" w:eastAsia="仿宋" w:cs="仿宋"/>
                <w:sz w:val="21"/>
                <w:szCs w:val="21"/>
              </w:rPr>
              <w:t>放电</w:t>
            </w:r>
          </w:p>
        </w:tc>
        <w:tc>
          <w:tcPr>
            <w:tcW w:w="3235" w:type="pct"/>
            <w:shd w:val="clear" w:color="auto" w:fill="auto"/>
            <w:noWrap w:val="0"/>
            <w:vAlign w:val="center"/>
          </w:tcPr>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default" w:ascii="仿宋" w:hAnsi="仿宋" w:eastAsia="仿宋" w:cs="仿宋"/>
                <w:sz w:val="21"/>
                <w:szCs w:val="21"/>
              </w:rPr>
              <w:t>按照GB/T 33598.3的要求进行放电</w:t>
            </w:r>
            <w:r>
              <w:rPr>
                <w:rFonts w:hint="eastAsia" w:ascii="仿宋" w:hAnsi="仿宋" w:eastAsia="仿宋" w:cs="仿宋"/>
                <w:sz w:val="21"/>
                <w:szCs w:val="21"/>
              </w:rPr>
              <w:t>，包括外接电路放电法和浸泡放电法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 w:type="pct"/>
            <w:shd w:val="clear" w:color="auto" w:fill="auto"/>
            <w:noWrap w:val="0"/>
            <w:vAlign w:val="center"/>
          </w:tcPr>
          <w:p>
            <w:pPr>
              <w:keepNext w:val="0"/>
              <w:keepLines w:val="0"/>
              <w:numPr>
                <w:ilvl w:val="0"/>
                <w:numId w:val="10"/>
              </w:numPr>
              <w:suppressLineNumbers w:val="0"/>
              <w:spacing w:before="0" w:beforeAutospacing="0" w:after="0" w:afterAutospacing="0"/>
              <w:ind w:right="0"/>
              <w:jc w:val="center"/>
              <w:rPr>
                <w:rFonts w:hint="default" w:ascii="仿宋" w:hAnsi="仿宋" w:eastAsia="仿宋" w:cs="仿宋"/>
                <w:sz w:val="21"/>
                <w:szCs w:val="21"/>
              </w:rPr>
            </w:pPr>
          </w:p>
        </w:tc>
        <w:tc>
          <w:tcPr>
            <w:tcW w:w="1407"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1"/>
                <w:szCs w:val="21"/>
              </w:rPr>
            </w:pPr>
            <w:r>
              <w:rPr>
                <w:rFonts w:hint="default" w:ascii="仿宋" w:hAnsi="仿宋" w:eastAsia="仿宋" w:cs="仿宋"/>
                <w:sz w:val="21"/>
                <w:szCs w:val="21"/>
              </w:rPr>
              <w:t>破碎</w:t>
            </w:r>
          </w:p>
        </w:tc>
        <w:tc>
          <w:tcPr>
            <w:tcW w:w="3235" w:type="pct"/>
            <w:shd w:val="clear" w:color="auto" w:fill="auto"/>
            <w:noWrap w:val="0"/>
            <w:vAlign w:val="center"/>
          </w:tcPr>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default" w:ascii="仿宋" w:hAnsi="仿宋" w:eastAsia="仿宋" w:cs="仿宋"/>
                <w:sz w:val="21"/>
                <w:szCs w:val="21"/>
              </w:rPr>
              <w:t>破碎时宜在氮气氛围中进行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 w:type="pct"/>
            <w:shd w:val="clear" w:color="auto" w:fill="auto"/>
            <w:noWrap w:val="0"/>
            <w:vAlign w:val="center"/>
          </w:tcPr>
          <w:p>
            <w:pPr>
              <w:keepNext w:val="0"/>
              <w:keepLines w:val="0"/>
              <w:numPr>
                <w:ilvl w:val="0"/>
                <w:numId w:val="10"/>
              </w:numPr>
              <w:suppressLineNumbers w:val="0"/>
              <w:spacing w:before="0" w:beforeAutospacing="0" w:after="0" w:afterAutospacing="0"/>
              <w:ind w:right="0"/>
              <w:jc w:val="center"/>
              <w:rPr>
                <w:rFonts w:hint="default" w:ascii="仿宋" w:hAnsi="仿宋" w:eastAsia="仿宋" w:cs="仿宋"/>
                <w:sz w:val="21"/>
                <w:szCs w:val="21"/>
              </w:rPr>
            </w:pPr>
          </w:p>
        </w:tc>
        <w:tc>
          <w:tcPr>
            <w:tcW w:w="1407"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1"/>
                <w:szCs w:val="21"/>
              </w:rPr>
            </w:pPr>
            <w:r>
              <w:rPr>
                <w:rFonts w:hint="default" w:ascii="仿宋" w:hAnsi="仿宋" w:eastAsia="仿宋" w:cs="仿宋"/>
                <w:sz w:val="21"/>
                <w:szCs w:val="21"/>
              </w:rPr>
              <w:t>热处理</w:t>
            </w:r>
          </w:p>
        </w:tc>
        <w:tc>
          <w:tcPr>
            <w:tcW w:w="3235" w:type="pct"/>
            <w:shd w:val="clear" w:color="auto" w:fill="auto"/>
            <w:noWrap w:val="0"/>
            <w:vAlign w:val="center"/>
          </w:tcPr>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eastAsia" w:ascii="仿宋" w:hAnsi="仿宋" w:eastAsia="仿宋" w:cs="仿宋"/>
                <w:sz w:val="21"/>
                <w:szCs w:val="21"/>
              </w:rPr>
              <w:t>1.</w:t>
            </w:r>
            <w:r>
              <w:rPr>
                <w:rFonts w:hint="default" w:ascii="仿宋" w:hAnsi="仿宋" w:eastAsia="仿宋" w:cs="仿宋"/>
                <w:sz w:val="21"/>
                <w:szCs w:val="21"/>
              </w:rPr>
              <w:t>温度不宜高于600 ℃</w:t>
            </w:r>
            <w:r>
              <w:rPr>
                <w:rFonts w:hint="eastAsia" w:ascii="仿宋" w:hAnsi="仿宋" w:eastAsia="仿宋" w:cs="仿宋"/>
                <w:sz w:val="21"/>
                <w:szCs w:val="21"/>
              </w:rPr>
              <w:t>；</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eastAsia" w:ascii="仿宋" w:hAnsi="仿宋" w:eastAsia="仿宋" w:cs="仿宋"/>
                <w:sz w:val="21"/>
                <w:szCs w:val="21"/>
              </w:rPr>
              <w:t>2.</w:t>
            </w:r>
            <w:r>
              <w:rPr>
                <w:rFonts w:hint="default" w:ascii="仿宋" w:hAnsi="仿宋" w:eastAsia="仿宋" w:cs="仿宋"/>
                <w:sz w:val="21"/>
                <w:szCs w:val="21"/>
              </w:rPr>
              <w:t>时间不宜长于2 h</w:t>
            </w:r>
            <w:r>
              <w:rPr>
                <w:rFonts w:hint="eastAsia" w:ascii="仿宋" w:hAnsi="仿宋" w:eastAsia="仿宋" w:cs="仿宋"/>
                <w:sz w:val="21"/>
                <w:szCs w:val="21"/>
              </w:rPr>
              <w:t>；</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eastAsia" w:ascii="仿宋" w:hAnsi="仿宋" w:eastAsia="仿宋" w:cs="仿宋"/>
                <w:sz w:val="21"/>
                <w:szCs w:val="21"/>
              </w:rPr>
              <w:t>3.</w:t>
            </w:r>
            <w:r>
              <w:rPr>
                <w:rFonts w:hint="default" w:ascii="仿宋" w:hAnsi="仿宋" w:eastAsia="仿宋" w:cs="仿宋"/>
                <w:sz w:val="21"/>
                <w:szCs w:val="21"/>
              </w:rPr>
              <w:t>隔膜、电解液、粘结剂等，去除率应不低于99%。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 w:type="pct"/>
            <w:shd w:val="clear" w:color="auto" w:fill="auto"/>
            <w:noWrap w:val="0"/>
            <w:vAlign w:val="center"/>
          </w:tcPr>
          <w:p>
            <w:pPr>
              <w:keepNext w:val="0"/>
              <w:keepLines w:val="0"/>
              <w:numPr>
                <w:ilvl w:val="0"/>
                <w:numId w:val="10"/>
              </w:numPr>
              <w:suppressLineNumbers w:val="0"/>
              <w:spacing w:before="0" w:beforeAutospacing="0" w:after="0" w:afterAutospacing="0"/>
              <w:ind w:right="0"/>
              <w:jc w:val="center"/>
              <w:rPr>
                <w:rFonts w:hint="default" w:ascii="仿宋" w:hAnsi="仿宋" w:eastAsia="仿宋" w:cs="仿宋"/>
                <w:sz w:val="21"/>
                <w:szCs w:val="21"/>
              </w:rPr>
            </w:pPr>
          </w:p>
        </w:tc>
        <w:tc>
          <w:tcPr>
            <w:tcW w:w="1407"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1"/>
                <w:szCs w:val="21"/>
              </w:rPr>
            </w:pPr>
            <w:r>
              <w:rPr>
                <w:rFonts w:hint="default" w:ascii="仿宋" w:hAnsi="仿宋" w:eastAsia="仿宋" w:cs="仿宋"/>
                <w:sz w:val="21"/>
                <w:szCs w:val="21"/>
              </w:rPr>
              <w:t>物理分选</w:t>
            </w:r>
          </w:p>
        </w:tc>
        <w:tc>
          <w:tcPr>
            <w:tcW w:w="3235" w:type="pct"/>
            <w:shd w:val="clear" w:color="auto" w:fill="auto"/>
            <w:noWrap w:val="0"/>
            <w:vAlign w:val="center"/>
          </w:tcPr>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eastAsia" w:ascii="仿宋" w:hAnsi="仿宋" w:eastAsia="仿宋" w:cs="仿宋"/>
                <w:sz w:val="21"/>
                <w:szCs w:val="21"/>
              </w:rPr>
              <w:t>1.</w:t>
            </w:r>
            <w:r>
              <w:rPr>
                <w:rFonts w:hint="default" w:ascii="仿宋" w:hAnsi="仿宋" w:eastAsia="仿宋" w:cs="仿宋"/>
                <w:sz w:val="21"/>
                <w:szCs w:val="21"/>
              </w:rPr>
              <w:t>黑粉粒度小于0.25 mm</w:t>
            </w:r>
            <w:r>
              <w:rPr>
                <w:rFonts w:hint="eastAsia" w:ascii="仿宋" w:hAnsi="仿宋" w:eastAsia="仿宋" w:cs="仿宋"/>
                <w:sz w:val="21"/>
                <w:szCs w:val="21"/>
              </w:rPr>
              <w:t>；</w:t>
            </w:r>
          </w:p>
          <w:p>
            <w:pPr>
              <w:keepNext w:val="0"/>
              <w:keepLines w:val="0"/>
              <w:suppressLineNumbers w:val="0"/>
              <w:spacing w:before="0" w:beforeAutospacing="0" w:after="0" w:afterAutospacing="0"/>
              <w:ind w:left="0" w:right="0"/>
              <w:rPr>
                <w:rFonts w:hint="eastAsia" w:ascii="仿宋" w:hAnsi="仿宋" w:eastAsia="仿宋" w:cs="仿宋"/>
                <w:sz w:val="21"/>
                <w:szCs w:val="21"/>
              </w:rPr>
            </w:pPr>
            <w:r>
              <w:rPr>
                <w:rFonts w:hint="eastAsia" w:ascii="仿宋" w:hAnsi="仿宋" w:eastAsia="仿宋" w:cs="仿宋"/>
                <w:sz w:val="21"/>
                <w:szCs w:val="21"/>
              </w:rPr>
              <w:t>2.</w:t>
            </w:r>
            <w:r>
              <w:rPr>
                <w:rFonts w:hint="default" w:ascii="仿宋" w:hAnsi="仿宋" w:eastAsia="仿宋" w:cs="仿宋"/>
                <w:sz w:val="21"/>
                <w:szCs w:val="21"/>
              </w:rPr>
              <w:t>铜、铝元素的回收率均不低于95%</w:t>
            </w:r>
            <w:r>
              <w:rPr>
                <w:rFonts w:hint="eastAsia" w:ascii="仿宋" w:hAnsi="仿宋" w:eastAsia="仿宋" w:cs="仿宋"/>
                <w:sz w:val="21"/>
                <w:szCs w:val="21"/>
              </w:rPr>
              <w:t>；</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eastAsia" w:ascii="仿宋" w:hAnsi="仿宋" w:eastAsia="仿宋" w:cs="仿宋"/>
                <w:sz w:val="21"/>
                <w:szCs w:val="21"/>
              </w:rPr>
              <w:t>3.</w:t>
            </w:r>
            <w:r>
              <w:rPr>
                <w:rFonts w:hint="default" w:ascii="仿宋" w:hAnsi="仿宋" w:eastAsia="仿宋" w:cs="仿宋"/>
                <w:sz w:val="21"/>
                <w:szCs w:val="21"/>
              </w:rPr>
              <w:t>黑粉的回收率不低于90%</w:t>
            </w:r>
            <w:r>
              <w:rPr>
                <w:rFonts w:hint="eastAsia" w:ascii="仿宋" w:hAnsi="仿宋" w:eastAsia="仿宋" w:cs="仿宋"/>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 w:type="pct"/>
            <w:shd w:val="clear" w:color="auto" w:fill="auto"/>
            <w:noWrap w:val="0"/>
            <w:vAlign w:val="center"/>
          </w:tcPr>
          <w:p>
            <w:pPr>
              <w:keepNext w:val="0"/>
              <w:keepLines w:val="0"/>
              <w:numPr>
                <w:ilvl w:val="0"/>
                <w:numId w:val="10"/>
              </w:numPr>
              <w:suppressLineNumbers w:val="0"/>
              <w:spacing w:before="0" w:beforeAutospacing="0" w:after="0" w:afterAutospacing="0"/>
              <w:ind w:right="0"/>
              <w:jc w:val="center"/>
              <w:rPr>
                <w:rFonts w:hint="default" w:ascii="仿宋" w:hAnsi="仿宋" w:eastAsia="仿宋" w:cs="仿宋"/>
                <w:sz w:val="21"/>
                <w:szCs w:val="21"/>
              </w:rPr>
            </w:pPr>
          </w:p>
        </w:tc>
        <w:tc>
          <w:tcPr>
            <w:tcW w:w="1407"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1"/>
                <w:szCs w:val="21"/>
              </w:rPr>
            </w:pPr>
            <w:r>
              <w:rPr>
                <w:rFonts w:hint="default" w:ascii="仿宋" w:hAnsi="仿宋" w:eastAsia="仿宋" w:cs="仿宋"/>
                <w:sz w:val="21"/>
                <w:szCs w:val="21"/>
              </w:rPr>
              <w:t>浸出</w:t>
            </w:r>
          </w:p>
        </w:tc>
        <w:tc>
          <w:tcPr>
            <w:tcW w:w="3235" w:type="pct"/>
            <w:shd w:val="clear" w:color="auto" w:fill="auto"/>
            <w:noWrap w:val="0"/>
            <w:vAlign w:val="center"/>
          </w:tcPr>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eastAsia" w:ascii="仿宋" w:hAnsi="仿宋" w:eastAsia="仿宋" w:cs="仿宋"/>
                <w:sz w:val="21"/>
                <w:szCs w:val="21"/>
              </w:rPr>
              <w:t>1.</w:t>
            </w:r>
            <w:r>
              <w:rPr>
                <w:rFonts w:hint="default" w:ascii="仿宋" w:hAnsi="仿宋" w:eastAsia="仿宋" w:cs="仿宋"/>
                <w:sz w:val="21"/>
                <w:szCs w:val="21"/>
              </w:rPr>
              <w:t>浸出溶剂为无机酸（硫酸、盐酸等）和助剂（双氧水等）的混合溶液，其浓度应满足以下条件：</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default" w:ascii="仿宋" w:hAnsi="仿宋" w:eastAsia="仿宋" w:cs="仿宋"/>
                <w:sz w:val="21"/>
                <w:szCs w:val="21"/>
              </w:rPr>
              <w:t>a)无机酸（以H</w:t>
            </w:r>
            <w:r>
              <w:rPr>
                <w:rFonts w:hint="default" w:ascii="仿宋" w:hAnsi="仿宋" w:eastAsia="仿宋" w:cs="仿宋"/>
                <w:sz w:val="21"/>
                <w:szCs w:val="21"/>
                <w:vertAlign w:val="superscript"/>
              </w:rPr>
              <w:t>+</w:t>
            </w:r>
            <w:r>
              <w:rPr>
                <w:rFonts w:hint="default" w:ascii="仿宋" w:hAnsi="仿宋" w:eastAsia="仿宋" w:cs="仿宋"/>
                <w:sz w:val="21"/>
                <w:szCs w:val="21"/>
              </w:rPr>
              <w:t>计）浓度：0.5 mol/L～3 mol/L；</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default" w:ascii="仿宋" w:hAnsi="仿宋" w:eastAsia="仿宋" w:cs="仿宋"/>
                <w:sz w:val="21"/>
                <w:szCs w:val="21"/>
              </w:rPr>
              <w:t>b)助剂（以H</w:t>
            </w:r>
            <w:r>
              <w:rPr>
                <w:rFonts w:hint="default" w:ascii="仿宋" w:hAnsi="仿宋" w:eastAsia="仿宋" w:cs="仿宋"/>
                <w:sz w:val="21"/>
                <w:szCs w:val="21"/>
                <w:vertAlign w:val="subscript"/>
              </w:rPr>
              <w:t>2</w:t>
            </w:r>
            <w:r>
              <w:rPr>
                <w:rFonts w:hint="default" w:ascii="仿宋" w:hAnsi="仿宋" w:eastAsia="仿宋" w:cs="仿宋"/>
                <w:sz w:val="21"/>
                <w:szCs w:val="21"/>
              </w:rPr>
              <w:t>O</w:t>
            </w:r>
            <w:r>
              <w:rPr>
                <w:rFonts w:hint="default" w:ascii="仿宋" w:hAnsi="仿宋" w:eastAsia="仿宋" w:cs="仿宋"/>
                <w:sz w:val="21"/>
                <w:szCs w:val="21"/>
                <w:vertAlign w:val="subscript"/>
              </w:rPr>
              <w:t>2</w:t>
            </w:r>
            <w:r>
              <w:rPr>
                <w:rFonts w:hint="default" w:ascii="仿宋" w:hAnsi="仿宋" w:eastAsia="仿宋" w:cs="仿宋"/>
                <w:sz w:val="21"/>
                <w:szCs w:val="21"/>
              </w:rPr>
              <w:t>计）浓度：1 mol/L～10 mol/L；</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default" w:ascii="仿宋" w:hAnsi="仿宋" w:eastAsia="仿宋" w:cs="仿宋"/>
                <w:sz w:val="21"/>
                <w:szCs w:val="21"/>
              </w:rPr>
              <w:t>c)浸出时间：2 h～8 h；</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default" w:ascii="仿宋" w:hAnsi="仿宋" w:eastAsia="仿宋" w:cs="仿宋"/>
                <w:sz w:val="21"/>
                <w:szCs w:val="21"/>
              </w:rPr>
              <w:t>d)浸出温度：60 ℃～100 ℃；</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default" w:ascii="仿宋" w:hAnsi="仿宋" w:eastAsia="仿宋" w:cs="仿宋"/>
                <w:sz w:val="21"/>
                <w:szCs w:val="21"/>
              </w:rPr>
              <w:t>e)固液比：1:2～1:10；</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default" w:ascii="仿宋" w:hAnsi="仿宋" w:eastAsia="仿宋" w:cs="仿宋"/>
                <w:sz w:val="21"/>
                <w:szCs w:val="21"/>
              </w:rPr>
              <w:t>f)搅拌速率：50 r/min～200 r/min；</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eastAsia" w:ascii="仿宋" w:hAnsi="仿宋" w:eastAsia="仿宋" w:cs="仿宋"/>
                <w:sz w:val="21"/>
                <w:szCs w:val="21"/>
              </w:rPr>
              <w:t>2.</w:t>
            </w:r>
            <w:r>
              <w:rPr>
                <w:rFonts w:hint="default" w:ascii="仿宋" w:hAnsi="仿宋" w:eastAsia="仿宋" w:cs="仿宋"/>
                <w:sz w:val="21"/>
                <w:szCs w:val="21"/>
              </w:rPr>
              <w:t>锂元素的浸出率不低于98%。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 w:type="pct"/>
            <w:shd w:val="clear" w:color="auto" w:fill="auto"/>
            <w:noWrap w:val="0"/>
            <w:vAlign w:val="center"/>
          </w:tcPr>
          <w:p>
            <w:pPr>
              <w:keepNext w:val="0"/>
              <w:keepLines w:val="0"/>
              <w:numPr>
                <w:ilvl w:val="0"/>
                <w:numId w:val="10"/>
              </w:numPr>
              <w:suppressLineNumbers w:val="0"/>
              <w:spacing w:before="0" w:beforeAutospacing="0" w:after="0" w:afterAutospacing="0"/>
              <w:ind w:right="0"/>
              <w:jc w:val="center"/>
              <w:rPr>
                <w:rFonts w:hint="default" w:ascii="仿宋" w:hAnsi="仿宋" w:eastAsia="仿宋" w:cs="仿宋"/>
                <w:sz w:val="21"/>
                <w:szCs w:val="21"/>
              </w:rPr>
            </w:pPr>
          </w:p>
        </w:tc>
        <w:tc>
          <w:tcPr>
            <w:tcW w:w="1407"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1"/>
                <w:szCs w:val="21"/>
              </w:rPr>
            </w:pPr>
            <w:r>
              <w:rPr>
                <w:rFonts w:hint="default" w:ascii="仿宋" w:hAnsi="仿宋" w:eastAsia="仿宋" w:cs="仿宋"/>
                <w:sz w:val="21"/>
                <w:szCs w:val="21"/>
              </w:rPr>
              <w:t>过滤</w:t>
            </w:r>
          </w:p>
        </w:tc>
        <w:tc>
          <w:tcPr>
            <w:tcW w:w="3235"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1"/>
                <w:szCs w:val="21"/>
              </w:rPr>
            </w:pPr>
            <w:r>
              <w:rPr>
                <w:rFonts w:hint="eastAsia" w:ascii="仿宋" w:hAnsi="仿宋" w:eastAsia="仿宋" w:cs="仿宋"/>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 w:type="pct"/>
            <w:shd w:val="clear" w:color="auto" w:fill="auto"/>
            <w:noWrap w:val="0"/>
            <w:vAlign w:val="center"/>
          </w:tcPr>
          <w:p>
            <w:pPr>
              <w:keepNext w:val="0"/>
              <w:keepLines w:val="0"/>
              <w:numPr>
                <w:ilvl w:val="0"/>
                <w:numId w:val="10"/>
              </w:numPr>
              <w:suppressLineNumbers w:val="0"/>
              <w:spacing w:before="0" w:beforeAutospacing="0" w:after="0" w:afterAutospacing="0"/>
              <w:ind w:right="0"/>
              <w:jc w:val="center"/>
              <w:rPr>
                <w:rFonts w:hint="default" w:ascii="仿宋" w:hAnsi="仿宋" w:eastAsia="仿宋" w:cs="仿宋"/>
                <w:sz w:val="21"/>
                <w:szCs w:val="21"/>
              </w:rPr>
            </w:pPr>
          </w:p>
        </w:tc>
        <w:tc>
          <w:tcPr>
            <w:tcW w:w="1407"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sz w:val="21"/>
                <w:szCs w:val="21"/>
              </w:rPr>
            </w:pPr>
            <w:r>
              <w:rPr>
                <w:rFonts w:hint="default" w:ascii="仿宋" w:hAnsi="仿宋" w:eastAsia="仿宋" w:cs="仿宋"/>
                <w:sz w:val="21"/>
                <w:szCs w:val="21"/>
              </w:rPr>
              <w:t>沉淀</w:t>
            </w:r>
          </w:p>
        </w:tc>
        <w:tc>
          <w:tcPr>
            <w:tcW w:w="3235" w:type="pct"/>
            <w:shd w:val="clear" w:color="auto" w:fill="auto"/>
            <w:noWrap w:val="0"/>
            <w:vAlign w:val="center"/>
          </w:tcPr>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eastAsia" w:ascii="仿宋" w:hAnsi="仿宋" w:eastAsia="仿宋" w:cs="仿宋"/>
                <w:sz w:val="21"/>
                <w:szCs w:val="21"/>
              </w:rPr>
              <w:t>1.</w:t>
            </w:r>
            <w:r>
              <w:rPr>
                <w:rFonts w:hint="default" w:ascii="仿宋" w:hAnsi="仿宋" w:eastAsia="仿宋" w:cs="仿宋"/>
                <w:sz w:val="21"/>
                <w:szCs w:val="21"/>
              </w:rPr>
              <w:t>控制pH为3.0～12.0之间</w:t>
            </w:r>
            <w:r>
              <w:rPr>
                <w:rFonts w:hint="eastAsia" w:ascii="仿宋" w:hAnsi="仿宋" w:eastAsia="仿宋" w:cs="仿宋"/>
                <w:sz w:val="21"/>
                <w:szCs w:val="21"/>
              </w:rPr>
              <w:t>；</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eastAsia" w:ascii="仿宋" w:hAnsi="仿宋" w:eastAsia="仿宋" w:cs="仿宋"/>
                <w:sz w:val="21"/>
                <w:szCs w:val="21"/>
              </w:rPr>
              <w:t>2.</w:t>
            </w:r>
            <w:r>
              <w:rPr>
                <w:rFonts w:hint="default" w:ascii="仿宋" w:hAnsi="仿宋" w:eastAsia="仿宋" w:cs="仿宋"/>
                <w:sz w:val="21"/>
                <w:szCs w:val="21"/>
              </w:rPr>
              <w:t>温度在60 ℃～95 ℃范围内</w:t>
            </w:r>
            <w:r>
              <w:rPr>
                <w:rFonts w:hint="eastAsia" w:ascii="仿宋" w:hAnsi="仿宋" w:eastAsia="仿宋" w:cs="仿宋"/>
                <w:sz w:val="21"/>
                <w:szCs w:val="21"/>
              </w:rPr>
              <w:t>；</w:t>
            </w:r>
          </w:p>
          <w:p>
            <w:pPr>
              <w:keepNext w:val="0"/>
              <w:keepLines w:val="0"/>
              <w:suppressLineNumbers w:val="0"/>
              <w:spacing w:before="0" w:beforeAutospacing="0" w:after="0" w:afterAutospacing="0"/>
              <w:ind w:left="0" w:right="0"/>
              <w:rPr>
                <w:rFonts w:hint="default" w:ascii="仿宋" w:hAnsi="仿宋" w:eastAsia="仿宋" w:cs="仿宋"/>
                <w:sz w:val="21"/>
                <w:szCs w:val="21"/>
              </w:rPr>
            </w:pPr>
            <w:r>
              <w:rPr>
                <w:rFonts w:hint="eastAsia" w:ascii="仿宋" w:hAnsi="仿宋" w:eastAsia="仿宋" w:cs="仿宋"/>
                <w:sz w:val="21"/>
                <w:szCs w:val="21"/>
              </w:rPr>
              <w:t>3.</w:t>
            </w:r>
            <w:r>
              <w:rPr>
                <w:rFonts w:hint="default" w:ascii="仿宋" w:hAnsi="仿宋" w:eastAsia="仿宋" w:cs="仿宋"/>
                <w:sz w:val="21"/>
                <w:szCs w:val="21"/>
              </w:rPr>
              <w:t>沉淀时间为0.5 h～5 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 w:type="pct"/>
            <w:shd w:val="clear" w:color="auto" w:fill="auto"/>
            <w:noWrap w:val="0"/>
            <w:vAlign w:val="center"/>
          </w:tcPr>
          <w:p>
            <w:pPr>
              <w:keepNext w:val="0"/>
              <w:keepLines w:val="0"/>
              <w:numPr>
                <w:ilvl w:val="0"/>
                <w:numId w:val="10"/>
              </w:numPr>
              <w:suppressLineNumbers w:val="0"/>
              <w:spacing w:before="0" w:beforeAutospacing="0" w:after="0" w:afterAutospacing="0"/>
              <w:ind w:right="0"/>
              <w:jc w:val="center"/>
              <w:rPr>
                <w:rFonts w:hint="default" w:ascii="仿宋" w:hAnsi="仿宋" w:eastAsia="仿宋" w:cs="仿宋"/>
                <w:sz w:val="21"/>
                <w:szCs w:val="21"/>
              </w:rPr>
            </w:pPr>
          </w:p>
        </w:tc>
        <w:tc>
          <w:tcPr>
            <w:tcW w:w="1407" w:type="pct"/>
            <w:shd w:val="clear" w:color="auto" w:fill="auto"/>
            <w:noWrap w:val="0"/>
            <w:vAlign w:val="center"/>
          </w:tcPr>
          <w:p>
            <w:pPr>
              <w:keepNext w:val="0"/>
              <w:keepLines w:val="0"/>
              <w:suppressLineNumbers w:val="0"/>
              <w:spacing w:before="0" w:beforeAutospacing="0" w:after="0" w:afterAutospacing="0"/>
              <w:ind w:left="0" w:right="0"/>
              <w:jc w:val="center"/>
              <w:rPr>
                <w:rFonts w:hint="default" w:ascii="仿宋" w:hAnsi="仿宋" w:eastAsia="仿宋" w:cs="仿宋"/>
                <w:kern w:val="2"/>
                <w:sz w:val="21"/>
                <w:szCs w:val="21"/>
                <w:lang w:val="en-US" w:eastAsia="zh-CN" w:bidi="ar-SA"/>
              </w:rPr>
            </w:pPr>
            <w:r>
              <w:rPr>
                <w:rFonts w:hint="default" w:ascii="仿宋" w:hAnsi="仿宋" w:eastAsia="仿宋" w:cs="仿宋"/>
                <w:sz w:val="21"/>
                <w:szCs w:val="21"/>
              </w:rPr>
              <w:t>过滤</w:t>
            </w:r>
          </w:p>
        </w:tc>
        <w:tc>
          <w:tcPr>
            <w:tcW w:w="3235" w:type="pct"/>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lang w:eastAsia="zh-CN"/>
        </w:rPr>
      </w:pPr>
      <w:r>
        <w:rPr>
          <w:rFonts w:hint="eastAsia" w:ascii="仿宋" w:hAnsi="仿宋" w:eastAsia="仿宋" w:cs="仿宋"/>
          <w:b/>
          <w:bCs/>
          <w:sz w:val="24"/>
          <w:szCs w:val="24"/>
          <w:lang w:eastAsia="zh-CN"/>
        </w:rPr>
        <w:t>说明</w:t>
      </w:r>
      <w:r>
        <w:rPr>
          <w:rFonts w:hint="eastAsia" w:ascii="仿宋" w:hAnsi="仿宋" w:eastAsia="仿宋" w:cs="仿宋"/>
          <w:sz w:val="24"/>
          <w:szCs w:val="24"/>
          <w:lang w:eastAsia="zh-CN"/>
        </w:rPr>
        <w:t>：主要工序目的及要点如下所示：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放电：锂离子电池在回收过程中往往有自燃的风险，需先进行放电失活处理，此工序用于防止电池拆解、破碎过程中发生短路，引起火灾、爆炸等事故发生。常用方法有外接电路放电法和浸泡放电法，具体见GB/T 33598.3</w:t>
      </w:r>
      <w:r>
        <w:rPr>
          <w:rFonts w:hint="eastAsia" w:ascii="仿宋" w:hAnsi="仿宋" w:eastAsia="仿宋" w:cs="仿宋"/>
          <w:sz w:val="24"/>
          <w:szCs w:val="24"/>
          <w:lang w:val="en-US" w:eastAsia="zh-CN"/>
        </w:rPr>
        <w:t>-2021《车用动力电池回收利用  再生利用  第3部分：放电规范》</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破碎：放电过后的废旧电池需要经过破碎才能将电极上的活性物质释放出来，而这一过程对于后续湿法回收工艺来说尤为重要。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热处理：电池活性材料通过黏结剂附着在集流体上，需进一步分离，通常分为物理法（热处理）和化学法（有机溶剂浸泡和碱浸）。热处理方法工艺简单、易于操作且成本较低，在规模化回收过程使用最为广泛，而化学法溶剂价格高昂，工艺更复杂，且并不适合分离所有类型的黏接剂，综合考虑工艺优缺点、成本和市场情况，本标准采用物理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CHEN等发布的《</w:t>
      </w:r>
      <w:r>
        <w:rPr>
          <w:rFonts w:hint="eastAsia" w:ascii="仿宋" w:hAnsi="仿宋" w:eastAsia="仿宋" w:cs="仿宋"/>
          <w:i/>
          <w:iCs/>
          <w:sz w:val="24"/>
          <w:szCs w:val="24"/>
          <w:lang w:eastAsia="zh-CN"/>
        </w:rPr>
        <w:t>Thermal treatment and ammoniacal leaching for the recovery of valuable metals from spent lithium-ion batteries</w:t>
      </w:r>
      <w:r>
        <w:rPr>
          <w:rFonts w:hint="eastAsia" w:ascii="仿宋" w:hAnsi="仿宋" w:eastAsia="仿宋" w:cs="仿宋"/>
          <w:sz w:val="24"/>
          <w:szCs w:val="24"/>
          <w:lang w:eastAsia="zh-CN"/>
        </w:rPr>
        <w:t>》研究了热解温度和时间对正极粉末脱附率的影响，结果表明，在热解温度550 ℃下保温处理2h可实现正极粉末的高效脱附，筛分后可以得到细颗粒的正极活性物质粉末。</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物理分选：鲁琦等发布的《废磷酸铁锂电池回收制备磷酸锂》研究表明：废磷酸铁锂电池经破碎筛分后，大部分物料集中在&lt;0.300 mm粒级，占63.346%。该部分物料的主要成分为LiFePO</w:t>
      </w:r>
      <w:r>
        <w:rPr>
          <w:rFonts w:hint="eastAsia" w:ascii="仿宋" w:hAnsi="仿宋" w:eastAsia="仿宋" w:cs="仿宋"/>
          <w:sz w:val="24"/>
          <w:szCs w:val="24"/>
          <w:vertAlign w:val="subscript"/>
          <w:lang w:eastAsia="zh-CN"/>
        </w:rPr>
        <w:t>4</w:t>
      </w:r>
      <w:r>
        <w:rPr>
          <w:rFonts w:hint="eastAsia" w:ascii="仿宋" w:hAnsi="仿宋" w:eastAsia="仿宋" w:cs="仿宋"/>
          <w:sz w:val="24"/>
          <w:szCs w:val="24"/>
          <w:lang w:eastAsia="zh-CN"/>
        </w:rPr>
        <w:t>，还有少量的铜箔和铝箔，电池中74.94%的锂富集在该粒级，如下表所示。在此基础上，本标准选择&lt;0.</w:t>
      </w:r>
      <w:r>
        <w:rPr>
          <w:rFonts w:hint="eastAsia" w:ascii="仿宋" w:hAnsi="仿宋" w:eastAsia="仿宋" w:cs="仿宋"/>
          <w:sz w:val="24"/>
          <w:szCs w:val="24"/>
          <w:lang w:val="en-US" w:eastAsia="zh-CN"/>
        </w:rPr>
        <w:t>25</w:t>
      </w:r>
      <w:r>
        <w:rPr>
          <w:rFonts w:hint="eastAsia" w:ascii="仿宋" w:hAnsi="仿宋" w:eastAsia="仿宋" w:cs="仿宋"/>
          <w:sz w:val="24"/>
          <w:szCs w:val="24"/>
          <w:lang w:eastAsia="zh-CN"/>
        </w:rPr>
        <w:t>mm粒级物料进行无机酸-过氧化氢体系浸出。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图：不同粒级下主要金属元素的质量分数（单位：%）</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lang w:eastAsia="zh-CN"/>
        </w:rPr>
      </w:pPr>
      <w:r>
        <w:rPr>
          <w:rFonts w:hint="eastAsia" w:ascii="微软雅黑" w:hAnsi="微软雅黑" w:eastAsia="微软雅黑" w:cs="微软雅黑"/>
          <w:i w:val="0"/>
          <w:iCs w:val="0"/>
          <w:caps w:val="0"/>
          <w:color w:val="333333"/>
          <w:spacing w:val="0"/>
          <w:sz w:val="19"/>
          <w:szCs w:val="19"/>
          <w:shd w:val="clear" w:fill="FFFFFF"/>
        </w:rPr>
        <w:drawing>
          <wp:inline distT="0" distB="0" distL="114300" distR="114300">
            <wp:extent cx="5087620" cy="984885"/>
            <wp:effectExtent l="0" t="0" r="2540" b="5715"/>
            <wp:docPr id="7" name="图片 7" descr="width=650,height=118,dpi=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idth=650,height=118,dpi=110"/>
                    <pic:cNvPicPr>
                      <a:picLocks noChangeAspect="1"/>
                    </pic:cNvPicPr>
                  </pic:nvPicPr>
                  <pic:blipFill>
                    <a:blip r:embed="rId6"/>
                    <a:stretch>
                      <a:fillRect/>
                    </a:stretch>
                  </pic:blipFill>
                  <pic:spPr>
                    <a:xfrm>
                      <a:off x="0" y="0"/>
                      <a:ext cx="5087620" cy="98488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浸出：浸出是整个湿法回收磷酸铁锂废旧电池中有价金属元素的关键步骤，即将经过前期预处理工序后得到的电极材料粉（黑粉）溶解为溶液，根据浸出剂的不同可分为无机酸浸出和生物浸出。其中，生物浸出存在培养时间长、易受污染并且通常很难在大量杂乱的重金属离子环境中生存、繁殖等缺点而未能广泛产业化应用；而无机酸浸出因其高效特点使用率更高。无机酸浸出最常用的浸出剂为HCl、H</w:t>
      </w:r>
      <w:r>
        <w:rPr>
          <w:rFonts w:hint="eastAsia" w:ascii="仿宋" w:hAnsi="仿宋" w:eastAsia="仿宋" w:cs="仿宋"/>
          <w:sz w:val="24"/>
          <w:szCs w:val="24"/>
          <w:vertAlign w:val="subscript"/>
          <w:lang w:eastAsia="zh-CN"/>
        </w:rPr>
        <w:t>2</w:t>
      </w:r>
      <w:r>
        <w:rPr>
          <w:rFonts w:hint="eastAsia" w:ascii="仿宋" w:hAnsi="仿宋" w:eastAsia="仿宋" w:cs="仿宋"/>
          <w:sz w:val="24"/>
          <w:szCs w:val="24"/>
          <w:lang w:eastAsia="zh-CN"/>
        </w:rPr>
        <w:t>SO</w:t>
      </w:r>
      <w:r>
        <w:rPr>
          <w:rFonts w:hint="eastAsia" w:ascii="仿宋" w:hAnsi="仿宋" w:eastAsia="仿宋" w:cs="仿宋"/>
          <w:sz w:val="24"/>
          <w:szCs w:val="24"/>
          <w:vertAlign w:val="subscript"/>
          <w:lang w:eastAsia="zh-CN"/>
        </w:rPr>
        <w:t>4</w:t>
      </w:r>
      <w:r>
        <w:rPr>
          <w:rFonts w:hint="eastAsia" w:ascii="仿宋" w:hAnsi="仿宋" w:eastAsia="仿宋" w:cs="仿宋"/>
          <w:sz w:val="24"/>
          <w:szCs w:val="24"/>
          <w:lang w:eastAsia="zh-CN"/>
        </w:rPr>
        <w:t>和H</w:t>
      </w:r>
      <w:r>
        <w:rPr>
          <w:rFonts w:hint="eastAsia" w:ascii="仿宋" w:hAnsi="仿宋" w:eastAsia="仿宋" w:cs="仿宋"/>
          <w:sz w:val="24"/>
          <w:szCs w:val="24"/>
          <w:vertAlign w:val="subscript"/>
          <w:lang w:eastAsia="zh-CN"/>
        </w:rPr>
        <w:t>3</w:t>
      </w:r>
      <w:r>
        <w:rPr>
          <w:rFonts w:hint="eastAsia" w:ascii="仿宋" w:hAnsi="仿宋" w:eastAsia="仿宋" w:cs="仿宋"/>
          <w:sz w:val="24"/>
          <w:szCs w:val="24"/>
          <w:lang w:eastAsia="zh-CN"/>
        </w:rPr>
        <w:t>PO</w:t>
      </w:r>
      <w:r>
        <w:rPr>
          <w:rFonts w:hint="eastAsia" w:ascii="仿宋" w:hAnsi="仿宋" w:eastAsia="仿宋" w:cs="仿宋"/>
          <w:sz w:val="24"/>
          <w:szCs w:val="24"/>
          <w:vertAlign w:val="subscript"/>
          <w:lang w:eastAsia="zh-CN"/>
        </w:rPr>
        <w:t>4</w:t>
      </w:r>
      <w:r>
        <w:rPr>
          <w:rFonts w:hint="eastAsia" w:ascii="仿宋" w:hAnsi="仿宋" w:eastAsia="仿宋" w:cs="仿宋"/>
          <w:sz w:val="24"/>
          <w:szCs w:val="24"/>
          <w:lang w:eastAsia="zh-CN"/>
        </w:rPr>
        <w:t>，并且基于浸出动力学因素，需加入使用H</w:t>
      </w:r>
      <w:r>
        <w:rPr>
          <w:rFonts w:hint="eastAsia" w:ascii="仿宋" w:hAnsi="仿宋" w:eastAsia="仿宋" w:cs="仿宋"/>
          <w:sz w:val="24"/>
          <w:szCs w:val="24"/>
          <w:vertAlign w:val="subscript"/>
          <w:lang w:eastAsia="zh-CN"/>
        </w:rPr>
        <w:t>2</w:t>
      </w:r>
      <w:r>
        <w:rPr>
          <w:rFonts w:hint="eastAsia" w:ascii="仿宋" w:hAnsi="仿宋" w:eastAsia="仿宋" w:cs="仿宋"/>
          <w:sz w:val="24"/>
          <w:szCs w:val="24"/>
          <w:lang w:eastAsia="zh-CN"/>
        </w:rPr>
        <w:t>O</w:t>
      </w:r>
      <w:r>
        <w:rPr>
          <w:rFonts w:hint="eastAsia" w:ascii="仿宋" w:hAnsi="仿宋" w:eastAsia="仿宋" w:cs="仿宋"/>
          <w:sz w:val="24"/>
          <w:szCs w:val="24"/>
          <w:vertAlign w:val="subscript"/>
          <w:lang w:eastAsia="zh-CN"/>
        </w:rPr>
        <w:t>2</w:t>
      </w:r>
      <w:r>
        <w:rPr>
          <w:rFonts w:hint="eastAsia" w:ascii="仿宋" w:hAnsi="仿宋" w:eastAsia="仿宋" w:cs="仿宋"/>
          <w:sz w:val="24"/>
          <w:szCs w:val="24"/>
          <w:vertAlign w:val="baseline"/>
          <w:lang w:eastAsia="zh-CN"/>
        </w:rPr>
        <w:t>等</w:t>
      </w:r>
      <w:r>
        <w:rPr>
          <w:rFonts w:hint="eastAsia" w:ascii="仿宋" w:hAnsi="仿宋" w:eastAsia="仿宋" w:cs="仿宋"/>
          <w:sz w:val="24"/>
          <w:szCs w:val="24"/>
          <w:lang w:eastAsia="zh-CN"/>
        </w:rPr>
        <w:t>氧化助剂，另外，因为碳酸锂的溶解度随着温度的升高而降低，浸出时应在</w:t>
      </w:r>
      <w:r>
        <w:rPr>
          <w:rFonts w:hint="eastAsia" w:ascii="仿宋" w:hAnsi="仿宋" w:eastAsia="仿宋" w:cs="仿宋"/>
          <w:sz w:val="24"/>
          <w:szCs w:val="24"/>
          <w:lang w:val="en-US" w:eastAsia="zh-CN"/>
        </w:rPr>
        <w:t>60℃～100</w:t>
      </w:r>
      <w:r>
        <w:rPr>
          <w:rFonts w:hint="eastAsia" w:ascii="仿宋" w:hAnsi="仿宋" w:eastAsia="仿宋" w:cs="仿宋"/>
          <w:sz w:val="24"/>
          <w:szCs w:val="24"/>
          <w:lang w:eastAsia="zh-CN"/>
        </w:rPr>
        <w:t>℃温度下浸泡</w:t>
      </w:r>
      <w:r>
        <w:rPr>
          <w:rFonts w:hint="eastAsia" w:ascii="仿宋" w:hAnsi="仿宋" w:eastAsia="仿宋" w:cs="仿宋"/>
          <w:sz w:val="24"/>
          <w:szCs w:val="24"/>
          <w:lang w:val="en-US" w:eastAsia="zh-CN"/>
        </w:rPr>
        <w:t>2～8小时，提升</w:t>
      </w:r>
      <w:r>
        <w:rPr>
          <w:rFonts w:hint="eastAsia" w:ascii="仿宋" w:hAnsi="仿宋" w:eastAsia="仿宋" w:cs="仿宋"/>
          <w:sz w:val="24"/>
          <w:szCs w:val="24"/>
          <w:lang w:eastAsia="zh-CN"/>
        </w:rPr>
        <w:t>碳酸锂的析出率。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lang w:eastAsia="zh-CN"/>
        </w:rPr>
      </w:pPr>
      <w:r>
        <w:rPr>
          <w:rFonts w:ascii="宋体" w:hAnsi="宋体" w:eastAsia="宋体" w:cs="宋体"/>
          <w:sz w:val="24"/>
          <w:szCs w:val="24"/>
        </w:rPr>
        <w:drawing>
          <wp:inline distT="0" distB="0" distL="114300" distR="114300">
            <wp:extent cx="3589020" cy="2480945"/>
            <wp:effectExtent l="0" t="0" r="7620" b="317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7"/>
                    <a:stretch>
                      <a:fillRect/>
                    </a:stretch>
                  </pic:blipFill>
                  <pic:spPr>
                    <a:xfrm>
                      <a:off x="0" y="0"/>
                      <a:ext cx="3589020" cy="248094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图：碳酸锂在水溶液中的溶解度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lang w:eastAsia="zh-CN"/>
        </w:rPr>
        <w:t>沉淀：分离含锂溶液中的锂和铁元素的方法有溶剂萃取法和化学沉淀法、固相法和熔融盐法等。其中，常使用化学沉淀法分离锂和铁元素，含锂溶液加入碳酸钠、磷酸钠等沉淀剂后，锂离子以Li</w:t>
      </w:r>
      <w:r>
        <w:rPr>
          <w:rFonts w:hint="eastAsia" w:ascii="仿宋" w:hAnsi="仿宋" w:eastAsia="仿宋" w:cs="仿宋"/>
          <w:sz w:val="24"/>
          <w:szCs w:val="24"/>
          <w:vertAlign w:val="subscript"/>
          <w:lang w:eastAsia="zh-CN"/>
        </w:rPr>
        <w:t>2</w:t>
      </w:r>
      <w:r>
        <w:rPr>
          <w:rFonts w:hint="eastAsia" w:ascii="仿宋" w:hAnsi="仿宋" w:eastAsia="仿宋" w:cs="仿宋"/>
          <w:sz w:val="24"/>
          <w:szCs w:val="24"/>
          <w:lang w:eastAsia="zh-CN"/>
        </w:rPr>
        <w:t>CO</w:t>
      </w:r>
      <w:r>
        <w:rPr>
          <w:rFonts w:hint="eastAsia" w:ascii="仿宋" w:hAnsi="仿宋" w:eastAsia="仿宋" w:cs="仿宋"/>
          <w:sz w:val="24"/>
          <w:szCs w:val="24"/>
          <w:vertAlign w:val="subscript"/>
          <w:lang w:eastAsia="zh-CN"/>
        </w:rPr>
        <w:t>3</w:t>
      </w:r>
      <w:r>
        <w:rPr>
          <w:rFonts w:hint="eastAsia" w:ascii="仿宋" w:hAnsi="仿宋" w:eastAsia="仿宋" w:cs="仿宋"/>
          <w:sz w:val="24"/>
          <w:szCs w:val="24"/>
          <w:lang w:eastAsia="zh-CN"/>
        </w:rPr>
        <w:t>或Li</w:t>
      </w:r>
      <w:r>
        <w:rPr>
          <w:rFonts w:hint="eastAsia" w:ascii="仿宋" w:hAnsi="仿宋" w:eastAsia="仿宋" w:cs="仿宋"/>
          <w:sz w:val="24"/>
          <w:szCs w:val="24"/>
          <w:vertAlign w:val="subscript"/>
          <w:lang w:eastAsia="zh-CN"/>
        </w:rPr>
        <w:t>3</w:t>
      </w:r>
      <w:r>
        <w:rPr>
          <w:rFonts w:hint="eastAsia" w:ascii="仿宋" w:hAnsi="仿宋" w:eastAsia="仿宋" w:cs="仿宋"/>
          <w:sz w:val="24"/>
          <w:szCs w:val="24"/>
          <w:lang w:eastAsia="zh-CN"/>
        </w:rPr>
        <w:t>PO</w:t>
      </w:r>
      <w:r>
        <w:rPr>
          <w:rFonts w:hint="eastAsia" w:ascii="仿宋" w:hAnsi="仿宋" w:eastAsia="仿宋" w:cs="仿宋"/>
          <w:sz w:val="24"/>
          <w:szCs w:val="24"/>
          <w:vertAlign w:val="subscript"/>
          <w:lang w:eastAsia="zh-CN"/>
        </w:rPr>
        <w:t>4</w:t>
      </w:r>
      <w:r>
        <w:rPr>
          <w:rFonts w:hint="eastAsia" w:ascii="仿宋" w:hAnsi="仿宋" w:eastAsia="仿宋" w:cs="仿宋"/>
          <w:sz w:val="24"/>
          <w:szCs w:val="24"/>
          <w:lang w:eastAsia="zh-CN"/>
        </w:rPr>
        <w:t>的形式沉淀。</w:t>
      </w:r>
    </w:p>
    <w:p>
      <w:pPr>
        <w:widowControl/>
        <w:numPr>
          <w:ilvl w:val="0"/>
          <w:numId w:val="0"/>
        </w:numPr>
        <w:spacing w:line="360" w:lineRule="auto"/>
        <w:ind w:right="166" w:rightChars="0"/>
        <w:jc w:val="both"/>
        <w:outlineLvl w:val="1"/>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lang w:val="en-US" w:eastAsia="zh-CN"/>
        </w:rPr>
        <w:t>七</w:t>
      </w:r>
      <w:r>
        <w:rPr>
          <w:rFonts w:hint="eastAsia" w:ascii="仿宋" w:hAnsi="仿宋" w:eastAsia="仿宋" w:cs="仿宋"/>
          <w:b/>
          <w:bCs/>
          <w:kern w:val="0"/>
          <w:sz w:val="24"/>
          <w:szCs w:val="24"/>
          <w:lang w:eastAsia="zh-CN"/>
        </w:rPr>
        <w:t>）第7章主要</w:t>
      </w:r>
      <w:r>
        <w:rPr>
          <w:rFonts w:hint="eastAsia" w:ascii="仿宋" w:hAnsi="仿宋" w:eastAsia="仿宋" w:cs="仿宋"/>
          <w:b/>
          <w:bCs/>
          <w:kern w:val="0"/>
          <w:sz w:val="24"/>
          <w:szCs w:val="24"/>
          <w:lang w:val="en-US" w:eastAsia="zh-CN"/>
        </w:rPr>
        <w:t>介绍</w:t>
      </w:r>
      <w:r>
        <w:rPr>
          <w:rFonts w:hint="eastAsia" w:ascii="仿宋" w:hAnsi="仿宋" w:eastAsia="仿宋" w:cs="仿宋"/>
          <w:b/>
          <w:bCs/>
          <w:kern w:val="0"/>
          <w:sz w:val="24"/>
          <w:szCs w:val="24"/>
          <w:lang w:eastAsia="zh-CN"/>
        </w:rPr>
        <w:t>再生利用产品要求与处置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w:t>
      </w:r>
      <w:r>
        <w:rPr>
          <w:rFonts w:hint="eastAsia" w:ascii="仿宋" w:hAnsi="仿宋" w:eastAsia="仿宋" w:cs="仿宋"/>
          <w:sz w:val="24"/>
          <w:szCs w:val="24"/>
          <w:lang w:eastAsia="zh-CN"/>
        </w:rPr>
        <w:t>）</w:t>
      </w:r>
      <w:r>
        <w:rPr>
          <w:rFonts w:hint="eastAsia" w:ascii="仿宋" w:hAnsi="仿宋" w:eastAsia="仿宋" w:cs="仿宋"/>
          <w:b/>
          <w:bCs/>
          <w:sz w:val="24"/>
          <w:szCs w:val="24"/>
          <w:lang w:eastAsia="zh-CN"/>
        </w:rPr>
        <w:t>产品</w:t>
      </w:r>
      <w:r>
        <w:rPr>
          <w:rFonts w:hint="eastAsia" w:ascii="仿宋" w:hAnsi="仿宋" w:eastAsia="仿宋" w:cs="仿宋"/>
          <w:sz w:val="24"/>
          <w:szCs w:val="24"/>
          <w:lang w:eastAsia="zh-CN"/>
        </w:rPr>
        <w:t>：根据湿法回收工艺加入的沉淀剂种类，可得到碳酸锂（Na</w:t>
      </w:r>
      <w:r>
        <w:rPr>
          <w:rFonts w:hint="eastAsia" w:ascii="仿宋" w:hAnsi="仿宋" w:eastAsia="仿宋" w:cs="仿宋"/>
          <w:sz w:val="24"/>
          <w:szCs w:val="24"/>
          <w:vertAlign w:val="subscript"/>
          <w:lang w:eastAsia="zh-CN"/>
        </w:rPr>
        <w:t>2</w:t>
      </w:r>
      <w:r>
        <w:rPr>
          <w:rFonts w:hint="eastAsia" w:ascii="仿宋" w:hAnsi="仿宋" w:eastAsia="仿宋" w:cs="仿宋"/>
          <w:sz w:val="24"/>
          <w:szCs w:val="24"/>
          <w:lang w:eastAsia="zh-CN"/>
        </w:rPr>
        <w:t>CO</w:t>
      </w:r>
      <w:r>
        <w:rPr>
          <w:rFonts w:hint="eastAsia" w:ascii="仿宋" w:hAnsi="仿宋" w:eastAsia="仿宋" w:cs="仿宋"/>
          <w:sz w:val="24"/>
          <w:szCs w:val="24"/>
          <w:vertAlign w:val="subscript"/>
          <w:lang w:eastAsia="zh-CN"/>
        </w:rPr>
        <w:t>3</w:t>
      </w:r>
      <w:r>
        <w:rPr>
          <w:rFonts w:hint="eastAsia" w:ascii="仿宋" w:hAnsi="仿宋" w:eastAsia="仿宋" w:cs="仿宋"/>
          <w:sz w:val="24"/>
          <w:szCs w:val="24"/>
          <w:lang w:eastAsia="zh-CN"/>
        </w:rPr>
        <w:t>）、氯化锂、磷酸锂和氢氧化锂等锂盐产品。锂盐中锂的回收率不低于90%，计算方法见附录B.5；纯度达到相对应的产品标准要求：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a)电池级碳酸锂纯度达到YS/T 582的要求，即质量分数≥99.5%；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b)工业级碳酸锂纯度达到GB/T 11075的要求，即质量分数≥99.2%；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c)电池级氯化锂纯度达到YS/T 744的要求，即质量分数≥99.5%。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另外，铁磷渣可再生制备成磷酸铁等产品，并符合HG/T 4701的要求。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sz w:val="24"/>
          <w:szCs w:val="24"/>
          <w:lang w:eastAsia="zh-CN"/>
        </w:rPr>
      </w:pPr>
      <w:r>
        <w:rPr>
          <w:rFonts w:hint="eastAsia" w:ascii="仿宋" w:hAnsi="仿宋" w:eastAsia="仿宋" w:cs="仿宋"/>
          <w:b/>
          <w:bCs/>
          <w:sz w:val="24"/>
          <w:szCs w:val="24"/>
          <w:lang w:eastAsia="zh-CN"/>
        </w:rPr>
        <w:t>说明</w:t>
      </w:r>
      <w:r>
        <w:rPr>
          <w:rFonts w:hint="eastAsia" w:ascii="仿宋" w:hAnsi="仿宋" w:eastAsia="仿宋" w:cs="仿宋"/>
          <w:sz w:val="24"/>
          <w:szCs w:val="24"/>
          <w:lang w:eastAsia="zh-CN"/>
        </w:rPr>
        <w:t>：湿法回收工艺加入不同的沉淀剂，可获得不同的再生利用产品，主要有碳酸锂（Na2CO3）、氯化锂、磷酸锂和氢氧化锂等锂盐产品，</w:t>
      </w:r>
      <w:r>
        <w:rPr>
          <w:rFonts w:hint="eastAsia" w:ascii="仿宋" w:hAnsi="仿宋" w:eastAsia="仿宋" w:cs="仿宋"/>
          <w:sz w:val="24"/>
          <w:szCs w:val="24"/>
          <w:lang w:val="en-US" w:eastAsia="zh-CN"/>
        </w:rPr>
        <w:t>同时</w:t>
      </w:r>
      <w:r>
        <w:rPr>
          <w:rFonts w:hint="eastAsia" w:ascii="仿宋" w:hAnsi="仿宋" w:eastAsia="仿宋" w:cs="仿宋"/>
          <w:sz w:val="24"/>
          <w:szCs w:val="24"/>
          <w:lang w:eastAsia="zh-CN"/>
        </w:rPr>
        <w:t>铁磷渣回收工艺可获得磷酸铁，这些产品都应满足相对应的产品标准要求。</w:t>
      </w:r>
      <w:r>
        <w:rPr>
          <w:rFonts w:hint="eastAsia" w:ascii="仿宋" w:hAnsi="仿宋" w:eastAsia="仿宋" w:cs="仿宋"/>
          <w:sz w:val="24"/>
          <w:szCs w:val="24"/>
          <w:highlight w:val="none"/>
          <w:lang w:eastAsia="zh-CN"/>
        </w:rPr>
        <w:t>锂盐中锂的回收率不低于90%，</w:t>
      </w:r>
      <w:r>
        <w:rPr>
          <w:rFonts w:hint="eastAsia" w:ascii="仿宋" w:hAnsi="仿宋" w:eastAsia="仿宋" w:cs="仿宋"/>
          <w:sz w:val="24"/>
          <w:szCs w:val="24"/>
          <w:lang w:eastAsia="zh-CN"/>
        </w:rPr>
        <w:t>具体见下表。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表：国内标准与本标准设定的回收率差异性对比</w:t>
      </w:r>
    </w:p>
    <w:tbl>
      <w:tblPr>
        <w:tblStyle w:val="2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64"/>
        <w:gridCol w:w="1512"/>
        <w:gridCol w:w="2572"/>
        <w:gridCol w:w="2161"/>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417" w:type="pc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标准名称</w:t>
            </w:r>
          </w:p>
        </w:tc>
        <w:tc>
          <w:tcPr>
            <w:tcW w:w="824" w:type="pc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1"/>
                <w:szCs w:val="21"/>
                <w:u w:val="none"/>
                <w:lang w:eastAsia="zh-CN"/>
              </w:rPr>
            </w:pPr>
            <w:r>
              <w:rPr>
                <w:rFonts w:hint="eastAsia" w:ascii="仿宋" w:hAnsi="仿宋" w:eastAsia="仿宋" w:cs="仿宋"/>
                <w:i w:val="0"/>
                <w:iCs w:val="0"/>
                <w:color w:val="000000"/>
                <w:sz w:val="21"/>
                <w:szCs w:val="21"/>
                <w:u w:val="none"/>
                <w:lang w:eastAsia="zh-CN"/>
              </w:rPr>
              <w:t>本标准</w:t>
            </w:r>
          </w:p>
        </w:tc>
        <w:tc>
          <w:tcPr>
            <w:tcW w:w="1402" w:type="pc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1"/>
                <w:szCs w:val="21"/>
                <w:u w:val="none"/>
                <w:lang w:eastAsia="zh-CN"/>
              </w:rPr>
            </w:pPr>
            <w:r>
              <w:rPr>
                <w:rFonts w:hint="eastAsia" w:ascii="仿宋" w:hAnsi="仿宋" w:eastAsia="仿宋" w:cs="仿宋"/>
                <w:i w:val="0"/>
                <w:iCs w:val="0"/>
                <w:color w:val="000000"/>
                <w:sz w:val="21"/>
                <w:szCs w:val="21"/>
                <w:u w:val="none"/>
                <w:lang w:val="en-US" w:eastAsia="zh-CN"/>
              </w:rPr>
              <w:t>GB/T 33598.2-2020</w:t>
            </w:r>
            <w:r>
              <w:rPr>
                <w:rFonts w:hint="eastAsia" w:ascii="仿宋" w:hAnsi="仿宋" w:eastAsia="仿宋" w:cs="仿宋"/>
                <w:i w:val="0"/>
                <w:iCs w:val="0"/>
                <w:color w:val="000000"/>
                <w:sz w:val="21"/>
                <w:szCs w:val="21"/>
                <w:u w:val="none"/>
                <w:lang w:val="en-US" w:eastAsia="zh-CN"/>
              </w:rPr>
              <w:br w:type="textWrapping"/>
            </w:r>
            <w:r>
              <w:rPr>
                <w:rFonts w:hint="eastAsia" w:ascii="仿宋" w:hAnsi="仿宋" w:eastAsia="仿宋" w:cs="仿宋"/>
                <w:i w:val="0"/>
                <w:iCs w:val="0"/>
                <w:color w:val="000000"/>
                <w:sz w:val="21"/>
                <w:szCs w:val="21"/>
                <w:u w:val="none"/>
                <w:lang w:val="en-US" w:eastAsia="zh-CN"/>
              </w:rPr>
              <w:t>车用动力电池回收利用再生利用第2部分：材料回收要求</w:t>
            </w:r>
          </w:p>
        </w:tc>
        <w:tc>
          <w:tcPr>
            <w:tcW w:w="1178" w:type="pc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T/SPSTS 003-2018磷酸铁锂废旧电池湿法工艺回收利用</w:t>
            </w:r>
          </w:p>
        </w:tc>
        <w:tc>
          <w:tcPr>
            <w:tcW w:w="1178" w:type="pc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T/DZJN 118-2022废旧锂离子电池 磷酸铁锂材料再生利用技术规范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417" w:type="pc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锂回收率</w:t>
            </w:r>
          </w:p>
        </w:tc>
        <w:tc>
          <w:tcPr>
            <w:tcW w:w="824" w:type="pc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不低于90%</w:t>
            </w:r>
          </w:p>
        </w:tc>
        <w:tc>
          <w:tcPr>
            <w:tcW w:w="1402" w:type="pc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不低于85%（从动力蓄电池单体到制得金属纯化液阶段）</w:t>
            </w:r>
          </w:p>
        </w:tc>
        <w:tc>
          <w:tcPr>
            <w:tcW w:w="1178" w:type="pc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不低于90%</w:t>
            </w:r>
          </w:p>
        </w:tc>
        <w:tc>
          <w:tcPr>
            <w:tcW w:w="1178" w:type="pc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不低于90%</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b/>
          <w:bCs/>
          <w:sz w:val="24"/>
          <w:szCs w:val="24"/>
          <w:lang w:eastAsia="zh-CN"/>
        </w:rPr>
        <w:t>副产品</w:t>
      </w:r>
      <w:r>
        <w:rPr>
          <w:rFonts w:hint="eastAsia" w:ascii="仿宋" w:hAnsi="仿宋" w:eastAsia="仿宋" w:cs="仿宋"/>
          <w:sz w:val="24"/>
          <w:szCs w:val="24"/>
          <w:lang w:eastAsia="zh-CN"/>
        </w:rPr>
        <w:t>：湿法回收工艺过程中得到的副产品，宜按以下方式处理：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a)</w:t>
      </w:r>
      <w:r>
        <w:rPr>
          <w:rFonts w:hint="eastAsia" w:ascii="仿宋" w:hAnsi="仿宋" w:eastAsia="仿宋" w:cs="仿宋"/>
          <w:sz w:val="24"/>
          <w:szCs w:val="24"/>
          <w:lang w:eastAsia="zh-CN"/>
        </w:rPr>
        <w:tab/>
      </w:r>
      <w:r>
        <w:rPr>
          <w:rFonts w:hint="eastAsia" w:ascii="仿宋" w:hAnsi="仿宋" w:eastAsia="仿宋" w:cs="仿宋"/>
          <w:sz w:val="24"/>
          <w:szCs w:val="24"/>
          <w:lang w:eastAsia="zh-CN"/>
        </w:rPr>
        <w:t>分选工序后得到的铜、铝交由再生资源回收单位；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b)</w:t>
      </w:r>
      <w:r>
        <w:rPr>
          <w:rFonts w:hint="eastAsia" w:ascii="仿宋" w:hAnsi="仿宋" w:eastAsia="仿宋" w:cs="仿宋"/>
          <w:sz w:val="24"/>
          <w:szCs w:val="24"/>
          <w:lang w:eastAsia="zh-CN"/>
        </w:rPr>
        <w:tab/>
      </w:r>
      <w:r>
        <w:rPr>
          <w:rFonts w:hint="eastAsia" w:ascii="仿宋" w:hAnsi="仿宋" w:eastAsia="仿宋" w:cs="仿宋"/>
          <w:sz w:val="24"/>
          <w:szCs w:val="24"/>
          <w:lang w:eastAsia="zh-CN"/>
        </w:rPr>
        <w:t>分选工序后得到的铝塑膜、钢壳等包装材料冲洗干净后，交由金属废品回收企业；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c)</w:t>
      </w:r>
      <w:r>
        <w:rPr>
          <w:rFonts w:hint="eastAsia" w:ascii="仿宋" w:hAnsi="仿宋" w:eastAsia="仿宋" w:cs="仿宋"/>
          <w:sz w:val="24"/>
          <w:szCs w:val="24"/>
          <w:lang w:eastAsia="zh-CN"/>
        </w:rPr>
        <w:tab/>
      </w:r>
      <w:r>
        <w:rPr>
          <w:rFonts w:hint="eastAsia" w:ascii="仿宋" w:hAnsi="仿宋" w:eastAsia="仿宋" w:cs="仿宋"/>
          <w:sz w:val="24"/>
          <w:szCs w:val="24"/>
          <w:lang w:eastAsia="zh-CN"/>
        </w:rPr>
        <w:t>铁磷渣回收工艺得到的碳渣可用于矿热炉做电极以及炼钢厂做还原剂，也可交由对应的石墨回收企业处理。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sz w:val="24"/>
          <w:szCs w:val="24"/>
          <w:lang w:val="en-US" w:eastAsia="zh-CN"/>
        </w:rPr>
      </w:pPr>
      <w:r>
        <w:rPr>
          <w:rFonts w:hint="eastAsia" w:ascii="仿宋" w:hAnsi="仿宋" w:eastAsia="仿宋" w:cs="仿宋"/>
          <w:b/>
          <w:bCs/>
          <w:sz w:val="24"/>
          <w:szCs w:val="24"/>
          <w:lang w:eastAsia="zh-CN"/>
        </w:rPr>
        <w:t>说明</w:t>
      </w:r>
      <w:r>
        <w:rPr>
          <w:rFonts w:hint="eastAsia" w:ascii="仿宋" w:hAnsi="仿宋" w:eastAsia="仿宋" w:cs="仿宋"/>
          <w:sz w:val="24"/>
          <w:szCs w:val="24"/>
          <w:lang w:eastAsia="zh-CN"/>
        </w:rPr>
        <w:t>：在DB44/T 1371-2014《电动汽车用动力蓄电池回收利用技术条件》第</w:t>
      </w:r>
      <w:r>
        <w:rPr>
          <w:rFonts w:hint="eastAsia" w:ascii="仿宋" w:hAnsi="仿宋" w:eastAsia="仿宋" w:cs="仿宋"/>
          <w:sz w:val="24"/>
          <w:szCs w:val="24"/>
          <w:lang w:val="en-US" w:eastAsia="zh-CN"/>
        </w:rPr>
        <w:t>5.6.1条规定“破碎和分选等过程产生的钢壳、铝壳、铜箔、隔膜纸、塑料应交由相应的企业处理”的基础上，详细给出了具体的回收企业。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w:t>
      </w:r>
      <w:r>
        <w:rPr>
          <w:rFonts w:hint="eastAsia" w:ascii="仿宋" w:hAnsi="仿宋" w:eastAsia="仿宋" w:cs="仿宋"/>
          <w:b/>
          <w:bCs/>
          <w:sz w:val="24"/>
          <w:szCs w:val="24"/>
          <w:lang w:eastAsia="zh-CN"/>
        </w:rPr>
        <w:t>标识</w:t>
      </w:r>
      <w:r>
        <w:rPr>
          <w:rFonts w:hint="eastAsia" w:ascii="仿宋" w:hAnsi="仿宋" w:eastAsia="仿宋" w:cs="仿宋"/>
          <w:sz w:val="24"/>
          <w:szCs w:val="24"/>
          <w:lang w:eastAsia="zh-CN"/>
        </w:rPr>
        <w:t>：回收得到的产品，包装上应标有“电池再生利用材料”字样。</w:t>
      </w:r>
    </w:p>
    <w:p>
      <w:pPr>
        <w:widowControl/>
        <w:numPr>
          <w:ilvl w:val="0"/>
          <w:numId w:val="0"/>
        </w:numPr>
        <w:spacing w:line="360" w:lineRule="auto"/>
        <w:ind w:right="166" w:rightChars="0"/>
        <w:jc w:val="both"/>
        <w:outlineLvl w:val="1"/>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w:t>
      </w:r>
      <w:r>
        <w:rPr>
          <w:rFonts w:hint="eastAsia" w:ascii="仿宋" w:hAnsi="仿宋" w:eastAsia="仿宋" w:cs="仿宋"/>
          <w:b/>
          <w:bCs/>
          <w:kern w:val="0"/>
          <w:sz w:val="24"/>
          <w:szCs w:val="24"/>
          <w:lang w:val="en-US" w:eastAsia="zh-CN"/>
        </w:rPr>
        <w:t>八</w:t>
      </w:r>
      <w:r>
        <w:rPr>
          <w:rFonts w:hint="eastAsia" w:ascii="仿宋" w:hAnsi="仿宋" w:eastAsia="仿宋" w:cs="仿宋"/>
          <w:b/>
          <w:bCs/>
          <w:kern w:val="0"/>
          <w:sz w:val="24"/>
          <w:szCs w:val="24"/>
          <w:lang w:eastAsia="zh-CN"/>
        </w:rPr>
        <w:t>）第8章环境污染和监测要求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主要包括废气污染控制、废水污染控制、固体废物污染控制、噪声污染控制、监测及评估制度应符合HJ 1186—2021《废锂离子动力蓄电池处理污染控制技术规范（试行）》中相对应章节的要求。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eastAsia="zh-CN"/>
        </w:rPr>
        <w:t>附录</w:t>
      </w:r>
      <w:r>
        <w:rPr>
          <w:rFonts w:hint="eastAsia" w:ascii="仿宋" w:hAnsi="仿宋" w:eastAsia="仿宋" w:cs="仿宋"/>
          <w:b/>
          <w:bCs/>
          <w:sz w:val="24"/>
          <w:szCs w:val="24"/>
          <w:lang w:val="en-US" w:eastAsia="zh-CN"/>
        </w:rPr>
        <w:t>A磷酸铁锂废旧电池鉴别方法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b w:val="0"/>
          <w:bCs w:val="0"/>
          <w:sz w:val="24"/>
          <w:szCs w:val="24"/>
          <w:lang w:eastAsia="zh-CN"/>
        </w:rPr>
        <w:t>电池回收和再生利用企业宜根据电池的电子信息、标签、壳体材料、形状和重量等因素综合判断、鉴别电池的种类。标签残缺或从外形无法确认其种类、成分的废旧电池采用元素滴定检测法、仪器检测法鉴别。</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eastAsia="zh-CN"/>
        </w:rPr>
        <w:t>附录</w:t>
      </w:r>
      <w:r>
        <w:rPr>
          <w:rFonts w:hint="eastAsia" w:ascii="仿宋" w:hAnsi="仿宋" w:eastAsia="仿宋" w:cs="仿宋"/>
          <w:b/>
          <w:bCs/>
          <w:sz w:val="24"/>
          <w:szCs w:val="24"/>
          <w:lang w:val="en-US" w:eastAsia="zh-CN"/>
        </w:rPr>
        <w:t>B计算方法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主要包括各类金属元素回收率</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sz w:val="24"/>
          <w:szCs w:val="24"/>
          <w:lang w:val="en-US" w:eastAsia="zh-CN"/>
        </w:rPr>
      </w:pPr>
      <w:r>
        <w:rPr>
          <w:rFonts w:hint="eastAsia" w:ascii="仿宋" w:hAnsi="仿宋" w:eastAsia="仿宋" w:cs="仿宋"/>
          <w:b/>
          <w:bCs/>
          <w:sz w:val="24"/>
          <w:szCs w:val="24"/>
          <w:lang w:eastAsia="zh-CN"/>
        </w:rPr>
        <w:t>说明</w:t>
      </w:r>
      <w:r>
        <w:rPr>
          <w:rFonts w:hint="eastAsia" w:ascii="仿宋" w:hAnsi="仿宋" w:eastAsia="仿宋" w:cs="仿宋"/>
          <w:sz w:val="24"/>
          <w:szCs w:val="24"/>
          <w:lang w:eastAsia="zh-CN"/>
        </w:rPr>
        <w:t>：参考HG/T 5019-2016《废电池中镍钴回收方法》附录</w:t>
      </w:r>
      <w:r>
        <w:rPr>
          <w:rFonts w:hint="eastAsia" w:ascii="仿宋" w:hAnsi="仿宋" w:eastAsia="仿宋" w:cs="仿宋"/>
          <w:sz w:val="24"/>
          <w:szCs w:val="24"/>
          <w:lang w:val="en-US" w:eastAsia="zh-CN"/>
        </w:rPr>
        <w:t>A的计算公式。</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附录C铁磷渣回收工艺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给出了铁磷渣回收生成磷酸铁的工艺流程。</w:t>
      </w:r>
    </w:p>
    <w:p>
      <w:pPr>
        <w:numPr>
          <w:ilvl w:val="0"/>
          <w:numId w:val="0"/>
        </w:numPr>
        <w:spacing w:line="360" w:lineRule="auto"/>
        <w:ind w:leftChars="0" w:right="166" w:rightChars="0"/>
        <w:jc w:val="both"/>
        <w:outlineLvl w:val="0"/>
        <w:rPr>
          <w:rFonts w:hint="eastAsia" w:ascii="仿宋" w:hAnsi="仿宋" w:eastAsia="仿宋" w:cs="仿宋"/>
          <w:b/>
          <w:bCs/>
          <w:sz w:val="24"/>
          <w:szCs w:val="24"/>
        </w:rPr>
      </w:pPr>
      <w:r>
        <w:rPr>
          <w:rFonts w:hint="eastAsia" w:ascii="仿宋" w:hAnsi="仿宋" w:eastAsia="仿宋" w:cs="仿宋"/>
          <w:b/>
          <w:bCs/>
          <w:sz w:val="24"/>
          <w:szCs w:val="24"/>
          <w:lang w:val="en-US" w:eastAsia="zh-CN"/>
        </w:rPr>
        <w:t>四</w:t>
      </w:r>
      <w:r>
        <w:rPr>
          <w:rFonts w:hint="eastAsia" w:ascii="仿宋" w:hAnsi="仿宋" w:eastAsia="仿宋" w:cs="仿宋"/>
          <w:b/>
          <w:bCs/>
          <w:sz w:val="24"/>
          <w:szCs w:val="24"/>
          <w:lang w:eastAsia="zh-CN"/>
        </w:rPr>
        <w:t>、</w:t>
      </w:r>
      <w:r>
        <w:rPr>
          <w:rFonts w:hint="eastAsia" w:ascii="仿宋" w:hAnsi="仿宋" w:eastAsia="仿宋" w:cs="仿宋"/>
          <w:b/>
          <w:bCs/>
          <w:sz w:val="24"/>
          <w:szCs w:val="24"/>
        </w:rPr>
        <w:t>与国内</w:t>
      </w:r>
      <w:r>
        <w:rPr>
          <w:rFonts w:hint="eastAsia" w:ascii="仿宋" w:hAnsi="仿宋" w:eastAsia="仿宋" w:cs="仿宋"/>
          <w:b/>
          <w:sz w:val="24"/>
          <w:szCs w:val="24"/>
          <w:lang w:eastAsia="zh-CN"/>
        </w:rPr>
        <w:t>领先</w:t>
      </w:r>
      <w:r>
        <w:rPr>
          <w:rFonts w:hint="eastAsia" w:ascii="仿宋" w:hAnsi="仿宋" w:eastAsia="仿宋" w:cs="仿宋"/>
          <w:b/>
          <w:bCs/>
          <w:sz w:val="24"/>
          <w:szCs w:val="24"/>
        </w:rPr>
        <w:t>、国际先进标准的对标情况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磷酸铁锂废旧电池回收技术主要集中在我国</w:t>
      </w:r>
      <w:r>
        <w:rPr>
          <w:rFonts w:hint="eastAsia" w:ascii="仿宋" w:hAnsi="仿宋" w:eastAsia="仿宋" w:cs="仿宋"/>
          <w:sz w:val="24"/>
          <w:szCs w:val="24"/>
          <w:lang w:eastAsia="zh-CN"/>
        </w:rPr>
        <w:t>；</w:t>
      </w:r>
      <w:r>
        <w:rPr>
          <w:rFonts w:hint="eastAsia" w:ascii="仿宋" w:hAnsi="仿宋" w:eastAsia="仿宋" w:cs="仿宋"/>
          <w:sz w:val="24"/>
          <w:szCs w:val="24"/>
        </w:rPr>
        <w:t>美、日、韩等国的电池回收技术标准，则更多的是钴酸锂电池和三元电池的回收。国内对于磷酸铁锂电池回收利用研究，正在从研发到产业化的技术转变。基于国内废旧动力电池回收利用的实际情况，</w:t>
      </w:r>
      <w:r>
        <w:rPr>
          <w:rFonts w:hint="eastAsia" w:ascii="仿宋" w:hAnsi="仿宋" w:eastAsia="仿宋" w:cs="仿宋"/>
          <w:sz w:val="24"/>
          <w:szCs w:val="24"/>
          <w:lang w:eastAsia="zh-CN"/>
        </w:rPr>
        <w:t>本标准</w:t>
      </w:r>
      <w:r>
        <w:rPr>
          <w:rFonts w:hint="eastAsia" w:ascii="仿宋" w:hAnsi="仿宋" w:eastAsia="仿宋" w:cs="仿宋"/>
          <w:sz w:val="24"/>
          <w:szCs w:val="24"/>
        </w:rPr>
        <w:t>未采用国际标准或国外相关标准。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在</w:t>
      </w:r>
      <w:r>
        <w:rPr>
          <w:rFonts w:hint="eastAsia" w:ascii="仿宋" w:hAnsi="仿宋" w:eastAsia="仿宋" w:cs="仿宋"/>
          <w:sz w:val="24"/>
          <w:szCs w:val="24"/>
        </w:rPr>
        <w:t>制定过程中，</w:t>
      </w:r>
      <w:r>
        <w:rPr>
          <w:rFonts w:hint="eastAsia" w:ascii="仿宋" w:hAnsi="仿宋" w:eastAsia="仿宋" w:cs="仿宋"/>
          <w:sz w:val="24"/>
          <w:szCs w:val="24"/>
          <w:lang w:eastAsia="zh-CN"/>
        </w:rPr>
        <w:t>起草组成员查询到“电池</w:t>
      </w:r>
      <w:r>
        <w:rPr>
          <w:rFonts w:hint="eastAsia" w:ascii="仿宋" w:hAnsi="仿宋" w:eastAsia="仿宋" w:cs="仿宋"/>
          <w:sz w:val="24"/>
          <w:szCs w:val="24"/>
          <w:lang w:val="en-US" w:eastAsia="zh-CN"/>
        </w:rPr>
        <w:t xml:space="preserve"> 回收/再生</w:t>
      </w:r>
      <w:r>
        <w:rPr>
          <w:rFonts w:hint="eastAsia" w:ascii="仿宋" w:hAnsi="仿宋" w:eastAsia="仿宋" w:cs="仿宋"/>
          <w:sz w:val="24"/>
          <w:szCs w:val="24"/>
          <w:lang w:eastAsia="zh-CN"/>
        </w:rPr>
        <w:t>”标准</w:t>
      </w:r>
      <w:r>
        <w:rPr>
          <w:rFonts w:hint="eastAsia" w:ascii="仿宋" w:hAnsi="仿宋" w:eastAsia="仿宋" w:cs="仿宋"/>
          <w:sz w:val="24"/>
          <w:szCs w:val="24"/>
          <w:lang w:val="en-US" w:eastAsia="zh-CN"/>
        </w:rPr>
        <w:t>30余项，通过分析，涉及电池回收利用工艺的有26项，大部分仅涉及再生利用工艺前处理（收集、运输、贮存、放电、拆解等）要求，涉及电池湿法回收工艺的标准仅有5项，涉及回收工艺部分工序的标准5项。</w:t>
      </w:r>
      <w:r>
        <w:rPr>
          <w:rFonts w:hint="eastAsia" w:ascii="仿宋" w:hAnsi="仿宋" w:eastAsia="仿宋" w:cs="仿宋"/>
          <w:sz w:val="24"/>
          <w:szCs w:val="24"/>
          <w:lang w:eastAsia="zh-CN"/>
        </w:rPr>
        <w:t>本标准这些相关标准及国内相关</w:t>
      </w:r>
      <w:r>
        <w:rPr>
          <w:rFonts w:hint="eastAsia" w:ascii="仿宋" w:hAnsi="仿宋" w:eastAsia="仿宋" w:cs="仿宋"/>
          <w:sz w:val="24"/>
          <w:szCs w:val="24"/>
        </w:rPr>
        <w:t>政策、法规</w:t>
      </w:r>
      <w:r>
        <w:rPr>
          <w:rFonts w:hint="eastAsia" w:ascii="仿宋" w:hAnsi="仿宋" w:eastAsia="仿宋" w:cs="仿宋"/>
          <w:sz w:val="24"/>
          <w:szCs w:val="24"/>
          <w:lang w:eastAsia="zh-CN"/>
        </w:rPr>
        <w:t>规定的指标</w:t>
      </w:r>
      <w:r>
        <w:rPr>
          <w:rFonts w:hint="eastAsia" w:ascii="仿宋" w:hAnsi="仿宋" w:eastAsia="仿宋" w:cs="仿宋"/>
          <w:sz w:val="24"/>
          <w:szCs w:val="24"/>
        </w:rPr>
        <w:t>进行了充分协调</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表：涉及</w:t>
      </w:r>
      <w:r>
        <w:rPr>
          <w:rFonts w:hint="eastAsia" w:ascii="仿宋" w:hAnsi="仿宋" w:eastAsia="仿宋" w:cs="仿宋"/>
          <w:sz w:val="24"/>
          <w:szCs w:val="24"/>
          <w:lang w:val="en-US" w:eastAsia="zh-CN"/>
        </w:rPr>
        <w:t>电池回收全流程工艺的标准</w:t>
      </w:r>
    </w:p>
    <w:tbl>
      <w:tblPr>
        <w:tblStyle w:val="2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358"/>
        <w:gridCol w:w="1455"/>
        <w:gridCol w:w="2295"/>
        <w:gridCol w:w="2865"/>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trPr>
        <w:tc>
          <w:tcPr>
            <w:tcW w:w="195" w:type="pct"/>
            <w:shd w:val="clear" w:color="auto" w:fill="FFFFFF" w:themeFill="background1"/>
            <w:vAlign w:val="center"/>
          </w:tcPr>
          <w:p>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sz w:val="21"/>
                <w:szCs w:val="21"/>
                <w:u w:val="none"/>
                <w:lang w:eastAsia="zh-CN"/>
              </w:rPr>
            </w:pPr>
            <w:r>
              <w:rPr>
                <w:rFonts w:hint="eastAsia" w:ascii="仿宋" w:hAnsi="仿宋" w:eastAsia="仿宋" w:cs="仿宋"/>
                <w:i w:val="0"/>
                <w:iCs w:val="0"/>
                <w:color w:val="000000"/>
                <w:sz w:val="21"/>
                <w:szCs w:val="21"/>
                <w:u w:val="none"/>
                <w:lang w:eastAsia="zh-CN"/>
              </w:rPr>
              <w:t>序号</w:t>
            </w:r>
          </w:p>
        </w:tc>
        <w:tc>
          <w:tcPr>
            <w:tcW w:w="793"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1"/>
                <w:szCs w:val="21"/>
                <w:u w:val="none"/>
              </w:rPr>
            </w:pPr>
            <w:r>
              <w:rPr>
                <w:rStyle w:val="66"/>
                <w:rFonts w:hint="eastAsia" w:ascii="仿宋" w:hAnsi="仿宋" w:eastAsia="仿宋" w:cs="仿宋"/>
                <w:sz w:val="21"/>
                <w:szCs w:val="21"/>
                <w:lang w:val="en-US" w:eastAsia="zh-CN" w:bidi="ar"/>
              </w:rPr>
              <w:t>标准编号</w:t>
            </w:r>
          </w:p>
        </w:tc>
        <w:tc>
          <w:tcPr>
            <w:tcW w:w="1251"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sz w:val="21"/>
                <w:szCs w:val="21"/>
                <w:u w:val="none"/>
              </w:rPr>
            </w:pPr>
            <w:r>
              <w:rPr>
                <w:rStyle w:val="66"/>
                <w:rFonts w:hint="eastAsia" w:ascii="仿宋" w:hAnsi="仿宋" w:eastAsia="仿宋" w:cs="仿宋"/>
                <w:sz w:val="21"/>
                <w:szCs w:val="21"/>
                <w:lang w:val="en-US" w:eastAsia="zh-CN" w:bidi="ar"/>
              </w:rPr>
              <w:t>标准名称</w:t>
            </w:r>
          </w:p>
        </w:tc>
        <w:tc>
          <w:tcPr>
            <w:tcW w:w="1562"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Style w:val="66"/>
                <w:rFonts w:hint="eastAsia" w:ascii="仿宋" w:hAnsi="仿宋" w:eastAsia="仿宋" w:cs="仿宋"/>
                <w:sz w:val="21"/>
                <w:szCs w:val="21"/>
                <w:lang w:val="en-US" w:eastAsia="zh-CN" w:bidi="ar"/>
              </w:rPr>
            </w:pPr>
            <w:r>
              <w:rPr>
                <w:rStyle w:val="66"/>
                <w:rFonts w:hint="eastAsia" w:ascii="仿宋" w:hAnsi="仿宋" w:eastAsia="仿宋" w:cs="仿宋"/>
                <w:sz w:val="21"/>
                <w:szCs w:val="21"/>
                <w:lang w:val="en-US" w:eastAsia="zh-CN" w:bidi="ar"/>
              </w:rPr>
              <w:t>涉及内容</w:t>
            </w:r>
          </w:p>
        </w:tc>
        <w:tc>
          <w:tcPr>
            <w:tcW w:w="1196"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Style w:val="66"/>
                <w:rFonts w:hint="eastAsia" w:ascii="仿宋" w:hAnsi="仿宋" w:eastAsia="仿宋" w:cs="仿宋"/>
                <w:sz w:val="21"/>
                <w:szCs w:val="21"/>
                <w:lang w:val="en-US" w:eastAsia="zh-CN" w:bidi="ar"/>
              </w:rPr>
            </w:pPr>
            <w:r>
              <w:rPr>
                <w:rStyle w:val="66"/>
                <w:rFonts w:hint="eastAsia" w:ascii="仿宋" w:hAnsi="仿宋" w:eastAsia="仿宋" w:cs="仿宋"/>
                <w:sz w:val="21"/>
                <w:szCs w:val="21"/>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trPr>
        <w:tc>
          <w:tcPr>
            <w:tcW w:w="195" w:type="pct"/>
            <w:shd w:val="clear" w:color="auto" w:fill="FFFFFF" w:themeFill="background1"/>
            <w:vAlign w:val="center"/>
          </w:tcPr>
          <w:p>
            <w:pPr>
              <w:keepNext w:val="0"/>
              <w:keepLines w:val="0"/>
              <w:widowControl/>
              <w:numPr>
                <w:ilvl w:val="0"/>
                <w:numId w:val="12"/>
              </w:numPr>
              <w:suppressLineNumbers w:val="0"/>
              <w:spacing w:before="0" w:beforeAutospacing="0" w:after="0" w:afterAutospacing="0"/>
              <w:ind w:left="425" w:leftChars="0" w:right="0" w:hanging="425" w:firstLineChars="0"/>
              <w:jc w:val="center"/>
              <w:textAlignment w:val="top"/>
              <w:rPr>
                <w:rFonts w:hint="eastAsia" w:ascii="仿宋" w:hAnsi="仿宋" w:eastAsia="仿宋" w:cs="仿宋"/>
                <w:i w:val="0"/>
                <w:iCs w:val="0"/>
                <w:color w:val="000000"/>
                <w:kern w:val="0"/>
                <w:sz w:val="21"/>
                <w:szCs w:val="21"/>
                <w:u w:val="none"/>
                <w:lang w:val="en-US" w:eastAsia="zh-CN" w:bidi="ar"/>
              </w:rPr>
            </w:pPr>
          </w:p>
        </w:tc>
        <w:tc>
          <w:tcPr>
            <w:tcW w:w="793"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33059-2016</w:t>
            </w:r>
          </w:p>
        </w:tc>
        <w:tc>
          <w:tcPr>
            <w:tcW w:w="1251"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锂离子电池材料废弃物回收利用的处理方法</w:t>
            </w:r>
          </w:p>
        </w:tc>
        <w:tc>
          <w:tcPr>
            <w:tcW w:w="1562"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i w:val="0"/>
                <w:iCs w:val="0"/>
                <w:color w:val="000000"/>
                <w:kern w:val="2"/>
                <w:sz w:val="21"/>
                <w:szCs w:val="21"/>
                <w:u w:val="none"/>
                <w:lang w:val="en-US" w:eastAsia="zh-CN" w:bidi="ar-SA"/>
              </w:rPr>
            </w:pPr>
            <w:r>
              <w:rPr>
                <w:rStyle w:val="67"/>
                <w:rFonts w:hint="eastAsia" w:ascii="仿宋" w:hAnsi="仿宋" w:eastAsia="仿宋" w:cs="仿宋"/>
                <w:sz w:val="21"/>
                <w:szCs w:val="21"/>
                <w:lang w:val="en-US" w:eastAsia="zh-CN" w:bidi="ar"/>
              </w:rPr>
              <w:t>锂离子电池材料废弃物中镍、钴、锰、铜、铝的湿法回收工艺及其控制要求</w:t>
            </w:r>
          </w:p>
        </w:tc>
        <w:tc>
          <w:tcPr>
            <w:tcW w:w="1196"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top"/>
              <w:rPr>
                <w:rStyle w:val="67"/>
                <w:rFonts w:hint="eastAsia" w:ascii="仿宋" w:hAnsi="仿宋" w:eastAsia="仿宋" w:cs="仿宋"/>
                <w:sz w:val="21"/>
                <w:szCs w:val="21"/>
                <w:lang w:val="en-US" w:eastAsia="zh-CN" w:bidi="ar"/>
              </w:rPr>
            </w:pPr>
            <w:r>
              <w:rPr>
                <w:rFonts w:hint="eastAsia" w:ascii="仿宋" w:hAnsi="仿宋" w:eastAsia="仿宋" w:cs="仿宋"/>
                <w:i w:val="0"/>
                <w:iCs w:val="0"/>
                <w:color w:val="000000"/>
                <w:kern w:val="0"/>
                <w:sz w:val="21"/>
                <w:szCs w:val="21"/>
                <w:u w:val="none"/>
                <w:lang w:val="en-US" w:eastAsia="zh-CN" w:bidi="ar"/>
              </w:rPr>
              <w:t>不适用于锂离子电池和锂元素回收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trPr>
        <w:tc>
          <w:tcPr>
            <w:tcW w:w="195" w:type="pct"/>
            <w:shd w:val="clear" w:color="auto" w:fill="FFFFFF" w:themeFill="background1"/>
            <w:vAlign w:val="center"/>
          </w:tcPr>
          <w:p>
            <w:pPr>
              <w:keepNext w:val="0"/>
              <w:keepLines w:val="0"/>
              <w:widowControl/>
              <w:numPr>
                <w:ilvl w:val="0"/>
                <w:numId w:val="12"/>
              </w:numPr>
              <w:suppressLineNumbers w:val="0"/>
              <w:spacing w:before="0" w:beforeAutospacing="0" w:after="0" w:afterAutospacing="0"/>
              <w:ind w:left="425" w:leftChars="0" w:right="0" w:hanging="425" w:firstLineChars="0"/>
              <w:jc w:val="center"/>
              <w:textAlignment w:val="top"/>
              <w:rPr>
                <w:rFonts w:hint="eastAsia" w:ascii="仿宋" w:hAnsi="仿宋" w:eastAsia="仿宋" w:cs="仿宋"/>
                <w:i w:val="0"/>
                <w:iCs w:val="0"/>
                <w:color w:val="000000"/>
                <w:kern w:val="0"/>
                <w:sz w:val="21"/>
                <w:szCs w:val="21"/>
                <w:u w:val="none"/>
                <w:lang w:val="en-US" w:eastAsia="zh-CN" w:bidi="ar"/>
              </w:rPr>
            </w:pPr>
          </w:p>
        </w:tc>
        <w:tc>
          <w:tcPr>
            <w:tcW w:w="793"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33062-2016</w:t>
            </w:r>
          </w:p>
        </w:tc>
        <w:tc>
          <w:tcPr>
            <w:tcW w:w="1251"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镍氢电池材料废弃物回收利用的处理方法</w:t>
            </w:r>
          </w:p>
        </w:tc>
        <w:tc>
          <w:tcPr>
            <w:tcW w:w="1562"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镍氢电池材料废弃物中镍、铜、稀土的湿法回收工艺及控制要求</w:t>
            </w:r>
          </w:p>
        </w:tc>
        <w:tc>
          <w:tcPr>
            <w:tcW w:w="1196"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不适用于锂离子电池和锂元素回收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5" w:type="pct"/>
            <w:shd w:val="clear" w:color="auto" w:fill="FFFFFF" w:themeFill="background1"/>
            <w:vAlign w:val="center"/>
          </w:tcPr>
          <w:p>
            <w:pPr>
              <w:keepNext w:val="0"/>
              <w:keepLines w:val="0"/>
              <w:widowControl/>
              <w:numPr>
                <w:ilvl w:val="0"/>
                <w:numId w:val="12"/>
              </w:numPr>
              <w:suppressLineNumbers w:val="0"/>
              <w:spacing w:before="0" w:beforeAutospacing="0" w:after="0" w:afterAutospacing="0"/>
              <w:ind w:left="425" w:leftChars="0" w:right="0" w:hanging="425" w:firstLineChars="0"/>
              <w:jc w:val="center"/>
              <w:textAlignment w:val="top"/>
              <w:rPr>
                <w:rFonts w:hint="eastAsia" w:ascii="仿宋" w:hAnsi="仿宋" w:eastAsia="仿宋" w:cs="仿宋"/>
                <w:i w:val="0"/>
                <w:iCs w:val="0"/>
                <w:color w:val="000000"/>
                <w:kern w:val="0"/>
                <w:sz w:val="21"/>
                <w:szCs w:val="21"/>
                <w:u w:val="none"/>
                <w:lang w:val="en-US" w:eastAsia="zh-CN" w:bidi="ar"/>
              </w:rPr>
            </w:pPr>
          </w:p>
        </w:tc>
        <w:tc>
          <w:tcPr>
            <w:tcW w:w="793"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HG/T 5019-2016</w:t>
            </w:r>
          </w:p>
        </w:tc>
        <w:tc>
          <w:tcPr>
            <w:tcW w:w="1251"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2"/>
                <w:sz w:val="21"/>
                <w:szCs w:val="21"/>
                <w:u w:val="none"/>
                <w:lang w:val="en-US" w:eastAsia="zh-CN" w:bidi="ar-SA"/>
              </w:rPr>
            </w:pPr>
            <w:r>
              <w:rPr>
                <w:rFonts w:hint="eastAsia" w:ascii="仿宋" w:hAnsi="仿宋" w:eastAsia="仿宋" w:cs="仿宋"/>
                <w:i w:val="0"/>
                <w:iCs w:val="0"/>
                <w:color w:val="000000"/>
                <w:kern w:val="0"/>
                <w:sz w:val="21"/>
                <w:szCs w:val="21"/>
                <w:u w:val="none"/>
                <w:lang w:val="en-US" w:eastAsia="zh-CN" w:bidi="ar"/>
              </w:rPr>
              <w:t>废电池中镍钴回收方法</w:t>
            </w:r>
          </w:p>
        </w:tc>
        <w:tc>
          <w:tcPr>
            <w:tcW w:w="1562"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含镍、钴元素的废旧电池的湿法回收工艺</w:t>
            </w:r>
          </w:p>
        </w:tc>
        <w:tc>
          <w:tcPr>
            <w:tcW w:w="1196"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top"/>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不适用于锂离子电池和锂元素回收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trPr>
        <w:tc>
          <w:tcPr>
            <w:tcW w:w="195" w:type="pct"/>
            <w:shd w:val="clear" w:color="auto" w:fill="FFFFFF" w:themeFill="background1"/>
            <w:vAlign w:val="center"/>
          </w:tcPr>
          <w:p>
            <w:pPr>
              <w:keepNext w:val="0"/>
              <w:keepLines w:val="0"/>
              <w:widowControl/>
              <w:numPr>
                <w:ilvl w:val="0"/>
                <w:numId w:val="12"/>
              </w:numPr>
              <w:suppressLineNumbers w:val="0"/>
              <w:spacing w:before="0" w:beforeAutospacing="0" w:after="0" w:afterAutospacing="0"/>
              <w:ind w:left="425" w:leftChars="0" w:right="0" w:hanging="425" w:firstLineChars="0"/>
              <w:jc w:val="center"/>
              <w:textAlignment w:val="top"/>
              <w:rPr>
                <w:rFonts w:hint="eastAsia" w:ascii="仿宋" w:hAnsi="仿宋" w:eastAsia="仿宋" w:cs="仿宋"/>
                <w:i w:val="0"/>
                <w:iCs w:val="0"/>
                <w:color w:val="000000"/>
                <w:kern w:val="0"/>
                <w:sz w:val="21"/>
                <w:szCs w:val="21"/>
                <w:u w:val="none"/>
                <w:lang w:val="en-US" w:eastAsia="zh-CN" w:bidi="ar"/>
              </w:rPr>
            </w:pPr>
          </w:p>
        </w:tc>
        <w:tc>
          <w:tcPr>
            <w:tcW w:w="793"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T/SPSTS 003-2018</w:t>
            </w:r>
          </w:p>
        </w:tc>
        <w:tc>
          <w:tcPr>
            <w:tcW w:w="1251"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磷酸铁锂废旧电池湿法工艺回收利用</w:t>
            </w:r>
          </w:p>
        </w:tc>
        <w:tc>
          <w:tcPr>
            <w:tcW w:w="1562"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磷酸铁锂废旧电池湿法回收工艺流程及控制条件</w:t>
            </w:r>
          </w:p>
        </w:tc>
        <w:tc>
          <w:tcPr>
            <w:tcW w:w="1196"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起草单位发布团标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5" w:type="pct"/>
            <w:shd w:val="clear" w:color="auto" w:fill="FFFFFF" w:themeFill="background1"/>
            <w:vAlign w:val="center"/>
          </w:tcPr>
          <w:p>
            <w:pPr>
              <w:keepNext w:val="0"/>
              <w:keepLines w:val="0"/>
              <w:widowControl/>
              <w:numPr>
                <w:ilvl w:val="0"/>
                <w:numId w:val="12"/>
              </w:numPr>
              <w:suppressLineNumbers w:val="0"/>
              <w:spacing w:before="0" w:beforeAutospacing="0" w:after="0" w:afterAutospacing="0"/>
              <w:ind w:left="425" w:leftChars="0" w:right="0" w:hanging="425" w:firstLineChars="0"/>
              <w:jc w:val="center"/>
              <w:textAlignment w:val="top"/>
              <w:rPr>
                <w:rFonts w:hint="eastAsia" w:ascii="仿宋" w:hAnsi="仿宋" w:eastAsia="仿宋" w:cs="仿宋"/>
                <w:i w:val="0"/>
                <w:iCs w:val="0"/>
                <w:color w:val="000000"/>
                <w:kern w:val="0"/>
                <w:sz w:val="21"/>
                <w:szCs w:val="21"/>
                <w:u w:val="none"/>
                <w:lang w:val="en-US" w:eastAsia="zh-CN" w:bidi="ar"/>
              </w:rPr>
            </w:pPr>
          </w:p>
        </w:tc>
        <w:tc>
          <w:tcPr>
            <w:tcW w:w="793"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T/DZJN 118-2022</w:t>
            </w:r>
          </w:p>
        </w:tc>
        <w:tc>
          <w:tcPr>
            <w:tcW w:w="1251"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废旧锂离子电池 磷酸铁锂材料再生利用技术规范</w:t>
            </w:r>
          </w:p>
        </w:tc>
        <w:tc>
          <w:tcPr>
            <w:tcW w:w="1562"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磷酸铁锂废旧电池湿法回收工艺流程及控制条件</w:t>
            </w:r>
          </w:p>
        </w:tc>
        <w:tc>
          <w:tcPr>
            <w:tcW w:w="1196"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与T/SPSTS 003-2018内容基本一致</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表：涉及</w:t>
      </w:r>
      <w:r>
        <w:rPr>
          <w:rFonts w:hint="eastAsia" w:ascii="仿宋" w:hAnsi="仿宋" w:eastAsia="仿宋" w:cs="仿宋"/>
          <w:sz w:val="24"/>
          <w:szCs w:val="24"/>
          <w:lang w:val="en-US" w:eastAsia="zh-CN"/>
        </w:rPr>
        <w:t>电池回收部分工艺的标准</w:t>
      </w:r>
    </w:p>
    <w:tbl>
      <w:tblPr>
        <w:tblStyle w:val="2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796"/>
        <w:gridCol w:w="2651"/>
        <w:gridCol w:w="5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trPr>
        <w:tc>
          <w:tcPr>
            <w:tcW w:w="434" w:type="pct"/>
            <w:shd w:val="clear" w:color="auto" w:fill="FFFFFF" w:themeFill="background1"/>
            <w:vAlign w:val="center"/>
          </w:tcPr>
          <w:p>
            <w:pPr>
              <w:keepNext w:val="0"/>
              <w:keepLines w:val="0"/>
              <w:suppressLineNumbers w:val="0"/>
              <w:spacing w:before="0" w:beforeAutospacing="0" w:after="0" w:afterAutospacing="0"/>
              <w:ind w:left="0" w:right="0"/>
              <w:jc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sz w:val="21"/>
                <w:szCs w:val="21"/>
                <w:u w:val="none"/>
                <w:lang w:eastAsia="zh-CN"/>
              </w:rPr>
              <w:t>序号</w:t>
            </w:r>
          </w:p>
        </w:tc>
        <w:tc>
          <w:tcPr>
            <w:tcW w:w="1445"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Style w:val="66"/>
                <w:rFonts w:hint="eastAsia" w:ascii="仿宋" w:hAnsi="仿宋" w:eastAsia="仿宋" w:cs="仿宋"/>
                <w:sz w:val="21"/>
                <w:szCs w:val="21"/>
                <w:lang w:val="en-US" w:eastAsia="zh-CN" w:bidi="ar"/>
              </w:rPr>
              <w:t>标准编号</w:t>
            </w:r>
          </w:p>
        </w:tc>
        <w:tc>
          <w:tcPr>
            <w:tcW w:w="3119"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Style w:val="66"/>
                <w:rFonts w:hint="eastAsia" w:ascii="仿宋" w:hAnsi="仿宋" w:eastAsia="仿宋" w:cs="仿宋"/>
                <w:sz w:val="21"/>
                <w:szCs w:val="21"/>
                <w:lang w:val="en-US" w:eastAsia="zh-CN" w:bidi="ar"/>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trPr>
        <w:tc>
          <w:tcPr>
            <w:tcW w:w="434" w:type="pct"/>
            <w:shd w:val="clear" w:color="auto" w:fill="FFFFFF" w:themeFill="background1"/>
            <w:vAlign w:val="center"/>
          </w:tcPr>
          <w:p>
            <w:pPr>
              <w:keepNext w:val="0"/>
              <w:keepLines w:val="0"/>
              <w:widowControl/>
              <w:numPr>
                <w:ilvl w:val="0"/>
                <w:numId w:val="13"/>
              </w:numPr>
              <w:suppressLineNumbers w:val="0"/>
              <w:spacing w:before="0" w:beforeAutospacing="0" w:after="0" w:afterAutospacing="0"/>
              <w:ind w:left="425" w:leftChars="0" w:right="0" w:hanging="425" w:firstLineChars="0"/>
              <w:jc w:val="center"/>
              <w:textAlignment w:val="top"/>
              <w:rPr>
                <w:rFonts w:hint="eastAsia" w:ascii="仿宋" w:hAnsi="仿宋" w:eastAsia="仿宋" w:cs="仿宋"/>
                <w:i w:val="0"/>
                <w:iCs w:val="0"/>
                <w:color w:val="000000"/>
                <w:kern w:val="0"/>
                <w:sz w:val="21"/>
                <w:szCs w:val="21"/>
                <w:u w:val="none"/>
                <w:lang w:val="en-US" w:eastAsia="zh-CN" w:bidi="ar"/>
              </w:rPr>
            </w:pPr>
          </w:p>
        </w:tc>
        <w:tc>
          <w:tcPr>
            <w:tcW w:w="1445"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GB/T33598-2017</w:t>
            </w:r>
          </w:p>
        </w:tc>
        <w:tc>
          <w:tcPr>
            <w:tcW w:w="3119"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车用动力电池回收利用拆解规范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trPr>
        <w:tc>
          <w:tcPr>
            <w:tcW w:w="434" w:type="pct"/>
            <w:shd w:val="clear" w:color="auto" w:fill="FFFFFF" w:themeFill="background1"/>
            <w:vAlign w:val="center"/>
          </w:tcPr>
          <w:p>
            <w:pPr>
              <w:keepNext w:val="0"/>
              <w:keepLines w:val="0"/>
              <w:widowControl/>
              <w:numPr>
                <w:ilvl w:val="0"/>
                <w:numId w:val="13"/>
              </w:numPr>
              <w:suppressLineNumbers w:val="0"/>
              <w:spacing w:before="0" w:beforeAutospacing="0" w:after="0" w:afterAutospacing="0"/>
              <w:ind w:left="425" w:leftChars="0" w:right="0" w:hanging="425" w:firstLineChars="0"/>
              <w:jc w:val="center"/>
              <w:textAlignment w:val="top"/>
              <w:rPr>
                <w:rFonts w:hint="eastAsia" w:ascii="仿宋" w:hAnsi="仿宋" w:eastAsia="仿宋" w:cs="仿宋"/>
                <w:i w:val="0"/>
                <w:iCs w:val="0"/>
                <w:color w:val="000000"/>
                <w:kern w:val="0"/>
                <w:sz w:val="21"/>
                <w:szCs w:val="21"/>
                <w:u w:val="none"/>
                <w:lang w:val="en-US" w:eastAsia="zh-CN" w:bidi="ar"/>
              </w:rPr>
            </w:pPr>
          </w:p>
        </w:tc>
        <w:tc>
          <w:tcPr>
            <w:tcW w:w="1445"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33598.3-2021</w:t>
            </w:r>
          </w:p>
        </w:tc>
        <w:tc>
          <w:tcPr>
            <w:tcW w:w="3119"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车用动力电池回收利用再生利用第3部分：放电规范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trPr>
        <w:tc>
          <w:tcPr>
            <w:tcW w:w="434" w:type="pct"/>
            <w:shd w:val="clear" w:color="auto" w:fill="FFFFFF" w:themeFill="background1"/>
            <w:vAlign w:val="center"/>
          </w:tcPr>
          <w:p>
            <w:pPr>
              <w:keepNext w:val="0"/>
              <w:keepLines w:val="0"/>
              <w:widowControl/>
              <w:numPr>
                <w:ilvl w:val="0"/>
                <w:numId w:val="13"/>
              </w:numPr>
              <w:suppressLineNumbers w:val="0"/>
              <w:spacing w:before="0" w:beforeAutospacing="0" w:after="0" w:afterAutospacing="0"/>
              <w:ind w:left="425" w:leftChars="0" w:right="0" w:hanging="425" w:firstLineChars="0"/>
              <w:jc w:val="center"/>
              <w:textAlignment w:val="top"/>
              <w:rPr>
                <w:rFonts w:hint="eastAsia" w:ascii="仿宋" w:hAnsi="仿宋" w:eastAsia="仿宋" w:cs="仿宋"/>
                <w:i w:val="0"/>
                <w:iCs w:val="0"/>
                <w:color w:val="000000"/>
                <w:kern w:val="0"/>
                <w:sz w:val="21"/>
                <w:szCs w:val="21"/>
                <w:u w:val="none"/>
                <w:lang w:val="en-US" w:eastAsia="zh-CN" w:bidi="ar"/>
              </w:rPr>
            </w:pPr>
          </w:p>
        </w:tc>
        <w:tc>
          <w:tcPr>
            <w:tcW w:w="1445"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HG/T 5815-2020</w:t>
            </w:r>
          </w:p>
        </w:tc>
        <w:tc>
          <w:tcPr>
            <w:tcW w:w="3119"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废电池化学放电技术规范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trPr>
        <w:tc>
          <w:tcPr>
            <w:tcW w:w="434" w:type="pct"/>
            <w:shd w:val="clear" w:color="auto" w:fill="FFFFFF" w:themeFill="background1"/>
            <w:vAlign w:val="center"/>
          </w:tcPr>
          <w:p>
            <w:pPr>
              <w:keepNext w:val="0"/>
              <w:keepLines w:val="0"/>
              <w:widowControl/>
              <w:numPr>
                <w:ilvl w:val="0"/>
                <w:numId w:val="13"/>
              </w:numPr>
              <w:suppressLineNumbers w:val="0"/>
              <w:spacing w:before="0" w:beforeAutospacing="0" w:after="0" w:afterAutospacing="0"/>
              <w:ind w:left="425" w:leftChars="0" w:right="0" w:hanging="425" w:firstLineChars="0"/>
              <w:jc w:val="center"/>
              <w:textAlignment w:val="top"/>
              <w:rPr>
                <w:rFonts w:hint="eastAsia" w:ascii="仿宋" w:hAnsi="仿宋" w:eastAsia="仿宋" w:cs="仿宋"/>
                <w:i w:val="0"/>
                <w:iCs w:val="0"/>
                <w:color w:val="000000"/>
                <w:kern w:val="0"/>
                <w:sz w:val="21"/>
                <w:szCs w:val="21"/>
                <w:u w:val="none"/>
                <w:lang w:val="en-US" w:eastAsia="zh-CN" w:bidi="ar"/>
              </w:rPr>
            </w:pPr>
          </w:p>
        </w:tc>
        <w:tc>
          <w:tcPr>
            <w:tcW w:w="1445"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HG/T 5816-2020</w:t>
            </w:r>
          </w:p>
        </w:tc>
        <w:tc>
          <w:tcPr>
            <w:tcW w:w="3119"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废电池回收热解技术规范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97" w:hRule="atLeast"/>
        </w:trPr>
        <w:tc>
          <w:tcPr>
            <w:tcW w:w="434" w:type="pct"/>
            <w:shd w:val="clear" w:color="auto" w:fill="FFFFFF" w:themeFill="background1"/>
            <w:vAlign w:val="center"/>
          </w:tcPr>
          <w:p>
            <w:pPr>
              <w:keepNext w:val="0"/>
              <w:keepLines w:val="0"/>
              <w:widowControl/>
              <w:numPr>
                <w:ilvl w:val="0"/>
                <w:numId w:val="13"/>
              </w:numPr>
              <w:suppressLineNumbers w:val="0"/>
              <w:spacing w:before="0" w:beforeAutospacing="0" w:after="0" w:afterAutospacing="0"/>
              <w:ind w:left="425" w:leftChars="0" w:right="0" w:hanging="425" w:firstLineChars="0"/>
              <w:jc w:val="center"/>
              <w:textAlignment w:val="top"/>
              <w:rPr>
                <w:rFonts w:hint="eastAsia" w:ascii="仿宋" w:hAnsi="仿宋" w:eastAsia="仿宋" w:cs="仿宋"/>
                <w:i w:val="0"/>
                <w:iCs w:val="0"/>
                <w:color w:val="000000"/>
                <w:kern w:val="0"/>
                <w:sz w:val="21"/>
                <w:szCs w:val="21"/>
                <w:u w:val="none"/>
                <w:lang w:val="en-US" w:eastAsia="zh-CN" w:bidi="ar"/>
              </w:rPr>
            </w:pPr>
          </w:p>
        </w:tc>
        <w:tc>
          <w:tcPr>
            <w:tcW w:w="1445"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YS/T 1174-2017</w:t>
            </w:r>
          </w:p>
        </w:tc>
        <w:tc>
          <w:tcPr>
            <w:tcW w:w="3119" w:type="pct"/>
            <w:shd w:val="clear" w:color="auto" w:fill="FFFFFF" w:themeFill="background1"/>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废旧电池破碎分选回收技术规范</w:t>
            </w:r>
          </w:p>
        </w:tc>
      </w:tr>
    </w:tbl>
    <w:p>
      <w:pPr>
        <w:numPr>
          <w:ilvl w:val="0"/>
          <w:numId w:val="0"/>
        </w:numPr>
        <w:spacing w:line="360" w:lineRule="auto"/>
        <w:ind w:left="0" w:leftChars="0" w:right="166" w:rightChars="0" w:firstLine="0" w:firstLineChars="0"/>
        <w:jc w:val="both"/>
        <w:outlineLvl w:val="0"/>
        <w:rPr>
          <w:rFonts w:hint="eastAsia" w:ascii="仿宋" w:hAnsi="仿宋" w:eastAsia="仿宋" w:cs="仿宋"/>
          <w:b/>
          <w:sz w:val="24"/>
          <w:szCs w:val="24"/>
          <w:lang w:eastAsia="zh-CN"/>
        </w:rPr>
      </w:pPr>
      <w:r>
        <w:rPr>
          <w:rFonts w:hint="eastAsia" w:ascii="仿宋" w:hAnsi="仿宋" w:eastAsia="仿宋" w:cs="仿宋"/>
          <w:b/>
          <w:kern w:val="2"/>
          <w:sz w:val="24"/>
          <w:szCs w:val="24"/>
          <w:lang w:val="en-US" w:eastAsia="zh-CN" w:bidi="ar-SA"/>
        </w:rPr>
        <w:t>五、</w:t>
      </w:r>
      <w:r>
        <w:rPr>
          <w:rFonts w:hint="eastAsia" w:ascii="仿宋" w:hAnsi="仿宋" w:eastAsia="仿宋" w:cs="仿宋"/>
          <w:b/>
          <w:sz w:val="24"/>
          <w:szCs w:val="24"/>
          <w:lang w:eastAsia="zh-CN"/>
        </w:rPr>
        <w:t>涉及专利等知识产权情况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sz w:val="24"/>
          <w:szCs w:val="24"/>
          <w:lang w:eastAsia="zh-CN"/>
        </w:rPr>
      </w:pPr>
      <w:r>
        <w:rPr>
          <w:rFonts w:hint="eastAsia" w:ascii="仿宋" w:hAnsi="仿宋" w:eastAsia="仿宋" w:cs="仿宋"/>
          <w:sz w:val="24"/>
          <w:szCs w:val="24"/>
        </w:rPr>
        <w:t>本标准的主要技术内容及相关测试方法均不涉及专利</w:t>
      </w:r>
      <w:r>
        <w:rPr>
          <w:rFonts w:hint="eastAsia" w:ascii="仿宋" w:hAnsi="仿宋" w:eastAsia="仿宋" w:cs="仿宋"/>
          <w:sz w:val="24"/>
          <w:szCs w:val="24"/>
          <w:lang w:eastAsia="zh-CN"/>
        </w:rPr>
        <w:t>。</w:t>
      </w:r>
    </w:p>
    <w:p>
      <w:pPr>
        <w:numPr>
          <w:ilvl w:val="0"/>
          <w:numId w:val="0"/>
        </w:numPr>
        <w:spacing w:line="360" w:lineRule="auto"/>
        <w:ind w:right="166" w:rightChars="0"/>
        <w:jc w:val="both"/>
        <w:outlineLvl w:val="0"/>
        <w:rPr>
          <w:rFonts w:hint="eastAsia" w:ascii="仿宋" w:hAnsi="仿宋" w:eastAsia="仿宋" w:cs="仿宋"/>
          <w:b/>
          <w:sz w:val="24"/>
          <w:szCs w:val="24"/>
          <w:lang w:eastAsia="zh-CN"/>
        </w:rPr>
      </w:pPr>
      <w:r>
        <w:rPr>
          <w:rFonts w:hint="eastAsia" w:ascii="仿宋" w:hAnsi="仿宋" w:eastAsia="仿宋" w:cs="仿宋"/>
          <w:b/>
          <w:kern w:val="2"/>
          <w:sz w:val="24"/>
          <w:szCs w:val="24"/>
          <w:lang w:val="en-US" w:eastAsia="zh-CN" w:bidi="ar-SA"/>
        </w:rPr>
        <w:t>六、</w:t>
      </w:r>
      <w:r>
        <w:rPr>
          <w:rFonts w:hint="eastAsia" w:ascii="仿宋" w:hAnsi="仿宋" w:eastAsia="仿宋" w:cs="仿宋"/>
          <w:b/>
          <w:sz w:val="24"/>
          <w:szCs w:val="24"/>
          <w:lang w:eastAsia="zh-CN"/>
        </w:rPr>
        <w:t>重大意见分歧的处理依据和结果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sz w:val="24"/>
          <w:szCs w:val="24"/>
          <w:lang w:eastAsia="zh-CN"/>
        </w:rPr>
      </w:pPr>
      <w:r>
        <w:rPr>
          <w:rFonts w:hint="eastAsia" w:ascii="仿宋" w:hAnsi="仿宋" w:eastAsia="仿宋" w:cs="仿宋"/>
          <w:sz w:val="24"/>
          <w:szCs w:val="24"/>
          <w:lang w:eastAsia="zh-CN"/>
        </w:rPr>
        <w:t>本标准无重大意见分歧条款。</w:t>
      </w:r>
    </w:p>
    <w:p>
      <w:pPr>
        <w:numPr>
          <w:ilvl w:val="0"/>
          <w:numId w:val="0"/>
        </w:numPr>
        <w:spacing w:line="360" w:lineRule="auto"/>
        <w:ind w:left="0" w:leftChars="0" w:right="166" w:rightChars="0" w:firstLine="0" w:firstLineChars="0"/>
        <w:jc w:val="both"/>
        <w:outlineLvl w:val="0"/>
        <w:rPr>
          <w:rFonts w:hint="eastAsia" w:ascii="仿宋" w:hAnsi="仿宋" w:eastAsia="仿宋" w:cs="仿宋"/>
          <w:b/>
          <w:sz w:val="24"/>
          <w:szCs w:val="24"/>
          <w:lang w:eastAsia="zh-CN"/>
        </w:rPr>
      </w:pPr>
      <w:r>
        <w:rPr>
          <w:rFonts w:hint="eastAsia" w:ascii="仿宋" w:hAnsi="仿宋" w:eastAsia="仿宋" w:cs="仿宋"/>
          <w:b/>
          <w:kern w:val="2"/>
          <w:sz w:val="24"/>
          <w:szCs w:val="24"/>
          <w:lang w:val="en-US" w:eastAsia="zh-CN" w:bidi="ar-SA"/>
        </w:rPr>
        <w:t>七</w:t>
      </w:r>
      <w:bookmarkStart w:id="1" w:name="_GoBack"/>
      <w:bookmarkEnd w:id="1"/>
      <w:r>
        <w:rPr>
          <w:rFonts w:hint="eastAsia" w:ascii="仿宋" w:hAnsi="仿宋" w:eastAsia="仿宋" w:cs="仿宋"/>
          <w:b/>
          <w:kern w:val="2"/>
          <w:sz w:val="24"/>
          <w:szCs w:val="24"/>
          <w:lang w:val="en-US" w:eastAsia="zh-CN" w:bidi="ar-SA"/>
        </w:rPr>
        <w:t>、</w:t>
      </w:r>
      <w:r>
        <w:rPr>
          <w:rFonts w:hint="eastAsia" w:ascii="仿宋" w:hAnsi="仿宋" w:eastAsia="仿宋" w:cs="仿宋"/>
          <w:b/>
          <w:sz w:val="24"/>
          <w:szCs w:val="24"/>
          <w:lang w:eastAsia="zh-CN"/>
        </w:rPr>
        <w:t>实施地方标准的措施建议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拟通过标准宣贯、标准实施监督检查等方式推动标准实施。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24"/>
          <w:lang w:eastAsia="zh-CN"/>
          <w14:textFill>
            <w14:solidFill>
              <w14:schemeClr w14:val="tx1"/>
            </w14:solidFill>
          </w14:textFill>
        </w:rPr>
      </w:pPr>
    </w:p>
    <w:p>
      <w:pPr>
        <w:bidi w:val="0"/>
        <w:rPr>
          <w:rFonts w:hint="eastAsia" w:ascii="仿宋" w:hAnsi="仿宋" w:eastAsia="仿宋" w:cs="仿宋"/>
          <w:b/>
          <w:bCs/>
          <w:sz w:val="32"/>
          <w:szCs w:val="32"/>
        </w:rPr>
      </w:pPr>
    </w:p>
    <w:p/>
    <w:sectPr>
      <w:footerReference r:id="rId3" w:type="default"/>
      <w:pgSz w:w="11906" w:h="16838"/>
      <w:pgMar w:top="1587" w:right="1474" w:bottom="1587" w:left="1474"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7ECC10"/>
    <w:multiLevelType w:val="singleLevel"/>
    <w:tmpl w:val="B67ECC10"/>
    <w:lvl w:ilvl="0" w:tentative="0">
      <w:start w:val="1"/>
      <w:numFmt w:val="decimal"/>
      <w:lvlText w:val="%1."/>
      <w:lvlJc w:val="left"/>
      <w:pPr>
        <w:ind w:left="425" w:hanging="425"/>
      </w:pPr>
      <w:rPr>
        <w:rFonts w:hint="default"/>
      </w:rPr>
    </w:lvl>
  </w:abstractNum>
  <w:abstractNum w:abstractNumId="1">
    <w:nsid w:val="D25C5D1D"/>
    <w:multiLevelType w:val="singleLevel"/>
    <w:tmpl w:val="D25C5D1D"/>
    <w:lvl w:ilvl="0" w:tentative="0">
      <w:start w:val="1"/>
      <w:numFmt w:val="decimal"/>
      <w:lvlText w:val="%1."/>
      <w:lvlJc w:val="left"/>
      <w:pPr>
        <w:ind w:left="425" w:hanging="425"/>
      </w:pPr>
      <w:rPr>
        <w:rFonts w:hint="default"/>
      </w:rPr>
    </w:lvl>
  </w:abstractNum>
  <w:abstractNum w:abstractNumId="2">
    <w:nsid w:val="D749EB84"/>
    <w:multiLevelType w:val="multilevel"/>
    <w:tmpl w:val="D749EB84"/>
    <w:lvl w:ilvl="0" w:tentative="0">
      <w:start w:val="1"/>
      <w:numFmt w:val="upperLetter"/>
      <w:suff w:val="nothing"/>
      <w:lvlText w:val="附录%1"/>
      <w:lvlJc w:val="left"/>
      <w:pPr>
        <w:ind w:left="0" w:firstLine="0"/>
      </w:pPr>
      <w:rPr>
        <w:spacing w:val="100"/>
      </w:rPr>
    </w:lvl>
    <w:lvl w:ilvl="1" w:tentative="0">
      <w:start w:val="1"/>
      <w:numFmt w:val="decimal"/>
      <w:pStyle w:val="36"/>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E18AB640"/>
    <w:multiLevelType w:val="singleLevel"/>
    <w:tmpl w:val="E18AB640"/>
    <w:lvl w:ilvl="0" w:tentative="0">
      <w:start w:val="1"/>
      <w:numFmt w:val="decimal"/>
      <w:suff w:val="nothing"/>
      <w:lvlText w:val="%1."/>
      <w:lvlJc w:val="left"/>
      <w:pPr>
        <w:ind w:left="425" w:hanging="425"/>
      </w:pPr>
      <w:rPr>
        <w:rFonts w:hint="default"/>
      </w:rPr>
    </w:lvl>
  </w:abstractNum>
  <w:abstractNum w:abstractNumId="4">
    <w:nsid w:val="EF709B11"/>
    <w:multiLevelType w:val="singleLevel"/>
    <w:tmpl w:val="EF709B11"/>
    <w:lvl w:ilvl="0" w:tentative="0">
      <w:start w:val="2"/>
      <w:numFmt w:val="chineseCounting"/>
      <w:suff w:val="nothing"/>
      <w:lvlText w:val="（%1）"/>
      <w:lvlJc w:val="left"/>
      <w:rPr>
        <w:rFonts w:hint="eastAsia"/>
      </w:rPr>
    </w:lvl>
  </w:abstractNum>
  <w:abstractNum w:abstractNumId="5">
    <w:nsid w:val="00000000"/>
    <w:multiLevelType w:val="multilevel"/>
    <w:tmpl w:val="00000000"/>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35"/>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6">
    <w:nsid w:val="0AEF05AF"/>
    <w:multiLevelType w:val="multilevel"/>
    <w:tmpl w:val="0AEF05AF"/>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pStyle w:val="38"/>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7">
    <w:nsid w:val="0B0E4FC7"/>
    <w:multiLevelType w:val="singleLevel"/>
    <w:tmpl w:val="0B0E4FC7"/>
    <w:lvl w:ilvl="0" w:tentative="0">
      <w:start w:val="3"/>
      <w:numFmt w:val="decimal"/>
      <w:suff w:val="nothing"/>
      <w:lvlText w:val="（%1）"/>
      <w:lvlJc w:val="left"/>
    </w:lvl>
  </w:abstractNum>
  <w:abstractNum w:abstractNumId="8">
    <w:nsid w:val="0FE1E7B4"/>
    <w:multiLevelType w:val="singleLevel"/>
    <w:tmpl w:val="0FE1E7B4"/>
    <w:lvl w:ilvl="0" w:tentative="0">
      <w:start w:val="1"/>
      <w:numFmt w:val="decimal"/>
      <w:suff w:val="nothing"/>
      <w:lvlText w:val="%1."/>
      <w:lvlJc w:val="left"/>
      <w:pPr>
        <w:ind w:left="425" w:hanging="425"/>
      </w:pPr>
      <w:rPr>
        <w:rFonts w:hint="default"/>
      </w:rPr>
    </w:lvl>
  </w:abstractNum>
  <w:abstractNum w:abstractNumId="9">
    <w:nsid w:val="2FF183B8"/>
    <w:multiLevelType w:val="singleLevel"/>
    <w:tmpl w:val="2FF183B8"/>
    <w:lvl w:ilvl="0" w:tentative="0">
      <w:start w:val="1"/>
      <w:numFmt w:val="decimal"/>
      <w:suff w:val="nothing"/>
      <w:lvlText w:val="（%1）"/>
      <w:lvlJc w:val="left"/>
    </w:lvl>
  </w:abstractNum>
  <w:abstractNum w:abstractNumId="10">
    <w:nsid w:val="44C50F90"/>
    <w:multiLevelType w:val="multilevel"/>
    <w:tmpl w:val="44C50F90"/>
    <w:lvl w:ilvl="0" w:tentative="0">
      <w:start w:val="1"/>
      <w:numFmt w:val="lowerLetter"/>
      <w:pStyle w:val="34"/>
      <w:lvlText w:val="%1)"/>
      <w:lvlJc w:val="left"/>
      <w:pPr>
        <w:tabs>
          <w:tab w:val="left" w:pos="851"/>
        </w:tabs>
        <w:ind w:left="851" w:hanging="426"/>
      </w:pPr>
      <w:rPr>
        <w:rFonts w:hint="default" w:ascii="Times New Roman" w:hAnsi="Times New Roman" w:eastAsia="宋体" w:cs="Times New Roman"/>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6A1F7259"/>
    <w:multiLevelType w:val="singleLevel"/>
    <w:tmpl w:val="6A1F7259"/>
    <w:lvl w:ilvl="0" w:tentative="0">
      <w:start w:val="4"/>
      <w:numFmt w:val="decimal"/>
      <w:suff w:val="nothing"/>
      <w:lvlText w:val="%1）"/>
      <w:lvlJc w:val="left"/>
    </w:lvl>
  </w:abstractNum>
  <w:abstractNum w:abstractNumId="1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30"/>
      <w:suff w:val="nothing"/>
      <w:lvlText w:val="%1%2.%3.%4　"/>
      <w:lvlJc w:val="left"/>
      <w:pPr>
        <w:ind w:left="568" w:firstLine="0"/>
      </w:pPr>
      <w:rPr>
        <w:rFonts w:hint="eastAsia" w:ascii="黑体" w:eastAsia="黑体"/>
        <w:b w:val="0"/>
        <w:i w:val="0"/>
        <w:sz w:val="21"/>
      </w:rPr>
    </w:lvl>
    <w:lvl w:ilvl="4" w:tentative="0">
      <w:start w:val="1"/>
      <w:numFmt w:val="decimal"/>
      <w:pStyle w:val="33"/>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2"/>
  </w:num>
  <w:num w:numId="2">
    <w:abstractNumId w:val="10"/>
  </w:num>
  <w:num w:numId="3">
    <w:abstractNumId w:val="5"/>
  </w:num>
  <w:num w:numId="4">
    <w:abstractNumId w:val="2"/>
  </w:num>
  <w:num w:numId="5">
    <w:abstractNumId w:val="6"/>
  </w:num>
  <w:num w:numId="6">
    <w:abstractNumId w:val="4"/>
  </w:num>
  <w:num w:numId="7">
    <w:abstractNumId w:val="7"/>
  </w:num>
  <w:num w:numId="8">
    <w:abstractNumId w:val="9"/>
  </w:num>
  <w:num w:numId="9">
    <w:abstractNumId w:val="3"/>
  </w:num>
  <w:num w:numId="10">
    <w:abstractNumId w:val="8"/>
  </w:num>
  <w:num w:numId="11">
    <w:abstractNumId w:val="11"/>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hMTMxM2FkNmNiNmRiOTA4YmY4NjFhNTRmMDU2ZmUifQ=="/>
  </w:docVars>
  <w:rsids>
    <w:rsidRoot w:val="72BF6231"/>
    <w:rsid w:val="018227BB"/>
    <w:rsid w:val="05C23886"/>
    <w:rsid w:val="06867298"/>
    <w:rsid w:val="08065580"/>
    <w:rsid w:val="0D71146A"/>
    <w:rsid w:val="0DCD2DC7"/>
    <w:rsid w:val="0E165B56"/>
    <w:rsid w:val="0E9B4C74"/>
    <w:rsid w:val="0F5A4B2F"/>
    <w:rsid w:val="10F845FF"/>
    <w:rsid w:val="11F0103E"/>
    <w:rsid w:val="14492ABF"/>
    <w:rsid w:val="19B94B48"/>
    <w:rsid w:val="1A974E89"/>
    <w:rsid w:val="1C0B1C5C"/>
    <w:rsid w:val="1DE2702B"/>
    <w:rsid w:val="1F1749A2"/>
    <w:rsid w:val="20D34741"/>
    <w:rsid w:val="227930C6"/>
    <w:rsid w:val="22AE52CE"/>
    <w:rsid w:val="23151041"/>
    <w:rsid w:val="238A5D67"/>
    <w:rsid w:val="250A7F60"/>
    <w:rsid w:val="25E749AF"/>
    <w:rsid w:val="267F67D1"/>
    <w:rsid w:val="269900E6"/>
    <w:rsid w:val="26CD24D7"/>
    <w:rsid w:val="297E0BF6"/>
    <w:rsid w:val="29A82A10"/>
    <w:rsid w:val="29BD3A0D"/>
    <w:rsid w:val="2A1738F0"/>
    <w:rsid w:val="2A2614BF"/>
    <w:rsid w:val="2AEB39D5"/>
    <w:rsid w:val="2CAB2714"/>
    <w:rsid w:val="2CDB3F1F"/>
    <w:rsid w:val="2D6E7908"/>
    <w:rsid w:val="2DE56F06"/>
    <w:rsid w:val="30FF5128"/>
    <w:rsid w:val="310A005B"/>
    <w:rsid w:val="31D11D75"/>
    <w:rsid w:val="37B91BA6"/>
    <w:rsid w:val="38D97FDF"/>
    <w:rsid w:val="38DE1A7D"/>
    <w:rsid w:val="391E56DF"/>
    <w:rsid w:val="39D52E80"/>
    <w:rsid w:val="3B1874C8"/>
    <w:rsid w:val="3E6818BC"/>
    <w:rsid w:val="3F8F3554"/>
    <w:rsid w:val="41320BB8"/>
    <w:rsid w:val="42857E04"/>
    <w:rsid w:val="42BF4842"/>
    <w:rsid w:val="44A71888"/>
    <w:rsid w:val="45763769"/>
    <w:rsid w:val="481B23A6"/>
    <w:rsid w:val="48A00AFD"/>
    <w:rsid w:val="49AC513F"/>
    <w:rsid w:val="49BE748D"/>
    <w:rsid w:val="4B7D3958"/>
    <w:rsid w:val="4B8D7F5B"/>
    <w:rsid w:val="4B9F32EE"/>
    <w:rsid w:val="4BA961D6"/>
    <w:rsid w:val="4E175648"/>
    <w:rsid w:val="50302767"/>
    <w:rsid w:val="514B3CFC"/>
    <w:rsid w:val="53507A5A"/>
    <w:rsid w:val="53990C1F"/>
    <w:rsid w:val="55322CF5"/>
    <w:rsid w:val="55D13EC0"/>
    <w:rsid w:val="562465E2"/>
    <w:rsid w:val="567E306B"/>
    <w:rsid w:val="59C56616"/>
    <w:rsid w:val="5C5173A5"/>
    <w:rsid w:val="5DD5516E"/>
    <w:rsid w:val="5E8B6346"/>
    <w:rsid w:val="5EA12469"/>
    <w:rsid w:val="5EA7453C"/>
    <w:rsid w:val="5EDF5A84"/>
    <w:rsid w:val="60E25687"/>
    <w:rsid w:val="61AE798F"/>
    <w:rsid w:val="61EC2B6B"/>
    <w:rsid w:val="633232CE"/>
    <w:rsid w:val="63B422FC"/>
    <w:rsid w:val="63D04BC5"/>
    <w:rsid w:val="6C9D6CF7"/>
    <w:rsid w:val="6D52587A"/>
    <w:rsid w:val="6D5B5843"/>
    <w:rsid w:val="6E602011"/>
    <w:rsid w:val="6EE43EFA"/>
    <w:rsid w:val="706A7B8E"/>
    <w:rsid w:val="711F2466"/>
    <w:rsid w:val="72BF6231"/>
    <w:rsid w:val="74C82250"/>
    <w:rsid w:val="76B61ECF"/>
    <w:rsid w:val="77E56271"/>
    <w:rsid w:val="7946413B"/>
    <w:rsid w:val="79F04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9"/>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link w:val="4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0"/>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link w:val="45"/>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link w:val="46"/>
    <w:autoRedefine/>
    <w:semiHidden/>
    <w:unhideWhenUsed/>
    <w:qFormat/>
    <w:uiPriority w:val="0"/>
    <w:pPr>
      <w:keepNext/>
      <w:keepLines/>
      <w:spacing w:before="280" w:beforeLines="0" w:beforeAutospacing="0" w:after="290" w:afterLines="0" w:afterAutospacing="0" w:line="372" w:lineRule="auto"/>
      <w:outlineLvl w:val="4"/>
    </w:pPr>
    <w:rPr>
      <w:b/>
      <w:sz w:val="28"/>
    </w:rPr>
  </w:style>
  <w:style w:type="paragraph" w:styleId="7">
    <w:name w:val="heading 6"/>
    <w:basedOn w:val="1"/>
    <w:next w:val="1"/>
    <w:link w:val="47"/>
    <w:autoRedefine/>
    <w:semiHidden/>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paragraph" w:styleId="8">
    <w:name w:val="heading 7"/>
    <w:basedOn w:val="1"/>
    <w:next w:val="1"/>
    <w:link w:val="48"/>
    <w:autoRedefine/>
    <w:semiHidden/>
    <w:unhideWhenUsed/>
    <w:qFormat/>
    <w:uiPriority w:val="0"/>
    <w:pPr>
      <w:keepNext/>
      <w:keepLines/>
      <w:spacing w:before="240" w:beforeLines="0" w:beforeAutospacing="0" w:after="64" w:afterLines="0" w:afterAutospacing="0" w:line="317" w:lineRule="auto"/>
      <w:outlineLvl w:val="6"/>
    </w:pPr>
    <w:rPr>
      <w:b/>
      <w:sz w:val="24"/>
    </w:rPr>
  </w:style>
  <w:style w:type="paragraph" w:styleId="9">
    <w:name w:val="heading 8"/>
    <w:basedOn w:val="1"/>
    <w:next w:val="1"/>
    <w:link w:val="49"/>
    <w:autoRedefine/>
    <w:semiHidden/>
    <w:unhideWhenUsed/>
    <w:qFormat/>
    <w:uiPriority w:val="0"/>
    <w:pPr>
      <w:keepNext/>
      <w:keepLines/>
      <w:spacing w:before="240" w:beforeLines="0" w:beforeAutospacing="0" w:after="64" w:afterLines="0" w:afterAutospacing="0" w:line="317" w:lineRule="auto"/>
      <w:outlineLvl w:val="7"/>
    </w:pPr>
    <w:rPr>
      <w:rFonts w:ascii="Arial" w:hAnsi="Arial" w:eastAsia="黑体"/>
      <w:sz w:val="24"/>
    </w:rPr>
  </w:style>
  <w:style w:type="paragraph" w:styleId="10">
    <w:name w:val="heading 9"/>
    <w:basedOn w:val="1"/>
    <w:next w:val="1"/>
    <w:link w:val="50"/>
    <w:autoRedefine/>
    <w:semiHidden/>
    <w:unhideWhenUsed/>
    <w:qFormat/>
    <w:uiPriority w:val="0"/>
    <w:pPr>
      <w:keepNext/>
      <w:keepLines/>
      <w:spacing w:before="240" w:beforeLines="0" w:beforeAutospacing="0" w:after="64" w:afterLines="0" w:afterAutospacing="0" w:line="317" w:lineRule="auto"/>
      <w:outlineLvl w:val="8"/>
    </w:pPr>
    <w:rPr>
      <w:rFonts w:ascii="Arial" w:hAnsi="Arial" w:eastAsia="黑体"/>
      <w:sz w:val="21"/>
    </w:rPr>
  </w:style>
  <w:style w:type="character" w:default="1" w:styleId="23">
    <w:name w:val="Default Paragraph Font"/>
    <w:autoRedefine/>
    <w:semiHidden/>
    <w:qFormat/>
    <w:uiPriority w:val="0"/>
  </w:style>
  <w:style w:type="table" w:default="1" w:styleId="21">
    <w:name w:val="Normal Table"/>
    <w:autoRedefin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caption"/>
    <w:basedOn w:val="1"/>
    <w:next w:val="1"/>
    <w:semiHidden/>
    <w:unhideWhenUsed/>
    <w:qFormat/>
    <w:uiPriority w:val="0"/>
    <w:rPr>
      <w:rFonts w:ascii="Arial" w:hAnsi="Arial" w:eastAsia="黑体"/>
      <w:sz w:val="20"/>
    </w:rPr>
  </w:style>
  <w:style w:type="paragraph" w:styleId="12">
    <w:name w:val="annotation text"/>
    <w:basedOn w:val="1"/>
    <w:link w:val="59"/>
    <w:autoRedefine/>
    <w:semiHidden/>
    <w:unhideWhenUsed/>
    <w:qFormat/>
    <w:uiPriority w:val="99"/>
    <w:pPr>
      <w:jc w:val="left"/>
    </w:pPr>
  </w:style>
  <w:style w:type="paragraph" w:styleId="13">
    <w:name w:val="Body Text"/>
    <w:basedOn w:val="1"/>
    <w:link w:val="60"/>
    <w:autoRedefine/>
    <w:qFormat/>
    <w:uiPriority w:val="0"/>
    <w:pPr>
      <w:spacing w:after="120" w:afterLines="0" w:afterAutospacing="0"/>
    </w:pPr>
  </w:style>
  <w:style w:type="paragraph" w:styleId="14">
    <w:name w:val="Balloon Text"/>
    <w:basedOn w:val="1"/>
    <w:link w:val="53"/>
    <w:autoRedefine/>
    <w:qFormat/>
    <w:uiPriority w:val="0"/>
    <w:rPr>
      <w:sz w:val="18"/>
    </w:rPr>
  </w:style>
  <w:style w:type="paragraph" w:styleId="15">
    <w:name w:val="footer"/>
    <w:basedOn w:val="1"/>
    <w:link w:val="52"/>
    <w:autoRedefine/>
    <w:qFormat/>
    <w:uiPriority w:val="0"/>
    <w:pPr>
      <w:tabs>
        <w:tab w:val="center" w:pos="4153"/>
        <w:tab w:val="right" w:pos="8306"/>
      </w:tabs>
      <w:snapToGrid w:val="0"/>
      <w:jc w:val="left"/>
    </w:pPr>
    <w:rPr>
      <w:sz w:val="18"/>
    </w:rPr>
  </w:style>
  <w:style w:type="paragraph" w:styleId="16">
    <w:name w:val="header"/>
    <w:basedOn w:val="1"/>
    <w:link w:val="5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footnote text"/>
    <w:basedOn w:val="1"/>
    <w:link w:val="61"/>
    <w:autoRedefine/>
    <w:qFormat/>
    <w:uiPriority w:val="0"/>
    <w:pPr>
      <w:snapToGrid w:val="0"/>
      <w:jc w:val="left"/>
    </w:pPr>
    <w:rPr>
      <w:sz w:val="18"/>
    </w:rPr>
  </w:style>
  <w:style w:type="paragraph" w:styleId="18">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9">
    <w:name w:val="Title"/>
    <w:basedOn w:val="1"/>
    <w:link w:val="55"/>
    <w:autoRedefine/>
    <w:qFormat/>
    <w:uiPriority w:val="0"/>
    <w:pPr>
      <w:spacing w:before="240" w:beforeLines="0" w:beforeAutospacing="0" w:after="60" w:afterLines="0" w:afterAutospacing="0"/>
      <w:jc w:val="center"/>
      <w:outlineLvl w:val="0"/>
    </w:pPr>
    <w:rPr>
      <w:rFonts w:ascii="Arial" w:hAnsi="Arial"/>
      <w:b/>
      <w:sz w:val="32"/>
    </w:rPr>
  </w:style>
  <w:style w:type="paragraph" w:styleId="20">
    <w:name w:val="annotation subject"/>
    <w:basedOn w:val="12"/>
    <w:next w:val="12"/>
    <w:link w:val="58"/>
    <w:autoRedefine/>
    <w:qFormat/>
    <w:uiPriority w:val="0"/>
    <w:rPr>
      <w:b/>
    </w:rPr>
  </w:style>
  <w:style w:type="table" w:styleId="22">
    <w:name w:val="Table Grid"/>
    <w:basedOn w:val="21"/>
    <w:autoRedefine/>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4">
    <w:name w:val="Strong"/>
    <w:basedOn w:val="23"/>
    <w:autoRedefine/>
    <w:qFormat/>
    <w:uiPriority w:val="0"/>
    <w:rPr>
      <w:b/>
    </w:rPr>
  </w:style>
  <w:style w:type="character" w:styleId="25">
    <w:name w:val="page number"/>
    <w:basedOn w:val="23"/>
    <w:autoRedefine/>
    <w:qFormat/>
    <w:uiPriority w:val="0"/>
    <w:rPr>
      <w:rFonts w:hint="eastAsia" w:ascii="宋体" w:hAnsi="Times New Roman" w:eastAsia="宋体" w:cs="宋体"/>
      <w:sz w:val="18"/>
    </w:rPr>
  </w:style>
  <w:style w:type="character" w:styleId="26">
    <w:name w:val="FollowedHyperlink"/>
    <w:basedOn w:val="23"/>
    <w:autoRedefine/>
    <w:qFormat/>
    <w:uiPriority w:val="0"/>
    <w:rPr>
      <w:color w:val="954F72"/>
      <w:u w:val="single"/>
    </w:rPr>
  </w:style>
  <w:style w:type="character" w:styleId="27">
    <w:name w:val="Hyperlink"/>
    <w:basedOn w:val="23"/>
    <w:autoRedefine/>
    <w:qFormat/>
    <w:uiPriority w:val="0"/>
    <w:rPr>
      <w:rFonts w:hint="eastAsia" w:ascii="宋体" w:hAnsi="Times New Roman" w:eastAsia="宋体" w:cs="宋体"/>
      <w:color w:val="auto"/>
      <w:spacing w:val="0"/>
      <w:w w:val="100"/>
      <w:position w:val="0"/>
      <w:sz w:val="21"/>
      <w:u w:val="none"/>
      <w:vertAlign w:val="baseline"/>
    </w:rPr>
  </w:style>
  <w:style w:type="character" w:styleId="28">
    <w:name w:val="annotation reference"/>
    <w:basedOn w:val="23"/>
    <w:autoRedefine/>
    <w:qFormat/>
    <w:uiPriority w:val="0"/>
    <w:rPr>
      <w:sz w:val="21"/>
      <w:szCs w:val="21"/>
    </w:rPr>
  </w:style>
  <w:style w:type="character" w:styleId="29">
    <w:name w:val="footnote reference"/>
    <w:basedOn w:val="23"/>
    <w:autoRedefine/>
    <w:qFormat/>
    <w:uiPriority w:val="0"/>
    <w:rPr>
      <w:rFonts w:hint="eastAsia" w:ascii="宋体" w:hAnsi="宋体" w:eastAsia="宋体" w:cs="Times New Roman"/>
      <w:spacing w:val="0"/>
      <w:sz w:val="18"/>
      <w:vertAlign w:val="superscript"/>
    </w:rPr>
  </w:style>
  <w:style w:type="paragraph" w:customStyle="1" w:styleId="30">
    <w:name w:val="标准文件_二级条标题"/>
    <w:next w:val="31"/>
    <w:autoRedefine/>
    <w:qFormat/>
    <w:uiPriority w:val="0"/>
    <w:pPr>
      <w:widowControl w:val="0"/>
      <w:numPr>
        <w:ilvl w:val="3"/>
        <w:numId w:val="1"/>
      </w:numPr>
      <w:spacing w:before="50" w:beforeLines="50" w:after="50" w:afterLines="50"/>
      <w:ind w:left="0"/>
      <w:jc w:val="both"/>
      <w:outlineLvl w:val="2"/>
    </w:pPr>
    <w:rPr>
      <w:rFonts w:ascii="黑体" w:hAnsi="Times New Roman" w:eastAsia="黑体" w:cs="Times New Roman"/>
      <w:sz w:val="21"/>
      <w:lang w:val="en-US" w:eastAsia="zh-CN" w:bidi="ar-SA"/>
    </w:rPr>
  </w:style>
  <w:style w:type="paragraph" w:customStyle="1" w:styleId="31">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2">
    <w:name w:val="标准文件_三级无标题"/>
    <w:basedOn w:val="33"/>
    <w:autoRedefine/>
    <w:qFormat/>
    <w:uiPriority w:val="0"/>
    <w:pPr>
      <w:spacing w:before="0" w:beforeLines="0" w:after="0" w:afterLines="0"/>
      <w:outlineLvl w:val="9"/>
    </w:pPr>
    <w:rPr>
      <w:rFonts w:ascii="宋体" w:eastAsia="宋体"/>
    </w:rPr>
  </w:style>
  <w:style w:type="paragraph" w:customStyle="1" w:styleId="33">
    <w:name w:val="标准文件_三级条标题"/>
    <w:basedOn w:val="30"/>
    <w:next w:val="31"/>
    <w:autoRedefine/>
    <w:qFormat/>
    <w:uiPriority w:val="0"/>
    <w:pPr>
      <w:widowControl/>
      <w:numPr>
        <w:ilvl w:val="4"/>
      </w:numPr>
      <w:outlineLvl w:val="3"/>
    </w:pPr>
  </w:style>
  <w:style w:type="paragraph" w:customStyle="1" w:styleId="34">
    <w:name w:val="标准文件_字母编号列项（一级）"/>
    <w:autoRedefine/>
    <w:qFormat/>
    <w:uiPriority w:val="0"/>
    <w:pPr>
      <w:numPr>
        <w:ilvl w:val="0"/>
        <w:numId w:val="2"/>
      </w:numPr>
      <w:jc w:val="both"/>
    </w:pPr>
    <w:rPr>
      <w:rFonts w:ascii="宋体" w:hAnsi="Times New Roman" w:eastAsia="宋体" w:cs="Times New Roman"/>
      <w:sz w:val="21"/>
      <w:lang w:val="en-US" w:eastAsia="zh-CN" w:bidi="ar-SA"/>
    </w:rPr>
  </w:style>
  <w:style w:type="paragraph" w:customStyle="1" w:styleId="35">
    <w:name w:val="标准文件_二级无标题"/>
    <w:autoRedefine/>
    <w:qFormat/>
    <w:uiPriority w:val="0"/>
    <w:pPr>
      <w:keepNext w:val="0"/>
      <w:keepLines w:val="0"/>
      <w:widowControl w:val="0"/>
      <w:numPr>
        <w:ilvl w:val="3"/>
        <w:numId w:val="3"/>
      </w:numPr>
      <w:suppressLineNumbers w:val="0"/>
      <w:spacing w:before="0" w:beforeLines="-2147483648" w:beforeAutospacing="0" w:after="0" w:afterLines="-2147483648" w:afterAutospacing="0"/>
      <w:ind w:left="0" w:right="0" w:firstLine="0"/>
      <w:jc w:val="both"/>
      <w:outlineLvl w:val="9"/>
    </w:pPr>
    <w:rPr>
      <w:rFonts w:hint="eastAsia" w:ascii="宋体" w:hAnsi="Times New Roman" w:eastAsia="宋体" w:cs="Times New Roman"/>
      <w:kern w:val="0"/>
      <w:sz w:val="21"/>
      <w:szCs w:val="20"/>
      <w:lang w:val="en-US" w:eastAsia="zh-CN" w:bidi="ar"/>
    </w:rPr>
  </w:style>
  <w:style w:type="paragraph" w:customStyle="1" w:styleId="36">
    <w:name w:val="标准文件_附录一级无标题"/>
    <w:autoRedefine/>
    <w:qFormat/>
    <w:uiPriority w:val="0"/>
    <w:pPr>
      <w:keepNext w:val="0"/>
      <w:keepLines w:val="0"/>
      <w:widowControl w:val="0"/>
      <w:numPr>
        <w:ilvl w:val="1"/>
        <w:numId w:val="4"/>
      </w:numPr>
      <w:suppressLineNumbers w:val="0"/>
      <w:spacing w:before="0" w:beforeLines="-2147483648" w:beforeAutospacing="0" w:after="0" w:afterLines="-2147483648" w:afterAutospacing="0" w:line="276" w:lineRule="auto"/>
      <w:ind w:left="0" w:right="0" w:firstLine="0"/>
      <w:jc w:val="both"/>
      <w:outlineLvl w:val="9"/>
    </w:pPr>
    <w:rPr>
      <w:rFonts w:hint="eastAsia" w:ascii="宋体" w:hAnsi="Times New Roman" w:eastAsia="宋体" w:cs="Times New Roman"/>
      <w:kern w:val="21"/>
      <w:sz w:val="21"/>
      <w:szCs w:val="20"/>
      <w:lang w:val="en-US" w:eastAsia="zh-CN" w:bidi="ar"/>
    </w:rPr>
  </w:style>
  <w:style w:type="character" w:customStyle="1" w:styleId="37">
    <w:name w:val="标准文件_段 Char"/>
    <w:basedOn w:val="23"/>
    <w:autoRedefine/>
    <w:qFormat/>
    <w:uiPriority w:val="0"/>
    <w:rPr>
      <w:rFonts w:hint="eastAsia" w:ascii="宋体" w:hAnsi="Times New Roman" w:eastAsia="宋体" w:cs="宋体"/>
      <w:sz w:val="21"/>
    </w:rPr>
  </w:style>
  <w:style w:type="paragraph" w:customStyle="1" w:styleId="38">
    <w:name w:val="标准文件_一级条标题"/>
    <w:autoRedefine/>
    <w:qFormat/>
    <w:uiPriority w:val="0"/>
    <w:pPr>
      <w:keepNext w:val="0"/>
      <w:keepLines w:val="0"/>
      <w:widowControl/>
      <w:numPr>
        <w:ilvl w:val="2"/>
        <w:numId w:val="5"/>
      </w:numPr>
      <w:suppressLineNumbers w:val="0"/>
      <w:spacing w:before="50" w:beforeLines="50" w:beforeAutospacing="0" w:after="50" w:afterLines="50" w:afterAutospacing="0"/>
      <w:ind w:left="0" w:right="0" w:firstLine="0"/>
      <w:jc w:val="both"/>
      <w:outlineLvl w:val="1"/>
    </w:pPr>
    <w:rPr>
      <w:rFonts w:hint="eastAsia" w:ascii="黑体" w:hAnsi="Times New Roman" w:eastAsia="黑体" w:cs="Times New Roman"/>
      <w:kern w:val="0"/>
      <w:sz w:val="21"/>
      <w:szCs w:val="20"/>
      <w:lang w:val="en-US" w:eastAsia="zh-CN" w:bidi="ar"/>
    </w:rPr>
  </w:style>
  <w:style w:type="character" w:customStyle="1" w:styleId="39">
    <w:name w:val="标题 1 字符"/>
    <w:basedOn w:val="23"/>
    <w:link w:val="2"/>
    <w:autoRedefine/>
    <w:qFormat/>
    <w:uiPriority w:val="0"/>
    <w:rPr>
      <w:b/>
      <w:bCs/>
      <w:kern w:val="44"/>
      <w:sz w:val="44"/>
      <w:szCs w:val="44"/>
    </w:rPr>
  </w:style>
  <w:style w:type="character" w:customStyle="1" w:styleId="40">
    <w:name w:val="标题 3 字符"/>
    <w:basedOn w:val="23"/>
    <w:link w:val="4"/>
    <w:autoRedefine/>
    <w:qFormat/>
    <w:uiPriority w:val="0"/>
    <w:rPr>
      <w:b/>
      <w:bCs/>
      <w:kern w:val="2"/>
      <w:sz w:val="32"/>
      <w:szCs w:val="32"/>
    </w:rPr>
  </w:style>
  <w:style w:type="character" w:customStyle="1" w:styleId="41">
    <w:name w:val="标题 2 字符"/>
    <w:basedOn w:val="23"/>
    <w:link w:val="3"/>
    <w:autoRedefine/>
    <w:qFormat/>
    <w:uiPriority w:val="0"/>
    <w:rPr>
      <w:rFonts w:ascii="Arial" w:hAnsi="Arial" w:eastAsia="黑体" w:cs="Arial"/>
      <w:b/>
      <w:bCs/>
      <w:kern w:val="2"/>
      <w:sz w:val="32"/>
      <w:szCs w:val="32"/>
    </w:rPr>
  </w:style>
  <w:style w:type="character" w:customStyle="1" w:styleId="42">
    <w:name w:val="标准文件_示例X后 字符"/>
    <w:autoRedefine/>
    <w:qFormat/>
    <w:uiPriority w:val="0"/>
    <w:rPr>
      <w:rFonts w:hint="eastAsia" w:ascii="宋体" w:hAnsi="Times New Roman" w:eastAsia="宋体" w:cs="宋体"/>
      <w:sz w:val="18"/>
    </w:rPr>
  </w:style>
  <w:style w:type="character" w:customStyle="1" w:styleId="43">
    <w:name w:val="msoplaceholdertext"/>
    <w:basedOn w:val="23"/>
    <w:autoRedefine/>
    <w:qFormat/>
    <w:uiPriority w:val="0"/>
    <w:rPr>
      <w:color w:val="808080"/>
    </w:rPr>
  </w:style>
  <w:style w:type="character" w:customStyle="1" w:styleId="44">
    <w:name w:val="msosubtlereference"/>
    <w:basedOn w:val="23"/>
    <w:autoRedefine/>
    <w:qFormat/>
    <w:uiPriority w:val="0"/>
    <w:rPr>
      <w:smallCaps/>
      <w:color w:val="C0504D"/>
      <w:u w:val="single"/>
    </w:rPr>
  </w:style>
  <w:style w:type="character" w:customStyle="1" w:styleId="45">
    <w:name w:val="标题 4 字符"/>
    <w:basedOn w:val="23"/>
    <w:link w:val="5"/>
    <w:autoRedefine/>
    <w:qFormat/>
    <w:uiPriority w:val="0"/>
    <w:rPr>
      <w:rFonts w:hint="default" w:ascii="Arial" w:hAnsi="Arial" w:eastAsia="黑体" w:cs="Arial"/>
      <w:b/>
      <w:bCs/>
      <w:kern w:val="2"/>
      <w:sz w:val="28"/>
      <w:szCs w:val="28"/>
    </w:rPr>
  </w:style>
  <w:style w:type="character" w:customStyle="1" w:styleId="46">
    <w:name w:val="标题 5 字符"/>
    <w:basedOn w:val="23"/>
    <w:link w:val="6"/>
    <w:autoRedefine/>
    <w:qFormat/>
    <w:uiPriority w:val="0"/>
    <w:rPr>
      <w:b/>
      <w:bCs/>
      <w:kern w:val="2"/>
      <w:sz w:val="28"/>
      <w:szCs w:val="28"/>
    </w:rPr>
  </w:style>
  <w:style w:type="character" w:customStyle="1" w:styleId="47">
    <w:name w:val="标题 6 字符"/>
    <w:basedOn w:val="23"/>
    <w:link w:val="7"/>
    <w:autoRedefine/>
    <w:qFormat/>
    <w:uiPriority w:val="0"/>
    <w:rPr>
      <w:rFonts w:hint="default" w:ascii="Arial" w:hAnsi="Arial" w:eastAsia="黑体" w:cs="Arial"/>
      <w:b/>
      <w:bCs/>
      <w:kern w:val="2"/>
      <w:sz w:val="24"/>
      <w:szCs w:val="24"/>
    </w:rPr>
  </w:style>
  <w:style w:type="character" w:customStyle="1" w:styleId="48">
    <w:name w:val="标题 7 字符"/>
    <w:basedOn w:val="23"/>
    <w:link w:val="8"/>
    <w:autoRedefine/>
    <w:qFormat/>
    <w:uiPriority w:val="0"/>
    <w:rPr>
      <w:b/>
      <w:bCs/>
      <w:kern w:val="2"/>
      <w:sz w:val="24"/>
      <w:szCs w:val="24"/>
    </w:rPr>
  </w:style>
  <w:style w:type="character" w:customStyle="1" w:styleId="49">
    <w:name w:val="标题 8 字符"/>
    <w:basedOn w:val="23"/>
    <w:link w:val="9"/>
    <w:autoRedefine/>
    <w:qFormat/>
    <w:uiPriority w:val="0"/>
    <w:rPr>
      <w:rFonts w:hint="default" w:ascii="Arial" w:hAnsi="Arial" w:eastAsia="黑体" w:cs="Arial"/>
      <w:kern w:val="2"/>
      <w:sz w:val="24"/>
      <w:szCs w:val="24"/>
    </w:rPr>
  </w:style>
  <w:style w:type="character" w:customStyle="1" w:styleId="50">
    <w:name w:val="标题 9 字符"/>
    <w:basedOn w:val="23"/>
    <w:link w:val="10"/>
    <w:autoRedefine/>
    <w:qFormat/>
    <w:uiPriority w:val="0"/>
    <w:rPr>
      <w:rFonts w:hint="default" w:ascii="Arial" w:hAnsi="Arial" w:eastAsia="黑体" w:cs="Arial"/>
      <w:kern w:val="2"/>
      <w:sz w:val="21"/>
      <w:szCs w:val="21"/>
    </w:rPr>
  </w:style>
  <w:style w:type="character" w:customStyle="1" w:styleId="51">
    <w:name w:val="页眉 字符"/>
    <w:basedOn w:val="23"/>
    <w:link w:val="16"/>
    <w:autoRedefine/>
    <w:qFormat/>
    <w:uiPriority w:val="0"/>
    <w:rPr>
      <w:kern w:val="2"/>
      <w:sz w:val="18"/>
      <w:szCs w:val="18"/>
    </w:rPr>
  </w:style>
  <w:style w:type="character" w:customStyle="1" w:styleId="52">
    <w:name w:val="页脚 字符"/>
    <w:basedOn w:val="23"/>
    <w:link w:val="15"/>
    <w:autoRedefine/>
    <w:qFormat/>
    <w:uiPriority w:val="0"/>
    <w:rPr>
      <w:rFonts w:hint="eastAsia" w:ascii="宋体" w:hAnsi="宋体" w:eastAsia="宋体" w:cs="宋体"/>
      <w:kern w:val="2"/>
      <w:sz w:val="18"/>
      <w:szCs w:val="18"/>
    </w:rPr>
  </w:style>
  <w:style w:type="character" w:customStyle="1" w:styleId="53">
    <w:name w:val="批注框文本 字符"/>
    <w:basedOn w:val="23"/>
    <w:link w:val="14"/>
    <w:autoRedefine/>
    <w:qFormat/>
    <w:uiPriority w:val="0"/>
    <w:rPr>
      <w:kern w:val="2"/>
      <w:sz w:val="18"/>
      <w:szCs w:val="18"/>
    </w:rPr>
  </w:style>
  <w:style w:type="character" w:customStyle="1" w:styleId="54">
    <w:name w:val="引用 字符"/>
    <w:basedOn w:val="23"/>
    <w:autoRedefine/>
    <w:qFormat/>
    <w:uiPriority w:val="0"/>
    <w:rPr>
      <w:i/>
      <w:iCs/>
      <w:color w:val="000000"/>
      <w:kern w:val="2"/>
      <w:sz w:val="21"/>
      <w:szCs w:val="21"/>
    </w:rPr>
  </w:style>
  <w:style w:type="character" w:customStyle="1" w:styleId="55">
    <w:name w:val="标题 字符"/>
    <w:basedOn w:val="23"/>
    <w:link w:val="19"/>
    <w:autoRedefine/>
    <w:qFormat/>
    <w:uiPriority w:val="0"/>
    <w:rPr>
      <w:rFonts w:hint="default" w:ascii="Arial" w:hAnsi="Arial" w:cs="Arial"/>
      <w:b/>
      <w:bCs/>
      <w:kern w:val="2"/>
      <w:sz w:val="32"/>
      <w:szCs w:val="32"/>
    </w:rPr>
  </w:style>
  <w:style w:type="character" w:customStyle="1" w:styleId="56">
    <w:name w:val="标准文件_来源"/>
    <w:basedOn w:val="23"/>
    <w:autoRedefine/>
    <w:qFormat/>
    <w:uiPriority w:val="0"/>
    <w:rPr>
      <w:rFonts w:hint="eastAsia" w:ascii="宋体" w:hAnsi="宋体" w:eastAsia="宋体" w:cs="宋体"/>
      <w:sz w:val="21"/>
    </w:rPr>
  </w:style>
  <w:style w:type="character" w:customStyle="1" w:styleId="57">
    <w:name w:val="标准文件_发布"/>
    <w:basedOn w:val="23"/>
    <w:autoRedefine/>
    <w:qFormat/>
    <w:uiPriority w:val="0"/>
    <w:rPr>
      <w:rFonts w:hint="eastAsia" w:ascii="黑体" w:hAnsi="宋体" w:eastAsia="黑体" w:cs="黑体"/>
      <w:spacing w:val="0"/>
      <w:w w:val="100"/>
      <w:position w:val="3"/>
      <w:sz w:val="28"/>
    </w:rPr>
  </w:style>
  <w:style w:type="character" w:customStyle="1" w:styleId="58">
    <w:name w:val="批注主题 字符"/>
    <w:basedOn w:val="59"/>
    <w:link w:val="20"/>
    <w:autoRedefine/>
    <w:qFormat/>
    <w:uiPriority w:val="0"/>
    <w:rPr>
      <w:b/>
      <w:bCs/>
      <w:kern w:val="2"/>
      <w:sz w:val="21"/>
      <w:szCs w:val="21"/>
    </w:rPr>
  </w:style>
  <w:style w:type="character" w:customStyle="1" w:styleId="59">
    <w:name w:val="批注文字 字符"/>
    <w:basedOn w:val="23"/>
    <w:link w:val="12"/>
    <w:autoRedefine/>
    <w:qFormat/>
    <w:uiPriority w:val="0"/>
    <w:rPr>
      <w:kern w:val="2"/>
      <w:sz w:val="21"/>
      <w:szCs w:val="21"/>
    </w:rPr>
  </w:style>
  <w:style w:type="character" w:customStyle="1" w:styleId="60">
    <w:name w:val="正文文本 字符"/>
    <w:basedOn w:val="23"/>
    <w:link w:val="13"/>
    <w:autoRedefine/>
    <w:qFormat/>
    <w:uiPriority w:val="0"/>
    <w:rPr>
      <w:kern w:val="2"/>
      <w:sz w:val="21"/>
      <w:szCs w:val="21"/>
    </w:rPr>
  </w:style>
  <w:style w:type="character" w:customStyle="1" w:styleId="61">
    <w:name w:val="脚注文本 字符"/>
    <w:basedOn w:val="23"/>
    <w:link w:val="17"/>
    <w:autoRedefine/>
    <w:qFormat/>
    <w:uiPriority w:val="0"/>
    <w:rPr>
      <w:rFonts w:hint="eastAsia" w:ascii="宋体" w:hAnsi="宋体" w:eastAsia="宋体" w:cs="宋体"/>
      <w:kern w:val="2"/>
      <w:sz w:val="18"/>
      <w:szCs w:val="18"/>
    </w:rPr>
  </w:style>
  <w:style w:type="character" w:customStyle="1" w:styleId="62">
    <w:name w:val="标准文件_图表脚注内容"/>
    <w:basedOn w:val="23"/>
    <w:autoRedefine/>
    <w:qFormat/>
    <w:uiPriority w:val="0"/>
    <w:rPr>
      <w:rFonts w:hint="eastAsia" w:ascii="宋体" w:hAnsi="宋体" w:eastAsia="宋体" w:cs="Times New Roman"/>
      <w:spacing w:val="0"/>
      <w:sz w:val="18"/>
      <w:vertAlign w:val="superscript"/>
    </w:rPr>
  </w:style>
  <w:style w:type="character" w:customStyle="1" w:styleId="63">
    <w:name w:val="个人撰写风格"/>
    <w:basedOn w:val="23"/>
    <w:autoRedefine/>
    <w:qFormat/>
    <w:uiPriority w:val="0"/>
    <w:rPr>
      <w:rFonts w:hint="default" w:ascii="Arial" w:hAnsi="Arial" w:eastAsia="宋体" w:cs="Arial"/>
      <w:color w:val="auto"/>
      <w:spacing w:val="0"/>
      <w:sz w:val="20"/>
    </w:rPr>
  </w:style>
  <w:style w:type="character" w:customStyle="1" w:styleId="64">
    <w:name w:val="个人答复风格"/>
    <w:basedOn w:val="23"/>
    <w:autoRedefine/>
    <w:qFormat/>
    <w:uiPriority w:val="0"/>
    <w:rPr>
      <w:rFonts w:hint="default" w:ascii="Arial" w:hAnsi="Arial" w:eastAsia="宋体" w:cs="Arial"/>
      <w:color w:val="auto"/>
      <w:spacing w:val="0"/>
      <w:sz w:val="20"/>
    </w:rPr>
  </w:style>
  <w:style w:type="character" w:customStyle="1" w:styleId="65">
    <w:name w:val="发布"/>
    <w:basedOn w:val="23"/>
    <w:autoRedefine/>
    <w:qFormat/>
    <w:uiPriority w:val="0"/>
    <w:rPr>
      <w:rFonts w:hint="eastAsia" w:ascii="黑体" w:hAnsi="宋体" w:eastAsia="黑体" w:cs="黑体"/>
      <w:spacing w:val="85"/>
      <w:w w:val="100"/>
      <w:position w:val="3"/>
      <w:sz w:val="28"/>
      <w:szCs w:val="28"/>
    </w:rPr>
  </w:style>
  <w:style w:type="character" w:customStyle="1" w:styleId="66">
    <w:name w:val="font21"/>
    <w:basedOn w:val="23"/>
    <w:autoRedefine/>
    <w:qFormat/>
    <w:uiPriority w:val="0"/>
    <w:rPr>
      <w:rFonts w:ascii="宋体" w:hAnsi="宋体" w:eastAsia="宋体" w:cs="宋体"/>
      <w:color w:val="000000"/>
      <w:sz w:val="18"/>
      <w:szCs w:val="18"/>
      <w:u w:val="none"/>
    </w:rPr>
  </w:style>
  <w:style w:type="character" w:customStyle="1" w:styleId="67">
    <w:name w:val="font11"/>
    <w:basedOn w:val="23"/>
    <w:autoRedefine/>
    <w:qFormat/>
    <w:uiPriority w:val="0"/>
    <w:rPr>
      <w:rFonts w:hint="eastAsia" w:ascii="宋体" w:hAnsi="宋体" w:eastAsia="宋体" w:cs="宋体"/>
      <w:color w:val="000000"/>
      <w:sz w:val="22"/>
      <w:szCs w:val="22"/>
      <w:u w:val="none"/>
    </w:rPr>
  </w:style>
  <w:style w:type="character" w:customStyle="1" w:styleId="68">
    <w:name w:val="font01"/>
    <w:basedOn w:val="23"/>
    <w:autoRedefine/>
    <w:qFormat/>
    <w:uiPriority w:val="0"/>
    <w:rPr>
      <w:rFonts w:ascii="Arial" w:hAnsi="Arial" w:cs="Arial"/>
      <w:color w:val="000000"/>
      <w:sz w:val="22"/>
      <w:szCs w:val="22"/>
      <w:u w:val="none"/>
    </w:rPr>
  </w:style>
  <w:style w:type="character" w:customStyle="1" w:styleId="69">
    <w:name w:val="font31"/>
    <w:basedOn w:val="23"/>
    <w:autoRedefine/>
    <w:qFormat/>
    <w:uiPriority w:val="0"/>
    <w:rPr>
      <w:rFonts w:hint="default" w:ascii="Arial" w:hAnsi="Arial" w:cs="Arial"/>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1660</Words>
  <Characters>1703</Characters>
  <Lines>0</Lines>
  <Paragraphs>0</Paragraphs>
  <TotalTime>7</TotalTime>
  <ScaleCrop>false</ScaleCrop>
  <LinksUpToDate>false</LinksUpToDate>
  <CharactersWithSpaces>1705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2023-05-12T02:07:00Z</dcterms:created>
  <dc:creator>WPS_1668997655</dc:creator>
  <cp:lastModifiedBy>Q1an</cp:lastModifiedBy>
  <dcterms:modified xsi:type="dcterms:W3CDTF">2024-03-26T04:00:26Z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82A0CAEC42D9477B9C79871C72E3F218_13</vt:lpwstr>
  </property>
</Properties>
</file>