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pageBreakBefore w:val="0"/>
        <w:kinsoku/>
        <w:overflowPunct/>
        <w:topLinePunct w:val="0"/>
        <w:autoSpaceDE/>
        <w:autoSpaceDN/>
        <w:bidi w:val="0"/>
        <w:adjustRightInd/>
        <w:snapToGrid/>
        <w:spacing w:line="600" w:lineRule="exact"/>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w:t>
      </w:r>
    </w:p>
    <w:p>
      <w:pPr>
        <w:pStyle w:val="16"/>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2023年深圳市知识产权质押融资典型案例清单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4152"/>
        <w:gridCol w:w="8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top"/>
          </w:tcPr>
          <w:p>
            <w:pPr>
              <w:pStyle w:val="16"/>
              <w:pageBreakBefore w:val="0"/>
              <w:kinsoku/>
              <w:overflowPunct/>
              <w:topLinePunct w:val="0"/>
              <w:autoSpaceDE/>
              <w:autoSpaceDN/>
              <w:bidi w:val="0"/>
              <w:adjustRightInd/>
              <w:snapToGrid/>
              <w:spacing w:line="60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案例编号</w:t>
            </w:r>
          </w:p>
        </w:tc>
        <w:tc>
          <w:tcPr>
            <w:tcW w:w="4152" w:type="dxa"/>
            <w:noWrap w:val="0"/>
            <w:vAlign w:val="center"/>
          </w:tcPr>
          <w:p>
            <w:pPr>
              <w:pStyle w:val="16"/>
              <w:pageBreakBefore w:val="0"/>
              <w:kinsoku/>
              <w:overflowPunct/>
              <w:topLinePunct w:val="0"/>
              <w:autoSpaceDE/>
              <w:autoSpaceDN/>
              <w:bidi w:val="0"/>
              <w:adjustRightInd/>
              <w:snapToGrid/>
              <w:spacing w:line="60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案例名称</w:t>
            </w:r>
          </w:p>
        </w:tc>
        <w:tc>
          <w:tcPr>
            <w:tcW w:w="8533" w:type="dxa"/>
            <w:noWrap w:val="0"/>
            <w:vAlign w:val="center"/>
          </w:tcPr>
          <w:p>
            <w:pPr>
              <w:pStyle w:val="16"/>
              <w:pageBreakBefore w:val="0"/>
              <w:kinsoku/>
              <w:overflowPunct/>
              <w:topLinePunct w:val="0"/>
              <w:autoSpaceDE/>
              <w:autoSpaceDN/>
              <w:bidi w:val="0"/>
              <w:adjustRightInd/>
              <w:snapToGrid/>
              <w:spacing w:line="60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案例摘要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5" w:hRule="atLeast"/>
        </w:trPr>
        <w:tc>
          <w:tcPr>
            <w:tcW w:w="1070" w:type="dxa"/>
            <w:noWrap w:val="0"/>
            <w:vAlign w:val="center"/>
          </w:tcPr>
          <w:p>
            <w:pPr>
              <w:pStyle w:val="16"/>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4152" w:type="dxa"/>
            <w:noWrap w:val="0"/>
            <w:vAlign w:val="center"/>
          </w:tcPr>
          <w:p>
            <w:pPr>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南山区启动知识产权质押融资绿色通道，搭建知识产权与金融转化的高速公路</w:t>
            </w:r>
          </w:p>
        </w:tc>
        <w:tc>
          <w:tcPr>
            <w:tcW w:w="8533" w:type="dxa"/>
            <w:noWrap w:val="0"/>
            <w:vAlign w:val="center"/>
          </w:tcPr>
          <w:p>
            <w:pPr>
              <w:pStyle w:val="16"/>
              <w:pageBreakBefore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auto"/>
                <w:sz w:val="28"/>
                <w:szCs w:val="28"/>
              </w:rPr>
              <w:t>南山区科技创新局联合银行、担保、保险、专利、版权、法律等12家专业机构共同签署战略合作备忘录，</w:t>
            </w:r>
            <w:r>
              <w:rPr>
                <w:rFonts w:hint="eastAsia" w:ascii="仿宋_GB2312" w:hAnsi="仿宋_GB2312" w:eastAsia="仿宋_GB2312" w:cs="仿宋_GB2312"/>
                <w:sz w:val="28"/>
                <w:szCs w:val="28"/>
              </w:rPr>
              <w:t>正式启动南山知识产权质押融资绿色通道，打造“政府引导、机构参与、企业获益”的知识产权金融服务体系。依托知识产权质押融资绿色通道，设立特色产品，畅通信息对接渠道，为企业链接优质的知识产权金融服务资源，营造良好的知识产权金融服务环境，积极引导“金融活水”精准滴灌科技创新企业，切实纾解中小微企业“融资难”“融资贵”“融资慢”问题。2023年，南山知识产权质押融资绿色通道</w:t>
            </w:r>
            <w:r>
              <w:rPr>
                <w:rFonts w:hint="eastAsia" w:ascii="仿宋_GB2312" w:hAnsi="仿宋_GB2312" w:eastAsia="仿宋_GB2312" w:cs="仿宋_GB2312"/>
                <w:sz w:val="28"/>
                <w:szCs w:val="28"/>
                <w:lang w:val="en-US" w:eastAsia="zh-CN"/>
              </w:rPr>
              <w:t>合作单位已</w:t>
            </w:r>
            <w:r>
              <w:rPr>
                <w:rFonts w:hint="eastAsia" w:ascii="仿宋_GB2312" w:hAnsi="仿宋_GB2312" w:eastAsia="仿宋_GB2312" w:cs="仿宋_GB2312"/>
                <w:sz w:val="28"/>
                <w:szCs w:val="28"/>
              </w:rPr>
              <w:t>由原来的12家拓展至27家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促成</w:t>
            </w:r>
            <w:r>
              <w:rPr>
                <w:rFonts w:hint="eastAsia" w:ascii="仿宋_GB2312" w:hAnsi="仿宋_GB2312" w:eastAsia="仿宋_GB2312" w:cs="仿宋_GB2312"/>
                <w:sz w:val="28"/>
                <w:szCs w:val="28"/>
                <w:lang w:val="en-US" w:eastAsia="zh-CN"/>
              </w:rPr>
              <w:t>辖区</w:t>
            </w:r>
            <w:r>
              <w:rPr>
                <w:rFonts w:hint="eastAsia" w:ascii="仿宋_GB2312" w:hAnsi="仿宋_GB2312" w:eastAsia="仿宋_GB2312" w:cs="仿宋_GB2312"/>
                <w:sz w:val="28"/>
                <w:szCs w:val="28"/>
              </w:rPr>
              <w:t>企业</w:t>
            </w:r>
            <w:r>
              <w:rPr>
                <w:rFonts w:hint="eastAsia" w:ascii="仿宋_GB2312" w:hAnsi="仿宋_GB2312" w:eastAsia="仿宋_GB2312" w:cs="仿宋_GB2312"/>
                <w:sz w:val="28"/>
                <w:szCs w:val="28"/>
                <w:lang w:val="en-US" w:eastAsia="zh-CN"/>
              </w:rPr>
              <w:t>完成专利商标</w:t>
            </w:r>
            <w:r>
              <w:rPr>
                <w:rFonts w:hint="eastAsia" w:ascii="仿宋_GB2312" w:hAnsi="仿宋_GB2312" w:eastAsia="仿宋_GB2312" w:cs="仿宋_GB2312"/>
                <w:sz w:val="28"/>
                <w:szCs w:val="28"/>
              </w:rPr>
              <w:t>质押</w:t>
            </w:r>
            <w:r>
              <w:rPr>
                <w:rFonts w:hint="eastAsia" w:ascii="仿宋_GB2312" w:hAnsi="仿宋_GB2312" w:eastAsia="仿宋_GB2312" w:cs="仿宋_GB2312"/>
                <w:sz w:val="28"/>
                <w:szCs w:val="28"/>
                <w:lang w:val="en-US" w:eastAsia="zh-CN"/>
              </w:rPr>
              <w:t>登记</w:t>
            </w:r>
            <w:r>
              <w:rPr>
                <w:rFonts w:hint="eastAsia" w:ascii="仿宋_GB2312" w:hAnsi="仿宋_GB2312" w:eastAsia="仿宋_GB2312" w:cs="仿宋_GB2312"/>
                <w:sz w:val="28"/>
                <w:szCs w:val="28"/>
              </w:rPr>
              <w:t>笔数343笔，</w:t>
            </w:r>
            <w:r>
              <w:rPr>
                <w:rFonts w:hint="eastAsia" w:ascii="仿宋_GB2312" w:hAnsi="仿宋_GB2312" w:eastAsia="仿宋_GB2312" w:cs="仿宋_GB2312"/>
                <w:sz w:val="28"/>
                <w:szCs w:val="28"/>
                <w:lang w:val="en-US" w:eastAsia="zh-CN"/>
              </w:rPr>
              <w:t>质押登记</w:t>
            </w:r>
            <w:r>
              <w:rPr>
                <w:rFonts w:hint="eastAsia" w:ascii="仿宋_GB2312" w:hAnsi="仿宋_GB2312" w:eastAsia="仿宋_GB2312" w:cs="仿宋_GB2312"/>
                <w:sz w:val="28"/>
                <w:szCs w:val="28"/>
              </w:rPr>
              <w:t>金额101.76亿元，金额同比增长率74.58%，有效拓宽企业融资渠道。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1070" w:type="dxa"/>
            <w:noWrap w:val="0"/>
            <w:vAlign w:val="center"/>
          </w:tcPr>
          <w:p>
            <w:pPr>
              <w:pStyle w:val="16"/>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4152" w:type="dxa"/>
            <w:noWrap w:val="0"/>
            <w:vAlign w:val="center"/>
          </w:tcPr>
          <w:p>
            <w:pPr>
              <w:pStyle w:val="16"/>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宝安区构建知识产权质押融资“一条龙”服务体系</w:t>
            </w:r>
          </w:p>
        </w:tc>
        <w:tc>
          <w:tcPr>
            <w:tcW w:w="8533" w:type="dxa"/>
            <w:noWrap w:val="0"/>
            <w:vAlign w:val="center"/>
          </w:tcPr>
          <w:p>
            <w:pPr>
              <w:pageBreakBefore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宝安区强化部门协同，通过完善财政政策引导、加强多方资源集成和业务联动，聚焦深挖企业知识产权转化运用潜力、畅通银企供需对接通道等方面持续发力，创新“政策引导、政府搭台、银企对接、服务上门”工作模式，有力推动全区知识产权质押融资工作走深走实，企业知识产权转化运用意识进一步提升。2023年，宝安累计完成专利商标质押登记金额40.88亿元，同比增长121.57%；登记笔数260笔，同比增长114.88%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070" w:type="dxa"/>
            <w:noWrap w:val="0"/>
            <w:vAlign w:val="center"/>
          </w:tcPr>
          <w:p>
            <w:pPr>
              <w:pStyle w:val="16"/>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4152" w:type="dxa"/>
            <w:noWrap w:val="0"/>
            <w:vAlign w:val="center"/>
          </w:tcPr>
          <w:p>
            <w:pPr>
              <w:pStyle w:val="16"/>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en-US" w:bidi="ar-SA"/>
              </w:rPr>
              <w:t>光明区凝聚“政银企”三方合力开展“光小知</w:t>
            </w:r>
            <w:r>
              <w:rPr>
                <w:rFonts w:hint="eastAsia" w:ascii="仿宋_GB2312" w:hAnsi="仿宋_GB2312" w:eastAsia="仿宋_GB2312" w:cs="仿宋_GB2312"/>
                <w:kern w:val="2"/>
                <w:sz w:val="28"/>
                <w:szCs w:val="28"/>
                <w:vertAlign w:val="baseline"/>
                <w:lang w:val="en-US" w:eastAsia="zh-CN" w:bidi="ar-SA"/>
              </w:rPr>
              <w:t>－－</w:t>
            </w:r>
            <w:r>
              <w:rPr>
                <w:rFonts w:hint="eastAsia" w:ascii="仿宋_GB2312" w:hAnsi="仿宋_GB2312" w:eastAsia="仿宋_GB2312" w:cs="仿宋_GB2312"/>
                <w:kern w:val="2"/>
                <w:sz w:val="28"/>
                <w:szCs w:val="28"/>
                <w:vertAlign w:val="baseline"/>
                <w:lang w:val="en-US" w:eastAsia="en-US" w:bidi="ar-SA"/>
              </w:rPr>
              <w:t>知鑫服务百企行”专项行动，畅通知识产权质押融资一站式、全流程服务</w:t>
            </w:r>
          </w:p>
        </w:tc>
        <w:tc>
          <w:tcPr>
            <w:tcW w:w="8533" w:type="dxa"/>
            <w:noWrap w:val="0"/>
            <w:vAlign w:val="center"/>
          </w:tcPr>
          <w:p>
            <w:pPr>
              <w:pStyle w:val="16"/>
              <w:pageBreakBefore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光明区依托光明科学城知识产权公共服务中心“光小知”管家队伍，广泛开展“光小知－－知鑫服务百企行”系列专项活动，通过摸排调研，形成知识产权质押融资“白名单”，联合金融机构开展实地走访企业，“一对一”进行“贷前指导、价值评估、质押登记、贴息申报”全流程闭环服务，助力企业与金融资源高效精准对接，加速推动知识产权价值实现。2023年，光明区</w:t>
            </w:r>
            <w:r>
              <w:rPr>
                <w:rFonts w:hint="eastAsia" w:ascii="仿宋_GB2312" w:hAnsi="仿宋_GB2312" w:eastAsia="仿宋_GB2312" w:cs="仿宋_GB2312"/>
                <w:sz w:val="28"/>
                <w:szCs w:val="28"/>
              </w:rPr>
              <w:t>专利商标质押登记金额</w:t>
            </w:r>
            <w:r>
              <w:rPr>
                <w:rFonts w:hint="eastAsia" w:ascii="仿宋_GB2312" w:hAnsi="仿宋_GB2312" w:eastAsia="仿宋_GB2312" w:cs="仿宋_GB2312"/>
                <w:snapToGrid/>
                <w:kern w:val="2"/>
                <w:sz w:val="28"/>
                <w:szCs w:val="28"/>
                <w:lang w:val="en-US" w:eastAsia="zh-CN"/>
              </w:rPr>
              <w:t>达120.26亿元，首次突破百亿大关，同比增长1.8倍，支持企业119家次</w:t>
            </w:r>
            <w:r>
              <w:rPr>
                <w:rFonts w:hint="eastAsia" w:ascii="仿宋_GB2312" w:hAnsi="仿宋_GB2312" w:eastAsia="仿宋_GB2312" w:cs="仿宋_GB2312"/>
                <w:snapToGrid/>
                <w:kern w:val="2"/>
                <w:sz w:val="28"/>
                <w:szCs w:val="28"/>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1070" w:type="dxa"/>
            <w:noWrap w:val="0"/>
            <w:vAlign w:val="center"/>
          </w:tcPr>
          <w:p>
            <w:pPr>
              <w:pStyle w:val="16"/>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4152" w:type="dxa"/>
            <w:noWrap w:val="0"/>
            <w:vAlign w:val="center"/>
          </w:tcPr>
          <w:p>
            <w:pPr>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中国银行深圳市分行积极打造“中银科创+”知识产权特色</w:t>
            </w:r>
          </w:p>
          <w:p>
            <w:pPr>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金融服务体系</w:t>
            </w:r>
          </w:p>
        </w:tc>
        <w:tc>
          <w:tcPr>
            <w:tcW w:w="8533" w:type="dxa"/>
            <w:noWrap w:val="0"/>
            <w:vAlign w:val="center"/>
          </w:tcPr>
          <w:p>
            <w:pPr>
              <w:pStyle w:val="16"/>
              <w:pageBreakBefore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中国银行深圳市分行推出知识产权融资专门产品“惠如愿·知惠贷”，搭建以知识产权为核心要素的科技企业综合评价体系，丰富了以服务科技企业为主要客群的“中银科创+”知识产权金融服务体系，在持续打通知识产权金融服务链条的诸多堵点中，初步形成“政府首肯、科企首选、园区首推、创投首联、人才首睐”的知识产权金融服务生态。2023年累计举办活动50余次，完成专利商标质押登记金额58.16亿元，居全市银行机构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1070" w:type="dxa"/>
            <w:noWrap w:val="0"/>
            <w:vAlign w:val="center"/>
          </w:tcPr>
          <w:p>
            <w:pPr>
              <w:pStyle w:val="16"/>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4152" w:type="dxa"/>
            <w:noWrap w:val="0"/>
            <w:vAlign w:val="center"/>
          </w:tcPr>
          <w:p>
            <w:pPr>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工商银行深圳市分行搭建</w:t>
            </w:r>
          </w:p>
          <w:p>
            <w:pPr>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知识产权金融服务体系</w:t>
            </w:r>
          </w:p>
        </w:tc>
        <w:tc>
          <w:tcPr>
            <w:tcW w:w="8533" w:type="dxa"/>
            <w:noWrap w:val="0"/>
            <w:vAlign w:val="center"/>
          </w:tcPr>
          <w:p>
            <w:pPr>
              <w:pStyle w:val="16"/>
              <w:pageBreakBefore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2"/>
                <w:sz w:val="28"/>
                <w:szCs w:val="28"/>
                <w:vertAlign w:val="baseline"/>
                <w:lang w:val="en-US" w:eastAsia="zh-CN" w:bidi="ar-SA"/>
              </w:rPr>
              <w:t>工商银行深圳市分行</w:t>
            </w:r>
            <w:r>
              <w:rPr>
                <w:rFonts w:hint="eastAsia" w:ascii="仿宋_GB2312" w:hAnsi="仿宋_GB2312" w:eastAsia="仿宋_GB2312" w:cs="仿宋_GB2312"/>
                <w:sz w:val="28"/>
                <w:szCs w:val="28"/>
                <w:highlight w:val="none"/>
                <w:lang w:val="en-US" w:eastAsia="zh-CN"/>
              </w:rPr>
              <w:t>发布</w:t>
            </w:r>
            <w:r>
              <w:rPr>
                <w:rFonts w:hint="eastAsia" w:ascii="仿宋_GB2312" w:hAnsi="仿宋_GB2312" w:eastAsia="仿宋_GB2312" w:cs="仿宋_GB2312"/>
                <w:sz w:val="28"/>
                <w:szCs w:val="28"/>
                <w:lang w:val="en-US" w:eastAsia="zh-CN"/>
              </w:rPr>
              <w:t>《科创企业知识产权评价应用指引》，推出科创企业专属评价模型</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lang w:val="en-US" w:eastAsia="zh-CN"/>
              </w:rPr>
              <w:t>创新推出知识产权质押融资产品“智惠贷”，</w:t>
            </w:r>
            <w:r>
              <w:rPr>
                <w:rFonts w:hint="eastAsia" w:ascii="仿宋_GB2312" w:hAnsi="仿宋_GB2312" w:eastAsia="仿宋_GB2312" w:cs="仿宋_GB2312"/>
                <w:color w:val="000000"/>
                <w:sz w:val="28"/>
                <w:szCs w:val="28"/>
                <w:highlight w:val="none"/>
                <w:lang w:val="en-US" w:eastAsia="zh-CN"/>
              </w:rPr>
              <w:t>打造覆盖“推－管－投－托”全流程闭环的主动管理型知识产权证券化业务模式，</w:t>
            </w:r>
            <w:r>
              <w:rPr>
                <w:rFonts w:hint="eastAsia" w:ascii="仿宋_GB2312" w:hAnsi="仿宋_GB2312" w:eastAsia="仿宋_GB2312" w:cs="仿宋_GB2312"/>
                <w:color w:val="000000"/>
                <w:sz w:val="28"/>
                <w:szCs w:val="28"/>
                <w:lang w:val="en-US" w:eastAsia="zh-CN"/>
              </w:rPr>
              <w:t>构建</w:t>
            </w:r>
            <w:r>
              <w:rPr>
                <w:rFonts w:hint="eastAsia" w:ascii="仿宋_GB2312" w:hAnsi="仿宋_GB2312" w:eastAsia="仿宋_GB2312" w:cs="仿宋_GB2312"/>
                <w:color w:val="000000"/>
                <w:sz w:val="28"/>
                <w:szCs w:val="28"/>
              </w:rPr>
              <w:t>“银行+科创企业+政府+知识产权服务机构+第三方机构”五位一体知识产权服务</w:t>
            </w:r>
            <w:r>
              <w:rPr>
                <w:rFonts w:hint="eastAsia" w:ascii="仿宋_GB2312" w:hAnsi="仿宋_GB2312" w:eastAsia="仿宋_GB2312" w:cs="仿宋_GB2312"/>
                <w:color w:val="000000"/>
                <w:sz w:val="28"/>
                <w:szCs w:val="28"/>
                <w:lang w:val="en-US" w:eastAsia="zh-CN"/>
              </w:rPr>
              <w:t>生态，</w:t>
            </w:r>
            <w:r>
              <w:rPr>
                <w:rFonts w:hint="eastAsia" w:ascii="仿宋_GB2312" w:hAnsi="仿宋_GB2312" w:eastAsia="仿宋_GB2312" w:cs="仿宋_GB2312"/>
                <w:sz w:val="28"/>
                <w:szCs w:val="28"/>
                <w:highlight w:val="none"/>
                <w:lang w:val="en-US" w:eastAsia="zh-CN"/>
              </w:rPr>
              <w:t>成功构建了一</w:t>
            </w:r>
            <w:r>
              <w:rPr>
                <w:rFonts w:hint="eastAsia" w:ascii="仿宋_GB2312" w:hAnsi="仿宋_GB2312" w:eastAsia="仿宋_GB2312" w:cs="仿宋_GB2312"/>
                <w:b w:val="0"/>
                <w:bCs w:val="0"/>
                <w:kern w:val="2"/>
                <w:sz w:val="28"/>
                <w:szCs w:val="28"/>
                <w:highlight w:val="none"/>
                <w:lang w:val="en-US" w:eastAsia="zh-CN" w:bidi="ar-SA"/>
              </w:rPr>
              <w:t>套完整的“知识产权金融创新服务体系”，</w:t>
            </w:r>
            <w:r>
              <w:rPr>
                <w:rFonts w:hint="eastAsia" w:ascii="仿宋_GB2312" w:hAnsi="仿宋_GB2312" w:eastAsia="仿宋_GB2312" w:cs="仿宋_GB2312"/>
                <w:i w:val="0"/>
                <w:caps w:val="0"/>
                <w:color w:val="auto"/>
                <w:spacing w:val="0"/>
                <w:kern w:val="2"/>
                <w:sz w:val="28"/>
                <w:szCs w:val="28"/>
                <w:lang w:val="en-US" w:eastAsia="zh-CN" w:bidi="ar-SA"/>
              </w:rPr>
              <w:t>助力科创企业“知产”转化“资产”，进一步打通了金融支持高质量知识产权科创企业发展的新路径。2023年</w:t>
            </w:r>
            <w:r>
              <w:rPr>
                <w:rFonts w:hint="eastAsia" w:ascii="仿宋_GB2312" w:hAnsi="仿宋_GB2312" w:eastAsia="仿宋_GB2312" w:cs="仿宋_GB2312"/>
                <w:snapToGrid/>
                <w:kern w:val="2"/>
                <w:sz w:val="28"/>
                <w:szCs w:val="28"/>
                <w:lang w:val="en-US" w:eastAsia="zh-CN"/>
              </w:rPr>
              <w:t>完成专利商标质押登记金额</w:t>
            </w:r>
            <w:r>
              <w:rPr>
                <w:rFonts w:hint="eastAsia" w:ascii="仿宋_GB2312" w:hAnsi="仿宋_GB2312" w:eastAsia="仿宋_GB2312" w:cs="仿宋_GB2312"/>
                <w:i w:val="0"/>
                <w:caps w:val="0"/>
                <w:color w:val="auto"/>
                <w:spacing w:val="0"/>
                <w:kern w:val="2"/>
                <w:sz w:val="28"/>
                <w:szCs w:val="28"/>
                <w:lang w:val="en-US" w:eastAsia="zh-CN" w:bidi="ar-SA"/>
              </w:rPr>
              <w:t>36.01亿元，居全市银行机构前列。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pPr>
              <w:pStyle w:val="16"/>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4152" w:type="dxa"/>
            <w:noWrap w:val="0"/>
            <w:vAlign w:val="center"/>
          </w:tcPr>
          <w:p>
            <w:pPr>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招商银行深圳分行发挥“六专”机制优势，助推知识产权</w:t>
            </w:r>
          </w:p>
          <w:p>
            <w:pPr>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质押融资服务</w:t>
            </w:r>
          </w:p>
        </w:tc>
        <w:tc>
          <w:tcPr>
            <w:tcW w:w="8533" w:type="dxa"/>
            <w:noWrap w:val="0"/>
            <w:vAlign w:val="center"/>
          </w:tcPr>
          <w:p>
            <w:pPr>
              <w:pStyle w:val="16"/>
              <w:pageBreakBefore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招商银行深圳分行紧跟国家战略导向，履行金融服务实体经济使命担当，充分发挥“专门队伍、专门产品、专门政策、专门机构、专门考评、专门流程”六个专门机制优势，将知识产权因素应用于科技金融产品创新，助推知识产权金融服务，为科技金融业务长远发展提供有力支撑。2023年，深圳分行完成</w:t>
            </w:r>
            <w:r>
              <w:rPr>
                <w:rFonts w:hint="eastAsia" w:ascii="仿宋_GB2312" w:hAnsi="仿宋_GB2312" w:eastAsia="仿宋_GB2312" w:cs="仿宋_GB2312"/>
                <w:snapToGrid/>
                <w:kern w:val="2"/>
                <w:sz w:val="28"/>
                <w:szCs w:val="28"/>
                <w:lang w:val="en-US" w:eastAsia="zh-CN"/>
              </w:rPr>
              <w:t>专利商标质押登记金额</w:t>
            </w:r>
            <w:r>
              <w:rPr>
                <w:rFonts w:hint="eastAsia" w:ascii="仿宋_GB2312" w:hAnsi="仿宋_GB2312" w:eastAsia="仿宋_GB2312" w:cs="仿宋_GB2312"/>
                <w:sz w:val="28"/>
                <w:szCs w:val="28"/>
                <w:vertAlign w:val="baseline"/>
                <w:lang w:val="en-US" w:eastAsia="zh-CN"/>
              </w:rPr>
              <w:t>31.46亿元、笔数55笔，居全市第五，较上年末</w:t>
            </w:r>
            <w:r>
              <w:rPr>
                <w:rFonts w:hint="eastAsia" w:ascii="仿宋_GB2312" w:hAnsi="仿宋_GB2312" w:eastAsia="仿宋_GB2312" w:cs="仿宋_GB2312"/>
                <w:snapToGrid/>
                <w:kern w:val="2"/>
                <w:sz w:val="28"/>
                <w:szCs w:val="28"/>
                <w:lang w:val="en-US" w:eastAsia="zh-CN"/>
              </w:rPr>
              <w:t>专利商标质押登记</w:t>
            </w:r>
            <w:r>
              <w:rPr>
                <w:rFonts w:hint="eastAsia" w:ascii="仿宋_GB2312" w:hAnsi="仿宋_GB2312" w:eastAsia="仿宋_GB2312" w:cs="仿宋_GB2312"/>
                <w:sz w:val="28"/>
                <w:szCs w:val="28"/>
                <w:vertAlign w:val="baseline"/>
                <w:lang w:val="en-US" w:eastAsia="zh-CN"/>
              </w:rPr>
              <w:t>金额增长30.09亿元</w:t>
            </w:r>
            <w:bookmarkStart w:id="0" w:name="_GoBack"/>
            <w:bookmarkEnd w:id="0"/>
            <w:r>
              <w:rPr>
                <w:rFonts w:hint="eastAsia" w:ascii="仿宋_GB2312" w:hAnsi="仿宋_GB2312" w:eastAsia="仿宋_GB2312" w:cs="仿宋_GB2312"/>
                <w:sz w:val="28"/>
                <w:szCs w:val="28"/>
                <w:vertAlign w:val="baseline"/>
                <w:lang w:val="en-US" w:eastAsia="zh-CN"/>
              </w:rPr>
              <w:t>，为深圳市金融支持科技创新贡献了一份招行力量。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pPr>
              <w:pStyle w:val="16"/>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4152" w:type="dxa"/>
            <w:noWrap w:val="0"/>
            <w:vAlign w:val="center"/>
          </w:tcPr>
          <w:p>
            <w:pPr>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深圳农商银行“一站式”</w:t>
            </w:r>
          </w:p>
          <w:p>
            <w:pPr>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知识产权金融服务体系</w:t>
            </w:r>
          </w:p>
        </w:tc>
        <w:tc>
          <w:tcPr>
            <w:tcW w:w="8533" w:type="dxa"/>
            <w:noWrap w:val="0"/>
            <w:vAlign w:val="center"/>
          </w:tcPr>
          <w:p>
            <w:pPr>
              <w:pStyle w:val="2"/>
              <w:pageBreakBefore w:val="0"/>
              <w:kinsoku/>
              <w:overflowPunct/>
              <w:topLinePunct w:val="0"/>
              <w:autoSpaceDE/>
              <w:autoSpaceDN/>
              <w:bidi w:val="0"/>
              <w:adjustRightInd/>
              <w:snapToGrid/>
              <w:spacing w:before="0" w:after="0" w:line="400" w:lineRule="exact"/>
              <w:jc w:val="both"/>
              <w:textAlignment w:val="auto"/>
              <w:rPr>
                <w:rFonts w:hint="eastAsia" w:ascii="仿宋_GB2312" w:hAnsi="仿宋_GB2312" w:eastAsia="仿宋_GB2312" w:cs="仿宋_GB2312"/>
                <w:b w:val="0"/>
                <w:bCs w:val="0"/>
                <w:caps w:val="0"/>
                <w:snapToGrid/>
                <w:kern w:val="2"/>
                <w:sz w:val="28"/>
                <w:szCs w:val="28"/>
                <w:lang w:val="en-US" w:eastAsia="zh-CN" w:bidi="ar-SA"/>
              </w:rPr>
            </w:pPr>
            <w:r>
              <w:rPr>
                <w:rFonts w:hint="eastAsia" w:ascii="仿宋_GB2312" w:hAnsi="仿宋_GB2312" w:eastAsia="仿宋_GB2312" w:cs="仿宋_GB2312"/>
                <w:b w:val="0"/>
                <w:bCs w:val="0"/>
                <w:caps w:val="0"/>
                <w:snapToGrid/>
                <w:kern w:val="2"/>
                <w:sz w:val="28"/>
                <w:szCs w:val="28"/>
                <w:lang w:val="en-US" w:eastAsia="zh-CN" w:bidi="ar-SA"/>
              </w:rPr>
              <w:t>深圳农商银行针对传统知识产权质押贷款“评估难、评估贵、办理难”的问题，构建“专业免费评估+绿色审批保障+便捷线上质押”的“一站式”知识产权金融服务体系，为科技型企业提供合理、便捷、高效、低成本的授信服务，让“知产”真正变为“资产”。2023年，通过创新知产质押融资模式，通过单一知识产权质押或结合实控人保证等混合信用支持的形式，为超200户企业盘活知识产权成果，累计发放质押贷款超10亿元，质押业务笔数和规模居</w:t>
            </w:r>
            <w:r>
              <w:rPr>
                <w:rFonts w:hint="eastAsia" w:ascii="仿宋_GB2312" w:hAnsi="仿宋_GB2312" w:eastAsia="仿宋_GB2312" w:cs="仿宋_GB2312"/>
                <w:b w:val="0"/>
                <w:bCs w:val="0"/>
                <w:caps w:val="0"/>
                <w:kern w:val="2"/>
                <w:sz w:val="28"/>
                <w:szCs w:val="28"/>
                <w:vertAlign w:val="baseline"/>
                <w:lang w:val="en-US" w:eastAsia="zh-CN" w:bidi="ar-SA"/>
              </w:rPr>
              <w:t>全市银行机构</w:t>
            </w:r>
            <w:r>
              <w:rPr>
                <w:rFonts w:hint="eastAsia" w:ascii="仿宋_GB2312" w:hAnsi="仿宋_GB2312" w:eastAsia="仿宋_GB2312" w:cs="仿宋_GB2312"/>
                <w:b w:val="0"/>
                <w:bCs w:val="0"/>
                <w:caps w:val="0"/>
                <w:snapToGrid/>
                <w:kern w:val="2"/>
                <w:sz w:val="28"/>
                <w:szCs w:val="28"/>
                <w:lang w:val="en-US" w:eastAsia="zh-CN" w:bidi="ar-SA"/>
              </w:rPr>
              <w:t>前列。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1070" w:type="dxa"/>
            <w:noWrap w:val="0"/>
            <w:vAlign w:val="center"/>
          </w:tcPr>
          <w:p>
            <w:pPr>
              <w:pStyle w:val="16"/>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4152" w:type="dxa"/>
            <w:noWrap w:val="0"/>
            <w:vAlign w:val="center"/>
          </w:tcPr>
          <w:p>
            <w:pPr>
              <w:pStyle w:val="16"/>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微众银行数字化方式推广</w:t>
            </w:r>
          </w:p>
          <w:p>
            <w:pPr>
              <w:pStyle w:val="16"/>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知识产权质押融资业务</w:t>
            </w:r>
          </w:p>
        </w:tc>
        <w:tc>
          <w:tcPr>
            <w:tcW w:w="8533" w:type="dxa"/>
            <w:noWrap w:val="0"/>
            <w:vAlign w:val="center"/>
          </w:tcPr>
          <w:p>
            <w:pPr>
              <w:pStyle w:val="16"/>
              <w:pageBreakBefore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aps w:val="0"/>
                <w:snapToGrid/>
                <w:kern w:val="2"/>
                <w:sz w:val="28"/>
                <w:szCs w:val="28"/>
                <w:lang w:val="en-US" w:eastAsia="zh-CN" w:bidi="ar-SA"/>
              </w:rPr>
            </w:pPr>
          </w:p>
          <w:p>
            <w:pPr>
              <w:pStyle w:val="16"/>
              <w:pageBreakBefore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aps w:val="0"/>
                <w:snapToGrid/>
                <w:kern w:val="2"/>
                <w:sz w:val="28"/>
                <w:szCs w:val="28"/>
                <w:lang w:val="en-US" w:eastAsia="zh-CN" w:bidi="ar-SA"/>
              </w:rPr>
            </w:pPr>
            <w:r>
              <w:rPr>
                <w:rFonts w:hint="eastAsia" w:ascii="仿宋_GB2312" w:hAnsi="仿宋_GB2312" w:eastAsia="仿宋_GB2312" w:cs="仿宋_GB2312"/>
                <w:b w:val="0"/>
                <w:bCs w:val="0"/>
                <w:caps w:val="0"/>
                <w:snapToGrid/>
                <w:kern w:val="2"/>
                <w:sz w:val="28"/>
                <w:szCs w:val="28"/>
                <w:lang w:val="en-US" w:eastAsia="zh-CN" w:bidi="ar-SA"/>
              </w:rPr>
              <w:t>微众银行依托数字化能力创新产品模式，实现知识产权质押融资业务全流程线上化；扩展知识产权数据应用，助力企业发挥知识产权价值获取融资；推出内部专项政策，拓宽外部合作协同，为企业降本提效；积极协同政府落实知识产权质押融资政策精准惠企，已纳入了深圳市8个辖区的知识产权质押贷款专项贴息。2023年度累计为科技企业客户进行专利商标质押登记144笔，居全市银行机构第二；</w:t>
            </w:r>
            <w:r>
              <w:rPr>
                <w:rFonts w:hint="eastAsia" w:ascii="仿宋_GB2312" w:hAnsi="仿宋_GB2312" w:eastAsia="仿宋_GB2312" w:cs="仿宋_GB2312"/>
                <w:sz w:val="28"/>
                <w:szCs w:val="28"/>
              </w:rPr>
              <w:t>专利商标质押融资登记金额</w:t>
            </w:r>
            <w:r>
              <w:rPr>
                <w:rFonts w:hint="eastAsia" w:ascii="仿宋_GB2312" w:hAnsi="仿宋_GB2312" w:eastAsia="仿宋_GB2312" w:cs="仿宋_GB2312"/>
                <w:b w:val="0"/>
                <w:bCs w:val="0"/>
                <w:caps w:val="0"/>
                <w:snapToGrid/>
                <w:kern w:val="2"/>
                <w:sz w:val="28"/>
                <w:szCs w:val="28"/>
                <w:lang w:val="en-US" w:eastAsia="zh-CN" w:bidi="ar-SA"/>
              </w:rPr>
              <w:t>2.28亿元，是2022年业务量的4.5倍。</w:t>
            </w:r>
          </w:p>
          <w:p>
            <w:pPr>
              <w:pStyle w:val="16"/>
              <w:pageBreakBefore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aps w:val="0"/>
                <w:snapToGrid/>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pPr>
              <w:pStyle w:val="16"/>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4152" w:type="dxa"/>
            <w:noWrap w:val="0"/>
            <w:vAlign w:val="center"/>
          </w:tcPr>
          <w:p>
            <w:pPr>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深圳担保集团助力科技创新企业高质量发展，做实知识产权证券化产品金融服务</w:t>
            </w:r>
          </w:p>
        </w:tc>
        <w:tc>
          <w:tcPr>
            <w:tcW w:w="8533" w:type="dxa"/>
            <w:noWrap w:val="0"/>
            <w:vAlign w:val="center"/>
          </w:tcPr>
          <w:p>
            <w:pPr>
              <w:pStyle w:val="16"/>
              <w:pageBreakBefore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p>
            <w:pPr>
              <w:pStyle w:val="16"/>
              <w:pageBreakBefore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深圳担保集团积极探索建立多元化知识产权融资服务体系，以多牌照、全链条、专业化的综合性优势破解知识产权密集型企业融资难题，创新结合了“小额贷款债权+知识产权质押”的发行模式以及“小额贷款+专项计划”交易模式，通过“国资主导、政府补贴、市场参与、企业获益”的知识产权证券化模式，简化质押手续，省却中间费用，提升融资效率，助力科创企业解决融资难、融资贵、融资慢问题。截至2023年底，深圳担保集团累计开展知识产权质押融资项目超1200家次，金额超90亿元，涉及知识产权超1500项，在落实打通知识产权“五大链条”，加快知识产权运用节点上，展现国企先行尖兵的担当作为。</w:t>
            </w:r>
          </w:p>
          <w:p>
            <w:pPr>
              <w:pStyle w:val="16"/>
              <w:pageBreakBefore w:val="0"/>
              <w:kinsoku/>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trPr>
        <w:tc>
          <w:tcPr>
            <w:tcW w:w="1070" w:type="dxa"/>
            <w:noWrap w:val="0"/>
            <w:vAlign w:val="center"/>
          </w:tcPr>
          <w:p>
            <w:pPr>
              <w:pStyle w:val="16"/>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4152" w:type="dxa"/>
            <w:noWrap w:val="0"/>
            <w:vAlign w:val="center"/>
          </w:tcPr>
          <w:p>
            <w:pPr>
              <w:pageBreakBefore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深圳市知识产权金融协会构建“123”服务体系，打通知识产权质押融资支持中小企业发展的“任督二脉”</w:t>
            </w:r>
          </w:p>
        </w:tc>
        <w:tc>
          <w:tcPr>
            <w:tcW w:w="8533" w:type="dxa"/>
            <w:noWrap w:val="0"/>
            <w:vAlign w:val="center"/>
          </w:tcPr>
          <w:p>
            <w:pPr>
              <w:pStyle w:val="16"/>
              <w:pageBreakBefore w:val="0"/>
              <w:kinsoku/>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深圳市知识产权金融协会积极发挥知识产权+金融的跨界融合作用，运营深圳市知识产权金融公共服务平台，集聚金融机构及专业服务机构两类资源，开发适合金融场景的评估工具，完善知识产权质物处置机制，开展知识产权质押融资入园惠企及知识产权金融跨界人才培训等举措，破解知识产权质押融资业务估值难、处置难及推广难三大困境，以“123”服务体系打通知识产权质押融资支持中小企业发展的“任督二脉”，助力深圳知识产权质押融资工作提质增效。</w:t>
            </w:r>
          </w:p>
        </w:tc>
      </w:tr>
    </w:tbl>
    <w:p>
      <w:pPr>
        <w:pStyle w:val="16"/>
        <w:pageBreakBefore w:val="0"/>
        <w:kinsoku/>
        <w:overflowPunct/>
        <w:topLinePunct w:val="0"/>
        <w:autoSpaceDE/>
        <w:autoSpaceDN/>
        <w:bidi w:val="0"/>
        <w:adjustRightInd/>
        <w:snapToGrid/>
        <w:spacing w:line="400" w:lineRule="exact"/>
        <w:jc w:val="both"/>
        <w:textAlignment w:val="auto"/>
        <w:rPr>
          <w:rFonts w:hint="eastAsia" w:ascii="黑体" w:hAnsi="黑体" w:eastAsia="黑体" w:cs="黑体"/>
          <w:b w:val="0"/>
          <w:bCs w:val="0"/>
          <w:kern w:val="2"/>
          <w:sz w:val="32"/>
          <w:szCs w:val="32"/>
          <w:lang w:val="en-US" w:eastAsia="zh-CN" w:bidi="ar-SA"/>
        </w:rPr>
      </w:pPr>
    </w:p>
    <w:p>
      <w:pPr>
        <w:pStyle w:val="8"/>
        <w:keepNext w:val="0"/>
        <w:keepLines w:val="0"/>
        <w:widowControl/>
        <w:suppressLineNumbers w:val="0"/>
        <w:spacing w:line="400" w:lineRule="exact"/>
        <w:rPr>
          <w:rFonts w:hint="default"/>
          <w:lang w:val="en-US" w:eastAsia="zh-CN"/>
        </w:rPr>
      </w:pPr>
    </w:p>
    <w:sectPr>
      <w:footerReference r:id="rId3" w:type="default"/>
      <w:pgSz w:w="16838" w:h="11906" w:orient="landscape"/>
      <w:pgMar w:top="1474" w:right="1588" w:bottom="1474" w:left="1588" w:header="851" w:footer="992" w:gutter="0"/>
      <w:cols w:space="72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3"/>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t xml:space="preserve"> -</w:t>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1B2A"/>
    <w:multiLevelType w:val="multilevel"/>
    <w:tmpl w:val="79DB1B2A"/>
    <w:lvl w:ilvl="0" w:tentative="0">
      <w:start w:val="1"/>
      <w:numFmt w:val="decimal"/>
      <w:pStyle w:val="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MzgzNzllNDUyMTJlMjAzMDg0ZjEyYTk2MzczMWUifQ=="/>
  </w:docVars>
  <w:rsids>
    <w:rsidRoot w:val="00AF7220"/>
    <w:rsid w:val="00000D06"/>
    <w:rsid w:val="00140670"/>
    <w:rsid w:val="00AF7220"/>
    <w:rsid w:val="00B87FE3"/>
    <w:rsid w:val="00BB3B14"/>
    <w:rsid w:val="00D90A02"/>
    <w:rsid w:val="021B7502"/>
    <w:rsid w:val="035166A0"/>
    <w:rsid w:val="03F053EA"/>
    <w:rsid w:val="05300132"/>
    <w:rsid w:val="06393147"/>
    <w:rsid w:val="0B2621C1"/>
    <w:rsid w:val="0DDF8D24"/>
    <w:rsid w:val="13AF0F16"/>
    <w:rsid w:val="169F8698"/>
    <w:rsid w:val="1A0F29BA"/>
    <w:rsid w:val="1F3C0575"/>
    <w:rsid w:val="215EED16"/>
    <w:rsid w:val="237B13A3"/>
    <w:rsid w:val="25BE984B"/>
    <w:rsid w:val="27024ACD"/>
    <w:rsid w:val="2B7D106A"/>
    <w:rsid w:val="2BC76443"/>
    <w:rsid w:val="2F4F96AD"/>
    <w:rsid w:val="34DC79FA"/>
    <w:rsid w:val="37F1F61D"/>
    <w:rsid w:val="3ACC1099"/>
    <w:rsid w:val="3B331025"/>
    <w:rsid w:val="3FFCACE8"/>
    <w:rsid w:val="4A834233"/>
    <w:rsid w:val="4AF00CD2"/>
    <w:rsid w:val="4D7F3FE5"/>
    <w:rsid w:val="4DEFCB51"/>
    <w:rsid w:val="4F064B4E"/>
    <w:rsid w:val="512269C1"/>
    <w:rsid w:val="52263920"/>
    <w:rsid w:val="53740BBC"/>
    <w:rsid w:val="5B7FF912"/>
    <w:rsid w:val="5B9975F0"/>
    <w:rsid w:val="5C1552F4"/>
    <w:rsid w:val="5FDEE519"/>
    <w:rsid w:val="60004EDB"/>
    <w:rsid w:val="6236362C"/>
    <w:rsid w:val="62886432"/>
    <w:rsid w:val="673CE23C"/>
    <w:rsid w:val="6DB64870"/>
    <w:rsid w:val="70D01C58"/>
    <w:rsid w:val="70E60173"/>
    <w:rsid w:val="73FB7CCB"/>
    <w:rsid w:val="76BD09DA"/>
    <w:rsid w:val="77BFE725"/>
    <w:rsid w:val="77C53F13"/>
    <w:rsid w:val="77CE4490"/>
    <w:rsid w:val="77DBAB3D"/>
    <w:rsid w:val="7A9C0875"/>
    <w:rsid w:val="7B1BA6B8"/>
    <w:rsid w:val="7BDBCAD6"/>
    <w:rsid w:val="7BFF0593"/>
    <w:rsid w:val="7E5EEF7D"/>
    <w:rsid w:val="7E75206E"/>
    <w:rsid w:val="7F0AD9B3"/>
    <w:rsid w:val="7F770ABA"/>
    <w:rsid w:val="96DBA4D7"/>
    <w:rsid w:val="B9EA5C60"/>
    <w:rsid w:val="BDAC89E6"/>
    <w:rsid w:val="BFBD2FC5"/>
    <w:rsid w:val="BFBFAA2B"/>
    <w:rsid w:val="BFD7FE3F"/>
    <w:rsid w:val="CEE7BAA2"/>
    <w:rsid w:val="D7F963EF"/>
    <w:rsid w:val="DF3DB48A"/>
    <w:rsid w:val="E7EE8A4F"/>
    <w:rsid w:val="ED7C76C3"/>
    <w:rsid w:val="ED7FEA47"/>
    <w:rsid w:val="EFAF1143"/>
    <w:rsid w:val="EFFEFE43"/>
    <w:rsid w:val="F4DB8E91"/>
    <w:rsid w:val="F9932A30"/>
    <w:rsid w:val="FB5D3AC8"/>
    <w:rsid w:val="FBBF4629"/>
    <w:rsid w:val="FCD72E1F"/>
    <w:rsid w:val="FF7C5A35"/>
    <w:rsid w:val="FFBFB30A"/>
    <w:rsid w:val="FFCF23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outlineLvl w:val="0"/>
    </w:pPr>
    <w:rPr>
      <w:rFonts w:eastAsia="黑体"/>
      <w:bCs/>
      <w:kern w:val="44"/>
      <w:szCs w:val="44"/>
    </w:rPr>
  </w:style>
  <w:style w:type="paragraph" w:styleId="4">
    <w:name w:val="heading 3"/>
    <w:basedOn w:val="1"/>
    <w:next w:val="1"/>
    <w:qFormat/>
    <w:uiPriority w:val="0"/>
    <w:pPr>
      <w:keepNext/>
      <w:keepLines/>
      <w:numPr>
        <w:ilvl w:val="0"/>
        <w:numId w:val="1"/>
      </w:numPr>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eastAsia="宋体" w:cs="Times New Roman"/>
      <w:b/>
      <w:bCs/>
      <w:caps/>
      <w:sz w:val="2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styleId="15">
    <w:name w:val="footnote reference"/>
    <w:basedOn w:val="12"/>
    <w:qFormat/>
    <w:uiPriority w:val="0"/>
    <w:rPr>
      <w:vertAlign w:val="superscript"/>
    </w:rPr>
  </w:style>
  <w:style w:type="paragraph" w:customStyle="1" w:styleId="16">
    <w:name w:val="纯文本1"/>
    <w:unhideWhenUsed/>
    <w:qFormat/>
    <w:uiPriority w:val="0"/>
    <w:pPr>
      <w:widowControl w:val="0"/>
      <w:jc w:val="both"/>
    </w:pPr>
    <w:rPr>
      <w:rFonts w:hint="eastAsia" w:ascii="宋体" w:hAnsi="Courier New" w:eastAsia="宋体" w:cs="Times New Roman"/>
      <w:kern w:val="2"/>
      <w:sz w:val="21"/>
      <w:szCs w:val="24"/>
      <w:lang w:val="en-US" w:eastAsia="zh-CN" w:bidi="ar-SA"/>
    </w:rPr>
  </w:style>
  <w:style w:type="character" w:customStyle="1" w:styleId="17">
    <w:name w:val="font11"/>
    <w:basedOn w:val="12"/>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1589</Words>
  <Characters>2848</Characters>
  <Lines>1</Lines>
  <Paragraphs>1</Paragraphs>
  <TotalTime>23</TotalTime>
  <ScaleCrop>false</ScaleCrop>
  <LinksUpToDate>false</LinksUpToDate>
  <CharactersWithSpaces>3109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2011-03-09T09:06:00Z</dcterms:created>
  <dc:creator>科员01</dc:creator>
  <cp:lastModifiedBy>WANGQW</cp:lastModifiedBy>
  <dcterms:modified xsi:type="dcterms:W3CDTF">2024-04-25T16:36:55Z</dcterms:modified>
  <dc:title>深圳市市场监督管理局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39C2EE6562BE8997F8152A6605BF1594</vt:lpwstr>
  </property>
</Properties>
</file>