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384" w:lineRule="atLeast"/>
        <w:ind w:firstLine="0" w:firstLineChars="0"/>
        <w:jc w:val="both"/>
        <w:textAlignment w:val="auto"/>
        <w:rPr>
          <w:rStyle w:val="6"/>
          <w:rFonts w:hint="eastAsia" w:ascii="宋体" w:hAnsi="宋体" w:eastAsia="宋体" w:cs="宋体"/>
          <w:bCs/>
          <w:kern w:val="21"/>
          <w:sz w:val="24"/>
          <w:szCs w:val="24"/>
          <w:shd w:val="clear" w:color="auto" w:fill="FFFFFF"/>
        </w:rPr>
      </w:pPr>
      <w:bookmarkStart w:id="0" w:name="_Hlk75713751"/>
      <w:r>
        <w:rPr>
          <w:rStyle w:val="6"/>
          <w:rFonts w:hint="eastAsia" w:ascii="宋体" w:hAnsi="宋体" w:eastAsia="宋体" w:cs="宋体"/>
          <w:bCs/>
          <w:kern w:val="21"/>
          <w:sz w:val="24"/>
          <w:szCs w:val="24"/>
          <w:shd w:val="clear" w:color="auto" w:fill="FFFFFF"/>
        </w:rPr>
        <w:t>附件</w:t>
      </w:r>
      <w:bookmarkStart w:id="1" w:name="_GoBack"/>
      <w:bookmarkEnd w:id="1"/>
    </w:p>
    <w:p>
      <w:pPr>
        <w:pStyle w:val="4"/>
        <w:keepNext w:val="0"/>
        <w:keepLines w:val="0"/>
        <w:pageBreakBefore w:val="0"/>
        <w:widowControl/>
        <w:kinsoku/>
        <w:wordWrap/>
        <w:overflowPunct/>
        <w:topLinePunct w:val="0"/>
        <w:autoSpaceDE/>
        <w:autoSpaceDN/>
        <w:bidi w:val="0"/>
        <w:adjustRightInd w:val="0"/>
        <w:snapToGrid w:val="0"/>
        <w:spacing w:before="0" w:beforeAutospacing="0" w:after="157" w:afterLines="50" w:afterAutospacing="0" w:line="0" w:lineRule="atLeast"/>
        <w:ind w:firstLine="0" w:firstLineChars="0"/>
        <w:jc w:val="center"/>
        <w:textAlignment w:val="auto"/>
        <w:rPr>
          <w:rStyle w:val="6"/>
          <w:rFonts w:hint="eastAsia" w:ascii="宋体" w:hAnsi="宋体" w:eastAsia="宋体" w:cs="宋体"/>
          <w:kern w:val="21"/>
          <w:sz w:val="36"/>
          <w:szCs w:val="36"/>
        </w:rPr>
      </w:pPr>
      <w:r>
        <w:rPr>
          <w:rStyle w:val="6"/>
          <w:rFonts w:hint="eastAsia" w:ascii="宋体" w:hAnsi="宋体" w:eastAsia="宋体" w:cs="宋体"/>
          <w:kern w:val="21"/>
          <w:sz w:val="36"/>
          <w:szCs w:val="36"/>
        </w:rPr>
        <w:t>深圳市集体企业要素交易目录</w:t>
      </w:r>
    </w:p>
    <w:tbl>
      <w:tblPr>
        <w:tblStyle w:val="5"/>
        <w:tblW w:w="52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87"/>
        <w:gridCol w:w="878"/>
        <w:gridCol w:w="3880"/>
        <w:gridCol w:w="3021"/>
        <w:gridCol w:w="12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黑体" w:hAnsi="黑体" w:eastAsia="黑体" w:cs="黑体"/>
                <w:kern w:val="21"/>
                <w:sz w:val="18"/>
                <w:szCs w:val="18"/>
              </w:rPr>
            </w:pPr>
            <w:r>
              <w:rPr>
                <w:rStyle w:val="6"/>
                <w:rFonts w:hint="eastAsia" w:ascii="黑体" w:hAnsi="黑体" w:eastAsia="黑体" w:cs="黑体"/>
                <w:kern w:val="21"/>
                <w:sz w:val="18"/>
                <w:szCs w:val="18"/>
              </w:rPr>
              <w:t>序号</w:t>
            </w:r>
          </w:p>
        </w:tc>
        <w:tc>
          <w:tcPr>
            <w:tcW w:w="821"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黑体" w:hAnsi="黑体" w:eastAsia="黑体" w:cs="黑体"/>
                <w:kern w:val="21"/>
                <w:sz w:val="18"/>
                <w:szCs w:val="18"/>
              </w:rPr>
            </w:pPr>
            <w:r>
              <w:rPr>
                <w:rStyle w:val="6"/>
                <w:rFonts w:hint="eastAsia" w:ascii="黑体" w:hAnsi="黑体" w:eastAsia="黑体" w:cs="黑体"/>
                <w:kern w:val="21"/>
                <w:sz w:val="18"/>
                <w:szCs w:val="18"/>
              </w:rPr>
              <w:t>项目类别</w:t>
            </w:r>
          </w:p>
        </w:tc>
        <w:tc>
          <w:tcPr>
            <w:tcW w:w="3627"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黑体" w:hAnsi="黑体" w:eastAsia="黑体" w:cs="黑体"/>
                <w:kern w:val="21"/>
                <w:sz w:val="18"/>
                <w:szCs w:val="18"/>
              </w:rPr>
            </w:pPr>
            <w:r>
              <w:rPr>
                <w:rStyle w:val="6"/>
                <w:rFonts w:hint="eastAsia" w:ascii="黑体" w:hAnsi="黑体" w:eastAsia="黑体" w:cs="黑体"/>
                <w:kern w:val="21"/>
                <w:sz w:val="18"/>
                <w:szCs w:val="18"/>
                <w:lang w:bidi="ar"/>
              </w:rPr>
              <w:t>项目内容</w:t>
            </w:r>
          </w:p>
        </w:tc>
        <w:tc>
          <w:tcPr>
            <w:tcW w:w="282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黑体" w:hAnsi="黑体" w:eastAsia="黑体" w:cs="黑体"/>
                <w:kern w:val="21"/>
                <w:sz w:val="18"/>
                <w:szCs w:val="18"/>
                <w:lang w:bidi="ar"/>
              </w:rPr>
            </w:pPr>
            <w:r>
              <w:rPr>
                <w:rStyle w:val="6"/>
                <w:rFonts w:hint="eastAsia" w:ascii="黑体" w:hAnsi="黑体" w:eastAsia="黑体" w:cs="黑体"/>
                <w:kern w:val="21"/>
                <w:sz w:val="18"/>
                <w:szCs w:val="18"/>
                <w:lang w:bidi="ar"/>
              </w:rPr>
              <w:t>须上公共资源交易平台的</w:t>
            </w:r>
          </w:p>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黑体" w:hAnsi="黑体" w:eastAsia="黑体" w:cs="黑体"/>
                <w:kern w:val="21"/>
                <w:sz w:val="18"/>
                <w:szCs w:val="18"/>
              </w:rPr>
            </w:pPr>
            <w:r>
              <w:rPr>
                <w:rStyle w:val="6"/>
                <w:rFonts w:hint="eastAsia" w:ascii="黑体" w:hAnsi="黑体" w:eastAsia="黑体" w:cs="黑体"/>
                <w:kern w:val="21"/>
                <w:sz w:val="18"/>
                <w:szCs w:val="18"/>
                <w:lang w:bidi="ar"/>
              </w:rPr>
              <w:t>交易规模标准及范围</w:t>
            </w:r>
          </w:p>
        </w:tc>
        <w:tc>
          <w:tcPr>
            <w:tcW w:w="1200"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黑体" w:hAnsi="黑体" w:eastAsia="黑体" w:cs="黑体"/>
                <w:kern w:val="21"/>
                <w:sz w:val="18"/>
                <w:szCs w:val="18"/>
              </w:rPr>
            </w:pPr>
            <w:r>
              <w:rPr>
                <w:rStyle w:val="6"/>
                <w:rFonts w:hint="eastAsia" w:ascii="黑体" w:hAnsi="黑体" w:eastAsia="黑体" w:cs="黑体"/>
                <w:kern w:val="21"/>
                <w:sz w:val="18"/>
                <w:szCs w:val="18"/>
                <w:lang w:bidi="ar"/>
              </w:rPr>
              <w:t>行政管理部门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1</w:t>
            </w:r>
          </w:p>
        </w:tc>
        <w:tc>
          <w:tcPr>
            <w:tcW w:w="821"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资产租赁</w:t>
            </w:r>
          </w:p>
        </w:tc>
        <w:tc>
          <w:tcPr>
            <w:tcW w:w="3627"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集体企业所有、占有、管理或者实际控制的房屋（包括厂房及配套宿舍、办公楼宇、酒店、公寓、住宅、商铺等）、停车场、构筑物、设施设备、广告位以及可通过租赁获得收益的其他资产的出租。</w:t>
            </w:r>
          </w:p>
        </w:tc>
        <w:tc>
          <w:tcPr>
            <w:tcW w:w="2824" w:type="dxa"/>
            <w:tcBorders>
              <w:tl2br w:val="nil"/>
              <w:tr2bl w:val="nil"/>
            </w:tcBorders>
            <w:noWrap w:val="0"/>
            <w:vAlign w:val="center"/>
          </w:tcPr>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spacing w:val="-2"/>
                <w:kern w:val="21"/>
                <w:sz w:val="18"/>
                <w:szCs w:val="18"/>
              </w:rPr>
              <w:t>按照</w:t>
            </w:r>
            <w:r>
              <w:rPr>
                <w:rStyle w:val="6"/>
                <w:rFonts w:hint="eastAsia" w:ascii="宋体" w:hAnsi="宋体" w:eastAsia="宋体" w:cs="宋体"/>
                <w:spacing w:val="0"/>
                <w:kern w:val="21"/>
                <w:sz w:val="18"/>
                <w:szCs w:val="18"/>
              </w:rPr>
              <w:t>市主管部门的指导意见，以各区主管部门制订、区政府批准的有关标准执行。</w:t>
            </w:r>
          </w:p>
        </w:tc>
        <w:tc>
          <w:tcPr>
            <w:tcW w:w="1200"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集体资产监督管理部门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2</w:t>
            </w:r>
          </w:p>
        </w:tc>
        <w:tc>
          <w:tcPr>
            <w:tcW w:w="821"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土地资源</w:t>
            </w:r>
          </w:p>
        </w:tc>
        <w:tc>
          <w:tcPr>
            <w:tcW w:w="3627" w:type="dxa"/>
            <w:tcBorders>
              <w:tl2br w:val="nil"/>
              <w:tr2bl w:val="nil"/>
            </w:tcBorders>
            <w:noWrap w:val="0"/>
            <w:vAlign w:val="center"/>
          </w:tcPr>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1</w:t>
            </w:r>
            <w:r>
              <w:rPr>
                <w:rStyle w:val="6"/>
                <w:rFonts w:hint="eastAsia" w:ascii="宋体" w:hAnsi="宋体" w:eastAsia="宋体" w:cs="宋体"/>
                <w:kern w:val="21"/>
                <w:sz w:val="18"/>
                <w:szCs w:val="18"/>
                <w:lang w:eastAsia="zh-CN"/>
              </w:rPr>
              <w:t>．</w:t>
            </w:r>
            <w:r>
              <w:rPr>
                <w:rStyle w:val="6"/>
                <w:rFonts w:hint="eastAsia" w:ascii="宋体" w:hAnsi="宋体" w:eastAsia="宋体" w:cs="宋体"/>
                <w:kern w:val="21"/>
                <w:sz w:val="18"/>
                <w:szCs w:val="18"/>
              </w:rPr>
              <w:t>非农建设用地、征地返还用地开发的；</w:t>
            </w:r>
          </w:p>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2</w:t>
            </w:r>
            <w:r>
              <w:rPr>
                <w:rStyle w:val="6"/>
                <w:rFonts w:hint="eastAsia" w:ascii="宋体" w:hAnsi="宋体" w:eastAsia="宋体" w:cs="宋体"/>
                <w:kern w:val="21"/>
                <w:sz w:val="18"/>
                <w:szCs w:val="18"/>
                <w:lang w:eastAsia="zh-CN"/>
              </w:rPr>
              <w:t>．</w:t>
            </w:r>
            <w:r>
              <w:rPr>
                <w:rStyle w:val="6"/>
                <w:rFonts w:hint="eastAsia" w:ascii="宋体" w:hAnsi="宋体" w:eastAsia="宋体" w:cs="宋体"/>
                <w:kern w:val="21"/>
                <w:sz w:val="18"/>
                <w:szCs w:val="18"/>
              </w:rPr>
              <w:t>土地整备利益统筹项目留用土地开发的；</w:t>
            </w:r>
          </w:p>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3</w:t>
            </w:r>
            <w:r>
              <w:rPr>
                <w:rStyle w:val="6"/>
                <w:rFonts w:hint="eastAsia" w:ascii="宋体" w:hAnsi="宋体" w:eastAsia="宋体" w:cs="宋体"/>
                <w:kern w:val="21"/>
                <w:sz w:val="18"/>
                <w:szCs w:val="18"/>
                <w:lang w:eastAsia="zh-CN"/>
              </w:rPr>
              <w:t>．</w:t>
            </w:r>
            <w:r>
              <w:rPr>
                <w:rStyle w:val="6"/>
                <w:rFonts w:hint="eastAsia" w:ascii="宋体" w:hAnsi="宋体" w:eastAsia="宋体" w:cs="宋体"/>
                <w:kern w:val="21"/>
                <w:sz w:val="18"/>
                <w:szCs w:val="18"/>
              </w:rPr>
              <w:t>拆除重建类城市更新项目的；</w:t>
            </w:r>
          </w:p>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4</w:t>
            </w:r>
            <w:r>
              <w:rPr>
                <w:rStyle w:val="6"/>
                <w:rFonts w:hint="eastAsia" w:ascii="宋体" w:hAnsi="宋体" w:eastAsia="宋体" w:cs="宋体"/>
                <w:kern w:val="21"/>
                <w:sz w:val="18"/>
                <w:szCs w:val="18"/>
                <w:lang w:eastAsia="zh-CN"/>
              </w:rPr>
              <w:t>．</w:t>
            </w:r>
            <w:r>
              <w:rPr>
                <w:rStyle w:val="6"/>
                <w:rFonts w:hint="eastAsia" w:ascii="宋体" w:hAnsi="宋体" w:eastAsia="宋体" w:cs="宋体"/>
                <w:kern w:val="21"/>
                <w:sz w:val="18"/>
                <w:szCs w:val="18"/>
              </w:rPr>
              <w:t>其他自然资源（包括森</w:t>
            </w:r>
            <w:r>
              <w:rPr>
                <w:rStyle w:val="6"/>
                <w:rFonts w:hint="eastAsia" w:ascii="宋体" w:hAnsi="宋体" w:eastAsia="宋体" w:cs="宋体"/>
                <w:spacing w:val="0"/>
                <w:kern w:val="21"/>
                <w:sz w:val="18"/>
                <w:szCs w:val="18"/>
              </w:rPr>
              <w:t>林和山岭、草原、荒地、滩涂等）处置的。</w:t>
            </w:r>
          </w:p>
        </w:tc>
        <w:tc>
          <w:tcPr>
            <w:tcW w:w="2824" w:type="dxa"/>
            <w:tcBorders>
              <w:tl2br w:val="nil"/>
              <w:tr2bl w:val="nil"/>
            </w:tcBorders>
            <w:noWrap w:val="0"/>
            <w:vAlign w:val="center"/>
          </w:tcPr>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1</w:t>
            </w:r>
            <w:r>
              <w:rPr>
                <w:rStyle w:val="6"/>
                <w:rFonts w:hint="eastAsia" w:ascii="宋体" w:hAnsi="宋体" w:eastAsia="宋体" w:cs="宋体"/>
                <w:kern w:val="21"/>
                <w:sz w:val="18"/>
                <w:szCs w:val="18"/>
                <w:lang w:eastAsia="zh-CN"/>
              </w:rPr>
              <w:t>．</w:t>
            </w:r>
            <w:r>
              <w:rPr>
                <w:rStyle w:val="6"/>
                <w:rFonts w:hint="eastAsia" w:ascii="宋体" w:hAnsi="宋体" w:eastAsia="宋体" w:cs="宋体"/>
                <w:kern w:val="21"/>
                <w:sz w:val="18"/>
                <w:szCs w:val="18"/>
              </w:rPr>
              <w:t>按照深圳市原农村集体经济组织非农建设用地和征地返还用地土地使用权交易管理有关规定执行；</w:t>
            </w:r>
          </w:p>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2</w:t>
            </w:r>
            <w:r>
              <w:rPr>
                <w:rStyle w:val="6"/>
                <w:rFonts w:hint="eastAsia" w:ascii="宋体" w:hAnsi="宋体" w:eastAsia="宋体" w:cs="宋体"/>
                <w:kern w:val="21"/>
                <w:sz w:val="18"/>
                <w:szCs w:val="18"/>
                <w:lang w:eastAsia="zh-CN"/>
              </w:rPr>
              <w:t>．</w:t>
            </w:r>
            <w:r>
              <w:rPr>
                <w:rStyle w:val="6"/>
                <w:rFonts w:hint="eastAsia" w:ascii="宋体" w:hAnsi="宋体" w:eastAsia="宋体" w:cs="宋体"/>
                <w:kern w:val="21"/>
                <w:sz w:val="18"/>
                <w:szCs w:val="18"/>
              </w:rPr>
              <w:t>按照深圳市土地整备利益统筹项目管理有关规定执行；</w:t>
            </w:r>
          </w:p>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3</w:t>
            </w:r>
            <w:r>
              <w:rPr>
                <w:rStyle w:val="6"/>
                <w:rFonts w:hint="eastAsia" w:ascii="宋体" w:hAnsi="宋体" w:eastAsia="宋体" w:cs="宋体"/>
                <w:kern w:val="21"/>
                <w:sz w:val="18"/>
                <w:szCs w:val="18"/>
                <w:lang w:eastAsia="zh-CN"/>
              </w:rPr>
              <w:t>．</w:t>
            </w:r>
            <w:r>
              <w:rPr>
                <w:rStyle w:val="6"/>
                <w:rFonts w:hint="eastAsia" w:ascii="宋体" w:hAnsi="宋体" w:eastAsia="宋体" w:cs="宋体"/>
                <w:kern w:val="21"/>
                <w:sz w:val="18"/>
                <w:szCs w:val="18"/>
              </w:rPr>
              <w:t>按照《深圳经济特区城市更新条例》执行。</w:t>
            </w:r>
          </w:p>
        </w:tc>
        <w:tc>
          <w:tcPr>
            <w:tcW w:w="1200"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rPr>
                <w:rStyle w:val="6"/>
                <w:rFonts w:hint="eastAsia" w:ascii="宋体" w:hAnsi="宋体" w:eastAsia="宋体" w:cs="宋体"/>
                <w:kern w:val="21"/>
                <w:sz w:val="18"/>
                <w:szCs w:val="18"/>
              </w:rPr>
            </w:pPr>
            <w:r>
              <w:rPr>
                <w:rStyle w:val="6"/>
                <w:rFonts w:hint="eastAsia" w:ascii="宋体" w:hAnsi="宋体" w:eastAsia="宋体" w:cs="宋体"/>
                <w:kern w:val="21"/>
                <w:sz w:val="18"/>
                <w:szCs w:val="18"/>
              </w:rPr>
              <w:t>集体资产监督管理部门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3</w:t>
            </w:r>
          </w:p>
        </w:tc>
        <w:tc>
          <w:tcPr>
            <w:tcW w:w="821"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建设工程招标投标</w:t>
            </w:r>
          </w:p>
        </w:tc>
        <w:tc>
          <w:tcPr>
            <w:tcW w:w="3627"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Style w:val="6"/>
                <w:rFonts w:hint="eastAsia" w:ascii="宋体" w:hAnsi="宋体" w:eastAsia="宋体" w:cs="宋体"/>
                <w:spacing w:val="0"/>
                <w:kern w:val="21"/>
                <w:sz w:val="21"/>
                <w:szCs w:val="21"/>
              </w:rPr>
            </w:pPr>
            <w:r>
              <w:rPr>
                <w:rStyle w:val="6"/>
                <w:rFonts w:hint="eastAsia" w:ascii="宋体" w:hAnsi="宋体" w:eastAsia="宋体" w:cs="宋体"/>
                <w:spacing w:val="0"/>
                <w:kern w:val="21"/>
                <w:sz w:val="21"/>
                <w:szCs w:val="21"/>
              </w:rPr>
              <w:t>1</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新建、改建、扩建施工类项目；</w:t>
            </w:r>
          </w:p>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Style w:val="6"/>
                <w:rFonts w:hint="eastAsia" w:ascii="宋体" w:hAnsi="宋体" w:eastAsia="宋体" w:cs="宋体"/>
                <w:spacing w:val="0"/>
                <w:kern w:val="21"/>
                <w:sz w:val="21"/>
                <w:szCs w:val="21"/>
              </w:rPr>
            </w:pPr>
            <w:r>
              <w:rPr>
                <w:rStyle w:val="6"/>
                <w:rFonts w:hint="eastAsia" w:ascii="宋体" w:hAnsi="宋体" w:eastAsia="宋体" w:cs="宋体"/>
                <w:spacing w:val="0"/>
                <w:kern w:val="21"/>
                <w:sz w:val="21"/>
                <w:szCs w:val="21"/>
              </w:rPr>
              <w:t>2</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工程原材料、半成品：重要设备</w:t>
            </w:r>
            <w:r>
              <w:rPr>
                <w:rStyle w:val="6"/>
                <w:rFonts w:hint="eastAsia" w:ascii="宋体" w:hAnsi="宋体" w:eastAsia="宋体" w:cs="宋体"/>
                <w:spacing w:val="-62"/>
                <w:kern w:val="21"/>
                <w:sz w:val="21"/>
                <w:szCs w:val="21"/>
              </w:rPr>
              <w:t>、</w:t>
            </w:r>
            <w:r>
              <w:rPr>
                <w:rStyle w:val="6"/>
                <w:rFonts w:hint="eastAsia" w:ascii="宋体" w:hAnsi="宋体" w:eastAsia="宋体" w:cs="宋体"/>
                <w:spacing w:val="0"/>
                <w:kern w:val="21"/>
                <w:sz w:val="21"/>
                <w:szCs w:val="21"/>
              </w:rPr>
              <w:t>材料等货物的采购；</w:t>
            </w:r>
          </w:p>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spacing w:val="0"/>
                <w:kern w:val="21"/>
                <w:sz w:val="21"/>
                <w:szCs w:val="21"/>
                <w:lang w:val="en-US" w:eastAsia="zh-CN" w:bidi="ar-SA"/>
              </w:rPr>
            </w:pPr>
            <w:r>
              <w:rPr>
                <w:rStyle w:val="6"/>
                <w:rFonts w:hint="eastAsia" w:ascii="宋体" w:hAnsi="宋体" w:eastAsia="宋体" w:cs="宋体"/>
                <w:spacing w:val="0"/>
                <w:kern w:val="21"/>
                <w:sz w:val="21"/>
                <w:szCs w:val="21"/>
              </w:rPr>
              <w:t>3</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工程服务类：勘察、设计、监理等服务的采购。</w:t>
            </w:r>
          </w:p>
        </w:tc>
        <w:tc>
          <w:tcPr>
            <w:tcW w:w="282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spacing w:val="0"/>
                <w:kern w:val="21"/>
                <w:sz w:val="21"/>
                <w:szCs w:val="21"/>
                <w:lang w:val="en-US" w:eastAsia="zh-CN" w:bidi="ar-SA"/>
              </w:rPr>
            </w:pPr>
            <w:r>
              <w:rPr>
                <w:rStyle w:val="6"/>
                <w:rFonts w:hint="eastAsia" w:ascii="宋体" w:hAnsi="宋体" w:eastAsia="宋体" w:cs="宋体"/>
                <w:spacing w:val="0"/>
                <w:kern w:val="21"/>
                <w:sz w:val="21"/>
                <w:szCs w:val="21"/>
              </w:rPr>
              <w:t>按</w:t>
            </w:r>
            <w:r>
              <w:rPr>
                <w:rFonts w:hint="eastAsia" w:ascii="宋体" w:hAnsi="宋体" w:eastAsia="宋体" w:cs="宋体"/>
                <w:sz w:val="21"/>
                <w:szCs w:val="21"/>
              </w:rPr>
              <w:t>照《深圳经济特区建设工程施工招标投标条例》《关于建设工程招标投标改革的若干规定》（深府〔2015〕73号）</w:t>
            </w:r>
            <w:r>
              <w:rPr>
                <w:rFonts w:hint="eastAsia" w:ascii="宋体" w:hAnsi="宋体" w:eastAsia="宋体" w:cs="宋体"/>
                <w:sz w:val="21"/>
                <w:szCs w:val="21"/>
                <w:lang w:eastAsia="zh-CN"/>
              </w:rPr>
              <w:t>、</w:t>
            </w:r>
            <w:r>
              <w:rPr>
                <w:rFonts w:hint="eastAsia" w:ascii="宋体" w:hAnsi="宋体" w:eastAsia="宋体" w:cs="宋体"/>
                <w:sz w:val="21"/>
                <w:szCs w:val="21"/>
              </w:rPr>
              <w:t>《关于进一步完善建设工程招标投标制度的若干措施》（深建规〔2020〕1号）和《必须招标的工程项目规定》（国家发展改革委令第16号）有关规定执行。</w:t>
            </w:r>
          </w:p>
        </w:tc>
        <w:tc>
          <w:tcPr>
            <w:tcW w:w="1200"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集体资产监督管理部门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4</w:t>
            </w:r>
          </w:p>
        </w:tc>
        <w:tc>
          <w:tcPr>
            <w:tcW w:w="821"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货物和服务采购</w:t>
            </w:r>
          </w:p>
        </w:tc>
        <w:tc>
          <w:tcPr>
            <w:tcW w:w="3627" w:type="dxa"/>
            <w:tcBorders>
              <w:tl2br w:val="nil"/>
              <w:tr2bl w:val="nil"/>
            </w:tcBorders>
            <w:noWrap w:val="0"/>
            <w:vAlign w:val="center"/>
          </w:tcPr>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Style w:val="6"/>
                <w:rFonts w:hint="eastAsia" w:ascii="宋体" w:hAnsi="宋体" w:eastAsia="宋体" w:cs="宋体"/>
                <w:spacing w:val="0"/>
                <w:kern w:val="21"/>
                <w:sz w:val="21"/>
                <w:szCs w:val="21"/>
              </w:rPr>
            </w:pPr>
            <w:r>
              <w:rPr>
                <w:rStyle w:val="6"/>
                <w:rFonts w:hint="eastAsia" w:ascii="宋体" w:hAnsi="宋体" w:eastAsia="宋体" w:cs="宋体"/>
                <w:spacing w:val="0"/>
                <w:kern w:val="21"/>
                <w:sz w:val="21"/>
                <w:szCs w:val="21"/>
              </w:rPr>
              <w:t>1</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集体企业各种类别和形态的物品</w:t>
            </w:r>
            <w:r>
              <w:rPr>
                <w:rStyle w:val="6"/>
                <w:rFonts w:hint="eastAsia" w:ascii="宋体" w:hAnsi="宋体" w:eastAsia="宋体" w:cs="宋体"/>
                <w:spacing w:val="-62"/>
                <w:kern w:val="21"/>
                <w:sz w:val="21"/>
                <w:szCs w:val="21"/>
              </w:rPr>
              <w:t>，</w:t>
            </w:r>
            <w:r>
              <w:rPr>
                <w:rStyle w:val="6"/>
                <w:rFonts w:hint="eastAsia" w:ascii="宋体" w:hAnsi="宋体" w:eastAsia="宋体" w:cs="宋体"/>
                <w:spacing w:val="0"/>
                <w:kern w:val="21"/>
                <w:sz w:val="21"/>
                <w:szCs w:val="21"/>
              </w:rPr>
              <w:t>主要包括原材料、设备、产品和车辆等的实物采购；</w:t>
            </w:r>
          </w:p>
          <w:p>
            <w:pPr>
              <w:pStyle w:val="3"/>
              <w:keepNext w:val="0"/>
              <w:keepLines w:val="0"/>
              <w:pageBreakBefore w:val="0"/>
              <w:widowControl w:val="0"/>
              <w:tabs>
                <w:tab w:val="left" w:pos="312"/>
              </w:tabs>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spacing w:val="0"/>
                <w:kern w:val="21"/>
                <w:sz w:val="21"/>
                <w:szCs w:val="21"/>
                <w:lang w:val="en-US" w:eastAsia="zh-CN" w:bidi="ar-SA"/>
              </w:rPr>
            </w:pPr>
            <w:r>
              <w:rPr>
                <w:rStyle w:val="6"/>
                <w:rFonts w:hint="eastAsia" w:ascii="宋体" w:hAnsi="宋体" w:eastAsia="宋体" w:cs="宋体"/>
                <w:spacing w:val="0"/>
                <w:kern w:val="21"/>
                <w:sz w:val="21"/>
                <w:szCs w:val="21"/>
              </w:rPr>
              <w:t>2</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集体企业除货物和建设工程服务以外的信息系统开发维护，金融、保险、会计、审计、法律，评估鉴定、可行性研究、项目咨询、管理咨询，以及物业管理、动产和不动产维修与维护等服务采购。</w:t>
            </w:r>
          </w:p>
        </w:tc>
        <w:tc>
          <w:tcPr>
            <w:tcW w:w="282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Style w:val="6"/>
                <w:rFonts w:hint="eastAsia" w:ascii="宋体" w:hAnsi="宋体" w:eastAsia="宋体" w:cs="宋体"/>
                <w:spacing w:val="0"/>
                <w:kern w:val="21"/>
                <w:sz w:val="21"/>
                <w:szCs w:val="21"/>
              </w:rPr>
            </w:pPr>
            <w:r>
              <w:rPr>
                <w:rStyle w:val="6"/>
                <w:rFonts w:hint="eastAsia" w:ascii="宋体" w:hAnsi="宋体" w:eastAsia="宋体" w:cs="宋体"/>
                <w:spacing w:val="0"/>
                <w:kern w:val="21"/>
                <w:sz w:val="21"/>
                <w:szCs w:val="21"/>
              </w:rPr>
              <w:t>1</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货物、服务单项采购金额在人民币100万元以上的；</w:t>
            </w:r>
          </w:p>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spacing w:val="0"/>
                <w:kern w:val="21"/>
                <w:sz w:val="21"/>
                <w:szCs w:val="21"/>
                <w:lang w:val="en-US" w:eastAsia="zh-CN" w:bidi="ar-SA"/>
              </w:rPr>
            </w:pPr>
            <w:r>
              <w:rPr>
                <w:rStyle w:val="6"/>
                <w:rFonts w:hint="eastAsia" w:ascii="宋体" w:hAnsi="宋体" w:eastAsia="宋体" w:cs="宋体"/>
                <w:spacing w:val="0"/>
                <w:kern w:val="21"/>
                <w:sz w:val="21"/>
                <w:szCs w:val="21"/>
              </w:rPr>
              <w:t>2</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同一种类货物、服务年度累计采购金额在人民币100万元以上的。</w:t>
            </w:r>
          </w:p>
        </w:tc>
        <w:tc>
          <w:tcPr>
            <w:tcW w:w="1200"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集体资产监督管理部门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5</w:t>
            </w:r>
          </w:p>
        </w:tc>
        <w:tc>
          <w:tcPr>
            <w:tcW w:w="821"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产权交易</w:t>
            </w:r>
          </w:p>
        </w:tc>
        <w:tc>
          <w:tcPr>
            <w:tcW w:w="3627"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spacing w:val="0"/>
                <w:kern w:val="21"/>
                <w:sz w:val="21"/>
                <w:szCs w:val="21"/>
                <w:lang w:val="en-US" w:eastAsia="zh-CN" w:bidi="ar-SA"/>
              </w:rPr>
            </w:pPr>
            <w:r>
              <w:rPr>
                <w:rStyle w:val="6"/>
                <w:rFonts w:hint="eastAsia" w:ascii="宋体" w:hAnsi="宋体" w:eastAsia="宋体" w:cs="宋体"/>
                <w:spacing w:val="0"/>
                <w:kern w:val="21"/>
                <w:sz w:val="21"/>
                <w:szCs w:val="21"/>
              </w:rPr>
              <w:t>集体企业依法享有的企业股权和资产（依法认定为集体企业所有的财产、知识产权、债权、合同权益和其他无形资产等）的交易。</w:t>
            </w:r>
          </w:p>
        </w:tc>
        <w:tc>
          <w:tcPr>
            <w:tcW w:w="282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Style w:val="6"/>
                <w:rFonts w:hint="eastAsia" w:ascii="宋体" w:hAnsi="宋体" w:eastAsia="宋体" w:cs="宋体"/>
                <w:spacing w:val="0"/>
                <w:kern w:val="21"/>
                <w:sz w:val="21"/>
                <w:szCs w:val="21"/>
              </w:rPr>
            </w:pPr>
            <w:r>
              <w:rPr>
                <w:rStyle w:val="6"/>
                <w:rFonts w:hint="eastAsia" w:ascii="宋体" w:hAnsi="宋体" w:eastAsia="宋体" w:cs="宋体"/>
                <w:spacing w:val="0"/>
                <w:kern w:val="21"/>
                <w:sz w:val="21"/>
                <w:szCs w:val="21"/>
              </w:rPr>
              <w:t>1</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股权转让；</w:t>
            </w:r>
          </w:p>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Style w:val="6"/>
                <w:rFonts w:hint="eastAsia" w:ascii="宋体" w:hAnsi="宋体" w:eastAsia="宋体" w:cs="宋体"/>
                <w:spacing w:val="0"/>
                <w:kern w:val="21"/>
                <w:sz w:val="21"/>
                <w:szCs w:val="21"/>
              </w:rPr>
            </w:pPr>
            <w:r>
              <w:rPr>
                <w:rStyle w:val="6"/>
                <w:rFonts w:hint="eastAsia" w:ascii="宋体" w:hAnsi="宋体" w:eastAsia="宋体" w:cs="宋体"/>
                <w:spacing w:val="0"/>
                <w:kern w:val="21"/>
                <w:sz w:val="21"/>
                <w:szCs w:val="21"/>
              </w:rPr>
              <w:t>2</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增资扩股；</w:t>
            </w:r>
          </w:p>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spacing w:val="0"/>
                <w:kern w:val="21"/>
                <w:sz w:val="21"/>
                <w:szCs w:val="21"/>
                <w:lang w:val="en-US" w:eastAsia="zh-CN" w:bidi="ar-SA"/>
              </w:rPr>
            </w:pPr>
            <w:r>
              <w:rPr>
                <w:rStyle w:val="6"/>
                <w:rFonts w:hint="eastAsia" w:ascii="宋体" w:hAnsi="宋体" w:eastAsia="宋体" w:cs="宋体"/>
                <w:spacing w:val="0"/>
                <w:kern w:val="21"/>
                <w:sz w:val="21"/>
                <w:szCs w:val="21"/>
              </w:rPr>
              <w:t>3</w:t>
            </w:r>
            <w:r>
              <w:rPr>
                <w:rStyle w:val="6"/>
                <w:rFonts w:hint="eastAsia" w:ascii="宋体" w:hAnsi="宋体" w:eastAsia="宋体" w:cs="宋体"/>
                <w:spacing w:val="0"/>
                <w:kern w:val="21"/>
                <w:sz w:val="21"/>
                <w:szCs w:val="21"/>
                <w:lang w:eastAsia="zh-CN"/>
              </w:rPr>
              <w:t>．</w:t>
            </w:r>
            <w:r>
              <w:rPr>
                <w:rStyle w:val="6"/>
                <w:rFonts w:hint="eastAsia" w:ascii="宋体" w:hAnsi="宋体" w:eastAsia="宋体" w:cs="宋体"/>
                <w:spacing w:val="0"/>
                <w:kern w:val="21"/>
                <w:sz w:val="21"/>
                <w:szCs w:val="21"/>
              </w:rPr>
              <w:t>评估值在100万元以上的资产转让。</w:t>
            </w:r>
          </w:p>
        </w:tc>
        <w:tc>
          <w:tcPr>
            <w:tcW w:w="1200"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rPr>
                <w:rFonts w:hint="eastAsia" w:ascii="宋体" w:hAnsi="宋体" w:eastAsia="宋体" w:cs="宋体"/>
                <w:kern w:val="21"/>
                <w:sz w:val="21"/>
                <w:szCs w:val="21"/>
                <w:lang w:val="en-US" w:eastAsia="zh-CN" w:bidi="ar-SA"/>
              </w:rPr>
            </w:pPr>
            <w:r>
              <w:rPr>
                <w:rStyle w:val="6"/>
                <w:rFonts w:hint="eastAsia" w:ascii="宋体" w:hAnsi="宋体" w:eastAsia="宋体" w:cs="宋体"/>
                <w:kern w:val="21"/>
                <w:sz w:val="21"/>
                <w:szCs w:val="21"/>
              </w:rPr>
              <w:t>集体资产监督管理部门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pStyle w:val="3"/>
        <w:keepNext w:val="0"/>
        <w:keepLines w:val="0"/>
        <w:pageBreakBefore w:val="0"/>
        <w:widowControl w:val="0"/>
        <w:kinsoku/>
        <w:wordWrap/>
        <w:overflowPunct/>
        <w:topLinePunct w:val="0"/>
        <w:autoSpaceDE/>
        <w:autoSpaceDN/>
        <w:bidi w:val="0"/>
        <w:adjustRightInd w:val="0"/>
        <w:snapToGrid w:val="0"/>
        <w:spacing w:before="95" w:beforeLines="30" w:line="320" w:lineRule="atLeast"/>
        <w:ind w:firstLine="420" w:firstLineChars="200"/>
        <w:jc w:val="both"/>
        <w:textAlignment w:val="auto"/>
        <w:rPr>
          <w:rStyle w:val="6"/>
          <w:rFonts w:hint="eastAsia" w:ascii="楷体_GB2312" w:hAnsi="楷体_GB2312" w:eastAsia="楷体_GB2312" w:cs="楷体_GB2312"/>
          <w:kern w:val="21"/>
          <w:sz w:val="21"/>
          <w:szCs w:val="21"/>
        </w:rPr>
      </w:pPr>
      <w:r>
        <w:rPr>
          <w:rStyle w:val="6"/>
          <w:rFonts w:hint="eastAsia" w:ascii="楷体_GB2312" w:hAnsi="楷体_GB2312" w:eastAsia="楷体_GB2312" w:cs="楷体_GB2312"/>
          <w:kern w:val="21"/>
          <w:sz w:val="21"/>
          <w:szCs w:val="21"/>
        </w:rPr>
        <w:t>备注：“以上”含本数。</w:t>
      </w:r>
      <w:bookmarkEnd w:id="0"/>
    </w:p>
    <w:p/>
    <w:sectPr>
      <w:pgSz w:w="11906" w:h="16838"/>
      <w:pgMar w:top="2268" w:right="1417" w:bottom="22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7D5F3C82"/>
    <w:rsid w:val="7D5F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3"/>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3"/>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7">
    <w:name w:val="Char Char1 Char Char Char Char Char Char"/>
    <w:basedOn w:val="1"/>
    <w:autoRedefine/>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2024-04-02T03:14:00Z</dcterms:created>
  <dc:creator>龙瑶</dc:creator>
  <cp:lastModifiedBy>龙瑶</cp:lastModifiedBy>
  <dcterms:modified xsi:type="dcterms:W3CDTF">2024-04-02T03:16:39Z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7840F63A79F94E34B96C37A5DA8AD58D_11</vt:lpwstr>
  </property>
</Properties>
</file>