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初中学业水平考试体育与健康科目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考试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" w:eastAsia="zh-CN"/>
        </w:rPr>
        <w:t>实施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意见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/>
          <w:color w:val="auto"/>
          <w:highlight w:val="none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全面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贯彻党的二十大精神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，落实立德树人根本任务，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《中共中央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国务院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深化新时代教育评价改革总体方案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〉的通知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》（中发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〔2020〕19号）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中共中央办公厅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国务院办公厅《关于全面加强和改进新时代学校体育工作的意见》《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广东省教育厅关于深化高中阶段学校考试招生制度改革的实施意见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（粤教考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〔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</w:rPr>
        <w:t>〕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14号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" w:eastAsia="zh-CN"/>
        </w:rPr>
        <w:t>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文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精神，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进一步完善我市初中毕业生升学体育考试（以下简称“体育考试”）制度，构建与新时代学校体育先行示范发展要求相适应的评价体系，更好地提高学生身体素质和综合素养，根据我市高中阶段学校考试招生制度改革总体部署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结合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实际情况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，制定本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实施意见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黑体"/>
          <w:color w:val="auto"/>
          <w:kern w:val="0"/>
          <w:sz w:val="32"/>
          <w:szCs w:val="32"/>
          <w:highlight w:val="none"/>
          <w:lang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全面贯彻党的教育方针，坚持“健康第一”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育人理念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《国家学生体质健康标准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》，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坚持体育考试与学校体育教学相结合，与国家学生体质健康测试相结合，与学生日常锻炼相结合，与培养学生体育兴趣爱好和特长相结合，引导广大学生积极参加体育活动，帮助学生在体育锻炼中享受乐趣、增强体质、健全人格、锤炼意志，促进学生身心健康成长，提高学生综合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参加深圳市初中学业水平考试的考生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2023年秋季入学的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七年级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学生起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实行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三、考试安排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体育考试由现场统一考试和过程性评价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两部分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构成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总分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为50分，其中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现场统一考试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为36分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，过程性评价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为14分，计入初中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学业水平考试总分，计算过程保留一位小数，最终得分四舍五入取整数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现场统一考试（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36分）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考生须在以下三类考试项目中各选择一项参加考试。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：中长跑（女生800米跑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男生1000米跑）、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200米游泳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（不限泳姿）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4分钟跳绳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三选一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二类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：100米跑、50米游泳（不限泳姿）、投掷实心球、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分钟跳绳、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分钟踢毽子、二级蛙跳、10米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4折返跑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七选一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12分）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乒乓球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羽毛球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六选一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以上每类项目考试满分按100分计，三类项目考试成绩的平均分计为现场统一考试成绩，按0.36的权重（36分）计入初中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毕业生升学体育考试总成绩。各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考试项目规则及评分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eastAsia="zh-CN"/>
        </w:rPr>
        <w:t>标准另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行印发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Tahoma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现场统一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考试时间原则上安排在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缓考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安排在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5月</w:t>
      </w:r>
      <w:r>
        <w:rPr>
          <w:rFonts w:hint="eastAsia" w:ascii="仿宋_GB2312" w:hAnsi="Tahoma" w:eastAsia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（二）过程性评价（14分）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过程性评价成绩=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《国家学生体质健康标准》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测试（以下简称“体质测试”）成绩+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体育课（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含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eastAsia="zh-CN"/>
        </w:rPr>
        <w:t>大课间）参与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成绩+体育与健康通识考试成绩。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</w:rPr>
        <w:t>体质测试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（9分）。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体质测试按《国家学生体质健康标准》执行。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学生在七、八、九年级均须参加体质测试，根据测试成绩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按等级赋分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。当年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体质测试成绩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达到及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格计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分，不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格计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1.5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无正当理由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不参加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体质测试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计0分。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三年体质测试成绩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中如有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两年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格且初三年级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Calibri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格，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共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9分，其他情形按照每年实际成绩相加计分。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体育课和大课间参与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（3分）。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体育课和大课间参与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每学年1分，按等级赋分，出勤率达到95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%及以上计1分，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7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0%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-94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%计0.5分，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69%及以下计0分。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体育课和大课间出勤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成绩按照每学年实际得分情况相加。因正当理由未参加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体育课和大课间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活动，且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履行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正常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请假手续经学校审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同意的视为出勤。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3.体育与健康通识考试（2分）。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考试方式为机考，实行开卷考试，题型为客观题，从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题库中随机抽题。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时间为30分钟，在规定时间内可重复抽题作答，取得分最高一次计分。体育与健康通识考试成绩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按等级赋分，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80分及以上计2分，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60-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79分计1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.5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分，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59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分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以下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1分，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缺考计0分。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体育与健康通识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考试内容为初中体育与健康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课程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应知应会内容，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包括体育运动常识、运动人体科学常识、运动医学康复常识、运动营养卫生常识、急救常识等。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80" w:lineRule="exact"/>
        <w:ind w:left="0" w:firstLine="643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4.过程性评价的实施。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（1）体质测试。由区教育行政部门组织测试工作队入校测试，每学年体质测试时间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安排在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第一学期9-12月份。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市教育行政部门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统筹指导全市体质测试工作。各区教育行政部门负责具体组织实施，可自行组建由体育教师组成的测试队伍，也可遴选符合资质的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第三方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专业机构完成测试。各区教育行政部门成立体质测试巡查监督工作组，由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市教育行政部门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统筹安排交叉巡视监督，确保体质测试工作规范有序。各区教育行政部门和各学校要加强体质测试数据采集过程管理，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确保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体质测试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数据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客观真实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负责体质测试现场的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协调、组织、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管理工作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各学校体质测试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现场要全程视频录像，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录像资料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保存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年备查。所有体质测试数据须上传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至初中体育与健康过程性评价数据管理平台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平台名称、地址和具体要求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另行印发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市、区教育行政部门要加强体质测试工作的监督，建立有效的监督管理机制，畅通监督投诉渠道。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（2）体育课和大课间参与。体育课和大课间活动考勤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由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学生所在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学校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负责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，每学期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期末学校须将全体学生考勤情况在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学校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公示栏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公示，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公示期不得少于5天。对考勤情况有异议的，可在公示期内向学校提出书面复核申请，由学校予以复核，逾期不再受理。公示结束后无异议的，经校长签字学校盖章，在一周内上传至初中体育与健康过程性评价数据管理平台，纳入体育中考数据管理。经学校报送的考勤数据不得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（3）体育与健康通识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考试。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考试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时间原则上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安排在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八年级第二学期末。市招考办负责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考试统筹管理，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市教科院负责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题库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命题，各区教育行政部门、学校负责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组织实施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textAlignment w:val="auto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过渡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年份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安排。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2023年9月升入七年级的学生，2023年的体质测试成绩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参与即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及格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，计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3分，无正当理由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不参加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体质测试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计0分；体育课和大课间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考勤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从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第二学期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开始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计算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。体育与健康通识考试不做过渡性安排，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执行本实施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" w:eastAsia="zh-CN"/>
        </w:rPr>
        <w:t>意见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外地返深学生和往届学生考试及成绩评定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地返深学生现场统一考试办法及成绩计算与普通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生相同。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过程性评价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成绩认定办法：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按照学生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转出地市教育行政部门出具在当地就读期间的对应成绩，予以认定；学生无在当地就读期间的对应成绩的，按照我市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过程性评价相应项目的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平均分予以认定。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（二）深户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往届学生只计算现场统一考试成绩，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现场统一考试成绩满分为5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0分，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根据学生的实际得分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按照相应比例折算。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身体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特殊学生考试及成绩评定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身体存在重大残疾，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丧失运动能力，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平时不能正常参与学校体育活动的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残疾学生，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按程序办理有关审核手续后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记入学生电子档案，可免考，按中考体育成绩满分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计算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应当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向所在学校提交免考申请书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和相关残疾情况材料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，学校出具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平时不能正常参与学校体育活动的证明。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身体存在重大疾病（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如严重心脏病、癌症等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不能参加体育活动者，在初中阶段已办理免修体育实践课手续的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，按程序办理有关审核手续，通过后可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免考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按全市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中考体育成绩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平均分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计算。考生</w:t>
      </w:r>
      <w:r>
        <w:rPr>
          <w:rFonts w:hint="default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应当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向所在学校提交免考申请书、本市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/>
        </w:rPr>
        <w:t>三级甲等医院证明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，学校出具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免修体育实践课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严重营养不良及肥胖症、脊柱弯曲、O型和X型腿达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eastAsia="zh-CN" w:bidi="ar"/>
        </w:rPr>
        <w:t>度，以及影响正常体育活动的其他身体发育异常情况（如侏儒症、巨人症等），但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平时仍上体育实践课的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现场统一考试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可选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择只参加一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考试，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i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实际得分按单项满分36分折</w:t>
      </w:r>
      <w:r>
        <w:rPr>
          <w:rFonts w:hint="eastAsia" w:ascii="仿宋_GB2312" w:hAnsi="Times New Roman" w:eastAsia="仿宋_GB2312" w:cs="Times New Roman"/>
          <w:i w:val="0"/>
          <w:color w:val="auto"/>
          <w:spacing w:val="-11"/>
          <w:kern w:val="2"/>
          <w:sz w:val="32"/>
          <w:szCs w:val="32"/>
          <w:highlight w:val="none"/>
          <w:u w:val="none"/>
          <w:lang w:val="en-US" w:eastAsia="zh-CN" w:bidi="ar"/>
        </w:rPr>
        <w:t>算</w:t>
      </w:r>
      <w:r>
        <w:rPr>
          <w:rFonts w:hint="eastAsia" w:ascii="仿宋_GB2312" w:hAnsi="Times New Roman" w:eastAsia="仿宋_GB2312"/>
          <w:color w:val="auto"/>
          <w:spacing w:val="-11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default" w:ascii="仿宋_GB2312" w:hAnsi="Times New Roman" w:eastAsia="仿宋_GB2312"/>
          <w:color w:val="auto"/>
          <w:spacing w:val="-11"/>
          <w:sz w:val="32"/>
          <w:szCs w:val="32"/>
          <w:highlight w:val="none"/>
          <w:u w:val="none"/>
          <w:lang w:eastAsia="zh-CN"/>
        </w:rPr>
        <w:t>应当</w:t>
      </w:r>
      <w:r>
        <w:rPr>
          <w:rFonts w:hint="eastAsia" w:ascii="仿宋_GB2312" w:hAnsi="Times New Roman" w:eastAsia="仿宋_GB2312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向所在学校提交择考申请书和本市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kern w:val="0"/>
          <w:sz w:val="32"/>
          <w:szCs w:val="32"/>
          <w:highlight w:val="none"/>
          <w:u w:val="none"/>
          <w:lang w:eastAsia="zh-CN"/>
        </w:rPr>
        <w:t>三级甲等医院证明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临时有伤病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如骨折、肌肉拉伤等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及女生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例假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等不能参加现场统一考试的学生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，可申请缓考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缓考期间仍未康复的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学生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，可申请免考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。申请免考全部考试项目的，按现场统一考试满分的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80%计算；申请部分项目免考的，</w:t>
      </w:r>
      <w:r>
        <w:rPr>
          <w:rFonts w:hint="eastAsia" w:ascii="仿宋_GB2312" w:hAnsi="Times New Roman" w:eastAsia="仿宋_GB2312" w:cs="Times New Roman"/>
          <w:i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按该项目满分的80%计算，其他项目按参加考试实际得分计算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申请缓考的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学生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应当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学校提交缓考申请书；申请免考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的学生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应当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学校提交免考申请书和本市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三级甲等医院证明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根据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体质测试有关规定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符合暂缓测试条件的学生，可申请暂缓测试但必须在本学年度测试周期内完成测试；本学年度符合免予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生，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可以申请免予测试，体质测试成绩视为及格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申请缓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应当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向所在学校提交缓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申请书；申请免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学生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应当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向学校提交免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申请书和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本市三级甲等医院证明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市教育行政部门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会同市卫生健康委组织医疗专家组成联合审核工作组（以下简称“市联合审核工作组”，办公室设置在市招考办），对身体特殊情况考生申请体育现场统一考试缓考、择考、免考进行严格审核。现场统一考试缓考、择考、免考和体质测试缓测、免测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程序：申请现场统一考试缓考，由学生向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学校提出书面申请，学校报区教育行政部门审核，区教育行政部门报市招考办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同意后实施；申请现场统一考试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免考、择考，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由学生向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所在学校提出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申请，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</w:rPr>
        <w:t>学校初审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</w:rPr>
        <w:t>后报区教育行政部门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区教育行政部门报市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联合审核工作组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同意后，转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市招考办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备案实施。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申请体质测试缓测，由学生向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学校提出书面申请，学校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同意后实施；申请体质测试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免测，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由学生向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所在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学校提出书面申请，学校报区教育行政部门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同意后，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转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市招考办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备案实施。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体育考试的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</w:rPr>
        <w:t>组织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体育考试实行市教育行政部门、区教育行政部门、考点、初中学校四级管理机制。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市教育行政部门负责体育考试工作的组织领导，对体育考试进行指导和监督。市教育行政部门负责制定每年体育考试方案；市招考办负责组织与管理体育现场统一考试，制定考务组织实施方案及应急预案，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统筹指导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体育考试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场地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器材及电子设备管理与使用培训，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统筹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负责体育考试成绩收集、计算、公布和管理等工作，指导各区考点考务工作，负责体育考试监考员的选聘、培训以及考试监考工作的现场技术指导。市教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院负责体育与健康通识考试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题库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命题，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负责指导学校落实体育教学与体育考试项目的融合，做好体育教师的培训，提升体育教学的质量。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区教育行政部门负责组织本区体育考试工作，结合实际设置考点，制定本区体育考试具体实施方案，督促指导学校落实过程性评价工作。鼓励为返深学生和往届学生统一集体购买“人身意外保险”。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（三）考点由各区教育行政部门根据本区各初中学校（含市局直属学校）报考情况进行统筹编排，报市招考办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同意后实施。报考人数较少的考试项目，由市招考办在全市统筹设置考点。考点负责按照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市教育行政部门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体育考试工作要求，做好考试场地规划、考试流程设计、考试现场管理、考试后勤保障等工作，确保考试规范有序进行。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各初中学校负责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日常开齐开足上好体育课，尽最大可能为学生提供相应学习练习和备考条件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。向学生和家长宣传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本实施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，指导学生进行体育考试报名及缓免考（测）申请，引导学生合理选择体育考试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选考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项目。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组织实施学生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过程性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评价工作。组织学生参加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统一考试，提前摸查学生考前身体健康状况，鼓励为学生统一集体购买“人身意外保险”，加强对学生进行考前安全教育、心理疏导，并派专人负责做好学生的考试安全措施，组织学生做好考前准备运动和考后放松运动，排除体育考试潜在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市、区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教育行政部门要严格体育考试监督管理，畅通意见收集渠道，设立体育考试考风考纪监督电话、邮箱，并在考试现场设立投诉咨询点，及时准确地解答学生及其监护人提出的问题，正确引导学生参加体育考试，监督检查考试过程。对考试工作中出现的各类违规违纪、徇私舞弊、弄虚作假等行为，一经查实，按有关规定严肃处理。</w:t>
      </w:r>
    </w:p>
    <w:p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意见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自2024年4月6日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起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施行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，有效期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5669"/>
    <w:rsid w:val="1DC6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2024-03-27T10:58:00Z</dcterms:created>
  <dc:creator>szedu</dc:creator>
  <cp:lastModifiedBy>szedu</cp:lastModifiedBy>
  <dcterms:modified xsi:type="dcterms:W3CDTF">2024-03-27T10:58:57Z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