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000000" w:themeColor="text1"/>
          <w:sz w:val="72"/>
          <w:szCs w:val="72"/>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18"/>
        <w:ind w:firstLine="420"/>
        <w:rPr>
          <w:rFonts w:hint="eastAsia" w:ascii="宋体" w:hAnsi="宋体" w:cs="宋体"/>
          <w:color w:val="000000" w:themeColor="text1"/>
          <w14:textFill>
            <w14:solidFill>
              <w14:schemeClr w14:val="tx1"/>
            </w14:solidFill>
          </w14:textFill>
        </w:rPr>
      </w:pPr>
    </w:p>
    <w:p>
      <w:pPr>
        <w:pStyle w:val="18"/>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w:t>
      </w:r>
      <w:r>
        <w:rPr>
          <w:rFonts w:hint="eastAsia" w:ascii="宋体" w:hAnsi="宋体" w:cs="宋体"/>
          <w:b/>
          <w:color w:val="000000" w:themeColor="text1"/>
          <w:sz w:val="36"/>
          <w:szCs w:val="36"/>
          <w:lang w:eastAsia="zh-CN"/>
          <w14:textFill>
            <w14:solidFill>
              <w14:schemeClr w14:val="tx1"/>
            </w14:solidFill>
          </w14:textFill>
        </w:rPr>
        <w:t>QH2024003</w:t>
      </w:r>
    </w:p>
    <w:p>
      <w:pPr>
        <w:pStyle w:val="18"/>
        <w:ind w:firstLine="420"/>
        <w:rPr>
          <w:rFonts w:hint="eastAsia" w:ascii="宋体" w:hAnsi="宋体" w:cs="宋体"/>
          <w:color w:val="000000" w:themeColor="text1"/>
          <w14:textFill>
            <w14:solidFill>
              <w14:schemeClr w14:val="tx1"/>
            </w14:solidFill>
          </w14:textFill>
        </w:rPr>
      </w:pPr>
    </w:p>
    <w:p>
      <w:pPr>
        <w:pStyle w:val="18"/>
        <w:ind w:firstLine="420"/>
        <w:rPr>
          <w:rFonts w:hint="eastAsia" w:ascii="宋体" w:hAnsi="宋体" w:cs="宋体"/>
          <w:color w:val="000000" w:themeColor="text1"/>
          <w14:textFill>
            <w14:solidFill>
              <w14:schemeClr w14:val="tx1"/>
            </w14:solidFill>
          </w14:textFill>
        </w:rPr>
      </w:pPr>
    </w:p>
    <w:p>
      <w:pPr>
        <w:pStyle w:val="18"/>
        <w:ind w:firstLine="420"/>
        <w:rPr>
          <w:rFonts w:hint="eastAsia" w:ascii="宋体" w:hAnsi="宋体" w:cs="宋体"/>
          <w:color w:val="000000" w:themeColor="text1"/>
          <w14:textFill>
            <w14:solidFill>
              <w14:schemeClr w14:val="tx1"/>
            </w14:solidFill>
          </w14:textFill>
        </w:rPr>
      </w:pPr>
    </w:p>
    <w:p>
      <w:pPr>
        <w:ind w:left="2326" w:leftChars="247" w:right="-319" w:rightChars="-152" w:hanging="1807" w:hangingChars="500"/>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w:t>
      </w:r>
      <w:r>
        <w:rPr>
          <w:rFonts w:hint="eastAsia" w:ascii="宋体" w:hAnsi="宋体" w:cs="宋体"/>
          <w:b/>
          <w:color w:val="000000" w:themeColor="text1"/>
          <w:sz w:val="36"/>
          <w:szCs w:val="36"/>
          <w:lang w:eastAsia="zh-CN"/>
          <w14:textFill>
            <w14:solidFill>
              <w14:schemeClr w14:val="tx1"/>
            </w14:solidFill>
          </w14:textFill>
        </w:rPr>
        <w:t>2024年前海合作区外资数据统计分析服务项目</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w:t>
      </w:r>
      <w:r>
        <w:rPr>
          <w:rFonts w:hint="eastAsia" w:ascii="宋体" w:hAnsi="宋体" w:cs="宋体"/>
          <w:b/>
          <w:bCs/>
          <w:color w:val="000000" w:themeColor="text1"/>
          <w:sz w:val="36"/>
          <w:szCs w:val="36"/>
          <w:lang w:val="en-US" w:eastAsia="zh-CN"/>
          <w14:textFill>
            <w14:solidFill>
              <w14:schemeClr w14:val="tx1"/>
            </w14:solidFill>
          </w14:textFill>
        </w:rPr>
        <w:t>4</w:t>
      </w:r>
      <w:r>
        <w:rPr>
          <w:rFonts w:hint="eastAsia" w:ascii="宋体" w:hAnsi="宋体" w:cs="宋体"/>
          <w:b/>
          <w:bCs/>
          <w:color w:val="000000" w:themeColor="text1"/>
          <w:sz w:val="36"/>
          <w:szCs w:val="36"/>
          <w14:textFill>
            <w14:solidFill>
              <w14:schemeClr w14:val="tx1"/>
            </w14:solidFill>
          </w14:textFill>
        </w:rPr>
        <w:t>年</w:t>
      </w:r>
      <w:r>
        <w:rPr>
          <w:rFonts w:hint="eastAsia" w:ascii="宋体" w:hAnsi="宋体" w:cs="宋体"/>
          <w:b/>
          <w:bCs/>
          <w:color w:val="000000" w:themeColor="text1"/>
          <w:sz w:val="36"/>
          <w:szCs w:val="36"/>
          <w:lang w:val="en-US" w:eastAsia="zh-CN"/>
          <w14:textFill>
            <w14:solidFill>
              <w14:schemeClr w14:val="tx1"/>
            </w14:solidFill>
          </w14:textFill>
        </w:rPr>
        <w:t>3</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pStyle w:val="3"/>
        <w:rPr>
          <w:rFonts w:hint="eastAsia"/>
          <w:color w:val="000000" w:themeColor="text1"/>
          <w14:textFill>
            <w14:solidFill>
              <w14:schemeClr w14:val="tx1"/>
            </w14:solidFill>
          </w14:textFill>
        </w:rPr>
      </w:pP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（一）在采购活动中应当回避而未回避的；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（二）未按本条例规定签订、履行采购合同，造成严重后果的；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（三）隐瞒真实情况，提供虚假资料的；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（四）以非法手段排斥其他供应商参与竞争的；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（五）与其他采购参加人串通投标的；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（六）恶意投诉的；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（七）向采购项目相关人行贿或者提供其他不当利益的；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（八）阻碍、抗拒主管部门监督检查的；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（九）其他违反本条例规定的行为。</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二、《深圳经济特区政府采购条例实施细则》</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第七十五条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jc w:val="center"/>
        <w:outlineLvl w:val="0"/>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br w:type="page"/>
      </w:r>
      <w:bookmarkStart w:id="1"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1"/>
    </w:p>
    <w:p>
      <w:pPr>
        <w:pStyle w:val="10"/>
        <w:tabs>
          <w:tab w:val="right" w:leader="dot" w:pos="8306"/>
        </w:tabs>
        <w:spacing w:line="480" w:lineRule="auto"/>
        <w:rPr>
          <w:b/>
          <w:bCs/>
          <w:color w:val="000000" w:themeColor="text1"/>
          <w:sz w:val="24"/>
          <w:szCs w:val="32"/>
          <w14:textFill>
            <w14:solidFill>
              <w14:schemeClr w14:val="tx1"/>
            </w14:solidFill>
          </w14:textFill>
        </w:rPr>
      </w:pPr>
    </w:p>
    <w:p>
      <w:pPr>
        <w:pStyle w:val="10"/>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 HYPERLINK \l _Toc17273 </w:instrText>
      </w:r>
      <w:r>
        <w:rPr>
          <w:rFonts w:hint="eastAsia" w:ascii="宋体" w:hAnsi="宋体" w:cs="宋体"/>
          <w:b/>
          <w:bCs/>
          <w:color w:val="000000" w:themeColor="text1"/>
          <w:sz w:val="24"/>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5</w:t>
      </w:r>
      <w:r>
        <w:rPr>
          <w:b/>
          <w:bCs/>
          <w:color w:val="000000" w:themeColor="text1"/>
          <w:sz w:val="24"/>
          <w14:textFill>
            <w14:solidFill>
              <w14:schemeClr w14:val="tx1"/>
            </w14:solidFill>
          </w14:textFill>
        </w:rPr>
        <w:fldChar w:fldCharType="end"/>
      </w:r>
      <w:r>
        <w:rPr>
          <w:rFonts w:hint="eastAsia" w:ascii="宋体" w:hAnsi="宋体" w:cs="宋体"/>
          <w:b/>
          <w:bCs/>
          <w:color w:val="000000" w:themeColor="text1"/>
          <w:sz w:val="24"/>
          <w14:textFill>
            <w14:solidFill>
              <w14:schemeClr w14:val="tx1"/>
            </w14:solidFill>
          </w14:textFill>
        </w:rPr>
        <w:fldChar w:fldCharType="end"/>
      </w:r>
    </w:p>
    <w:p>
      <w:pPr>
        <w:pStyle w:val="10"/>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 HYPERLINK \l _Toc10214 </w:instrText>
      </w:r>
      <w:r>
        <w:rPr>
          <w:rFonts w:hint="eastAsia" w:ascii="宋体" w:hAnsi="宋体" w:cs="宋体"/>
          <w:b/>
          <w:bCs/>
          <w:color w:val="000000" w:themeColor="text1"/>
          <w:sz w:val="24"/>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8</w:t>
      </w:r>
      <w:r>
        <w:rPr>
          <w:b/>
          <w:bCs/>
          <w:color w:val="000000" w:themeColor="text1"/>
          <w:sz w:val="24"/>
          <w14:textFill>
            <w14:solidFill>
              <w14:schemeClr w14:val="tx1"/>
            </w14:solidFill>
          </w14:textFill>
        </w:rPr>
        <w:fldChar w:fldCharType="end"/>
      </w:r>
      <w:r>
        <w:rPr>
          <w:rFonts w:hint="eastAsia" w:ascii="宋体" w:hAnsi="宋体" w:cs="宋体"/>
          <w:b/>
          <w:bCs/>
          <w:color w:val="000000" w:themeColor="text1"/>
          <w:sz w:val="24"/>
          <w14:textFill>
            <w14:solidFill>
              <w14:schemeClr w14:val="tx1"/>
            </w14:solidFill>
          </w14:textFill>
        </w:rPr>
        <w:fldChar w:fldCharType="end"/>
      </w:r>
    </w:p>
    <w:p>
      <w:pPr>
        <w:pStyle w:val="10"/>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 HYPERLINK \l _Toc20176 </w:instrText>
      </w:r>
      <w:r>
        <w:rPr>
          <w:rFonts w:hint="eastAsia" w:ascii="宋体" w:hAnsi="宋体" w:cs="宋体"/>
          <w:b/>
          <w:bCs/>
          <w:color w:val="000000" w:themeColor="text1"/>
          <w:sz w:val="24"/>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11</w:t>
      </w:r>
      <w:r>
        <w:rPr>
          <w:b/>
          <w:bCs/>
          <w:color w:val="000000" w:themeColor="text1"/>
          <w:sz w:val="24"/>
          <w14:textFill>
            <w14:solidFill>
              <w14:schemeClr w14:val="tx1"/>
            </w14:solidFill>
          </w14:textFill>
        </w:rPr>
        <w:fldChar w:fldCharType="end"/>
      </w:r>
      <w:r>
        <w:rPr>
          <w:rFonts w:hint="eastAsia" w:ascii="宋体" w:hAnsi="宋体" w:cs="宋体"/>
          <w:b/>
          <w:bCs/>
          <w:color w:val="000000" w:themeColor="text1"/>
          <w:sz w:val="24"/>
          <w14:textFill>
            <w14:solidFill>
              <w14:schemeClr w14:val="tx1"/>
            </w14:solidFill>
          </w14:textFill>
        </w:rPr>
        <w:fldChar w:fldCharType="end"/>
      </w:r>
    </w:p>
    <w:p>
      <w:pPr>
        <w:pStyle w:val="10"/>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 HYPERLINK \l _Toc3567 </w:instrText>
      </w:r>
      <w:r>
        <w:rPr>
          <w:rFonts w:hint="eastAsia" w:ascii="宋体" w:hAnsi="宋体" w:cs="宋体"/>
          <w:b/>
          <w:bCs/>
          <w:color w:val="000000" w:themeColor="text1"/>
          <w:sz w:val="24"/>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rFonts w:hint="eastAsia" w:ascii="宋体" w:hAnsi="宋体" w:cs="宋体"/>
          <w:b/>
          <w:bCs/>
          <w:color w:val="000000" w:themeColor="text1"/>
          <w:sz w:val="24"/>
          <w14:textFill>
            <w14:solidFill>
              <w14:schemeClr w14:val="tx1"/>
            </w14:solidFill>
          </w14:textFill>
        </w:rPr>
        <w:fldChar w:fldCharType="end"/>
      </w:r>
    </w:p>
    <w:p>
      <w:pPr>
        <w:pStyle w:val="10"/>
        <w:tabs>
          <w:tab w:val="right" w:leader="dot" w:pos="8306"/>
        </w:tabs>
        <w:spacing w:line="360" w:lineRule="auto"/>
        <w:rPr>
          <w:rFonts w:hint="default" w:eastAsia="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 HYPERLINK \l _Toc25518 </w:instrText>
      </w:r>
      <w:r>
        <w:rPr>
          <w:rFonts w:hint="eastAsia" w:ascii="宋体" w:hAnsi="宋体" w:cs="宋体"/>
          <w:b/>
          <w:bCs/>
          <w:color w:val="000000" w:themeColor="text1"/>
          <w:sz w:val="24"/>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rFonts w:hint="eastAsia" w:ascii="宋体" w:hAnsi="宋体" w:cs="宋体"/>
          <w:b/>
          <w:bCs/>
          <w:color w:val="000000" w:themeColor="text1"/>
          <w:sz w:val="24"/>
          <w14:textFill>
            <w14:solidFill>
              <w14:schemeClr w14:val="tx1"/>
            </w14:solidFill>
          </w14:textFill>
        </w:rPr>
        <w:fldChar w:fldCharType="end"/>
      </w:r>
      <w:r>
        <w:rPr>
          <w:rFonts w:hint="eastAsia"/>
          <w:b/>
          <w:bCs/>
          <w:color w:val="000000" w:themeColor="text1"/>
          <w:sz w:val="24"/>
          <w:lang w:val="en-US" w:eastAsia="zh-CN"/>
          <w14:textFill>
            <w14:solidFill>
              <w14:schemeClr w14:val="tx1"/>
            </w14:solidFill>
          </w14:textFill>
        </w:rPr>
        <w:t>26</w:t>
      </w:r>
    </w:p>
    <w:p>
      <w:pPr>
        <w:pStyle w:val="10"/>
        <w:tabs>
          <w:tab w:val="right" w:leader="dot" w:pos="8306"/>
        </w:tabs>
        <w:spacing w:line="360" w:lineRule="auto"/>
        <w:rPr>
          <w:rFonts w:hint="default" w:eastAsia="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 HYPERLINK \l _Toc23822 </w:instrText>
      </w:r>
      <w:r>
        <w:rPr>
          <w:rFonts w:hint="eastAsia" w:ascii="宋体" w:hAnsi="宋体" w:cs="宋体"/>
          <w:b/>
          <w:bCs/>
          <w:color w:val="000000" w:themeColor="text1"/>
          <w:sz w:val="24"/>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rFonts w:hint="eastAsia" w:ascii="宋体" w:hAnsi="宋体" w:cs="宋体"/>
          <w:b/>
          <w:bCs/>
          <w:color w:val="000000" w:themeColor="text1"/>
          <w:sz w:val="24"/>
          <w14:textFill>
            <w14:solidFill>
              <w14:schemeClr w14:val="tx1"/>
            </w14:solidFill>
          </w14:textFill>
        </w:rPr>
        <w:fldChar w:fldCharType="end"/>
      </w:r>
      <w:r>
        <w:rPr>
          <w:rFonts w:hint="eastAsia"/>
          <w:b/>
          <w:bCs/>
          <w:color w:val="000000" w:themeColor="text1"/>
          <w:sz w:val="24"/>
          <w:lang w:val="en-US" w:eastAsia="zh-CN"/>
          <w14:textFill>
            <w14:solidFill>
              <w14:schemeClr w14:val="tx1"/>
            </w14:solidFill>
          </w14:textFill>
        </w:rPr>
        <w:t>32</w:t>
      </w:r>
    </w:p>
    <w:p>
      <w:pPr>
        <w:pStyle w:val="10"/>
        <w:tabs>
          <w:tab w:val="right" w:leader="dot" w:pos="8306"/>
        </w:tabs>
        <w:spacing w:line="360" w:lineRule="auto"/>
        <w:rPr>
          <w:rFonts w:hint="default" w:eastAsia="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 HYPERLINK \l _Toc9548 </w:instrText>
      </w:r>
      <w:r>
        <w:rPr>
          <w:rFonts w:hint="eastAsia" w:ascii="宋体" w:hAnsi="宋体" w:cs="宋体"/>
          <w:b/>
          <w:bCs/>
          <w:color w:val="000000" w:themeColor="text1"/>
          <w:sz w:val="24"/>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rFonts w:hint="eastAsia" w:ascii="宋体" w:hAnsi="宋体" w:cs="宋体"/>
          <w:b/>
          <w:bCs/>
          <w:color w:val="000000" w:themeColor="text1"/>
          <w:sz w:val="24"/>
          <w14:textFill>
            <w14:solidFill>
              <w14:schemeClr w14:val="tx1"/>
            </w14:solidFill>
          </w14:textFill>
        </w:rPr>
        <w:fldChar w:fldCharType="end"/>
      </w:r>
      <w:r>
        <w:rPr>
          <w:rFonts w:hint="eastAsia"/>
          <w:b/>
          <w:bCs/>
          <w:color w:val="000000" w:themeColor="text1"/>
          <w:sz w:val="24"/>
          <w:lang w:val="en-US" w:eastAsia="zh-CN"/>
          <w14:textFill>
            <w14:solidFill>
              <w14:schemeClr w14:val="tx1"/>
            </w14:solidFill>
          </w14:textFill>
        </w:rPr>
        <w:t>38</w:t>
      </w:r>
    </w:p>
    <w:p>
      <w:pPr>
        <w:pStyle w:val="10"/>
        <w:tabs>
          <w:tab w:val="right" w:leader="dot" w:pos="8306"/>
        </w:tabs>
        <w:spacing w:line="360" w:lineRule="auto"/>
        <w:rPr>
          <w:rFonts w:hint="default" w:eastAsia="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 HYPERLINK \l _Toc742 </w:instrText>
      </w:r>
      <w:r>
        <w:rPr>
          <w:rFonts w:hint="eastAsia" w:ascii="宋体" w:hAnsi="宋体" w:cs="宋体"/>
          <w:b/>
          <w:bCs/>
          <w:color w:val="000000" w:themeColor="text1"/>
          <w:sz w:val="24"/>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rFonts w:hint="eastAsia" w:ascii="宋体" w:hAnsi="宋体" w:cs="宋体"/>
          <w:b/>
          <w:bCs/>
          <w:color w:val="000000" w:themeColor="text1"/>
          <w:sz w:val="24"/>
          <w14:textFill>
            <w14:solidFill>
              <w14:schemeClr w14:val="tx1"/>
            </w14:solidFill>
          </w14:textFill>
        </w:rPr>
        <w:fldChar w:fldCharType="end"/>
      </w:r>
      <w:r>
        <w:rPr>
          <w:rFonts w:hint="eastAsia"/>
          <w:b/>
          <w:bCs/>
          <w:color w:val="000000" w:themeColor="text1"/>
          <w:sz w:val="24"/>
          <w:lang w:val="en-US" w:eastAsia="zh-CN"/>
          <w14:textFill>
            <w14:solidFill>
              <w14:schemeClr w14:val="tx1"/>
            </w14:solidFill>
          </w14:textFill>
        </w:rPr>
        <w:t>57</w:t>
      </w:r>
    </w:p>
    <w:p>
      <w:pPr>
        <w:pStyle w:val="10"/>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2" w:name="_Toc17273"/>
      <w:r>
        <w:rPr>
          <w:rFonts w:hint="eastAsia" w:ascii="宋体" w:hAnsi="宋体" w:cs="宋体"/>
          <w:b/>
          <w:bCs/>
          <w:color w:val="000000" w:themeColor="text1"/>
          <w:sz w:val="24"/>
          <w14:textFill>
            <w14:solidFill>
              <w14:schemeClr w14:val="tx1"/>
            </w14:solidFill>
          </w14:textFill>
        </w:rPr>
        <w:t>招标邀请书（招标公告）</w:t>
      </w:r>
      <w:bookmarkEnd w:id="2"/>
    </w:p>
    <w:p>
      <w:pPr>
        <w:spacing w:line="360" w:lineRule="auto"/>
        <w:ind w:firstLine="480" w:firstLineChars="200"/>
        <w:jc w:val="right"/>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文件编码:0722-2023FE</w:t>
      </w:r>
      <w:r>
        <w:rPr>
          <w:rFonts w:hint="eastAsia" w:ascii="宋体" w:hAnsi="宋体" w:cs="宋体"/>
          <w:color w:val="000000" w:themeColor="text1"/>
          <w:sz w:val="24"/>
          <w:lang w:val="en-US" w:eastAsia="zh-CN"/>
          <w14:textFill>
            <w14:solidFill>
              <w14:schemeClr w14:val="tx1"/>
            </w14:solidFill>
          </w14:textFill>
        </w:rPr>
        <w:t>6476</w:t>
      </w:r>
      <w:r>
        <w:rPr>
          <w:rFonts w:hint="eastAsia" w:ascii="宋体" w:hAnsi="宋体" w:cs="宋体"/>
          <w:color w:val="000000" w:themeColor="text1"/>
          <w:sz w:val="24"/>
          <w14:textFill>
            <w14:solidFill>
              <w14:schemeClr w14:val="tx1"/>
            </w14:solidFill>
          </w14:textFill>
        </w:rPr>
        <w:t>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lang w:eastAsia="zh-CN"/>
          <w14:textFill>
            <w14:solidFill>
              <w14:schemeClr w14:val="tx1"/>
            </w14:solidFill>
          </w14:textFill>
        </w:rPr>
        <w:t>2024年前海合作区外资数据统计分析服务项目</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QH2024003</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13"/>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noWrap w:val="0"/>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QH2024003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noWrap w:val="0"/>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2024年前海合作区外资数据统计分析服务项目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noWrap w:val="0"/>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外资数据是前海经济运行的重要统计数据。前海合作区扩区后，进一步拓展了前海合作区经济运行数据的统计范围与服务内容。为落实《全面深化前海深港现代服务业合作区改革开放方案》有关要求，亟需做好前海合作区外资经济运行分析和统计工作，全面掌握扩区后前海合作区外资数据结构与经济运行特征，动态掌握区内企业发展情况，分析挖掘现行经济发展的亮点和问题，为科学决策提供数据支持和分析服务，有力推动前海深港现代服务业合作区经济高质量</w:t>
            </w:r>
            <w:r>
              <w:rPr>
                <w:rFonts w:hint="eastAsia" w:ascii="宋体" w:hAnsi="宋体" w:cs="宋体"/>
                <w:color w:val="000000" w:themeColor="text1"/>
                <w:sz w:val="24"/>
                <w:lang w:val="en-US" w:eastAsia="zh-CN"/>
                <w14:textFill>
                  <w14:solidFill>
                    <w14:schemeClr w14:val="tx1"/>
                  </w14:solidFill>
                </w14:textFill>
              </w:rPr>
              <w:t>发展</w:t>
            </w:r>
            <w:r>
              <w:rPr>
                <w:rFonts w:hint="eastAsia" w:ascii="宋体" w:hAnsi="宋体" w:cs="宋体"/>
                <w:color w:val="000000" w:themeColor="text1"/>
                <w:sz w:val="24"/>
                <w:highlight w:val="none"/>
                <w14:textFill>
                  <w14:solidFill>
                    <w14:schemeClr w14:val="tx1"/>
                  </w14:solidFill>
                </w14:textFill>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529,50</w:t>
            </w:r>
            <w:r>
              <w:rPr>
                <w:rFonts w:hint="eastAsia" w:ascii="宋体" w:hAnsi="宋体" w:cs="宋体"/>
                <w:color w:val="000000" w:themeColor="text1"/>
                <w:sz w:val="24"/>
                <w:lang w:eastAsia="zh-CN"/>
                <w14:textFill>
                  <w14:solidFill>
                    <w14:schemeClr w14:val="tx1"/>
                  </w14:solidFill>
                </w14:textFill>
              </w:rPr>
              <w:t>0.00</w:t>
            </w:r>
            <w:r>
              <w:rPr>
                <w:rFonts w:hint="eastAsia" w:ascii="宋体" w:hAnsi="宋体" w:cs="宋体"/>
                <w:color w:val="000000" w:themeColor="text1"/>
                <w:sz w:val="24"/>
                <w14:textFill>
                  <w14:solidFill>
                    <w14:schemeClr w14:val="tx1"/>
                  </w14:solidFill>
                </w14:textFill>
              </w:rPr>
              <w:t>（人民币</w:t>
            </w:r>
            <w:r>
              <w:rPr>
                <w:rFonts w:hint="eastAsia" w:ascii="宋体" w:hAnsi="宋体" w:cs="宋体"/>
                <w:color w:val="000000" w:themeColor="text1"/>
                <w:sz w:val="24"/>
                <w:lang w:val="en-US" w:eastAsia="zh-CN"/>
                <w14:textFill>
                  <w14:solidFill>
                    <w14:schemeClr w14:val="tx1"/>
                  </w14:solidFill>
                </w14:textFill>
              </w:rPr>
              <w:t>伍拾贰万玖仟伍佰</w:t>
            </w:r>
            <w:r>
              <w:rPr>
                <w:rFonts w:hint="eastAsia" w:ascii="宋体" w:hAnsi="宋体" w:cs="宋体"/>
                <w:color w:val="000000" w:themeColor="text1"/>
                <w:sz w:val="24"/>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noWrap w:val="0"/>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本项目所属行业</w:t>
            </w:r>
          </w:p>
        </w:tc>
        <w:tc>
          <w:tcPr>
            <w:tcW w:w="7015" w:type="dxa"/>
            <w:noWrap w:val="0"/>
            <w:vAlign w:val="center"/>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u w:val="none"/>
                <w14:textFill>
                  <w14:solidFill>
                    <w14:schemeClr w14:val="tx1"/>
                  </w14:solidFill>
                </w14:textFill>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noWrap w:val="0"/>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noWrap w:val="0"/>
            <w:vAlign w:val="center"/>
          </w:tcPr>
          <w:p>
            <w:pPr>
              <w:adjustRightInd w:val="0"/>
              <w:snapToGrid w:val="0"/>
              <w:spacing w:line="360" w:lineRule="auto"/>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年</w:t>
            </w:r>
            <w:r>
              <w:rPr>
                <w:rFonts w:hint="eastAsia" w:ascii="宋体" w:hAnsi="宋体" w:cs="宋体"/>
                <w:b/>
                <w:bCs/>
                <w:color w:val="000000" w:themeColor="text1"/>
                <w:kern w:val="0"/>
                <w:sz w:val="24"/>
                <w:highlight w:val="none"/>
                <w:lang w:val="en-US" w:eastAsia="zh-CN"/>
                <w14:textFill>
                  <w14:solidFill>
                    <w14:schemeClr w14:val="tx1"/>
                  </w14:solidFill>
                </w14:textFill>
              </w:rPr>
              <w:t>3</w:t>
            </w:r>
            <w:r>
              <w:rPr>
                <w:rFonts w:hint="eastAsia" w:ascii="宋体" w:hAnsi="宋体" w:cs="宋体"/>
                <w:b/>
                <w:bCs/>
                <w:color w:val="000000" w:themeColor="text1"/>
                <w:kern w:val="0"/>
                <w:sz w:val="24"/>
                <w:highlight w:val="none"/>
                <w14:textFill>
                  <w14:solidFill>
                    <w14:schemeClr w14:val="tx1"/>
                  </w14:solidFill>
                </w14:textFill>
              </w:rPr>
              <w:t>月</w:t>
            </w:r>
            <w:r>
              <w:rPr>
                <w:rFonts w:hint="eastAsia" w:ascii="宋体" w:hAnsi="宋体" w:cs="宋体"/>
                <w:b/>
                <w:bCs/>
                <w:color w:val="000000" w:themeColor="text1"/>
                <w:kern w:val="0"/>
                <w:sz w:val="24"/>
                <w:highlight w:val="none"/>
                <w:lang w:val="en-US" w:eastAsia="zh-CN"/>
                <w14:textFill>
                  <w14:solidFill>
                    <w14:schemeClr w14:val="tx1"/>
                  </w14:solidFill>
                </w14:textFill>
              </w:rPr>
              <w:t>28</w:t>
            </w:r>
            <w:r>
              <w:rPr>
                <w:rFonts w:hint="eastAsia" w:ascii="宋体" w:hAnsi="宋体" w:cs="宋体"/>
                <w:b/>
                <w:bCs/>
                <w:color w:val="000000" w:themeColor="text1"/>
                <w:kern w:val="0"/>
                <w:sz w:val="24"/>
                <w:highlight w:val="none"/>
                <w14:textFill>
                  <w14:solidFill>
                    <w14:schemeClr w14:val="tx1"/>
                  </w14:solidFill>
                </w14:textFill>
              </w:rPr>
              <w:t>日下午</w:t>
            </w:r>
            <w:r>
              <w:rPr>
                <w:rFonts w:hint="eastAsia" w:ascii="宋体" w:hAnsi="宋体" w:cs="宋体"/>
                <w:b/>
                <w:bCs/>
                <w:color w:val="000000" w:themeColor="text1"/>
                <w:kern w:val="0"/>
                <w:sz w:val="24"/>
                <w:highlight w:val="none"/>
                <w:lang w:val="en-US" w:eastAsia="zh-CN"/>
                <w14:textFill>
                  <w14:solidFill>
                    <w14:schemeClr w14:val="tx1"/>
                  </w14:solidFill>
                </w14:textFill>
              </w:rPr>
              <w:t>14</w:t>
            </w:r>
            <w:r>
              <w:rPr>
                <w:rFonts w:hint="eastAsia" w:ascii="宋体" w:hAnsi="宋体" w:cs="宋体"/>
                <w:b/>
                <w:bCs/>
                <w:color w:val="000000" w:themeColor="text1"/>
                <w:kern w:val="0"/>
                <w:sz w:val="24"/>
                <w:lang w:eastAsia="zh-CN"/>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30时</w:t>
            </w:r>
            <w:r>
              <w:rPr>
                <w:rFonts w:hint="eastAsia" w:ascii="宋体" w:hAnsi="宋体" w:cs="宋体"/>
                <w:b/>
                <w:bCs/>
                <w:color w:val="000000" w:themeColor="text1"/>
                <w:kern w:val="0"/>
                <w:sz w:val="24"/>
                <w14:textFill>
                  <w14:solidFill>
                    <w14:schemeClr w14:val="tx1"/>
                  </w14:solidFill>
                </w14:textFill>
              </w:rPr>
              <w:t>（北京时间）</w:t>
            </w:r>
            <w:r>
              <w:rPr>
                <w:rFonts w:hint="eastAsia" w:ascii="宋体" w:hAnsi="宋体" w:cs="宋体"/>
                <w:color w:val="000000" w:themeColor="text1"/>
                <w:kern w:val="0"/>
                <w:sz w:val="24"/>
                <w14:textFill>
                  <w14:solidFill>
                    <w14:schemeClr w14:val="tx1"/>
                  </w14:solidFill>
                </w14:textFill>
              </w:rPr>
              <w:t>前送达（现场递交或邮寄）</w:t>
            </w:r>
            <w:r>
              <w:rPr>
                <w:rFonts w:hint="eastAsia" w:ascii="宋体" w:hAnsi="宋体" w:cs="宋体"/>
                <w:color w:val="000000" w:themeColor="text1"/>
                <w:kern w:val="0"/>
                <w:sz w:val="24"/>
                <w:u w:val="none"/>
                <w14:textFill>
                  <w14:solidFill>
                    <w14:schemeClr w14:val="tx1"/>
                  </w14:solidFill>
                </w14:textFill>
              </w:rPr>
              <w:t>至深圳市南</w:t>
            </w:r>
            <w:r>
              <w:rPr>
                <w:rFonts w:hint="eastAsia" w:ascii="宋体" w:hAnsi="宋体" w:cs="宋体"/>
                <w:color w:val="000000" w:themeColor="text1"/>
                <w:kern w:val="0"/>
                <w:sz w:val="24"/>
                <w14:textFill>
                  <w14:solidFill>
                    <w14:schemeClr w14:val="tx1"/>
                  </w14:solidFill>
                </w14:textFill>
              </w:rPr>
              <w:t>山区前海深港合作区桂湾五路123号前海管理局前海大厦T1栋</w:t>
            </w:r>
            <w:r>
              <w:rPr>
                <w:rFonts w:hint="eastAsia" w:ascii="宋体" w:hAnsi="宋体" w:cs="宋体"/>
                <w:color w:val="000000" w:themeColor="text1"/>
                <w:kern w:val="0"/>
                <w:sz w:val="24"/>
                <w:highlight w:val="none"/>
                <w:u w:val="none"/>
                <w:lang w:val="en-US" w:eastAsia="zh-CN"/>
                <w14:textFill>
                  <w14:solidFill>
                    <w14:schemeClr w14:val="tx1"/>
                  </w14:solidFill>
                </w14:textFill>
              </w:rPr>
              <w:t>2413</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室</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w:t>
            </w:r>
            <w:r>
              <w:rPr>
                <w:rFonts w:hint="eastAsia" w:ascii="宋体" w:hAnsi="宋体" w:cs="宋体"/>
                <w:color w:val="000000" w:themeColor="text1"/>
                <w:kern w:val="0"/>
                <w:sz w:val="24"/>
                <w:lang w:eastAsia="zh-CN"/>
                <w14:textFill>
                  <w14:solidFill>
                    <w14:schemeClr w14:val="tx1"/>
                  </w14:solidFill>
                </w14:textFill>
              </w:rPr>
              <w:t>王</w:t>
            </w:r>
            <w:r>
              <w:rPr>
                <w:rFonts w:hint="eastAsia" w:ascii="宋体" w:hAnsi="宋体" w:cs="宋体"/>
                <w:color w:val="000000" w:themeColor="text1"/>
                <w:kern w:val="0"/>
                <w:sz w:val="24"/>
                <w14:textFill>
                  <w14:solidFill>
                    <w14:schemeClr w14:val="tx1"/>
                  </w14:solidFill>
                </w14:textFill>
              </w:rPr>
              <w:t>女士</w:t>
            </w:r>
          </w:p>
          <w:p>
            <w:pPr>
              <w:adjustRightInd w:val="0"/>
              <w:snapToGrid w:val="0"/>
              <w:spacing w:line="360" w:lineRule="auto"/>
              <w:jc w:val="left"/>
              <w:rPr>
                <w:rFonts w:hint="default" w:ascii="宋体" w:hAnsi="宋体" w:cs="宋体"/>
                <w:color w:val="000000" w:themeColor="text1"/>
                <w:kern w:val="0"/>
                <w:sz w:val="24"/>
                <w:lang w:val="en-US"/>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r>
              <w:rPr>
                <w:rFonts w:hint="eastAsia" w:ascii="宋体" w:hAnsi="宋体" w:cs="宋体"/>
                <w:color w:val="000000" w:themeColor="text1"/>
                <w:kern w:val="0"/>
                <w:sz w:val="24"/>
                <w:lang w:val="en-US" w:eastAsia="zh-CN"/>
                <w14:textFill>
                  <w14:solidFill>
                    <w14:schemeClr w14:val="tx1"/>
                  </w14:solidFill>
                </w14:textFill>
              </w:rPr>
              <w:t>0755-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881052</w:t>
            </w:r>
            <w:r>
              <w:rPr>
                <w:rFonts w:hint="eastAsia" w:ascii="宋体" w:hAnsi="宋体" w:cs="宋体"/>
                <w:color w:val="000000" w:themeColor="text1"/>
                <w:kern w:val="0"/>
                <w:sz w:val="24"/>
                <w:szCs w:val="24"/>
                <w:highlight w:val="none"/>
                <w:lang w:val="en-US" w:eastAsia="zh-CN"/>
                <w14:textFill>
                  <w14:solidFill>
                    <w14:schemeClr w14:val="tx1"/>
                  </w14:solidFill>
                </w14:textFill>
              </w:rPr>
              <w:t>48</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noWrap w:val="0"/>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noWrap w:val="0"/>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在中华人民共和国境内注册的具有独立法人资格或具有独立承担民事责任的能力的其它组织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w:t>
            </w:r>
            <w:r>
              <w:rPr>
                <w:rFonts w:ascii="宋体" w:hAnsi="宋体" w:cs="宋体"/>
                <w:color w:val="000000" w:themeColor="text1"/>
                <w:kern w:val="0"/>
                <w:sz w:val="24"/>
                <w14:textFill>
                  <w14:solidFill>
                    <w14:schemeClr w14:val="tx1"/>
                  </w14:solidFill>
                </w14:textFill>
              </w:rPr>
              <w:t>不</w:t>
            </w:r>
            <w:r>
              <w:rPr>
                <w:rFonts w:hint="eastAsia" w:ascii="宋体" w:hAnsi="宋体" w:cs="宋体"/>
                <w:color w:val="000000" w:themeColor="text1"/>
                <w:kern w:val="0"/>
                <w:sz w:val="24"/>
                <w14:textFill>
                  <w14:solidFill>
                    <w14:schemeClr w14:val="tx1"/>
                  </w14:solidFill>
                </w14:textFill>
              </w:rPr>
              <w:t>接受联合体投标，不允许转包、分包。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noWrap w:val="0"/>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noWrap w:val="0"/>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本次投标为总价包干，投标报价总价作为中标人与采购人签定的合同金额。项目预算控制</w:t>
            </w:r>
            <w:r>
              <w:rPr>
                <w:rFonts w:hint="eastAsia" w:ascii="宋体" w:hAnsi="宋体" w:cs="宋体"/>
                <w:color w:val="000000" w:themeColor="text1"/>
                <w:sz w:val="24"/>
                <w:lang w:val="en-US" w:eastAsia="zh-CN"/>
                <w14:textFill>
                  <w14:solidFill>
                    <w14:schemeClr w14:val="tx1"/>
                  </w14:solidFill>
                </w14:textFill>
              </w:rPr>
              <w:t>52.95</w:t>
            </w:r>
            <w:r>
              <w:rPr>
                <w:rFonts w:hint="eastAsia" w:ascii="宋体" w:hAnsi="宋体" w:cs="宋体"/>
                <w:color w:val="000000" w:themeColor="text1"/>
                <w:sz w:val="24"/>
                <w:lang w:eastAsia="zh-CN"/>
                <w14:textFill>
                  <w14:solidFill>
                    <w14:schemeClr w14:val="tx1"/>
                  </w14:solidFill>
                </w14:textFill>
              </w:rPr>
              <w:t>万元</w:t>
            </w:r>
            <w:r>
              <w:rPr>
                <w:rFonts w:hint="eastAsia" w:ascii="宋体" w:hAnsi="宋体" w:cs="宋体"/>
                <w:color w:val="000000" w:themeColor="text1"/>
                <w:sz w:val="24"/>
                <w14:textFill>
                  <w14:solidFill>
                    <w14:schemeClr w14:val="tx1"/>
                  </w14:solidFill>
                </w14:textFill>
              </w:rPr>
              <w:t>以内，投标人的报价不可高于</w:t>
            </w:r>
            <w:r>
              <w:rPr>
                <w:rFonts w:hint="eastAsia" w:ascii="宋体" w:hAnsi="宋体" w:cs="宋体"/>
                <w:color w:val="000000" w:themeColor="text1"/>
                <w:kern w:val="0"/>
                <w:sz w:val="24"/>
                <w14:textFill>
                  <w14:solidFill>
                    <w14:schemeClr w14:val="tx1"/>
                  </w14:solidFill>
                </w14:textFill>
              </w:rPr>
              <w:t>预算（限价），否则投标人的投标文件视同无效。</w:t>
            </w:r>
            <w:r>
              <w:rPr>
                <w:rFonts w:hint="eastAsia" w:ascii="宋体" w:hAnsi="宋体" w:cs="宋体"/>
                <w:color w:val="000000" w:themeColor="text1"/>
                <w:kern w:val="0"/>
                <w:sz w:val="24"/>
                <w:lang w:eastAsia="zh-CN"/>
                <w14:textFill>
                  <w14:solidFill>
                    <w14:schemeClr w14:val="tx1"/>
                  </w14:solidFill>
                </w14:textFill>
              </w:rPr>
              <w:t>投标人的投标总价为完成项目及招标文件或合同条款所规定的工作内容的各项费用，项目服务费包括</w:t>
            </w:r>
            <w:r>
              <w:rPr>
                <w:rFonts w:hint="eastAsia" w:ascii="宋体" w:hAnsi="宋体" w:cs="宋体"/>
                <w:color w:val="000000" w:themeColor="text1"/>
                <w:kern w:val="0"/>
                <w:sz w:val="24"/>
                <w:lang w:val="en-US" w:eastAsia="zh-CN"/>
                <w14:textFill>
                  <w14:solidFill>
                    <w14:schemeClr w14:val="tx1"/>
                  </w14:solidFill>
                </w14:textFill>
              </w:rPr>
              <w:t>但不限于</w:t>
            </w:r>
            <w:r>
              <w:rPr>
                <w:rFonts w:hint="eastAsia" w:ascii="宋体" w:hAnsi="宋体" w:cs="宋体"/>
                <w:color w:val="000000" w:themeColor="text1"/>
                <w:kern w:val="0"/>
                <w:sz w:val="24"/>
                <w:lang w:eastAsia="zh-CN"/>
                <w14:textFill>
                  <w14:solidFill>
                    <w14:schemeClr w14:val="tx1"/>
                  </w14:solidFill>
                </w14:textFill>
              </w:rPr>
              <w:t>数据采购费、数据系统费、</w:t>
            </w:r>
            <w:r>
              <w:rPr>
                <w:rFonts w:hint="eastAsia" w:ascii="宋体" w:hAnsi="宋体" w:cs="宋体"/>
                <w:color w:val="000000" w:themeColor="text1"/>
                <w:kern w:val="0"/>
                <w:sz w:val="24"/>
                <w:lang w:val="en-US" w:eastAsia="zh-CN"/>
                <w14:textFill>
                  <w14:solidFill>
                    <w14:schemeClr w14:val="tx1"/>
                  </w14:solidFill>
                </w14:textFill>
              </w:rPr>
              <w:t>投标人</w:t>
            </w:r>
            <w:r>
              <w:rPr>
                <w:rFonts w:hint="eastAsia" w:ascii="宋体" w:hAnsi="宋体" w:cs="宋体"/>
                <w:color w:val="000000" w:themeColor="text1"/>
                <w:kern w:val="0"/>
                <w:sz w:val="24"/>
                <w:lang w:eastAsia="zh-CN"/>
                <w14:textFill>
                  <w14:solidFill>
                    <w14:schemeClr w14:val="tx1"/>
                  </w14:solidFill>
                </w14:textFill>
              </w:rPr>
              <w:t>工作人员成本、中标服务费、资料费、通讯费、交通费、税金、后续服务、利润等所有费用，并提供合同要求的成果文件，以及其它相关服务的全部费用</w:t>
            </w:r>
            <w:r>
              <w:rPr>
                <w:rFonts w:hint="eastAsia" w:ascii="宋体" w:hAnsi="宋体" w:cs="宋体"/>
                <w:color w:val="000000" w:themeColor="text1"/>
                <w:sz w:val="24"/>
                <w14:textFill>
                  <w14:solidFill>
                    <w14:schemeClr w14:val="tx1"/>
                  </w14:solidFill>
                </w14:textFill>
              </w:rPr>
              <w:t>。</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noWrap w:val="0"/>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noWrap w:val="0"/>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采购人信息：</w:t>
            </w:r>
          </w:p>
          <w:p>
            <w:pPr>
              <w:spacing w:line="360" w:lineRule="auto"/>
              <w:rPr>
                <w:rFonts w:hint="eastAsia" w:ascii="宋体" w:hAnsi="宋体" w:cs="宋体"/>
                <w:color w:val="000000" w:themeColor="text1"/>
                <w:kern w:val="0"/>
                <w:sz w:val="24"/>
                <w:u w:val="none"/>
                <w14:textFill>
                  <w14:solidFill>
                    <w14:schemeClr w14:val="tx1"/>
                  </w14:solidFill>
                </w14:textFill>
              </w:rPr>
            </w:pPr>
            <w:r>
              <w:rPr>
                <w:rFonts w:hint="eastAsia" w:ascii="宋体" w:hAnsi="宋体" w:cs="宋体"/>
                <w:color w:val="000000" w:themeColor="text1"/>
                <w:kern w:val="0"/>
                <w:sz w:val="24"/>
                <w:u w:val="none"/>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u w:val="none"/>
                <w14:textFill>
                  <w14:solidFill>
                    <w14:schemeClr w14:val="tx1"/>
                  </w14:solidFill>
                </w14:textFill>
              </w:rPr>
            </w:pPr>
            <w:r>
              <w:rPr>
                <w:rFonts w:hint="eastAsia" w:ascii="宋体" w:hAnsi="宋体" w:cs="宋体"/>
                <w:color w:val="000000" w:themeColor="text1"/>
                <w:kern w:val="0"/>
                <w:sz w:val="24"/>
                <w:u w:val="none"/>
                <w14:textFill>
                  <w14:solidFill>
                    <w14:schemeClr w14:val="tx1"/>
                  </w14:solidFill>
                </w14:textFill>
              </w:rPr>
              <w:t>联  系  人：</w:t>
            </w:r>
            <w:r>
              <w:rPr>
                <w:rFonts w:hint="eastAsia" w:ascii="宋体" w:hAnsi="宋体" w:cs="宋体"/>
                <w:color w:val="000000" w:themeColor="text1"/>
                <w:kern w:val="0"/>
                <w:sz w:val="24"/>
                <w:u w:val="none"/>
                <w:lang w:eastAsia="zh-CN"/>
                <w14:textFill>
                  <w14:solidFill>
                    <w14:schemeClr w14:val="tx1"/>
                  </w14:solidFill>
                </w14:textFill>
              </w:rPr>
              <w:t>王</w:t>
            </w:r>
            <w:r>
              <w:rPr>
                <w:rFonts w:hint="eastAsia" w:ascii="宋体" w:hAnsi="宋体" w:cs="宋体"/>
                <w:color w:val="000000" w:themeColor="text1"/>
                <w:kern w:val="0"/>
                <w:sz w:val="24"/>
                <w:u w:val="none"/>
                <w14:textFill>
                  <w14:solidFill>
                    <w14:schemeClr w14:val="tx1"/>
                  </w14:solidFill>
                </w14:textFill>
              </w:rPr>
              <w:t>女士</w:t>
            </w:r>
          </w:p>
          <w:p>
            <w:pPr>
              <w:spacing w:line="360" w:lineRule="auto"/>
              <w:rPr>
                <w:rFonts w:hint="eastAsia" w:ascii="宋体" w:hAnsi="宋体" w:cs="宋体"/>
                <w:color w:val="000000" w:themeColor="text1"/>
                <w:kern w:val="0"/>
                <w:sz w:val="24"/>
                <w:u w:val="none"/>
                <w:lang w:val="en-US" w:eastAsia="zh-CN"/>
                <w14:textFill>
                  <w14:solidFill>
                    <w14:schemeClr w14:val="tx1"/>
                  </w14:solidFill>
                </w14:textFill>
              </w:rPr>
            </w:pPr>
            <w:r>
              <w:rPr>
                <w:rFonts w:hint="eastAsia" w:ascii="宋体" w:hAnsi="宋体" w:cs="宋体"/>
                <w:color w:val="000000" w:themeColor="text1"/>
                <w:kern w:val="0"/>
                <w:sz w:val="24"/>
                <w:u w:val="none"/>
                <w14:textFill>
                  <w14:solidFill>
                    <w14:schemeClr w14:val="tx1"/>
                  </w14:solidFill>
                </w14:textFill>
              </w:rPr>
              <w:t>电      话：0755-881052</w:t>
            </w:r>
            <w:r>
              <w:rPr>
                <w:rFonts w:hint="eastAsia" w:ascii="宋体" w:hAnsi="宋体" w:cs="宋体"/>
                <w:color w:val="000000" w:themeColor="text1"/>
                <w:kern w:val="0"/>
                <w:sz w:val="24"/>
                <w:u w:val="none"/>
                <w:lang w:val="en-US" w:eastAsia="zh-CN"/>
                <w14:textFill>
                  <w14:solidFill>
                    <w14:schemeClr w14:val="tx1"/>
                  </w14:solidFill>
                </w14:textFill>
              </w:rPr>
              <w:t>48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采购代理机构信息：</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      称： 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 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 凌女士、伍先生</w:t>
            </w:r>
          </w:p>
          <w:p>
            <w:pPr>
              <w:spacing w:line="360" w:lineRule="auto"/>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 0755-82078919、82077364转1</w:t>
            </w:r>
            <w:r>
              <w:rPr>
                <w:rFonts w:hint="eastAsia" w:ascii="宋体" w:hAnsi="宋体" w:cs="宋体"/>
                <w:color w:val="000000" w:themeColor="text1"/>
                <w:kern w:val="0"/>
                <w:sz w:val="24"/>
                <w:lang w:val="en-US" w:eastAsia="zh-CN"/>
                <w14:textFill>
                  <w14:solidFill>
                    <w14:schemeClr w14:val="tx1"/>
                  </w14:solidFill>
                </w14:textFill>
              </w:rPr>
              <w:t>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传      真： 0755-82077519、82078847 </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21</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3" w:name="_Toc10214"/>
      <w:r>
        <w:rPr>
          <w:rFonts w:hint="eastAsia" w:ascii="宋体" w:hAnsi="宋体" w:cs="宋体"/>
          <w:b/>
          <w:bCs/>
          <w:color w:val="000000" w:themeColor="text1"/>
          <w:sz w:val="24"/>
          <w14:textFill>
            <w14:solidFill>
              <w14:schemeClr w14:val="tx1"/>
            </w14:solidFill>
          </w14:textFill>
        </w:rPr>
        <w:t>投标须知</w:t>
      </w:r>
      <w:bookmarkEnd w:id="3"/>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w:t>
      </w:r>
      <w:r>
        <w:rPr>
          <w:rFonts w:hint="eastAsia" w:ascii="宋体" w:hAnsi="宋体" w:cs="宋体"/>
          <w:color w:val="000000" w:themeColor="text1"/>
          <w:sz w:val="24"/>
          <w:lang w:eastAsia="zh-CN"/>
          <w14:textFill>
            <w14:solidFill>
              <w14:schemeClr w14:val="tx1"/>
            </w14:solidFill>
          </w14:textFill>
        </w:rPr>
        <w:t>2024年前海合作区外资数据统计分析服务项目</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2、本项目不属于《深圳市2023—2024年政府集中采购目录及限额标准》规定应集中采购项目，根据《中华人民共和国政府采购法》、《深圳经济特区</w:t>
      </w:r>
      <w:r>
        <w:rPr>
          <w:rFonts w:hint="eastAsia" w:ascii="宋体" w:hAnsi="宋体" w:cs="宋体"/>
          <w:color w:val="000000" w:themeColor="text1"/>
          <w:sz w:val="24"/>
          <w:lang w:val="en-US" w:eastAsia="zh-CN"/>
          <w14:textFill>
            <w14:solidFill>
              <w14:schemeClr w14:val="tx1"/>
            </w14:solidFill>
          </w14:textFill>
        </w:rPr>
        <w:t>政府</w:t>
      </w:r>
      <w:r>
        <w:rPr>
          <w:rFonts w:hint="eastAsia" w:ascii="宋体" w:hAnsi="宋体" w:cs="宋体"/>
          <w:color w:val="000000" w:themeColor="text1"/>
          <w:sz w:val="24"/>
          <w14:textFill>
            <w14:solidFill>
              <w14:schemeClr w14:val="tx1"/>
            </w14:solidFill>
          </w14:textFill>
        </w:rPr>
        <w:t>采购条例》的有关规定，中国远东国际招标有限公司受深圳市前海深港现代服务业合作区管理局委托组织采购</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本次采购公开征集供应商，报名且符合招标文件初审的供应商满足3家或3家以上的，采用综合评分法的方式进行。报名且符合招标文件初审的供应商不足3家而致招标失败的，按以下流程执行：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b.如参与投标且符合招标文件要求的供应商仅有1家，评审委员会应与投标供应商进行谈判，原则上成交价应为最初报价的95%。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5套（1套正本，4套副本，1份电子文档）</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pStyle w:val="18"/>
        <w:snapToGrid w:val="0"/>
        <w:spacing w:line="360" w:lineRule="auto"/>
        <w:ind w:firstLine="480"/>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color w:val="000000" w:themeColor="text1"/>
          <w:sz w:val="24"/>
          <w:szCs w:val="24"/>
          <w14:textFill>
            <w14:solidFill>
              <w14:schemeClr w14:val="tx1"/>
            </w14:solidFill>
          </w14:textFill>
        </w:rPr>
        <w:t>第一</w:t>
      </w:r>
      <w:r>
        <w:rPr>
          <w:rFonts w:hint="eastAsia" w:ascii="宋体" w:hAnsi="宋体" w:cs="宋体"/>
          <w:color w:val="000000" w:themeColor="text1"/>
          <w:kern w:val="2"/>
          <w:sz w:val="24"/>
          <w:szCs w:val="24"/>
          <w14:textFill>
            <w14:solidFill>
              <w14:schemeClr w14:val="tx1"/>
            </w14:solidFill>
          </w14:textFill>
        </w:rPr>
        <w:t>中标候选人。</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（2）原则上成交价应为最初报价的95%。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numPr>
          <w:ilvl w:val="0"/>
          <w:numId w:val="5"/>
        </w:numPr>
        <w:adjustRightInd w:val="0"/>
        <w:snapToGrid w:val="0"/>
        <w:spacing w:line="360" w:lineRule="auto"/>
        <w:ind w:right="26"/>
        <w:jc w:val="left"/>
        <w:rPr>
          <w:rFonts w:hint="eastAsia"/>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13"/>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noWrap w:val="0"/>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noWrap w:val="0"/>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noWrap w:val="0"/>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noWrap w:val="0"/>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noWrap w:val="0"/>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noWrap w:val="0"/>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银行帐号：11013651025501</w:t>
      </w:r>
    </w:p>
    <w:p>
      <w:pPr>
        <w:spacing w:line="360" w:lineRule="auto"/>
        <w:rPr>
          <w:rFonts w:hint="eastAsia" w:ascii="宋体" w:hAnsi="宋体" w:cs="宋体"/>
          <w:b/>
          <w:bCs/>
          <w:color w:val="000000" w:themeColor="text1"/>
          <w:sz w:val="24"/>
          <w14:textFill>
            <w14:solidFill>
              <w14:schemeClr w14:val="tx1"/>
            </w14:solidFill>
          </w14:textFill>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开户银行：平安银行深圳中电支行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4" w:name="_Toc20176"/>
      <w:r>
        <w:rPr>
          <w:rFonts w:hint="eastAsia" w:ascii="宋体" w:hAnsi="宋体" w:cs="宋体"/>
          <w:b/>
          <w:bCs/>
          <w:color w:val="000000" w:themeColor="text1"/>
          <w:sz w:val="24"/>
          <w14:textFill>
            <w14:solidFill>
              <w14:schemeClr w14:val="tx1"/>
            </w14:solidFill>
          </w14:textFill>
        </w:rPr>
        <w:t>评标程序</w:t>
      </w:r>
      <w:bookmarkEnd w:id="4"/>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28</w:t>
      </w:r>
      <w:r>
        <w:rPr>
          <w:rFonts w:hint="eastAsia" w:ascii="宋体" w:hAnsi="宋体" w:cs="宋体"/>
          <w:color w:val="000000" w:themeColor="text1"/>
          <w:sz w:val="24"/>
          <w14:textFill>
            <w14:solidFill>
              <w14:schemeClr w14:val="tx1"/>
            </w14:solidFill>
          </w14:textFill>
        </w:rPr>
        <w:t>日下午14:30时（北京时间）。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28</w:t>
      </w:r>
      <w:r>
        <w:rPr>
          <w:rFonts w:hint="eastAsia" w:ascii="宋体" w:hAnsi="宋体" w:cs="宋体"/>
          <w:color w:val="000000" w:themeColor="text1"/>
          <w:sz w:val="24"/>
          <w14:textFill>
            <w14:solidFill>
              <w14:schemeClr w14:val="tx1"/>
            </w14:solidFill>
          </w14:textFill>
        </w:rPr>
        <w:t>日下午14:30时（北京时间）由会议主持人宣布定标会议开始。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w:t>
      </w:r>
      <w:r>
        <w:rPr>
          <w:rFonts w:hint="eastAsia" w:ascii="宋体" w:hAnsi="宋体" w:cs="宋体"/>
          <w:color w:val="000000" w:themeColor="text1"/>
          <w:sz w:val="24"/>
          <w:lang w:val="en-US" w:eastAsia="zh-CN"/>
          <w14:textFill>
            <w14:solidFill>
              <w14:schemeClr w14:val="tx1"/>
            </w14:solidFill>
          </w14:textFill>
        </w:rPr>
        <w:t>有</w:t>
      </w:r>
      <w:r>
        <w:rPr>
          <w:rFonts w:hint="eastAsia" w:ascii="宋体" w:hAnsi="宋体" w:cs="宋体"/>
          <w:color w:val="000000" w:themeColor="text1"/>
          <w:sz w:val="24"/>
          <w14:textFill>
            <w14:solidFill>
              <w14:schemeClr w14:val="tx1"/>
            </w14:solidFill>
          </w14:textFill>
        </w:rPr>
        <w:t>）确认投标文件密封完整，未密封投标文件将作为投标无效处理。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numPr>
          <w:ilvl w:val="0"/>
          <w:numId w:val="6"/>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原则上成交价应为最初报价的95%。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十、根据本次采购的结果，10个工作日内与中标供应商签订合同。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3"/>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5" w:name="_Toc3567"/>
      <w:r>
        <w:rPr>
          <w:rFonts w:hint="eastAsia" w:ascii="宋体" w:hAnsi="宋体" w:cs="宋体"/>
          <w:b/>
          <w:bCs/>
          <w:color w:val="000000" w:themeColor="text1"/>
          <w:sz w:val="24"/>
          <w14:textFill>
            <w14:solidFill>
              <w14:schemeClr w14:val="tx1"/>
            </w14:solidFill>
          </w14:textFill>
        </w:rPr>
        <w:t>合同格式及合同条款</w:t>
      </w:r>
      <w:bookmarkEnd w:id="5"/>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6" w:name="_Toc84303603"/>
      <w:bookmarkStart w:id="7" w:name="_Toc73521680"/>
      <w:bookmarkStart w:id="8" w:name="_Toc73517685"/>
      <w:bookmarkStart w:id="9" w:name="_Toc73518163"/>
      <w:bookmarkStart w:id="10" w:name="_Toc101074886"/>
      <w:bookmarkStart w:id="11" w:name="_Toc100052414"/>
      <w:bookmarkStart w:id="12" w:name="_Toc73521592"/>
    </w:p>
    <w:bookmarkEnd w:id="6"/>
    <w:bookmarkEnd w:id="7"/>
    <w:bookmarkEnd w:id="8"/>
    <w:bookmarkEnd w:id="9"/>
    <w:bookmarkEnd w:id="10"/>
    <w:bookmarkEnd w:id="11"/>
    <w:bookmarkEnd w:id="12"/>
    <w:p>
      <w:pPr>
        <w:pStyle w:val="18"/>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18"/>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18"/>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18"/>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18"/>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2024年前海合作区外资数据统计分析服务项目</w:t>
      </w:r>
    </w:p>
    <w:p>
      <w:pPr>
        <w:spacing w:line="36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18"/>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18"/>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eastAsia="zh-CN"/>
          <w14:textFill>
            <w14:solidFill>
              <w14:schemeClr w14:val="tx1"/>
            </w14:solidFill>
          </w14:textFill>
        </w:rPr>
        <w:t>2024年前海合作区外资数据统计分析服务项目</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项目类型：</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w:t>
      </w:r>
      <w:r>
        <w:rPr>
          <w:rFonts w:hint="eastAsia" w:ascii="宋体" w:hAnsi="宋体" w:cs="宋体"/>
          <w:color w:val="000000" w:themeColor="text1"/>
          <w:sz w:val="24"/>
          <w:lang w:eastAsia="zh-CN"/>
          <w14:textFill>
            <w14:solidFill>
              <w14:schemeClr w14:val="tx1"/>
            </w14:solidFill>
          </w14:textFill>
        </w:rPr>
        <w:t>四</w:t>
      </w:r>
      <w:r>
        <w:rPr>
          <w:rFonts w:hint="eastAsia" w:ascii="宋体" w:hAnsi="宋体" w:cs="宋体"/>
          <w:color w:val="000000" w:themeColor="text1"/>
          <w:sz w:val="24"/>
          <w14:textFill>
            <w14:solidFill>
              <w14:schemeClr w14:val="tx1"/>
            </w14:solidFill>
          </w14:textFill>
        </w:rPr>
        <w:t>年  月</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本合同共    页（不含封面）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甲方： </w:t>
      </w:r>
      <w:r>
        <w:rPr>
          <w:rFonts w:hint="eastAsia" w:ascii="宋体" w:hAnsi="宋体" w:cs="宋体"/>
          <w:color w:val="000000" w:themeColor="text1"/>
          <w:sz w:val="24"/>
          <w:u w:val="single"/>
          <w14:textFill>
            <w14:solidFill>
              <w14:schemeClr w14:val="tx1"/>
            </w14:solidFill>
          </w14:textFill>
        </w:rPr>
        <w:t>深圳市前海深港现代服务业合作区管理局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地址： </w:t>
      </w:r>
      <w:r>
        <w:rPr>
          <w:rFonts w:hint="eastAsia" w:ascii="宋体" w:hAnsi="宋体" w:cs="宋体"/>
          <w:color w:val="000000" w:themeColor="text1"/>
          <w:sz w:val="24"/>
          <w:u w:val="single"/>
          <w14:textFill>
            <w14:solidFill>
              <w14:schemeClr w14:val="tx1"/>
            </w14:solidFill>
          </w14:textFill>
        </w:rPr>
        <w:t>深圳市前海深港合作区</w:t>
      </w:r>
      <w:r>
        <w:rPr>
          <w:rFonts w:ascii="宋体" w:hAnsi="宋体" w:cs="宋体"/>
          <w:color w:val="000000" w:themeColor="text1"/>
          <w:sz w:val="24"/>
          <w:u w:val="single"/>
          <w14:textFill>
            <w14:solidFill>
              <w14:schemeClr w14:val="tx1"/>
            </w14:solidFill>
          </w14:textFill>
        </w:rPr>
        <w:t>桂湾五路123号前海大厦T1栋前海管理局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法定代表人： </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地址：</w:t>
      </w:r>
    </w:p>
    <w:p>
      <w:pPr>
        <w:spacing w:line="360" w:lineRule="auto"/>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法定代表人：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以下甲方和乙方合称“双</w:t>
      </w:r>
      <w:bookmarkStart w:id="29" w:name="_GoBack"/>
      <w:bookmarkEnd w:id="29"/>
      <w:r>
        <w:rPr>
          <w:rFonts w:hint="eastAsia" w:ascii="宋体" w:hAnsi="宋体" w:cs="宋体"/>
          <w:color w:val="000000" w:themeColor="text1"/>
          <w:sz w:val="24"/>
          <w14:textFill>
            <w14:solidFill>
              <w14:schemeClr w14:val="tx1"/>
            </w14:solidFill>
          </w14:textFill>
        </w:rPr>
        <w:t>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根据《中华人民共和国民法典》等法律、法规的相关规定和编号为【</w:t>
      </w:r>
      <w:r>
        <w:rPr>
          <w:rFonts w:hint="eastAsia" w:ascii="宋体" w:hAnsi="宋体" w:cs="宋体"/>
          <w:color w:val="000000" w:themeColor="text1"/>
          <w:sz w:val="24"/>
          <w:lang w:val="en-US" w:eastAsia="zh-CN"/>
          <w14:textFill>
            <w14:solidFill>
              <w14:schemeClr w14:val="tx1"/>
            </w14:solidFill>
          </w14:textFill>
        </w:rPr>
        <w:t>QH2024003</w:t>
      </w:r>
      <w:r>
        <w:rPr>
          <w:rFonts w:hint="eastAsia" w:ascii="宋体" w:hAnsi="宋体" w:cs="宋体"/>
          <w:color w:val="000000" w:themeColor="text1"/>
          <w:sz w:val="24"/>
          <w14:textFill>
            <w14:solidFill>
              <w14:schemeClr w14:val="tx1"/>
            </w14:solidFill>
          </w14:textFill>
        </w:rPr>
        <w:t>】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cs="宋体"/>
          <w:b/>
          <w:bCs/>
          <w:color w:val="000000" w:themeColor="text1"/>
          <w:sz w:val="24"/>
          <w:u w:val="single"/>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共同承担</w:t>
      </w:r>
      <w:r>
        <w:rPr>
          <w:rFonts w:hint="eastAsia" w:ascii="宋体" w:hAnsi="宋体" w:cs="宋体"/>
          <w:b/>
          <w:bCs/>
          <w:color w:val="000000" w:themeColor="text1"/>
          <w:kern w:val="0"/>
          <w:sz w:val="24"/>
          <w:u w:val="single"/>
          <w14:textFill>
            <w14:solidFill>
              <w14:schemeClr w14:val="tx1"/>
            </w14:solidFill>
          </w14:textFill>
        </w:rPr>
        <w:t xml:space="preserve"> </w:t>
      </w:r>
      <w:r>
        <w:rPr>
          <w:rFonts w:hint="eastAsia" w:ascii="宋体" w:hAnsi="宋体" w:cs="宋体"/>
          <w:b w:val="0"/>
          <w:bCs w:val="0"/>
          <w:color w:val="000000" w:themeColor="text1"/>
          <w:kern w:val="0"/>
          <w:sz w:val="24"/>
          <w:u w:val="single"/>
          <w:lang w:eastAsia="zh-CN"/>
          <w14:textFill>
            <w14:solidFill>
              <w14:schemeClr w14:val="tx1"/>
            </w14:solidFill>
          </w14:textFill>
        </w:rPr>
        <w:t>2024年前海合作区外资数据统计分析服务项目</w:t>
      </w:r>
      <w:r>
        <w:rPr>
          <w:rFonts w:hint="eastAsia" w:ascii="宋体" w:hAnsi="宋体" w:cs="宋体"/>
          <w:b/>
          <w:bCs/>
          <w:color w:val="000000" w:themeColor="text1"/>
          <w:kern w:val="0"/>
          <w:sz w:val="24"/>
          <w:u w:val="single"/>
          <w14:textFill>
            <w14:solidFill>
              <w14:schemeClr w14:val="tx1"/>
            </w14:solidFill>
          </w14:textFill>
        </w:rPr>
        <w:t>（以下简称本项目）</w:t>
      </w:r>
      <w:r>
        <w:rPr>
          <w:rFonts w:hint="eastAsia" w:ascii="宋体" w:hAnsi="宋体" w:cs="宋体"/>
          <w:color w:val="000000" w:themeColor="text1"/>
          <w:sz w:val="24"/>
          <w14:textFill>
            <w14:solidFill>
              <w14:schemeClr w14:val="tx1"/>
            </w14:solidFill>
          </w14:textFill>
        </w:rPr>
        <w:t>，达成以下合同条款：</w:t>
      </w:r>
    </w:p>
    <w:p>
      <w:pPr>
        <w:pageBreakBefore w:val="0"/>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highlight w:val="none"/>
          <w:shd w:val="clear" w:color="auto" w:fill="auto"/>
          <w14:textFill>
            <w14:solidFill>
              <w14:schemeClr w14:val="tx1"/>
            </w14:solidFill>
          </w14:textFill>
        </w:rPr>
        <w:t>第一条 项目内容</w:t>
      </w:r>
    </w:p>
    <w:p>
      <w:pPr>
        <w:pageBreakBefore w:val="0"/>
        <w:kinsoku/>
        <w:overflowPunct/>
        <w:topLinePunct w:val="0"/>
        <w:bidi w:val="0"/>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w:t>
      </w:r>
      <w:r>
        <w:rPr>
          <w:rFonts w:hint="eastAsia" w:ascii="宋体" w:hAnsi="宋体" w:eastAsia="宋体" w:cs="宋体"/>
          <w:color w:val="000000" w:themeColor="text1"/>
          <w:sz w:val="24"/>
          <w14:textFill>
            <w14:solidFill>
              <w14:schemeClr w14:val="tx1"/>
            </w14:solidFill>
          </w14:textFill>
        </w:rPr>
        <w:t>目名称：</w:t>
      </w:r>
      <w:r>
        <w:rPr>
          <w:rFonts w:hint="eastAsia" w:ascii="宋体" w:hAnsi="宋体" w:cs="宋体"/>
          <w:b w:val="0"/>
          <w:bCs w:val="0"/>
          <w:color w:val="000000" w:themeColor="text1"/>
          <w:sz w:val="24"/>
          <w:szCs w:val="24"/>
          <w:lang w:val="zh-CN"/>
          <w14:textFill>
            <w14:solidFill>
              <w14:schemeClr w14:val="tx1"/>
            </w14:solidFill>
          </w14:textFill>
        </w:rPr>
        <w:t>2024年前海合作区外资数据统计分析服务项目</w:t>
      </w:r>
    </w:p>
    <w:p>
      <w:pPr>
        <w:pageBreakBefore w:val="0"/>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1.项目</w:t>
      </w:r>
      <w:r>
        <w:rPr>
          <w:rFonts w:hint="eastAsia" w:ascii="宋体" w:hAnsi="宋体" w:cs="宋体"/>
          <w:b/>
          <w:bCs/>
          <w:color w:val="000000" w:themeColor="text1"/>
          <w:sz w:val="24"/>
          <w14:textFill>
            <w14:solidFill>
              <w14:schemeClr w14:val="tx1"/>
            </w14:solidFill>
          </w14:textFill>
        </w:rPr>
        <w:t>内容</w:t>
      </w:r>
    </w:p>
    <w:p>
      <w:pPr>
        <w:pStyle w:val="11"/>
        <w:spacing w:before="0" w:beforeAutospacing="0" w:after="0" w:afterAutospacing="0" w:line="360" w:lineRule="auto"/>
        <w:ind w:firstLine="482" w:firstLineChars="20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
          <w:bCs/>
          <w:color w:val="000000" w:themeColor="text1"/>
          <w:sz w:val="24"/>
          <w:szCs w:val="24"/>
          <w:highlight w:val="none"/>
          <w:lang w:val="en-US"/>
          <w14:textFill>
            <w14:solidFill>
              <w14:schemeClr w14:val="tx1"/>
            </w14:solidFill>
          </w14:textFill>
        </w:rPr>
        <w:t>协助建立</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外资、港资企业</w:t>
      </w:r>
      <w:r>
        <w:rPr>
          <w:rFonts w:hint="eastAsia" w:ascii="宋体" w:hAnsi="宋体" w:eastAsia="宋体" w:cs="宋体"/>
          <w:b/>
          <w:bCs/>
          <w:color w:val="000000" w:themeColor="text1"/>
          <w:sz w:val="24"/>
          <w:szCs w:val="24"/>
          <w:highlight w:val="none"/>
          <w14:textFill>
            <w14:solidFill>
              <w14:schemeClr w14:val="tx1"/>
            </w14:solidFill>
          </w14:textFill>
        </w:rPr>
        <w:t>名录库</w:t>
      </w:r>
    </w:p>
    <w:p>
      <w:pPr>
        <w:spacing w:line="360" w:lineRule="auto"/>
        <w:ind w:firstLine="480" w:firstLineChars="200"/>
        <w:rPr>
          <w:rFonts w:hint="eastAsia" w:ascii="宋体" w:hAnsi="宋体" w:eastAsia="宋体" w:cs="宋体"/>
          <w:color w:val="000000" w:themeColor="text1"/>
          <w:kern w:val="2"/>
          <w:sz w:val="24"/>
          <w:szCs w:val="24"/>
          <w:highlight w:val="none"/>
          <w:lang w:val="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（1）协助采集</w:t>
      </w:r>
      <w:r>
        <w:rPr>
          <w:rFonts w:hint="eastAsia" w:ascii="宋体" w:hAnsi="宋体" w:eastAsia="宋体" w:cs="宋体"/>
          <w:color w:val="000000" w:themeColor="text1"/>
          <w:kern w:val="2"/>
          <w:sz w:val="24"/>
          <w:szCs w:val="24"/>
          <w:highlight w:val="none"/>
          <w:lang w:val="zh-CN"/>
          <w14:textFill>
            <w14:solidFill>
              <w14:schemeClr w14:val="tx1"/>
            </w14:solidFill>
          </w14:textFill>
        </w:rPr>
        <w:t>外资企业数据，按月向市商务局、南山区工信局、宝安区工信局等获取前海最新的外资、港资企业名单</w:t>
      </w: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，及时核对校验。</w:t>
      </w:r>
    </w:p>
    <w:p>
      <w:pPr>
        <w:spacing w:line="360" w:lineRule="auto"/>
        <w:ind w:firstLine="480" w:firstLineChars="200"/>
        <w:rPr>
          <w:rFonts w:hint="eastAsia" w:ascii="宋体" w:hAnsi="宋体" w:eastAsia="宋体" w:cs="宋体"/>
          <w:color w:val="000000" w:themeColor="text1"/>
          <w:kern w:val="2"/>
          <w:sz w:val="24"/>
          <w:szCs w:val="24"/>
          <w:lang w:val="zh-CN"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（2）协助</w:t>
      </w:r>
      <w:r>
        <w:rPr>
          <w:rFonts w:hint="eastAsia" w:ascii="宋体" w:hAnsi="宋体" w:eastAsia="宋体" w:cs="宋体"/>
          <w:color w:val="000000" w:themeColor="text1"/>
          <w:kern w:val="2"/>
          <w:sz w:val="24"/>
          <w:szCs w:val="24"/>
          <w:highlight w:val="none"/>
          <w:lang w:val="zh-CN"/>
          <w14:textFill>
            <w14:solidFill>
              <w14:schemeClr w14:val="tx1"/>
            </w14:solidFill>
          </w14:textFill>
        </w:rPr>
        <w:t>完善前海的外资、港资企业名录库</w:t>
      </w:r>
      <w:r>
        <w:rPr>
          <w:rFonts w:hint="eastAsia" w:ascii="宋体" w:hAnsi="宋体" w:eastAsia="宋体" w:cs="宋体"/>
          <w:color w:val="000000" w:themeColor="text1"/>
          <w:kern w:val="2"/>
          <w:sz w:val="24"/>
          <w:szCs w:val="24"/>
          <w:lang w:val="zh-CN" w:eastAsia="zh-CN"/>
          <w14:textFill>
            <w14:solidFill>
              <w14:schemeClr w14:val="tx1"/>
            </w14:solidFill>
          </w14:textFill>
        </w:rPr>
        <w:t>。</w:t>
      </w:r>
    </w:p>
    <w:p>
      <w:pPr>
        <w:pStyle w:val="11"/>
        <w:spacing w:before="0" w:beforeAutospacing="0" w:after="0" w:afterAutospacing="0" w:line="360" w:lineRule="auto"/>
        <w:ind w:firstLine="482" w:firstLineChars="200"/>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szCs w:val="24"/>
          <w:highlight w:val="none"/>
          <w:lang w:val="en-US"/>
          <w14:textFill>
            <w14:solidFill>
              <w14:schemeClr w14:val="tx1"/>
            </w14:solidFill>
          </w14:textFill>
        </w:rPr>
        <w:t>统计</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信息</w:t>
      </w:r>
      <w:r>
        <w:rPr>
          <w:rFonts w:hint="eastAsia" w:ascii="宋体" w:hAnsi="宋体" w:eastAsia="宋体" w:cs="宋体"/>
          <w:b/>
          <w:bCs/>
          <w:color w:val="000000" w:themeColor="text1"/>
          <w:sz w:val="24"/>
          <w:szCs w:val="24"/>
          <w:highlight w:val="none"/>
          <w:lang w:val="en-US"/>
          <w14:textFill>
            <w14:solidFill>
              <w14:schemeClr w14:val="tx1"/>
            </w14:solidFill>
          </w14:textFill>
        </w:rPr>
        <w:t>汇总</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、上报</w:t>
      </w:r>
      <w:r>
        <w:rPr>
          <w:rFonts w:hint="eastAsia" w:ascii="宋体" w:hAnsi="宋体" w:eastAsia="宋体" w:cs="宋体"/>
          <w:b/>
          <w:bCs/>
          <w:color w:val="000000" w:themeColor="text1"/>
          <w:sz w:val="24"/>
          <w:szCs w:val="24"/>
          <w:highlight w:val="none"/>
          <w:lang w:val="en-US"/>
          <w14:textFill>
            <w14:solidFill>
              <w14:schemeClr w14:val="tx1"/>
            </w14:solidFill>
          </w14:textFill>
        </w:rPr>
        <w:t>等有关工作</w:t>
      </w:r>
    </w:p>
    <w:p>
      <w:pPr>
        <w:pageBreakBefore w:val="0"/>
        <w:widowControl/>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）企业到资凭证的催缴和</w:t>
      </w:r>
      <w:r>
        <w:rPr>
          <w:rFonts w:hint="eastAsia" w:ascii="宋体" w:hAnsi="宋体" w:eastAsia="宋体" w:cs="宋体"/>
          <w:color w:val="000000" w:themeColor="text1"/>
          <w:sz w:val="24"/>
          <w:szCs w:val="24"/>
          <w:highlight w:val="none"/>
          <w:lang w:val="zh-CN" w:eastAsia="zh-CN"/>
          <w14:textFill>
            <w14:solidFill>
              <w14:schemeClr w14:val="tx1"/>
            </w14:solidFill>
          </w14:textFill>
        </w:rPr>
        <w:t>信息管理</w:t>
      </w:r>
    </w:p>
    <w:p>
      <w:pPr>
        <w:pageBreakBefore w:val="0"/>
        <w:widowControl/>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配合</w:t>
      </w:r>
      <w:r>
        <w:rPr>
          <w:rFonts w:hint="eastAsia" w:ascii="宋体" w:hAnsi="宋体" w:eastAsia="宋体" w:cs="宋体"/>
          <w:color w:val="000000" w:themeColor="text1"/>
          <w:sz w:val="24"/>
          <w:szCs w:val="24"/>
          <w:highlight w:val="none"/>
          <w:lang w:val="zh-CN"/>
          <w14:textFill>
            <w14:solidFill>
              <w14:schemeClr w14:val="tx1"/>
            </w14:solidFill>
          </w14:textFill>
        </w:rPr>
        <w:t>按月向市商务局或市外汇管理局获取企业到资信息，</w:t>
      </w:r>
      <w:r>
        <w:rPr>
          <w:rFonts w:hint="eastAsia" w:ascii="宋体" w:hAnsi="宋体" w:cs="宋体"/>
          <w:color w:val="000000" w:themeColor="text1"/>
          <w:sz w:val="24"/>
          <w:szCs w:val="24"/>
          <w:highlight w:val="none"/>
          <w:lang w:val="zh-CN"/>
          <w14:textFill>
            <w14:solidFill>
              <w14:schemeClr w14:val="tx1"/>
            </w14:solidFill>
          </w14:textFill>
        </w:rPr>
        <w:t>协助</w:t>
      </w:r>
      <w:r>
        <w:rPr>
          <w:rFonts w:hint="eastAsia" w:ascii="宋体" w:hAnsi="宋体" w:eastAsia="宋体" w:cs="宋体"/>
          <w:color w:val="000000" w:themeColor="text1"/>
          <w:sz w:val="24"/>
          <w:szCs w:val="24"/>
          <w:highlight w:val="none"/>
          <w:lang w:val="zh-CN"/>
          <w14:textFill>
            <w14:solidFill>
              <w14:schemeClr w14:val="tx1"/>
            </w14:solidFill>
          </w14:textFill>
        </w:rPr>
        <w:t>向企业催缴到资凭证，对未提交到资凭证的企业进行多次催缴，直至企业完整且正确提交到资凭证，整理到资凭证，做好相关信息台账化管理</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p>
    <w:p>
      <w:pPr>
        <w:pageBreakBefore w:val="0"/>
        <w:widowControl/>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）实际使用外资上报</w:t>
      </w:r>
    </w:p>
    <w:p>
      <w:pPr>
        <w:spacing w:line="360" w:lineRule="auto"/>
        <w:ind w:firstLine="480" w:firstLineChars="200"/>
        <w:rPr>
          <w:rFonts w:hint="eastAsia" w:ascii="宋体" w:hAnsi="宋体" w:eastAsia="宋体" w:cs="宋体"/>
          <w:color w:val="000000" w:themeColor="text1"/>
          <w:kern w:val="2"/>
          <w:sz w:val="24"/>
          <w:szCs w:val="24"/>
          <w:lang w:val="zh-CN"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协助</w:t>
      </w:r>
      <w:r>
        <w:rPr>
          <w:rFonts w:hint="eastAsia" w:ascii="宋体" w:hAnsi="宋体" w:eastAsia="宋体" w:cs="宋体"/>
          <w:color w:val="000000" w:themeColor="text1"/>
          <w:sz w:val="24"/>
          <w:szCs w:val="24"/>
          <w:highlight w:val="none"/>
          <w:lang w:val="zh-CN"/>
          <w14:textFill>
            <w14:solidFill>
              <w14:schemeClr w14:val="tx1"/>
            </w14:solidFill>
          </w14:textFill>
        </w:rPr>
        <w:t>获取全市及市内各区实际使用外资趋势，</w:t>
      </w:r>
      <w:r>
        <w:rPr>
          <w:rFonts w:hint="eastAsia" w:ascii="宋体" w:hAnsi="宋体" w:cs="宋体"/>
          <w:color w:val="000000" w:themeColor="text1"/>
          <w:sz w:val="24"/>
          <w:szCs w:val="24"/>
          <w:highlight w:val="none"/>
          <w:lang w:val="zh-CN"/>
          <w14:textFill>
            <w14:solidFill>
              <w14:schemeClr w14:val="tx1"/>
            </w14:solidFill>
          </w14:textFill>
        </w:rPr>
        <w:t>配合</w:t>
      </w:r>
      <w:r>
        <w:rPr>
          <w:rFonts w:hint="eastAsia" w:ascii="宋体" w:hAnsi="宋体" w:eastAsia="宋体" w:cs="宋体"/>
          <w:color w:val="000000" w:themeColor="text1"/>
          <w:sz w:val="24"/>
          <w:szCs w:val="24"/>
          <w:highlight w:val="none"/>
          <w:lang w:val="zh-CN"/>
          <w14:textFill>
            <w14:solidFill>
              <w14:schemeClr w14:val="tx1"/>
            </w14:solidFill>
          </w14:textFill>
        </w:rPr>
        <w:t>按月度在规定时间内录入上报当月数据，</w:t>
      </w:r>
      <w:r>
        <w:rPr>
          <w:rFonts w:hint="eastAsia" w:ascii="宋体" w:hAnsi="宋体" w:cs="宋体"/>
          <w:color w:val="000000" w:themeColor="text1"/>
          <w:sz w:val="24"/>
          <w:szCs w:val="24"/>
          <w:highlight w:val="none"/>
          <w:lang w:val="zh-CN"/>
          <w14:textFill>
            <w14:solidFill>
              <w14:schemeClr w14:val="tx1"/>
            </w14:solidFill>
          </w14:textFill>
        </w:rPr>
        <w:t>配合</w:t>
      </w:r>
      <w:r>
        <w:rPr>
          <w:rFonts w:hint="eastAsia" w:ascii="宋体" w:hAnsi="宋体" w:eastAsia="宋体" w:cs="宋体"/>
          <w:color w:val="000000" w:themeColor="text1"/>
          <w:sz w:val="24"/>
          <w:szCs w:val="24"/>
          <w:highlight w:val="none"/>
          <w:lang w:val="zh-CN"/>
          <w14:textFill>
            <w14:solidFill>
              <w14:schemeClr w14:val="tx1"/>
            </w14:solidFill>
          </w14:textFill>
        </w:rPr>
        <w:t>与上级部门对接好实际使用外资相关工作，确保应统尽统，在完成数据上报后整理更新初步实际使用数据简报</w:t>
      </w:r>
      <w:r>
        <w:rPr>
          <w:rFonts w:hint="eastAsia" w:ascii="宋体" w:hAnsi="宋体" w:eastAsia="宋体" w:cs="宋体"/>
          <w:color w:val="000000" w:themeColor="text1"/>
          <w:kern w:val="2"/>
          <w:sz w:val="24"/>
          <w:szCs w:val="24"/>
          <w:lang w:val="zh-CN" w:eastAsia="zh-CN"/>
          <w14:textFill>
            <w14:solidFill>
              <w14:schemeClr w14:val="tx1"/>
            </w14:solidFill>
          </w14:textFill>
        </w:rPr>
        <w:t>。</w:t>
      </w:r>
    </w:p>
    <w:p>
      <w:pPr>
        <w:pStyle w:val="11"/>
        <w:widowControl/>
        <w:spacing w:beforeAutospacing="0" w:afterAutospacing="0"/>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1.3.</w:t>
      </w:r>
      <w:r>
        <w:rPr>
          <w:rFonts w:hint="eastAsia" w:ascii="宋体" w:hAnsi="宋体" w:eastAsia="宋体" w:cs="宋体"/>
          <w:b/>
          <w:bCs/>
          <w:color w:val="000000" w:themeColor="text1"/>
          <w:sz w:val="24"/>
          <w:szCs w:val="24"/>
          <w:highlight w:val="none"/>
          <w14:textFill>
            <w14:solidFill>
              <w14:schemeClr w14:val="tx1"/>
            </w14:solidFill>
          </w14:textFill>
        </w:rPr>
        <w:t>统计</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分析外资</w:t>
      </w:r>
      <w:r>
        <w:rPr>
          <w:rFonts w:hint="eastAsia" w:ascii="宋体" w:hAnsi="宋体" w:eastAsia="宋体" w:cs="宋体"/>
          <w:b/>
          <w:bCs/>
          <w:color w:val="000000" w:themeColor="text1"/>
          <w:sz w:val="24"/>
          <w:szCs w:val="24"/>
          <w:highlight w:val="none"/>
          <w14:textFill>
            <w14:solidFill>
              <w14:schemeClr w14:val="tx1"/>
            </w14:solidFill>
          </w14:textFill>
        </w:rPr>
        <w:t>数据</w:t>
      </w:r>
      <w:r>
        <w:rPr>
          <w:rFonts w:hint="eastAsia" w:ascii="宋体" w:hAnsi="宋体" w:eastAsia="宋体" w:cs="宋体"/>
          <w:b/>
          <w:bCs/>
          <w:color w:val="000000" w:themeColor="text1"/>
          <w:sz w:val="24"/>
          <w:szCs w:val="24"/>
          <w:highlight w:val="none"/>
          <w:lang w:eastAsia="zh-CN"/>
          <w14:textFill>
            <w14:solidFill>
              <w14:schemeClr w14:val="tx1"/>
            </w14:solidFill>
          </w14:textFill>
        </w:rPr>
        <w:t>、简报报送</w:t>
      </w:r>
    </w:p>
    <w:p>
      <w:pPr>
        <w:pageBreakBefore w:val="0"/>
        <w:widowControl/>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配合</w:t>
      </w:r>
      <w:r>
        <w:rPr>
          <w:rFonts w:hint="eastAsia" w:ascii="宋体" w:hAnsi="宋体" w:eastAsia="宋体" w:cs="宋体"/>
          <w:color w:val="000000" w:themeColor="text1"/>
          <w:sz w:val="24"/>
          <w:szCs w:val="24"/>
          <w:highlight w:val="none"/>
          <w:lang w:val="zh-CN"/>
          <w14:textFill>
            <w14:solidFill>
              <w14:schemeClr w14:val="tx1"/>
            </w14:solidFill>
          </w14:textFill>
        </w:rPr>
        <w:t>获取、整理、入库、清洗外资反馈数据</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cs="宋体"/>
          <w:color w:val="000000" w:themeColor="text1"/>
          <w:sz w:val="24"/>
          <w:szCs w:val="24"/>
          <w:highlight w:val="none"/>
          <w:lang w:val="zh-CN" w:eastAsia="zh-CN"/>
          <w14:textFill>
            <w14:solidFill>
              <w14:schemeClr w14:val="tx1"/>
            </w14:solidFill>
          </w14:textFill>
        </w:rPr>
        <w:t>协助</w:t>
      </w:r>
      <w:r>
        <w:rPr>
          <w:rFonts w:hint="eastAsia" w:ascii="宋体" w:hAnsi="宋体" w:eastAsia="宋体" w:cs="宋体"/>
          <w:color w:val="000000" w:themeColor="text1"/>
          <w:sz w:val="24"/>
          <w:szCs w:val="24"/>
          <w:highlight w:val="none"/>
          <w:lang w:val="zh-CN" w:eastAsia="zh-CN"/>
          <w14:textFill>
            <w14:solidFill>
              <w14:schemeClr w14:val="tx1"/>
            </w14:solidFill>
          </w14:textFill>
        </w:rPr>
        <w:t>对接</w:t>
      </w:r>
      <w:r>
        <w:rPr>
          <w:rFonts w:hint="eastAsia" w:ascii="宋体" w:hAnsi="宋体" w:eastAsia="宋体" w:cs="宋体"/>
          <w:color w:val="000000" w:themeColor="text1"/>
          <w:sz w:val="24"/>
          <w:szCs w:val="24"/>
          <w:highlight w:val="none"/>
          <w:lang w:val="zh-CN"/>
          <w14:textFill>
            <w14:solidFill>
              <w14:schemeClr w14:val="tx1"/>
            </w14:solidFill>
          </w14:textFill>
        </w:rPr>
        <w:t>商务部月度外资</w:t>
      </w:r>
      <w:r>
        <w:rPr>
          <w:rFonts w:hint="eastAsia" w:ascii="宋体" w:hAnsi="宋体" w:eastAsia="宋体" w:cs="宋体"/>
          <w:color w:val="000000" w:themeColor="text1"/>
          <w:sz w:val="24"/>
          <w:szCs w:val="24"/>
          <w:highlight w:val="none"/>
          <w:lang w:val="zh-CN" w:eastAsia="zh-CN"/>
          <w14:textFill>
            <w14:solidFill>
              <w14:schemeClr w14:val="tx1"/>
            </w14:solidFill>
          </w14:textFill>
        </w:rPr>
        <w:t>数据反馈情况。</w:t>
      </w:r>
    </w:p>
    <w:p>
      <w:pPr>
        <w:pageBreakBefore w:val="0"/>
        <w:widowControl/>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配合</w:t>
      </w:r>
      <w:r>
        <w:rPr>
          <w:rFonts w:hint="eastAsia" w:ascii="宋体" w:hAnsi="宋体" w:eastAsia="宋体" w:cs="宋体"/>
          <w:color w:val="000000" w:themeColor="text1"/>
          <w:sz w:val="24"/>
          <w:szCs w:val="24"/>
          <w:highlight w:val="none"/>
          <w:lang w:val="zh-CN"/>
          <w14:textFill>
            <w14:solidFill>
              <w14:schemeClr w14:val="tx1"/>
            </w14:solidFill>
          </w14:textFill>
        </w:rPr>
        <w:t>按月度向市商务局、南山区工信局、宝安区工信局等获取前海企业利用外资和对外投资数据</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p>
    <w:p>
      <w:pPr>
        <w:pageBreakBefore w:val="0"/>
        <w:widowControl/>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协助</w:t>
      </w:r>
      <w:r>
        <w:rPr>
          <w:rFonts w:hint="eastAsia" w:ascii="宋体" w:hAnsi="宋体" w:eastAsia="宋体" w:cs="宋体"/>
          <w:color w:val="000000" w:themeColor="text1"/>
          <w:sz w:val="24"/>
          <w:szCs w:val="24"/>
          <w:highlight w:val="none"/>
          <w:lang w:val="zh-CN"/>
          <w14:textFill>
            <w14:solidFill>
              <w14:schemeClr w14:val="tx1"/>
            </w14:solidFill>
          </w14:textFill>
        </w:rPr>
        <w:t>更新外资月度数据简报和季度分析报告</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p>
    <w:p>
      <w:pPr>
        <w:pageBreakBefore w:val="0"/>
        <w:widowControl/>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）协助外资统计系统中统计部门划分错误、企业股东国别信息错误、合同外资金额错误等问题的处理</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p>
    <w:p>
      <w:pPr>
        <w:pStyle w:val="11"/>
        <w:widowControl/>
        <w:spacing w:beforeAutospacing="0" w:afterAutospacing="0"/>
        <w:ind w:firstLine="482" w:firstLineChars="200"/>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1.4.对接企业答疑、审核报表等工作</w:t>
      </w:r>
    </w:p>
    <w:p>
      <w:pPr>
        <w:pageBreakBefore w:val="0"/>
        <w:widowControl/>
        <w:numPr>
          <w:ilvl w:val="0"/>
          <w:numId w:val="0"/>
        </w:numPr>
        <w:pBdr>
          <w:bottom w:val="none" w:color="auto" w:sz="0" w:space="0"/>
        </w:pBd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配合</w:t>
      </w:r>
      <w:r>
        <w:rPr>
          <w:rFonts w:hint="eastAsia" w:ascii="宋体" w:hAnsi="宋体" w:eastAsia="宋体" w:cs="宋体"/>
          <w:color w:val="000000" w:themeColor="text1"/>
          <w:sz w:val="24"/>
          <w:szCs w:val="24"/>
          <w:lang w:val="zh-CN"/>
          <w14:textFill>
            <w14:solidFill>
              <w14:schemeClr w14:val="tx1"/>
            </w14:solidFill>
          </w14:textFill>
        </w:rPr>
        <w:t>商务部外资直报平台外资月度调查表、年度调查表的催报、审核。</w:t>
      </w:r>
    </w:p>
    <w:p>
      <w:pPr>
        <w:pageBreakBefore w:val="0"/>
        <w:widowControl/>
        <w:numPr>
          <w:ilvl w:val="0"/>
          <w:numId w:val="0"/>
        </w:numPr>
        <w:pBdr>
          <w:bottom w:val="none" w:color="auto" w:sz="0" w:space="0"/>
        </w:pBd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协助</w:t>
      </w:r>
      <w:r>
        <w:rPr>
          <w:rFonts w:hint="eastAsia" w:ascii="宋体" w:hAnsi="宋体" w:eastAsia="宋体" w:cs="宋体"/>
          <w:color w:val="000000" w:themeColor="text1"/>
          <w:sz w:val="24"/>
          <w:szCs w:val="24"/>
          <w:lang w:val="zh-CN"/>
          <w14:textFill>
            <w14:solidFill>
              <w14:schemeClr w14:val="tx1"/>
            </w14:solidFill>
          </w14:textFill>
        </w:rPr>
        <w:t>按月催报前海外资直报平台的企业报送月度调查报表、年度调查报表</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完成</w:t>
      </w:r>
      <w:r>
        <w:rPr>
          <w:rFonts w:hint="eastAsia" w:ascii="宋体" w:hAnsi="宋体" w:eastAsia="宋体" w:cs="宋体"/>
          <w:color w:val="000000" w:themeColor="text1"/>
          <w:sz w:val="24"/>
          <w:szCs w:val="24"/>
          <w:lang w:val="zh-CN"/>
          <w14:textFill>
            <w14:solidFill>
              <w14:schemeClr w14:val="tx1"/>
            </w14:solidFill>
          </w14:textFill>
        </w:rPr>
        <w:t>企业答疑和报表审核工作。</w:t>
      </w:r>
    </w:p>
    <w:p>
      <w:pPr>
        <w:pageBreakBefore w:val="0"/>
        <w:widowControl/>
        <w:numPr>
          <w:ilvl w:val="0"/>
          <w:numId w:val="0"/>
        </w:numPr>
        <w:pBdr>
          <w:bottom w:val="none" w:color="auto" w:sz="0" w:space="0"/>
        </w:pBd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配合</w:t>
      </w:r>
      <w:r>
        <w:rPr>
          <w:rFonts w:hint="eastAsia" w:ascii="宋体" w:hAnsi="宋体" w:eastAsia="宋体" w:cs="宋体"/>
          <w:color w:val="000000" w:themeColor="text1"/>
          <w:sz w:val="24"/>
          <w:szCs w:val="24"/>
          <w:lang w:val="en-US" w:eastAsia="zh-CN"/>
          <w14:textFill>
            <w14:solidFill>
              <w14:schemeClr w14:val="tx1"/>
            </w14:solidFill>
          </w14:textFill>
        </w:rPr>
        <w:t>完成</w:t>
      </w:r>
      <w:r>
        <w:rPr>
          <w:rFonts w:hint="eastAsia" w:ascii="宋体" w:hAnsi="宋体" w:eastAsia="宋体" w:cs="宋体"/>
          <w:color w:val="000000" w:themeColor="text1"/>
          <w:sz w:val="24"/>
          <w:szCs w:val="24"/>
          <w:lang w:val="zh-CN"/>
          <w14:textFill>
            <w14:solidFill>
              <w14:schemeClr w14:val="tx1"/>
            </w14:solidFill>
          </w14:textFill>
        </w:rPr>
        <w:t>外商投资企业年报</w:t>
      </w:r>
      <w:r>
        <w:rPr>
          <w:rFonts w:hint="eastAsia" w:ascii="宋体" w:hAnsi="宋体" w:eastAsia="宋体" w:cs="宋体"/>
          <w:color w:val="000000" w:themeColor="text1"/>
          <w:sz w:val="24"/>
          <w:szCs w:val="24"/>
          <w:lang w:val="en-US" w:eastAsia="zh-CN"/>
          <w14:textFill>
            <w14:solidFill>
              <w14:schemeClr w14:val="tx1"/>
            </w14:solidFill>
          </w14:textFill>
        </w:rPr>
        <w:t>催报，</w:t>
      </w:r>
      <w:r>
        <w:rPr>
          <w:rFonts w:hint="eastAsia" w:ascii="宋体" w:hAnsi="宋体" w:eastAsia="宋体" w:cs="宋体"/>
          <w:color w:val="000000" w:themeColor="text1"/>
          <w:sz w:val="24"/>
          <w:szCs w:val="24"/>
          <w:lang w:val="zh-CN"/>
          <w14:textFill>
            <w14:solidFill>
              <w14:schemeClr w14:val="tx1"/>
            </w14:solidFill>
          </w14:textFill>
        </w:rPr>
        <w:t>按要求通知前海的外资企业在规定时间内完成年报报送，通知数据异常或漏报指标企业及时修改、补报年报</w:t>
      </w:r>
      <w:r>
        <w:rPr>
          <w:rFonts w:hint="eastAsia" w:ascii="宋体" w:hAnsi="宋体" w:eastAsia="宋体" w:cs="宋体"/>
          <w:color w:val="000000" w:themeColor="text1"/>
          <w:sz w:val="24"/>
          <w:szCs w:val="24"/>
          <w:lang w:val="zh-CN" w:eastAsia="zh-CN"/>
          <w14:textFill>
            <w14:solidFill>
              <w14:schemeClr w14:val="tx1"/>
            </w14:solidFill>
          </w14:textFill>
        </w:rPr>
        <w:t>。</w:t>
      </w:r>
    </w:p>
    <w:p>
      <w:pPr>
        <w:numPr>
          <w:ilvl w:val="0"/>
          <w:numId w:val="0"/>
        </w:numPr>
        <w:ind w:firstLine="480" w:firstLineChars="200"/>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配合</w:t>
      </w:r>
      <w:r>
        <w:rPr>
          <w:rFonts w:hint="eastAsia" w:ascii="宋体" w:hAnsi="宋体" w:eastAsia="宋体" w:cs="宋体"/>
          <w:color w:val="000000" w:themeColor="text1"/>
          <w:sz w:val="24"/>
          <w:szCs w:val="24"/>
          <w:lang w:val="zh-CN"/>
          <w14:textFill>
            <w14:solidFill>
              <w14:schemeClr w14:val="tx1"/>
            </w14:solidFill>
          </w14:textFill>
        </w:rPr>
        <w:t>按年度报送前海外商投资企业年度投资经营信息联合年度报告</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第二条  服务期限</w:t>
      </w:r>
    </w:p>
    <w:p>
      <w:pPr>
        <w:pageBreakBefore w:val="0"/>
        <w:kinsoku/>
        <w:overflowPunct/>
        <w:topLinePunct w:val="0"/>
        <w:bidi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本项目合同服务期限为自合同签订之日起</w:t>
      </w:r>
      <w:r>
        <w:rPr>
          <w:rFonts w:hint="eastAsia" w:ascii="宋体" w:hAnsi="宋体" w:eastAsia="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个月。</w:t>
      </w:r>
      <w:r>
        <w:rPr>
          <w:rFonts w:hint="eastAsia" w:ascii="宋体" w:hAnsi="宋体" w:eastAsia="宋体" w:cs="宋体"/>
          <w:color w:val="000000" w:themeColor="text1"/>
          <w:sz w:val="24"/>
          <w:lang w:val="en-US" w:eastAsia="zh-CN"/>
          <w14:textFill>
            <w14:solidFill>
              <w14:schemeClr w14:val="tx1"/>
            </w14:solidFill>
          </w14:textFill>
        </w:rPr>
        <w:t>本项目为长期服务项目，经履约考核</w:t>
      </w:r>
      <w:r>
        <w:rPr>
          <w:rFonts w:hint="default" w:ascii="宋体" w:hAnsi="宋体" w:eastAsia="宋体" w:cs="宋体"/>
          <w:color w:val="000000" w:themeColor="text1"/>
          <w:sz w:val="24"/>
          <w:lang w:eastAsia="zh-CN"/>
          <w14:textFill>
            <w14:solidFill>
              <w14:schemeClr w14:val="tx1"/>
            </w14:solidFill>
          </w14:textFill>
        </w:rPr>
        <w:t>优秀</w:t>
      </w:r>
      <w:r>
        <w:rPr>
          <w:rFonts w:hint="eastAsia" w:ascii="宋体" w:hAnsi="宋体" w:eastAsia="宋体" w:cs="宋体"/>
          <w:color w:val="000000" w:themeColor="text1"/>
          <w:sz w:val="24"/>
          <w:lang w:val="en-US" w:eastAsia="zh-CN"/>
          <w14:textFill>
            <w14:solidFill>
              <w14:schemeClr w14:val="tx1"/>
            </w14:solidFill>
          </w14:textFill>
        </w:rPr>
        <w:t>后可续签下一年度合同，但最长不超过</w:t>
      </w:r>
      <w:r>
        <w:rPr>
          <w:rFonts w:hint="eastAsia" w:ascii="宋体" w:hAnsi="宋体" w:cs="宋体"/>
          <w:color w:val="000000" w:themeColor="text1"/>
          <w:sz w:val="24"/>
          <w:lang w:val="en-US" w:eastAsia="zh-CN"/>
          <w14:textFill>
            <w14:solidFill>
              <w14:schemeClr w14:val="tx1"/>
            </w14:solidFill>
          </w14:textFill>
        </w:rPr>
        <w:t>36个月</w:t>
      </w:r>
      <w:r>
        <w:rPr>
          <w:rFonts w:hint="eastAsia" w:ascii="宋体" w:hAnsi="宋体" w:eastAsia="宋体" w:cs="宋体"/>
          <w:color w:val="000000" w:themeColor="text1"/>
          <w:sz w:val="24"/>
          <w:lang w:val="en-US" w:eastAsia="zh-CN"/>
          <w14:textFill>
            <w14:solidFill>
              <w14:schemeClr w14:val="tx1"/>
            </w14:solidFill>
          </w14:textFill>
        </w:rPr>
        <w:t>。</w:t>
      </w:r>
    </w:p>
    <w:p>
      <w:pPr>
        <w:pageBreakBefore w:val="0"/>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第三条  项目资料归属</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所有提交给甲方的项目文件及相关资料的</w:t>
      </w:r>
      <w:r>
        <w:rPr>
          <w:rFonts w:ascii="宋体" w:hAnsi="宋体" w:cs="宋体"/>
          <w:color w:val="000000" w:themeColor="text1"/>
          <w:sz w:val="24"/>
          <w14:textFill>
            <w14:solidFill>
              <w14:schemeClr w14:val="tx1"/>
            </w14:solidFill>
          </w14:textFill>
        </w:rPr>
        <w:t>阶段性成果及</w:t>
      </w:r>
      <w:r>
        <w:rPr>
          <w:rFonts w:hint="eastAsia" w:ascii="宋体" w:hAnsi="宋体" w:cs="宋体"/>
          <w:color w:val="000000" w:themeColor="text1"/>
          <w:sz w:val="24"/>
          <w14:textFill>
            <w14:solidFill>
              <w14:schemeClr w14:val="tx1"/>
            </w14:solidFill>
          </w14:textFill>
        </w:rPr>
        <w:t>最后文本，包括为履行服务范围所编制的计划和证明资料等，都属于甲方</w:t>
      </w:r>
      <w:r>
        <w:rPr>
          <w:rFonts w:ascii="宋体" w:hAnsi="宋体" w:cs="宋体"/>
          <w:color w:val="000000" w:themeColor="text1"/>
          <w:sz w:val="24"/>
          <w14:textFill>
            <w14:solidFill>
              <w14:schemeClr w14:val="tx1"/>
            </w14:solidFill>
          </w14:textFill>
        </w:rPr>
        <w:t>所有</w:t>
      </w:r>
      <w:r>
        <w:rPr>
          <w:rFonts w:hint="eastAsia" w:ascii="宋体" w:hAnsi="宋体" w:cs="宋体"/>
          <w:color w:val="000000" w:themeColor="text1"/>
          <w:sz w:val="24"/>
          <w14:textFill>
            <w14:solidFill>
              <w14:schemeClr w14:val="tx1"/>
            </w14:solidFill>
          </w14:textFill>
        </w:rPr>
        <w:t>，乙方在提交给甲方之前应将上述资料进行整理归类和编制索引。</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乙方未经甲方的书面同意，不得将上述资料用于与本项目之外的任何项目，也不得将其泄露或授权给第三方使用。</w:t>
      </w:r>
    </w:p>
    <w:p>
      <w:pPr>
        <w:pageBreakBefore w:val="0"/>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第四条  双方的权利义务</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（一）甲方的权利义务</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1.甲方有权向乙方询问项目工作进展及相关情况，并要求乙方在指定时间内做出答复。</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2.甲方有权对乙方提交的阶段性成果、最终成果送审稿等相关文件进行审核并提出修改意见。</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3.如甲方确认乙方工作人员未按照本合同要求履行职责，甲方有权要求乙方限期更换人员，直至终止合同并要求乙方承担相应赔偿责任。</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4.甲方对乙方在委托权限范围内完成委托事项有指导、监督权利。</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5.甲方有权要求乙方全面履行合同。甲方不接受部分履行，如本合同项下部分成果文件未能按时交付则视为整体延误。</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6.如乙方所提供的项目成果不符合本合同的要求，甲方有权要求乙方重新执行相应的工作服务，由此产生的全部费用由乙方自行承担，同时，甲方的付款时间相应顺延。</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7.甲方要求乙方比本合同约定时间提前交付成果时，须征得乙方同意。因此而增加工作量，经协商确认，甲方应向乙方支付必要的费用。</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8.甲方应将项目所需相关档案资料、信息数据等移交给乙方，并要求乙方签收甲方提供的材料清单。</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9.甲方应按照本合同的约定向乙方支付服务费用。</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10.甲方指定项目联系人：</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姓名： </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（二）乙方的权利义务</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1.为保证项目成果的质量，乙方在合同履行期间，应按照本项目工作内容要求成立项目团队。项目负责人负责对项目实施全过程进行组织和指导，并承担</w:t>
      </w:r>
      <w:r>
        <w:rPr>
          <w:rFonts w:hint="eastAsia" w:ascii="宋体" w:hAnsi="宋体" w:cs="宋体"/>
          <w:color w:val="000000" w:themeColor="text1"/>
          <w:sz w:val="24"/>
          <w:lang w:val="en-US" w:eastAsia="zh-Hans"/>
          <w14:textFill>
            <w14:solidFill>
              <w14:schemeClr w14:val="tx1"/>
            </w14:solidFill>
          </w14:textFill>
        </w:rPr>
        <w:t>项目</w:t>
      </w:r>
      <w:r>
        <w:rPr>
          <w:rFonts w:hint="eastAsia" w:ascii="宋体" w:hAnsi="宋体" w:cs="宋体"/>
          <w:color w:val="000000" w:themeColor="text1"/>
          <w:sz w:val="24"/>
          <w14:textFill>
            <w14:solidFill>
              <w14:schemeClr w14:val="tx1"/>
            </w14:solidFill>
          </w14:textFill>
        </w:rPr>
        <w:t>的实质性工作。相关工作人员名单在甲方确认后如需更换，乙方应事先征得甲方的书面同意，且接替的工作人员的职位、资历、资质应与原定工作人员相当。</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应接受甲方对工作进展的询问、监督和指导，严格按本合同约定的内容、标准和期限完成项目指标，并向甲方提交项目成果。项目工作完成后，乙方应按照甲方要求将完成本项目的工作总结和相关台帐资料交给甲方。</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3.乙方应采取必要措施配合甲方验收人员的工作,对于验收过程中发现的问题，乙方应在发现问题之日起</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天内进行改正，以符合甲方的需要。</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4.乙方有维护甲方声誉的义务，乙方不能以甲方名义从事与本项目无关的任何事务，否则甲方有权追究其相关责任。</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5.乙方应独立完成本项目。未经甲方书面在先同意，乙方不得向任何第三方全部或部分转让本项目。</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6.本合同期满或提前解除、终止后，乙方应将甲方的档案资料、信息数据等交还甲方，并应销毁或删除所有备份。</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乙方应当全部偿还给甲方。</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8.针对甲方就乙方提交的相关文件提出的修改意见，乙方应当在甲方指定的修改时间内完成修改。</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9.乙方指定项目联系人：</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p>
    <w:p>
      <w:pPr>
        <w:pageBreakBefore w:val="0"/>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lang w:val="en-US" w:eastAsia="zh-CN"/>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条  人员要求</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13"/>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p>
        </w:tc>
      </w:tr>
    </w:tbl>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参加本项目编制的人员必须具有国家和有关部门规定的相应资质。</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参加本项目编制的人员配置必须与合同中的项目成员组成一致，若需调整需经甲方</w:t>
      </w:r>
      <w:r>
        <w:rPr>
          <w:rFonts w:ascii="宋体" w:hAnsi="宋体" w:cs="宋体"/>
          <w:color w:val="000000" w:themeColor="text1"/>
          <w:sz w:val="24"/>
          <w14:textFill>
            <w14:solidFill>
              <w14:schemeClr w14:val="tx1"/>
            </w14:solidFill>
          </w14:textFill>
        </w:rPr>
        <w:t>书面</w:t>
      </w:r>
      <w:r>
        <w:rPr>
          <w:rFonts w:hint="eastAsia" w:ascii="宋体" w:hAnsi="宋体" w:cs="宋体"/>
          <w:color w:val="000000" w:themeColor="text1"/>
          <w:sz w:val="24"/>
          <w14:textFill>
            <w14:solidFill>
              <w14:schemeClr w14:val="tx1"/>
            </w14:solidFill>
          </w14:textFill>
        </w:rPr>
        <w:t>同意后，方可变更。</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必须以乙方直属人员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pageBreakBefore w:val="0"/>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lang w:val="en-US" w:eastAsia="zh-CN"/>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条 成果权属与知识产权</w:t>
      </w:r>
    </w:p>
    <w:p>
      <w:pPr>
        <w:pageBreakBefore w:val="0"/>
        <w:widowControl/>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pPr>
        <w:pageBreakBefore w:val="0"/>
        <w:widowControl/>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pageBreakBefore w:val="0"/>
        <w:widowControl/>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pageBreakBefore w:val="0"/>
        <w:widowControl/>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未经甲方书面在先同意，乙方不得将本项目的中间成果和最终成果文件及任何数据、资料、软件向任何第三方转让、授权任何第三方使用或用于本合同项目外的其他项目。如发生以上情况，乙方应向甲方支付本合同总价款</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pageBreakBefore w:val="0"/>
        <w:widowControl/>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乙方完成本合同项目的研究开发人员享有在有关技术成果文件上写明技术成果完成者的权利和与甲方共同获得有关荣誉证书、奖励的权利。</w:t>
      </w:r>
    </w:p>
    <w:p>
      <w:pPr>
        <w:pageBreakBefore w:val="0"/>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lang w:val="en-US" w:eastAsia="zh-CN"/>
          <w14:textFill>
            <w14:solidFill>
              <w14:schemeClr w14:val="tx1"/>
            </w14:solidFill>
          </w14:textFill>
        </w:rPr>
        <w:t>七</w:t>
      </w:r>
      <w:r>
        <w:rPr>
          <w:rFonts w:hint="eastAsia" w:ascii="宋体" w:hAnsi="宋体" w:cs="宋体"/>
          <w:b/>
          <w:bCs/>
          <w:color w:val="000000" w:themeColor="text1"/>
          <w:sz w:val="24"/>
          <w14:textFill>
            <w14:solidFill>
              <w14:schemeClr w14:val="tx1"/>
            </w14:solidFill>
          </w14:textFill>
        </w:rPr>
        <w:t>条  保密条款</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应以保密方式处理在编制本项目成果文件过程中自甲方、甲方工作人员或甲方关联机构获得的相关信息、资料、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3.乙方实施项目的程序应符合国家安全、保密的有关规定和标准。</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4.上述保密义务不适用以下情况：</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5.如乙方违反上述保密条款，甲方有权解除本合同，乙方应在合同解除通知发出之日起10日内向甲方支付本合同服务费总金额</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的违约金，如果违约金无法弥补甲方损失，甲方保留要求乙方赔偿全部损失的权利，包括但不限于上述索赔或责任所产生的诉讼费用、合理的律师费用、鉴定评估费用、调查费用、和解金额或生效法律文书中规定的赔偿金额。</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6.无论本合同或本合同其他条款是否有效，本保密条款始终约束双方。国家秘密的保密期限由国家有关部门确定，工作秘密的保密期限由甲方确定。</w:t>
      </w:r>
    </w:p>
    <w:p>
      <w:pPr>
        <w:pageBreakBefore w:val="0"/>
        <w:kinsoku/>
        <w:overflowPunct/>
        <w:topLinePunct w:val="0"/>
        <w:bidi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八</w:t>
      </w:r>
      <w:r>
        <w:rPr>
          <w:rFonts w:hint="eastAsia" w:ascii="宋体" w:hAnsi="宋体" w:cs="宋体"/>
          <w:b/>
          <w:bCs/>
          <w:color w:val="000000" w:themeColor="text1"/>
          <w:sz w:val="24"/>
          <w:highlight w:val="none"/>
          <w14:textFill>
            <w14:solidFill>
              <w14:schemeClr w14:val="tx1"/>
            </w14:solidFill>
          </w14:textFill>
        </w:rPr>
        <w:t xml:space="preserve">条  验收标准     </w:t>
      </w:r>
    </w:p>
    <w:p>
      <w:pPr>
        <w:pageBreakBefore w:val="0"/>
        <w:widowControl/>
        <w:kinsoku/>
        <w:overflowPunct/>
        <w:topLinePunct w:val="0"/>
        <w:bidi w:val="0"/>
        <w:spacing w:line="360" w:lineRule="auto"/>
        <w:ind w:firstLine="480" w:firstLineChars="200"/>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验收标准：</w:t>
      </w:r>
      <w:r>
        <w:rPr>
          <w:rFonts w:hint="eastAsia" w:ascii="宋体" w:hAnsi="宋体" w:cs="宋体"/>
          <w:color w:val="000000" w:themeColor="text1"/>
          <w:sz w:val="24"/>
          <w:highlight w:val="none"/>
          <w14:textFill>
            <w14:solidFill>
              <w14:schemeClr w14:val="tx1"/>
            </w14:solidFill>
          </w14:textFill>
        </w:rPr>
        <w:t>所有成果提交并通过</w:t>
      </w:r>
      <w:r>
        <w:rPr>
          <w:rFonts w:hint="eastAsia" w:ascii="宋体" w:hAnsi="宋体" w:cs="宋体"/>
          <w:color w:val="000000" w:themeColor="text1"/>
          <w:sz w:val="24"/>
          <w:highlight w:val="none"/>
          <w:lang w:val="en-US" w:eastAsia="zh-CN"/>
          <w14:textFill>
            <w14:solidFill>
              <w14:schemeClr w14:val="tx1"/>
            </w14:solidFill>
          </w14:textFill>
        </w:rPr>
        <w:t>甲方</w:t>
      </w:r>
      <w:r>
        <w:rPr>
          <w:rFonts w:hint="eastAsia" w:ascii="宋体" w:hAnsi="宋体" w:cs="宋体"/>
          <w:color w:val="000000" w:themeColor="text1"/>
          <w:sz w:val="24"/>
          <w:highlight w:val="none"/>
          <w14:textFill>
            <w14:solidFill>
              <w14:schemeClr w14:val="tx1"/>
            </w14:solidFill>
          </w14:textFill>
        </w:rPr>
        <w:t>验收</w:t>
      </w:r>
      <w:r>
        <w:rPr>
          <w:rFonts w:ascii="宋体" w:hAnsi="宋体" w:cs="宋体"/>
          <w:color w:val="000000" w:themeColor="text1"/>
          <w:sz w:val="24"/>
          <w:highlight w:val="none"/>
          <w14:textFill>
            <w14:solidFill>
              <w14:schemeClr w14:val="tx1"/>
            </w14:solidFill>
          </w14:textFill>
        </w:rPr>
        <w:t>。</w:t>
      </w:r>
    </w:p>
    <w:p>
      <w:pPr>
        <w:pageBreakBefore w:val="0"/>
        <w:widowControl/>
        <w:kinsoku/>
        <w:overflowPunct/>
        <w:topLinePunct w:val="0"/>
        <w:bidi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验收内容</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本项目需形成</w:t>
      </w:r>
      <w:r>
        <w:rPr>
          <w:rFonts w:hint="eastAsia" w:ascii="宋体" w:hAnsi="宋体" w:cs="宋体"/>
          <w:bCs/>
          <w:color w:val="000000" w:themeColor="text1"/>
          <w:sz w:val="24"/>
          <w:highlight w:val="none"/>
          <w:lang w:eastAsia="zh-CN"/>
          <w14:textFill>
            <w14:solidFill>
              <w14:schemeClr w14:val="tx1"/>
            </w14:solidFill>
          </w14:textFill>
        </w:rPr>
        <w:t>四</w:t>
      </w:r>
      <w:r>
        <w:rPr>
          <w:rFonts w:hint="eastAsia" w:ascii="宋体" w:hAnsi="宋体" w:cs="宋体"/>
          <w:bCs/>
          <w:color w:val="000000" w:themeColor="text1"/>
          <w:sz w:val="24"/>
          <w:highlight w:val="none"/>
          <w14:textFill>
            <w14:solidFill>
              <w14:schemeClr w14:val="tx1"/>
            </w14:solidFill>
          </w14:textFill>
        </w:rPr>
        <w:t>类文件，并以书面形式和电子形式（*.doc格式）按时提交至甲方进行修改完善直至定稿：一是按月度形成外资月度数据简报（全年共12份）；二是按季度形成</w:t>
      </w:r>
      <w:r>
        <w:rPr>
          <w:rFonts w:hint="eastAsia" w:ascii="宋体" w:hAnsi="宋体" w:cs="宋体"/>
          <w:bCs/>
          <w:color w:val="000000" w:themeColor="text1"/>
          <w:sz w:val="24"/>
          <w:highlight w:val="none"/>
          <w:lang w:eastAsia="zh-CN"/>
          <w14:textFill>
            <w14:solidFill>
              <w14:schemeClr w14:val="tx1"/>
            </w14:solidFill>
          </w14:textFill>
        </w:rPr>
        <w:t>外资数据统计分析</w:t>
      </w:r>
      <w:r>
        <w:rPr>
          <w:rFonts w:hint="eastAsia" w:ascii="宋体" w:hAnsi="宋体" w:cs="宋体"/>
          <w:bCs/>
          <w:color w:val="000000" w:themeColor="text1"/>
          <w:sz w:val="24"/>
          <w:highlight w:val="none"/>
          <w14:textFill>
            <w14:solidFill>
              <w14:schemeClr w14:val="tx1"/>
            </w14:solidFill>
          </w14:textFill>
        </w:rPr>
        <w:t>报告（全年共4份）；三是按年度形成外商投资企业年度投资经营信息联合年度报告（全年共1份）</w:t>
      </w:r>
      <w:r>
        <w:rPr>
          <w:rFonts w:hint="eastAsia" w:ascii="宋体" w:hAnsi="宋体" w:cs="宋体"/>
          <w:bCs/>
          <w:color w:val="000000" w:themeColor="text1"/>
          <w:sz w:val="24"/>
          <w:highlight w:val="none"/>
          <w:lang w:eastAsia="zh-CN"/>
          <w14:textFill>
            <w14:solidFill>
              <w14:schemeClr w14:val="tx1"/>
            </w14:solidFill>
          </w14:textFill>
        </w:rPr>
        <w:t>；四是国际国内外资动向、比对报告（全年共2份）</w:t>
      </w:r>
      <w:r>
        <w:rPr>
          <w:rFonts w:hint="eastAsia" w:ascii="宋体" w:hAnsi="宋体" w:eastAsia="宋体" w:cs="宋体"/>
          <w:color w:val="000000" w:themeColor="text1"/>
          <w:sz w:val="24"/>
          <w14:textFill>
            <w14:solidFill>
              <w14:schemeClr w14:val="tx1"/>
            </w14:solidFill>
          </w14:textFill>
        </w:rPr>
        <w:t>。</w:t>
      </w:r>
    </w:p>
    <w:p>
      <w:pPr>
        <w:pageBreakBefore w:val="0"/>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lang w:val="en-US" w:eastAsia="zh-CN"/>
          <w14:textFill>
            <w14:solidFill>
              <w14:schemeClr w14:val="tx1"/>
            </w14:solidFill>
          </w14:textFill>
        </w:rPr>
        <w:t>九</w:t>
      </w:r>
      <w:r>
        <w:rPr>
          <w:rFonts w:hint="eastAsia" w:ascii="宋体" w:hAnsi="宋体" w:cs="宋体"/>
          <w:b/>
          <w:bCs/>
          <w:color w:val="000000" w:themeColor="text1"/>
          <w:sz w:val="24"/>
          <w14:textFill>
            <w14:solidFill>
              <w14:schemeClr w14:val="tx1"/>
            </w14:solidFill>
          </w14:textFill>
        </w:rPr>
        <w:t>条  项目服务费用及付款方式</w:t>
      </w:r>
    </w:p>
    <w:p>
      <w:pPr>
        <w:pageBreakBefore w:val="0"/>
        <w:numPr>
          <w:ilvl w:val="0"/>
          <w:numId w:val="0"/>
        </w:numPr>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合同价款：合同总价为 </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 （含税）。包括</w:t>
      </w:r>
      <w:r>
        <w:rPr>
          <w:rFonts w:hint="eastAsia" w:ascii="宋体" w:hAnsi="宋体" w:cs="宋体"/>
          <w:color w:val="000000" w:themeColor="text1"/>
          <w:sz w:val="24"/>
          <w:lang w:val="en-US" w:eastAsia="zh-CN"/>
          <w14:textFill>
            <w14:solidFill>
              <w14:schemeClr w14:val="tx1"/>
            </w14:solidFill>
          </w14:textFill>
        </w:rPr>
        <w:t>但不限于</w:t>
      </w:r>
      <w:r>
        <w:rPr>
          <w:rFonts w:hint="eastAsia" w:ascii="宋体" w:hAnsi="宋体" w:eastAsia="宋体" w:cs="宋体"/>
          <w:color w:val="000000" w:themeColor="text1"/>
          <w:sz w:val="24"/>
          <w:highlight w:val="none"/>
          <w:u w:val="none"/>
          <w:lang w:val="en-US" w:eastAsia="zh-CN"/>
          <w14:textFill>
            <w14:solidFill>
              <w14:schemeClr w14:val="tx1"/>
            </w14:solidFill>
          </w14:textFill>
        </w:rPr>
        <w:t>数</w:t>
      </w:r>
      <w:r>
        <w:rPr>
          <w:rFonts w:hint="eastAsia" w:ascii="宋体" w:hAnsi="宋体" w:cs="宋体"/>
          <w:color w:val="000000" w:themeColor="text1"/>
          <w:sz w:val="24"/>
          <w:highlight w:val="none"/>
          <w:u w:val="none"/>
          <w:lang w:val="en-US" w:eastAsia="zh-CN"/>
          <w14:textFill>
            <w14:solidFill>
              <w14:schemeClr w14:val="tx1"/>
            </w14:solidFill>
          </w14:textFill>
        </w:rPr>
        <w:t>据采购费、数据系统费、乙方工作人员成本、</w:t>
      </w:r>
      <w:r>
        <w:rPr>
          <w:rFonts w:hint="eastAsia" w:ascii="宋体" w:hAnsi="宋体" w:cs="宋体"/>
          <w:color w:val="000000" w:themeColor="text1"/>
          <w:sz w:val="24"/>
          <w:highlight w:val="none"/>
          <w:u w:val="none"/>
          <w:lang w:eastAsia="zh-CN"/>
          <w14:textFill>
            <w14:solidFill>
              <w14:schemeClr w14:val="tx1"/>
            </w14:solidFill>
          </w14:textFill>
        </w:rPr>
        <w:t>中标服务费、资料费、</w:t>
      </w:r>
      <w:r>
        <w:rPr>
          <w:rFonts w:hint="eastAsia" w:ascii="宋体" w:hAnsi="宋体" w:cs="宋体"/>
          <w:color w:val="000000" w:themeColor="text1"/>
          <w:sz w:val="24"/>
          <w:highlight w:val="none"/>
          <w:u w:val="none"/>
          <w:lang w:val="en-US" w:eastAsia="zh-CN"/>
          <w14:textFill>
            <w14:solidFill>
              <w14:schemeClr w14:val="tx1"/>
            </w14:solidFill>
          </w14:textFill>
        </w:rPr>
        <w:t>通讯费、交通费、</w:t>
      </w:r>
      <w:r>
        <w:rPr>
          <w:rFonts w:hint="eastAsia" w:ascii="宋体" w:hAnsi="宋体" w:cs="宋体"/>
          <w:color w:val="000000" w:themeColor="text1"/>
          <w:sz w:val="24"/>
          <w:highlight w:val="none"/>
          <w:u w:val="none"/>
          <w:lang w:eastAsia="zh-CN"/>
          <w14:textFill>
            <w14:solidFill>
              <w14:schemeClr w14:val="tx1"/>
            </w14:solidFill>
          </w14:textFill>
        </w:rPr>
        <w:t>税金、</w:t>
      </w:r>
      <w:r>
        <w:rPr>
          <w:rFonts w:hint="eastAsia" w:ascii="宋体" w:hAnsi="宋体" w:cs="宋体"/>
          <w:color w:val="000000" w:themeColor="text1"/>
          <w:sz w:val="24"/>
          <w:highlight w:val="none"/>
          <w:u w:val="none"/>
          <w:lang w:val="en-US" w:eastAsia="zh-CN"/>
          <w14:textFill>
            <w14:solidFill>
              <w14:schemeClr w14:val="tx1"/>
            </w14:solidFill>
          </w14:textFill>
        </w:rPr>
        <w:t>利润</w:t>
      </w:r>
      <w:r>
        <w:rPr>
          <w:rFonts w:hint="eastAsia" w:ascii="宋体" w:hAnsi="宋体" w:cs="宋体"/>
          <w:color w:val="000000" w:themeColor="text1"/>
          <w:sz w:val="24"/>
          <w:highlight w:val="none"/>
          <w:u w:val="none"/>
          <w:lang w:eastAsia="zh-CN"/>
          <w14:textFill>
            <w14:solidFill>
              <w14:schemeClr w14:val="tx1"/>
            </w14:solidFill>
          </w14:textFill>
        </w:rPr>
        <w:t>等所有费用，并提供合同要求的成果文件，以及其它相关服务的全部费用</w:t>
      </w:r>
      <w:r>
        <w:rPr>
          <w:rFonts w:hint="eastAsia" w:ascii="宋体" w:hAnsi="宋体" w:cs="宋体"/>
          <w:color w:val="000000" w:themeColor="text1"/>
          <w:sz w:val="24"/>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合同价款由甲方分</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期支付至乙方指定银行账户：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default" w:ascii="宋体" w:hAnsi="宋体" w:cs="宋体"/>
          <w:color w:val="000000" w:themeColor="text1"/>
          <w:sz w:val="24"/>
          <w:lang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首期</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自</w:t>
      </w:r>
      <w:r>
        <w:rPr>
          <w:rFonts w:hint="eastAsia" w:ascii="宋体" w:hAnsi="宋体" w:cs="宋体"/>
          <w:color w:val="000000" w:themeColor="text1"/>
          <w:sz w:val="24"/>
          <w14:textFill>
            <w14:solidFill>
              <w14:schemeClr w14:val="tx1"/>
            </w14:solidFill>
          </w14:textFill>
        </w:rPr>
        <w:t>合同签订</w:t>
      </w:r>
      <w:r>
        <w:rPr>
          <w:rFonts w:hint="eastAsia" w:ascii="宋体" w:hAnsi="宋体" w:cs="宋体"/>
          <w:color w:val="000000" w:themeColor="text1"/>
          <w:sz w:val="24"/>
          <w:lang w:val="en-US" w:eastAsia="zh-CN"/>
          <w14:textFill>
            <w14:solidFill>
              <w14:schemeClr w14:val="tx1"/>
            </w14:solidFill>
          </w14:textFill>
        </w:rPr>
        <w:t>之日起</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个工作日内，根据</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提出的付款申请，</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向</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支付总价款</w:t>
      </w:r>
      <w:r>
        <w:rPr>
          <w:rFonts w:hint="eastAsia" w:ascii="宋体" w:hAnsi="宋体" w:cs="宋体"/>
          <w:b w:val="0"/>
          <w:bCs w:val="0"/>
          <w:color w:val="000000" w:themeColor="text1"/>
          <w:sz w:val="24"/>
          <w14:textFill>
            <w14:solidFill>
              <w14:schemeClr w14:val="tx1"/>
            </w14:solidFill>
          </w14:textFill>
        </w:rPr>
        <w:t>的</w:t>
      </w:r>
      <w:r>
        <w:rPr>
          <w:rFonts w:hint="eastAsia" w:ascii="宋体" w:hAnsi="宋体" w:cs="宋体"/>
          <w:b w:val="0"/>
          <w:bCs w:val="0"/>
          <w:color w:val="000000" w:themeColor="text1"/>
          <w:sz w:val="24"/>
          <w:lang w:val="en-US" w:eastAsia="zh-CN"/>
          <w14:textFill>
            <w14:solidFill>
              <w14:schemeClr w14:val="tx1"/>
            </w14:solidFill>
          </w14:textFill>
        </w:rPr>
        <w:t>5</w:t>
      </w:r>
      <w:r>
        <w:rPr>
          <w:rFonts w:hint="eastAsia" w:ascii="宋体" w:hAnsi="宋体" w:cs="宋体"/>
          <w:b w:val="0"/>
          <w:bCs w:val="0"/>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即人民币</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整（</w:t>
      </w:r>
      <w:r>
        <w:rPr>
          <w:rFonts w:hint="eastAsia" w:ascii="宋体" w:hAnsi="宋体" w:cs="宋体"/>
          <w:color w:val="000000" w:themeColor="text1"/>
          <w:sz w:val="24"/>
          <w14:textFill>
            <w14:solidFill>
              <w14:schemeClr w14:val="tx1"/>
            </w14:solidFill>
          </w14:textFill>
        </w:rPr>
        <w:t>¥  元</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pPr>
        <w:pStyle w:val="3"/>
        <w:pageBreakBefore w:val="0"/>
        <w:kinsoku/>
        <w:overflowPunct/>
        <w:topLinePunct w:val="0"/>
        <w:bidi w:val="0"/>
        <w:spacing w:after="0" w:line="360" w:lineRule="auto"/>
        <w:ind w:firstLine="480" w:firstLineChars="200"/>
        <w:rPr>
          <w:rFonts w:hint="eastAsia"/>
          <w:color w:val="000000" w:themeColor="text1"/>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2.2</w:t>
      </w:r>
      <w:r>
        <w:rPr>
          <w:rFonts w:hint="default"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第</w:t>
      </w:r>
      <w:r>
        <w:rPr>
          <w:rFonts w:hint="eastAsia" w:ascii="宋体" w:hAnsi="宋体" w:cs="宋体"/>
          <w:color w:val="000000" w:themeColor="text1"/>
          <w:sz w:val="24"/>
          <w:lang w:val="en-US" w:eastAsia="zh-CN"/>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期：在合同期满前，</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对</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服务内容进行最终验收，验收合格后由</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出具终期验收工作报告，经</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确认后</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向</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支付剩余</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0%合同尾款。如遇验收不合格情况，</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给予</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30天整改期，验收合格后，</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出具终期验收工作报告经</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确认后予以支付</w:t>
      </w:r>
      <w:r>
        <w:rPr>
          <w:rFonts w:ascii="宋体" w:hAnsi="宋体" w:cs="宋体"/>
          <w:color w:val="000000" w:themeColor="text1"/>
          <w:sz w:val="24"/>
          <w14:textFill>
            <w14:solidFill>
              <w14:schemeClr w14:val="tx1"/>
            </w14:solidFill>
          </w14:textFill>
        </w:rPr>
        <w:t>，即人民币</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整（</w:t>
      </w:r>
      <w:r>
        <w:rPr>
          <w:rFonts w:hint="eastAsia" w:ascii="宋体" w:hAnsi="宋体" w:cs="宋体"/>
          <w:color w:val="000000" w:themeColor="text1"/>
          <w:sz w:val="24"/>
          <w14:textFill>
            <w14:solidFill>
              <w14:schemeClr w14:val="tx1"/>
            </w14:solidFill>
          </w14:textFill>
        </w:rPr>
        <w:t>¥  元</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pPr>
        <w:pStyle w:val="3"/>
        <w:pageBreakBefore w:val="0"/>
        <w:kinsoku/>
        <w:overflowPunct/>
        <w:topLinePunct w:val="0"/>
        <w:bidi w:val="0"/>
        <w:spacing w:after="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2.3.</w:t>
      </w:r>
      <w:r>
        <w:rPr>
          <w:rFonts w:hint="eastAsia" w:ascii="宋体" w:hAnsi="宋体" w:cs="宋体"/>
          <w:color w:val="000000" w:themeColor="text1"/>
          <w:sz w:val="24"/>
          <w14:textFill>
            <w14:solidFill>
              <w14:schemeClr w14:val="tx1"/>
            </w14:solidFill>
          </w14:textFill>
        </w:rPr>
        <w:t>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pStyle w:val="3"/>
        <w:pageBreakBefore w:val="0"/>
        <w:kinsoku/>
        <w:overflowPunct/>
        <w:topLinePunct w:val="0"/>
        <w:bidi w:val="0"/>
        <w:spacing w:after="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乙方银行账户信息：</w:t>
      </w:r>
    </w:p>
    <w:p>
      <w:pPr>
        <w:pStyle w:val="3"/>
        <w:pageBreakBefore w:val="0"/>
        <w:kinsoku/>
        <w:overflowPunct/>
        <w:topLinePunct w:val="0"/>
        <w:bidi w:val="0"/>
        <w:spacing w:after="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pPr>
        <w:pStyle w:val="3"/>
        <w:pageBreakBefore w:val="0"/>
        <w:kinsoku/>
        <w:overflowPunct/>
        <w:topLinePunct w:val="0"/>
        <w:bidi w:val="0"/>
        <w:spacing w:after="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户名：</w:t>
      </w:r>
    </w:p>
    <w:p>
      <w:pPr>
        <w:pStyle w:val="3"/>
        <w:pageBreakBefore w:val="0"/>
        <w:kinsoku/>
        <w:overflowPunct/>
        <w:topLinePunct w:val="0"/>
        <w:bidi w:val="0"/>
        <w:spacing w:after="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p>
    <w:p>
      <w:pPr>
        <w:pageBreakBefore w:val="0"/>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合同提前终止</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双方协商同意提前终止本合同的，按双方协商约定的方式进行清算执行。</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有下列情形之一的，本合同自甲方向乙方发出书面通知之日起终止：</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甲方的职能发生转变，不再具有委托职能。</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本合同签订时适用的法律法规或政策发生变化，且对本合同的继续履行造成重大影响。</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如发生不可抗力或其他超出合同双方控制的事件，致使一方无法履行合同，本合同解除。</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发生不可抗力，甲乙双方承担各自的损失。由于其中一方迟延履行合同义务后发生不可抗力的，其违约责任不能免除。</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pageBreakBefore w:val="0"/>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lang w:val="en-US" w:eastAsia="zh-CN"/>
          <w14:textFill>
            <w14:solidFill>
              <w14:schemeClr w14:val="tx1"/>
            </w14:solidFill>
          </w14:textFill>
        </w:rPr>
        <w:t>一</w:t>
      </w:r>
      <w:r>
        <w:rPr>
          <w:rFonts w:hint="eastAsia" w:ascii="宋体" w:hAnsi="宋体" w:cs="宋体"/>
          <w:b/>
          <w:bCs/>
          <w:color w:val="000000" w:themeColor="text1"/>
          <w:sz w:val="24"/>
          <w14:textFill>
            <w14:solidFill>
              <w14:schemeClr w14:val="tx1"/>
            </w14:solidFill>
          </w14:textFill>
        </w:rPr>
        <w:t>条  争议解决办法</w:t>
      </w:r>
    </w:p>
    <w:p>
      <w:pPr>
        <w:pageBreakBefore w:val="0"/>
        <w:kinsoku/>
        <w:overflowPunct/>
        <w:topLinePunct w:val="0"/>
        <w:bidi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因本合同的履行发生的或与本合同有关的争议或纠纷，由甲乙双方协商解决。协商不成的，</w:t>
      </w:r>
      <w:r>
        <w:rPr>
          <w:rFonts w:hint="eastAsia" w:ascii="宋体" w:hAnsi="宋体" w:cs="宋体"/>
          <w:color w:val="000000" w:themeColor="text1"/>
          <w:sz w:val="24"/>
          <w:lang w:eastAsia="zh-CN"/>
          <w14:textFill>
            <w14:solidFill>
              <w14:schemeClr w14:val="tx1"/>
            </w14:solidFill>
          </w14:textFill>
        </w:rPr>
        <w:t>双方同意将争议提交</w:t>
      </w:r>
      <w:r>
        <w:rPr>
          <w:rFonts w:hint="eastAsia" w:ascii="宋体" w:hAnsi="宋体" w:cs="宋体"/>
          <w:color w:val="000000" w:themeColor="text1"/>
          <w:sz w:val="24"/>
          <w14:textFill>
            <w14:solidFill>
              <w14:schemeClr w14:val="tx1"/>
            </w14:solidFill>
          </w14:textFill>
        </w:rPr>
        <w:t>深圳前海合作区人民法院</w:t>
      </w:r>
      <w:r>
        <w:rPr>
          <w:rFonts w:hint="eastAsia" w:ascii="宋体" w:hAnsi="宋体" w:cs="宋体"/>
          <w:color w:val="000000" w:themeColor="text1"/>
          <w:sz w:val="24"/>
          <w:lang w:eastAsia="zh-CN"/>
          <w14:textFill>
            <w14:solidFill>
              <w14:schemeClr w14:val="tx1"/>
            </w14:solidFill>
          </w14:textFill>
        </w:rPr>
        <w:t>通过</w:t>
      </w:r>
      <w:r>
        <w:rPr>
          <w:rFonts w:hint="eastAsia" w:ascii="宋体" w:hAnsi="宋体" w:cs="宋体"/>
          <w:color w:val="000000" w:themeColor="text1"/>
          <w:sz w:val="24"/>
          <w14:textFill>
            <w14:solidFill>
              <w14:schemeClr w14:val="tx1"/>
            </w14:solidFill>
          </w14:textFill>
        </w:rPr>
        <w:t>诉讼</w:t>
      </w:r>
      <w:r>
        <w:rPr>
          <w:rFonts w:hint="eastAsia" w:ascii="宋体" w:hAnsi="宋体" w:cs="宋体"/>
          <w:color w:val="000000" w:themeColor="text1"/>
          <w:sz w:val="24"/>
          <w:lang w:eastAsia="zh-CN"/>
          <w14:textFill>
            <w14:solidFill>
              <w14:schemeClr w14:val="tx1"/>
            </w14:solidFill>
          </w14:textFill>
        </w:rPr>
        <w:t>解决</w:t>
      </w:r>
      <w:r>
        <w:rPr>
          <w:rFonts w:hint="eastAsia" w:ascii="宋体" w:hAnsi="宋体" w:cs="宋体"/>
          <w:color w:val="000000" w:themeColor="text1"/>
          <w:sz w:val="24"/>
          <w14:textFill>
            <w14:solidFill>
              <w14:schemeClr w14:val="tx1"/>
            </w14:solidFill>
          </w14:textFill>
        </w:rPr>
        <w:t>。</w:t>
      </w:r>
    </w:p>
    <w:p>
      <w:pPr>
        <w:pageBreakBefore w:val="0"/>
        <w:numPr>
          <w:ilvl w:val="0"/>
          <w:numId w:val="0"/>
        </w:numPr>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lang w:val="en-US" w:eastAsia="zh-CN"/>
          <w14:textFill>
            <w14:solidFill>
              <w14:schemeClr w14:val="tx1"/>
            </w14:solidFill>
          </w14:textFill>
        </w:rPr>
        <w:t>二</w:t>
      </w:r>
      <w:r>
        <w:rPr>
          <w:rFonts w:hint="eastAsia" w:ascii="宋体" w:hAnsi="宋体" w:cs="宋体"/>
          <w:b/>
          <w:bCs/>
          <w:color w:val="000000" w:themeColor="text1"/>
          <w:sz w:val="24"/>
          <w14:textFill>
            <w14:solidFill>
              <w14:schemeClr w14:val="tx1"/>
            </w14:solidFill>
          </w14:textFill>
        </w:rPr>
        <w:t>条</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项目变更</w:t>
      </w:r>
    </w:p>
    <w:p>
      <w:pPr>
        <w:pageBreakBefore w:val="0"/>
        <w:kinsoku/>
        <w:overflowPunct/>
        <w:topLinePunct w:val="0"/>
        <w:bidi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本合同履行过程中的需求变更和进度调整，以甲乙双方达成一致的书面文件为准。</w:t>
      </w:r>
    </w:p>
    <w:p>
      <w:pPr>
        <w:pageBreakBefore w:val="0"/>
        <w:kinsoku/>
        <w:overflowPunct/>
        <w:topLinePunct w:val="0"/>
        <w:bidi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乙方遇到不能按时交货或按期完工的情况，应及时以书面形式将不能按时完工的理由、延误时间通知甲方。甲方在收到乙方通知后，根据情况决定是否延长完成时间。如同意延长，则乙方责任期也相应延长。</w:t>
      </w:r>
    </w:p>
    <w:p>
      <w:pPr>
        <w:pageBreakBefore w:val="0"/>
        <w:kinsoku/>
        <w:overflowPunct/>
        <w:topLinePunct w:val="0"/>
        <w:bidi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因非乙方责任造成项目进度推迟或延误，无法按照合同约定的日期完成相应的项目，双方经过协商可以进一步约定完成的日期，乙方的责任期也随之顺延。</w:t>
      </w:r>
    </w:p>
    <w:p>
      <w:pPr>
        <w:pageBreakBefore w:val="0"/>
        <w:kinsoku/>
        <w:overflowPunct/>
        <w:topLinePunct w:val="0"/>
        <w:bidi w:val="0"/>
        <w:snapToGrid w:val="0"/>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在合同所约定的工作范畴内的服务，本合同价格不予变更</w:t>
      </w:r>
      <w:r>
        <w:rPr>
          <w:rFonts w:hint="eastAsia" w:ascii="宋体" w:hAnsi="宋体" w:cs="宋体"/>
          <w:color w:val="000000" w:themeColor="text1"/>
          <w:sz w:val="24"/>
          <w:lang w:eastAsia="zh-CN"/>
          <w14:textFill>
            <w14:solidFill>
              <w14:schemeClr w14:val="tx1"/>
            </w14:solidFill>
          </w14:textFill>
        </w:rPr>
        <w:t>。</w:t>
      </w:r>
    </w:p>
    <w:p>
      <w:pPr>
        <w:pageBreakBefore w:val="0"/>
        <w:numPr>
          <w:ilvl w:val="0"/>
          <w:numId w:val="0"/>
        </w:numPr>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lang w:val="en-US" w:eastAsia="zh-CN"/>
          <w14:textFill>
            <w14:solidFill>
              <w14:schemeClr w14:val="tx1"/>
            </w14:solidFill>
          </w14:textFill>
        </w:rPr>
        <w:t>三</w:t>
      </w:r>
      <w:r>
        <w:rPr>
          <w:rFonts w:hint="eastAsia" w:ascii="宋体" w:hAnsi="宋体" w:cs="宋体"/>
          <w:b/>
          <w:bCs/>
          <w:color w:val="000000" w:themeColor="text1"/>
          <w:sz w:val="24"/>
          <w14:textFill>
            <w14:solidFill>
              <w14:schemeClr w14:val="tx1"/>
            </w14:solidFill>
          </w14:textFill>
        </w:rPr>
        <w:t>条</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风险责任</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乙方应完全地按照【</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】号招标文件的要求和乙方投标文件的承诺完成本项目，出于自身财务、技术、人力等原因导致项目失败的，应承担全部责任。</w:t>
      </w:r>
    </w:p>
    <w:p>
      <w:pPr>
        <w:pageBreakBefore w:val="0"/>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lang w:val="en-US" w:eastAsia="zh-CN"/>
          <w14:textFill>
            <w14:solidFill>
              <w14:schemeClr w14:val="tx1"/>
            </w14:solidFill>
          </w14:textFill>
        </w:rPr>
        <w:t>四</w:t>
      </w:r>
      <w:r>
        <w:rPr>
          <w:rFonts w:hint="eastAsia" w:ascii="宋体" w:hAnsi="宋体" w:cs="宋体"/>
          <w:b/>
          <w:bCs/>
          <w:color w:val="000000" w:themeColor="text1"/>
          <w:sz w:val="24"/>
          <w14:textFill>
            <w14:solidFill>
              <w14:schemeClr w14:val="tx1"/>
            </w14:solidFill>
          </w14:textFill>
        </w:rPr>
        <w:t>条  违约责任</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乙方未按照本合同约定的时间完成本项目各阶段工作，每延迟一日，甲方有权自尚未支付的合同款项中扣除本合同服务费总金额的</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‰的逾期违约金。</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本项目项下的工作内容不可分割，任一文件的迟延交付均视为整个项目的迟延交付。</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本合同履行期间，发生下述情形时，甲方有权解除本合同，乙方除应退还甲方已支付的全部款项外, 还应在合同解除通知发出之日起10日内向甲方支付合同总价款</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0%的违约金。乙方应同时将已完成的项目成果移交给甲方，并将全部有关资料退还甲方：</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（1）乙方未能按合同约定的日期(含协商延缓的日期)提交各阶段成果或最终成果，延误时间超过15个工作日；</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（2）因乙方工作的错误或遗漏造成成果质量损失，</w:t>
      </w:r>
      <w:r>
        <w:rPr>
          <w:rFonts w:hint="eastAsia" w:ascii="宋体" w:hAnsi="宋体" w:cs="宋体"/>
          <w:color w:val="000000" w:themeColor="text1"/>
          <w:sz w:val="24"/>
          <w:lang w:val="zh-CN"/>
          <w14:textFill>
            <w14:solidFill>
              <w14:schemeClr w14:val="tx1"/>
            </w14:solidFill>
          </w14:textFill>
        </w:rPr>
        <w:t>工作成果质量低劣，不能满足甲方工作需要和要求</w:t>
      </w:r>
      <w:r>
        <w:rPr>
          <w:rFonts w:hint="eastAsia" w:ascii="宋体" w:hAnsi="宋体" w:cs="宋体"/>
          <w:color w:val="000000" w:themeColor="text1"/>
          <w:sz w:val="24"/>
          <w14:textFill>
            <w14:solidFill>
              <w14:schemeClr w14:val="tx1"/>
            </w14:solidFill>
          </w14:textFill>
        </w:rPr>
        <w:t>；</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（3）乙方虽如期提交最终成果，但连续二次未能通过甲方验收的；</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（4）未经甲方书面在先同意，乙方擅自将本合同项目与任何第三方合作，或将本合同标的全部或部分擅自转包或分包给任何第三方，且未按甲方的要求终止与第三方的合同的；</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（5）项目负责人未承担本合同项目实质性工作，或未经甲方书面在先同意，乙方擅自更换项目负责人的；</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（6）发现乙方或乙方工作人员出现全部或部分丧失履行委托服务能力的情况，甲方有权通知乙方限期整改或更换工作人员，期限届满乙方并未进行改善的；</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（7）乙方明确表示或者以自己的行为表明不履行本合同的。</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%的违约金。</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pageBreakBefore w:val="0"/>
        <w:kinsoku/>
        <w:overflowPunct/>
        <w:topLinePunct w:val="0"/>
        <w:bidi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lang w:val="en-US" w:eastAsia="zh-CN"/>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条  其他</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（1）合同书及补充协议；</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）及其澄清、补正公告；</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（4）投标书。</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本合同附件（如有）为合同不可分割的组成部分，与本合同一并加盖骑缝章后具有同等法律效力。若附件与合同正文有任何冲突，以合同正文为准。</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本合同各条标题仅为提示之用，应以条文内容确定各方的权利义务。</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本合同未尽事宜，由双方协商签订补充协议进行约定。补充协议应以书面形式作成，经双方法定代表人或其授权代表签字、盖章后与本合同具有同等法律效力。</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本合同约定的权利和义务不因合同双方发生收购、兼并、重组、分立而发生变化。如果发生上述情形，则本合同约定的权利和义务随之转移至收购、兼并、重组或分立后成立的单位。</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本合同在国家法律、法规和规章规定的范围内执行。当国家法律、法规和规章发生变化导致本合同有关条款与之抵触时，双方协商变更或废止该条款，在此情况下，双方互不承担责任。</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如果本合同的任何条款在任何时候变成不合法、无效或不可强制执行而不从根本上影响本合同的效力时，本合同的其他条款不受影响。</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任何一方未经另一方同意不得向任何第三方透露本合同的签订及其内容。甲方向其关联公司透露前述内容的，不受此限。</w:t>
      </w:r>
    </w:p>
    <w:p>
      <w:pPr>
        <w:pStyle w:val="18"/>
        <w:pageBreakBefore w:val="0"/>
        <w:kinsoku/>
        <w:overflowPunct/>
        <w:topLinePunct w:val="0"/>
        <w:bidi w:val="0"/>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pageBreakBefore w:val="0"/>
        <w:widowControl/>
        <w:kinsoku/>
        <w:overflowPunct/>
        <w:topLinePunct w:val="0"/>
        <w:bidi w:val="0"/>
        <w:spacing w:line="240" w:lineRule="auto"/>
        <w:ind w:firstLine="0" w:firstLineChars="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本合同自双方盖章之日起生效，有效期至后续服务期满之日止</w:t>
      </w:r>
      <w:r>
        <w:rPr>
          <w:rFonts w:hint="eastAsia" w:ascii="宋体" w:hAnsi="宋体" w:cs="宋体"/>
          <w:color w:val="000000" w:themeColor="text1"/>
          <w:sz w:val="24"/>
          <w14:textFill>
            <w14:solidFill>
              <w14:schemeClr w14:val="tx1"/>
            </w14:solidFill>
          </w14:textFill>
        </w:rPr>
        <w:t>。</w:t>
      </w:r>
    </w:p>
    <w:p>
      <w:pPr>
        <w:pageBreakBefore w:val="0"/>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本合同一式六份，甲、乙方各执三份，均具有同等法律效力。</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（以下无正文，为签章栏）</w:t>
      </w:r>
    </w:p>
    <w:p>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（本页为签章页）</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left="8312" w:hanging="8312" w:hangingChars="345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甲方名称：                                 乙方名称：</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深圳市前海深港现代服务业合作区管理局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（盖章）</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（盖章）</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法定代表人或授权代表：（签字）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法定代表人或授权代表：（签字）</w:t>
      </w:r>
    </w:p>
    <w:p>
      <w:pPr>
        <w:widowControl/>
        <w:adjustRightInd w:val="0"/>
        <w:snapToGrid w:val="0"/>
        <w:spacing w:line="360" w:lineRule="auto"/>
        <w:ind w:firstLine="200"/>
        <w:jc w:val="left"/>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日期：</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注：本合同样本仅供参考，非实质性条款内容可由采购人和中标人协商确定。</w:t>
      </w:r>
    </w:p>
    <w:p>
      <w:pPr>
        <w:snapToGrid w:val="0"/>
        <w:spacing w:line="360" w:lineRule="auto"/>
        <w:rPr>
          <w:rFonts w:hint="eastAsia" w:ascii="宋体" w:hAnsi="宋体" w:cs="宋体"/>
          <w:color w:val="000000" w:themeColor="text1"/>
          <w:sz w:val="24"/>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3" w:name="_Toc25518"/>
      <w:r>
        <w:rPr>
          <w:rFonts w:hint="eastAsia" w:ascii="宋体" w:hAnsi="宋体" w:cs="宋体"/>
          <w:b/>
          <w:bCs/>
          <w:color w:val="000000" w:themeColor="text1"/>
          <w:sz w:val="24"/>
          <w14:textFill>
            <w14:solidFill>
              <w14:schemeClr w14:val="tx1"/>
            </w14:solidFill>
          </w14:textFill>
        </w:rPr>
        <w:t>用户需求书</w:t>
      </w:r>
      <w:bookmarkEnd w:id="13"/>
    </w:p>
    <w:p>
      <w:pPr>
        <w:pStyle w:val="19"/>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14" w:name="_Toc11045"/>
      <w:bookmarkStart w:id="15" w:name="_Toc23726"/>
      <w:r>
        <w:rPr>
          <w:rFonts w:hint="eastAsia" w:ascii="宋体" w:hAnsi="宋体" w:cs="宋体"/>
          <w:b/>
          <w:color w:val="000000" w:themeColor="text1"/>
          <w:sz w:val="24"/>
          <w14:textFill>
            <w14:solidFill>
              <w14:schemeClr w14:val="tx1"/>
            </w14:solidFill>
          </w14:textFill>
        </w:rPr>
        <w:t>一、</w:t>
      </w:r>
      <w:bookmarkEnd w:id="14"/>
      <w:bookmarkEnd w:id="15"/>
      <w:bookmarkStart w:id="16" w:name="_Toc51746099"/>
      <w:r>
        <w:rPr>
          <w:rFonts w:hint="eastAsia" w:ascii="宋体" w:hAnsi="宋体" w:cs="宋体"/>
          <w:b/>
          <w:color w:val="000000" w:themeColor="text1"/>
          <w:sz w:val="24"/>
          <w:lang w:val="zh-CN"/>
          <w14:textFill>
            <w14:solidFill>
              <w14:schemeClr w14:val="tx1"/>
            </w14:solidFill>
          </w14:textFill>
        </w:rPr>
        <w:t>项目概况</w:t>
      </w:r>
    </w:p>
    <w:bookmarkEnd w:id="16"/>
    <w:p>
      <w:pPr>
        <w:pStyle w:val="3"/>
        <w:spacing w:after="0" w:line="360" w:lineRule="auto"/>
        <w:ind w:firstLine="480" w:firstLineChars="200"/>
        <w:rPr>
          <w:rFonts w:hint="eastAsia" w:ascii="宋体" w:hAnsi="宋体" w:cs="宋体"/>
          <w:color w:val="000000" w:themeColor="text1"/>
          <w:szCs w:val="32"/>
          <w14:textFill>
            <w14:solidFill>
              <w14:schemeClr w14:val="tx1"/>
            </w14:solidFill>
          </w14:textFill>
        </w:rPr>
      </w:pPr>
      <w:r>
        <w:rPr>
          <w:rFonts w:hint="eastAsia" w:ascii="宋体" w:hAnsi="宋体" w:cs="宋体"/>
          <w:color w:val="000000" w:themeColor="text1"/>
          <w:szCs w:val="32"/>
          <w14:textFill>
            <w14:solidFill>
              <w14:schemeClr w14:val="tx1"/>
            </w14:solidFill>
          </w14:textFill>
        </w:rPr>
        <w:t>外资数据是前海经济运行的重要统计数据。前海合作区扩区后，进一步拓展了前海合作区经济运行数据的统计范围与服务内容。为落实《全面深化前海深港现代服务业合作区改革开放方案》有关要求，亟需做好前海合作区外资经济运行分析和统计工作，全面掌握扩区后前海合作区外资数据结构与经济运行特征，动态掌握区内企业发展情况，分析挖掘现行经济发展的亮点和问题，为科学决策提供数据支持和分析服务，有力推动前海深港现代服务业合作区经济高质量发展。</w:t>
      </w:r>
    </w:p>
    <w:p>
      <w:pPr>
        <w:pStyle w:val="19"/>
        <w:tabs>
          <w:tab w:val="left" w:pos="720"/>
        </w:tabs>
        <w:autoSpaceDE w:val="0"/>
        <w:autoSpaceDN w:val="0"/>
        <w:adjustRightInd w:val="0"/>
        <w:spacing w:line="360" w:lineRule="auto"/>
        <w:ind w:right="17" w:firstLine="482"/>
        <w:jc w:val="lef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w:t>
      </w:r>
      <w:r>
        <w:rPr>
          <w:rFonts w:hint="eastAsia" w:ascii="宋体" w:hAnsi="宋体" w:cs="宋体"/>
          <w:b/>
          <w:color w:val="000000" w:themeColor="text1"/>
          <w:sz w:val="24"/>
          <w:lang w:val="en-US" w:eastAsia="zh-CN"/>
          <w14:textFill>
            <w14:solidFill>
              <w14:schemeClr w14:val="tx1"/>
            </w14:solidFill>
          </w14:textFill>
        </w:rPr>
        <w:t>工作</w:t>
      </w:r>
      <w:r>
        <w:rPr>
          <w:rFonts w:hint="eastAsia" w:ascii="宋体" w:hAnsi="宋体" w:cs="宋体"/>
          <w:b/>
          <w:color w:val="000000" w:themeColor="text1"/>
          <w:sz w:val="24"/>
          <w14:textFill>
            <w14:solidFill>
              <w14:schemeClr w14:val="tx1"/>
            </w14:solidFill>
          </w14:textFill>
        </w:rPr>
        <w:t>内容</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（一）协助建立外资、港资企业名录库</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lang w:val="en-US" w:eastAsia="zh-CN"/>
          <w14:textFill>
            <w14:solidFill>
              <w14:schemeClr w14:val="tx1"/>
            </w14:solidFill>
          </w14:textFill>
        </w:rPr>
        <w:t>.</w:t>
      </w:r>
      <w:r>
        <w:rPr>
          <w:rFonts w:hint="eastAsia" w:ascii="宋体" w:hAnsi="宋体" w:eastAsia="宋体" w:cs="宋体"/>
          <w:b w:val="0"/>
          <w:bCs/>
          <w:color w:val="000000" w:themeColor="text1"/>
          <w:sz w:val="24"/>
          <w:lang w:val="en-US" w:eastAsia="zh-CN"/>
          <w14:textFill>
            <w14:solidFill>
              <w14:schemeClr w14:val="tx1"/>
            </w14:solidFill>
          </w14:textFill>
        </w:rPr>
        <w:t>协助采集外资企业数据，按月向市商务局、南山区工信局、宝安区工信局等获取前海最新的外资、港资企业名单，及时核对校验。</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2</w:t>
      </w:r>
      <w:r>
        <w:rPr>
          <w:rFonts w:hint="eastAsia" w:ascii="宋体" w:hAnsi="宋体" w:cs="宋体"/>
          <w:b w:val="0"/>
          <w:bCs/>
          <w:color w:val="000000" w:themeColor="text1"/>
          <w:sz w:val="24"/>
          <w:lang w:val="en-US" w:eastAsia="zh-CN"/>
          <w14:textFill>
            <w14:solidFill>
              <w14:schemeClr w14:val="tx1"/>
            </w14:solidFill>
          </w14:textFill>
        </w:rPr>
        <w:t>.</w:t>
      </w:r>
      <w:r>
        <w:rPr>
          <w:rFonts w:hint="eastAsia" w:ascii="宋体" w:hAnsi="宋体" w:eastAsia="宋体" w:cs="宋体"/>
          <w:b w:val="0"/>
          <w:bCs/>
          <w:color w:val="000000" w:themeColor="text1"/>
          <w:sz w:val="24"/>
          <w:lang w:val="en-US" w:eastAsia="zh-CN"/>
          <w14:textFill>
            <w14:solidFill>
              <w14:schemeClr w14:val="tx1"/>
            </w14:solidFill>
          </w14:textFill>
        </w:rPr>
        <w:t>协助完善前海的外资、港资企业名录库。</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（二）统计信息汇总、上报等有关工作</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lang w:val="en-US" w:eastAsia="zh-CN"/>
          <w14:textFill>
            <w14:solidFill>
              <w14:schemeClr w14:val="tx1"/>
            </w14:solidFill>
          </w14:textFill>
        </w:rPr>
        <w:t>.</w:t>
      </w:r>
      <w:r>
        <w:rPr>
          <w:rFonts w:hint="eastAsia" w:ascii="宋体" w:hAnsi="宋体" w:eastAsia="宋体" w:cs="宋体"/>
          <w:b w:val="0"/>
          <w:bCs/>
          <w:color w:val="000000" w:themeColor="text1"/>
          <w:sz w:val="24"/>
          <w:lang w:val="en-US" w:eastAsia="zh-CN"/>
          <w14:textFill>
            <w14:solidFill>
              <w14:schemeClr w14:val="tx1"/>
            </w14:solidFill>
          </w14:textFill>
        </w:rPr>
        <w:t>企业到资凭证的催缴和信息管理：</w:t>
      </w:r>
      <w:r>
        <w:rPr>
          <w:rFonts w:hint="eastAsia" w:ascii="宋体" w:hAnsi="宋体" w:cs="宋体"/>
          <w:b w:val="0"/>
          <w:bCs/>
          <w:color w:val="000000" w:themeColor="text1"/>
          <w:sz w:val="24"/>
          <w:lang w:val="en-US" w:eastAsia="zh-CN"/>
          <w14:textFill>
            <w14:solidFill>
              <w14:schemeClr w14:val="tx1"/>
            </w14:solidFill>
          </w14:textFill>
        </w:rPr>
        <w:t>配合</w:t>
      </w:r>
      <w:r>
        <w:rPr>
          <w:rFonts w:hint="eastAsia" w:ascii="宋体" w:hAnsi="宋体" w:eastAsia="宋体" w:cs="宋体"/>
          <w:b w:val="0"/>
          <w:bCs/>
          <w:color w:val="000000" w:themeColor="text1"/>
          <w:sz w:val="24"/>
          <w:lang w:val="en-US" w:eastAsia="zh-CN"/>
          <w14:textFill>
            <w14:solidFill>
              <w14:schemeClr w14:val="tx1"/>
            </w14:solidFill>
          </w14:textFill>
        </w:rPr>
        <w:t>按月向市商务局或外汇管理局获取企业到资信息，向企业催缴到资凭证，对未提交到资凭证的企业进行多次催缴，直至企业提交到资凭证，整理到资凭证，做好相关信息台账化管理。</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2</w:t>
      </w:r>
      <w:r>
        <w:rPr>
          <w:rFonts w:hint="eastAsia" w:ascii="宋体" w:hAnsi="宋体" w:cs="宋体"/>
          <w:b w:val="0"/>
          <w:bCs/>
          <w:color w:val="000000" w:themeColor="text1"/>
          <w:sz w:val="24"/>
          <w:lang w:val="en-US" w:eastAsia="zh-CN"/>
          <w14:textFill>
            <w14:solidFill>
              <w14:schemeClr w14:val="tx1"/>
            </w14:solidFill>
          </w14:textFill>
        </w:rPr>
        <w:t>.</w:t>
      </w:r>
      <w:r>
        <w:rPr>
          <w:rFonts w:hint="eastAsia" w:ascii="宋体" w:hAnsi="宋体" w:eastAsia="宋体" w:cs="宋体"/>
          <w:b w:val="0"/>
          <w:bCs/>
          <w:color w:val="000000" w:themeColor="text1"/>
          <w:sz w:val="24"/>
          <w:lang w:val="en-US" w:eastAsia="zh-CN"/>
          <w14:textFill>
            <w14:solidFill>
              <w14:schemeClr w14:val="tx1"/>
            </w14:solidFill>
          </w14:textFill>
        </w:rPr>
        <w:t>实际使用外资上报：</w:t>
      </w:r>
      <w:r>
        <w:rPr>
          <w:rFonts w:hint="eastAsia" w:ascii="宋体" w:hAnsi="宋体" w:cs="宋体"/>
          <w:b w:val="0"/>
          <w:bCs/>
          <w:color w:val="000000" w:themeColor="text1"/>
          <w:sz w:val="24"/>
          <w:lang w:val="en-US" w:eastAsia="zh-CN"/>
          <w14:textFill>
            <w14:solidFill>
              <w14:schemeClr w14:val="tx1"/>
            </w14:solidFill>
          </w14:textFill>
        </w:rPr>
        <w:t>协助</w:t>
      </w:r>
      <w:r>
        <w:rPr>
          <w:rFonts w:hint="eastAsia" w:ascii="宋体" w:hAnsi="宋体" w:eastAsia="宋体" w:cs="宋体"/>
          <w:b w:val="0"/>
          <w:bCs/>
          <w:color w:val="000000" w:themeColor="text1"/>
          <w:sz w:val="24"/>
          <w:lang w:val="en-US" w:eastAsia="zh-CN"/>
          <w14:textFill>
            <w14:solidFill>
              <w14:schemeClr w14:val="tx1"/>
            </w14:solidFill>
          </w14:textFill>
        </w:rPr>
        <w:t>获取全市及市内各区实际使用外资趋势，</w:t>
      </w:r>
      <w:r>
        <w:rPr>
          <w:rFonts w:hint="eastAsia" w:ascii="宋体" w:hAnsi="宋体" w:cs="宋体"/>
          <w:b w:val="0"/>
          <w:bCs/>
          <w:color w:val="000000" w:themeColor="text1"/>
          <w:sz w:val="24"/>
          <w:lang w:val="en-US" w:eastAsia="zh-CN"/>
          <w14:textFill>
            <w14:solidFill>
              <w14:schemeClr w14:val="tx1"/>
            </w14:solidFill>
          </w14:textFill>
        </w:rPr>
        <w:t>配合</w:t>
      </w:r>
      <w:r>
        <w:rPr>
          <w:rFonts w:hint="eastAsia" w:ascii="宋体" w:hAnsi="宋体" w:eastAsia="宋体" w:cs="宋体"/>
          <w:b w:val="0"/>
          <w:bCs/>
          <w:color w:val="000000" w:themeColor="text1"/>
          <w:sz w:val="24"/>
          <w:lang w:val="en-US" w:eastAsia="zh-CN"/>
          <w14:textFill>
            <w14:solidFill>
              <w14:schemeClr w14:val="tx1"/>
            </w14:solidFill>
          </w14:textFill>
        </w:rPr>
        <w:t>按月度在规定时间内录入上报当月数据，</w:t>
      </w:r>
      <w:r>
        <w:rPr>
          <w:rFonts w:hint="eastAsia" w:ascii="宋体" w:hAnsi="宋体" w:cs="宋体"/>
          <w:b w:val="0"/>
          <w:bCs/>
          <w:color w:val="000000" w:themeColor="text1"/>
          <w:sz w:val="24"/>
          <w:lang w:val="en-US" w:eastAsia="zh-CN"/>
          <w14:textFill>
            <w14:solidFill>
              <w14:schemeClr w14:val="tx1"/>
            </w14:solidFill>
          </w14:textFill>
        </w:rPr>
        <w:t>配合</w:t>
      </w:r>
      <w:r>
        <w:rPr>
          <w:rFonts w:hint="eastAsia" w:ascii="宋体" w:hAnsi="宋体" w:eastAsia="宋体" w:cs="宋体"/>
          <w:b w:val="0"/>
          <w:bCs/>
          <w:color w:val="000000" w:themeColor="text1"/>
          <w:sz w:val="24"/>
          <w:lang w:val="en-US" w:eastAsia="zh-CN"/>
          <w14:textFill>
            <w14:solidFill>
              <w14:schemeClr w14:val="tx1"/>
            </w14:solidFill>
          </w14:textFill>
        </w:rPr>
        <w:t>与上级部门对接好实际使用外资相关工作，确保应统尽统，在完成数据上报后整理更新初步实际使用数据简报。</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default" w:ascii="宋体" w:hAnsi="宋体" w:eastAsia="宋体" w:cs="宋体"/>
          <w:b/>
          <w:color w:val="000000" w:themeColor="text1"/>
          <w:sz w:val="24"/>
          <w:lang w:val="en-US" w:eastAsia="zh-CN"/>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（三）统计分析外资数据、简报报送</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lang w:val="en-US" w:eastAsia="zh-CN"/>
          <w14:textFill>
            <w14:solidFill>
              <w14:schemeClr w14:val="tx1"/>
            </w14:solidFill>
          </w14:textFill>
        </w:rPr>
        <w:t>.</w:t>
      </w:r>
      <w:r>
        <w:rPr>
          <w:rFonts w:hint="eastAsia" w:ascii="宋体" w:hAnsi="宋体" w:eastAsia="宋体" w:cs="宋体"/>
          <w:b w:val="0"/>
          <w:bCs/>
          <w:color w:val="000000" w:themeColor="text1"/>
          <w:sz w:val="24"/>
          <w:lang w:val="en-US" w:eastAsia="zh-CN"/>
          <w14:textFill>
            <w14:solidFill>
              <w14:schemeClr w14:val="tx1"/>
            </w14:solidFill>
          </w14:textFill>
        </w:rPr>
        <w:t>获取、整理、入库、清洗外资反馈数据，</w:t>
      </w:r>
      <w:r>
        <w:rPr>
          <w:rFonts w:hint="eastAsia" w:ascii="宋体" w:hAnsi="宋体" w:cs="宋体"/>
          <w:b w:val="0"/>
          <w:bCs/>
          <w:color w:val="000000" w:themeColor="text1"/>
          <w:sz w:val="24"/>
          <w:lang w:val="en-US" w:eastAsia="zh-CN"/>
          <w14:textFill>
            <w14:solidFill>
              <w14:schemeClr w14:val="tx1"/>
            </w14:solidFill>
          </w14:textFill>
        </w:rPr>
        <w:t>配合</w:t>
      </w:r>
      <w:r>
        <w:rPr>
          <w:rFonts w:hint="eastAsia" w:ascii="宋体" w:hAnsi="宋体" w:eastAsia="宋体" w:cs="宋体"/>
          <w:b w:val="0"/>
          <w:bCs/>
          <w:color w:val="000000" w:themeColor="text1"/>
          <w:sz w:val="24"/>
          <w:lang w:val="en-US" w:eastAsia="zh-CN"/>
          <w14:textFill>
            <w14:solidFill>
              <w14:schemeClr w14:val="tx1"/>
            </w14:solidFill>
          </w14:textFill>
        </w:rPr>
        <w:t>对接商务部月度外资数据反馈情况。</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2</w:t>
      </w:r>
      <w:r>
        <w:rPr>
          <w:rFonts w:hint="eastAsia" w:ascii="宋体" w:hAnsi="宋体" w:cs="宋体"/>
          <w:b w:val="0"/>
          <w:bCs/>
          <w:color w:val="000000" w:themeColor="text1"/>
          <w:sz w:val="24"/>
          <w:lang w:val="en-US" w:eastAsia="zh-CN"/>
          <w14:textFill>
            <w14:solidFill>
              <w14:schemeClr w14:val="tx1"/>
            </w14:solidFill>
          </w14:textFill>
        </w:rPr>
        <w:t>.配合</w:t>
      </w:r>
      <w:r>
        <w:rPr>
          <w:rFonts w:hint="eastAsia" w:ascii="宋体" w:hAnsi="宋体" w:eastAsia="宋体" w:cs="宋体"/>
          <w:b w:val="0"/>
          <w:bCs/>
          <w:color w:val="000000" w:themeColor="text1"/>
          <w:sz w:val="24"/>
          <w:lang w:val="en-US" w:eastAsia="zh-CN"/>
          <w14:textFill>
            <w14:solidFill>
              <w14:schemeClr w14:val="tx1"/>
            </w14:solidFill>
          </w14:textFill>
        </w:rPr>
        <w:t>按月度向市商务局、南山区工信局、宝安区工信局等获取前海企业利用外资和对外投资数据。</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3</w:t>
      </w:r>
      <w:r>
        <w:rPr>
          <w:rFonts w:hint="eastAsia" w:ascii="宋体" w:hAnsi="宋体" w:cs="宋体"/>
          <w:b w:val="0"/>
          <w:bCs/>
          <w:color w:val="000000" w:themeColor="text1"/>
          <w:sz w:val="24"/>
          <w:lang w:val="en-US" w:eastAsia="zh-CN"/>
          <w14:textFill>
            <w14:solidFill>
              <w14:schemeClr w14:val="tx1"/>
            </w14:solidFill>
          </w14:textFill>
        </w:rPr>
        <w:t>.协助</w:t>
      </w:r>
      <w:r>
        <w:rPr>
          <w:rFonts w:hint="eastAsia" w:ascii="宋体" w:hAnsi="宋体" w:eastAsia="宋体" w:cs="宋体"/>
          <w:b w:val="0"/>
          <w:bCs/>
          <w:color w:val="000000" w:themeColor="text1"/>
          <w:sz w:val="24"/>
          <w:lang w:val="en-US" w:eastAsia="zh-CN"/>
          <w14:textFill>
            <w14:solidFill>
              <w14:schemeClr w14:val="tx1"/>
            </w14:solidFill>
          </w14:textFill>
        </w:rPr>
        <w:t>更新外资月度数据简报和季度分析报告。</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4</w:t>
      </w:r>
      <w:r>
        <w:rPr>
          <w:rFonts w:hint="eastAsia" w:ascii="宋体" w:hAnsi="宋体" w:cs="宋体"/>
          <w:b w:val="0"/>
          <w:bCs/>
          <w:color w:val="000000" w:themeColor="text1"/>
          <w:sz w:val="24"/>
          <w:lang w:val="en-US" w:eastAsia="zh-CN"/>
          <w14:textFill>
            <w14:solidFill>
              <w14:schemeClr w14:val="tx1"/>
            </w14:solidFill>
          </w14:textFill>
        </w:rPr>
        <w:t>.协助</w:t>
      </w:r>
      <w:r>
        <w:rPr>
          <w:rFonts w:hint="eastAsia" w:ascii="宋体" w:hAnsi="宋体" w:eastAsia="宋体" w:cs="宋体"/>
          <w:b w:val="0"/>
          <w:bCs/>
          <w:color w:val="000000" w:themeColor="text1"/>
          <w:sz w:val="24"/>
          <w:lang w:val="en-US" w:eastAsia="zh-CN"/>
          <w14:textFill>
            <w14:solidFill>
              <w14:schemeClr w14:val="tx1"/>
            </w14:solidFill>
          </w14:textFill>
        </w:rPr>
        <w:t>协助外资统计系统中统计部门划分错误、企业股东国别信息错误、合同外资金额错误等问题的处理。</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（四）对接企业答疑、审核报表等工作</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lang w:val="en-US" w:eastAsia="zh-CN"/>
          <w14:textFill>
            <w14:solidFill>
              <w14:schemeClr w14:val="tx1"/>
            </w14:solidFill>
          </w14:textFill>
        </w:rPr>
        <w:t>.配合</w:t>
      </w:r>
      <w:r>
        <w:rPr>
          <w:rFonts w:hint="eastAsia" w:ascii="宋体" w:hAnsi="宋体" w:eastAsia="宋体" w:cs="宋体"/>
          <w:b w:val="0"/>
          <w:bCs/>
          <w:color w:val="000000" w:themeColor="text1"/>
          <w:sz w:val="24"/>
          <w:lang w:val="en-US" w:eastAsia="zh-CN"/>
          <w14:textFill>
            <w14:solidFill>
              <w14:schemeClr w14:val="tx1"/>
            </w14:solidFill>
          </w14:textFill>
        </w:rPr>
        <w:t>商务部外资直报平台外资月度调查表、年度调查表的催报、审核。</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2</w:t>
      </w:r>
      <w:r>
        <w:rPr>
          <w:rFonts w:hint="eastAsia" w:ascii="宋体" w:hAnsi="宋体" w:cs="宋体"/>
          <w:b w:val="0"/>
          <w:bCs/>
          <w:color w:val="000000" w:themeColor="text1"/>
          <w:sz w:val="24"/>
          <w:lang w:val="en-US" w:eastAsia="zh-CN"/>
          <w14:textFill>
            <w14:solidFill>
              <w14:schemeClr w14:val="tx1"/>
            </w14:solidFill>
          </w14:textFill>
        </w:rPr>
        <w:t>.协助</w:t>
      </w:r>
      <w:r>
        <w:rPr>
          <w:rFonts w:hint="eastAsia" w:ascii="宋体" w:hAnsi="宋体" w:eastAsia="宋体" w:cs="宋体"/>
          <w:b w:val="0"/>
          <w:bCs/>
          <w:color w:val="000000" w:themeColor="text1"/>
          <w:sz w:val="24"/>
          <w:lang w:val="en-US" w:eastAsia="zh-CN"/>
          <w14:textFill>
            <w14:solidFill>
              <w14:schemeClr w14:val="tx1"/>
            </w14:solidFill>
          </w14:textFill>
        </w:rPr>
        <w:t>按月催报前海外资直报平台的企业报送月度调查报表、年度调查报表，完成企业答疑和报表审核工作。</w:t>
      </w:r>
    </w:p>
    <w:p>
      <w:pPr>
        <w:pStyle w:val="19"/>
        <w:pageBreakBefore w:val="0"/>
        <w:tabs>
          <w:tab w:val="left" w:pos="720"/>
        </w:tabs>
        <w:kinsoku/>
        <w:overflowPunct/>
        <w:topLinePunct w:val="0"/>
        <w:autoSpaceDE w:val="0"/>
        <w:autoSpaceDN w:val="0"/>
        <w:bidi w:val="0"/>
        <w:adjustRightInd w:val="0"/>
        <w:spacing w:line="360" w:lineRule="auto"/>
        <w:ind w:right="17" w:firstLine="482"/>
        <w:jc w:val="left"/>
        <w:outlineLvl w:val="1"/>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3</w:t>
      </w:r>
      <w:r>
        <w:rPr>
          <w:rFonts w:hint="eastAsia" w:ascii="宋体" w:hAnsi="宋体" w:cs="宋体"/>
          <w:b w:val="0"/>
          <w:bCs/>
          <w:color w:val="000000" w:themeColor="text1"/>
          <w:sz w:val="24"/>
          <w:lang w:val="en-US" w:eastAsia="zh-CN"/>
          <w14:textFill>
            <w14:solidFill>
              <w14:schemeClr w14:val="tx1"/>
            </w14:solidFill>
          </w14:textFill>
        </w:rPr>
        <w:t>.配合</w:t>
      </w:r>
      <w:r>
        <w:rPr>
          <w:rFonts w:hint="eastAsia" w:ascii="宋体" w:hAnsi="宋体" w:eastAsia="宋体" w:cs="宋体"/>
          <w:b w:val="0"/>
          <w:bCs/>
          <w:color w:val="000000" w:themeColor="text1"/>
          <w:sz w:val="24"/>
          <w:lang w:val="en-US" w:eastAsia="zh-CN"/>
          <w14:textFill>
            <w14:solidFill>
              <w14:schemeClr w14:val="tx1"/>
            </w14:solidFill>
          </w14:textFill>
        </w:rPr>
        <w:t>完成外商投资企业年报催报，按要求通知前海的外资企业在规定时间内完成年报报送，通知数据异常或漏报指标企业及时修改、补报年报。</w:t>
      </w:r>
    </w:p>
    <w:p>
      <w:pPr>
        <w:spacing w:line="5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4</w:t>
      </w:r>
      <w:r>
        <w:rPr>
          <w:rFonts w:hint="eastAsia" w:ascii="宋体" w:hAnsi="宋体" w:cs="宋体"/>
          <w:b w:val="0"/>
          <w:bCs/>
          <w:color w:val="000000" w:themeColor="text1"/>
          <w:sz w:val="24"/>
          <w:lang w:val="en-US" w:eastAsia="zh-CN"/>
          <w14:textFill>
            <w14:solidFill>
              <w14:schemeClr w14:val="tx1"/>
            </w14:solidFill>
          </w14:textFill>
        </w:rPr>
        <w:t>.配合</w:t>
      </w:r>
      <w:r>
        <w:rPr>
          <w:rFonts w:hint="eastAsia" w:ascii="宋体" w:hAnsi="宋体" w:eastAsia="宋体" w:cs="宋体"/>
          <w:b w:val="0"/>
          <w:bCs/>
          <w:color w:val="000000" w:themeColor="text1"/>
          <w:sz w:val="24"/>
          <w:lang w:val="en-US" w:eastAsia="zh-CN"/>
          <w14:textFill>
            <w14:solidFill>
              <w14:schemeClr w14:val="tx1"/>
            </w14:solidFill>
          </w14:textFill>
        </w:rPr>
        <w:t>按年度报送前海外商投资企业年度投资经营信息联合年度报告</w:t>
      </w:r>
      <w:r>
        <w:rPr>
          <w:rFonts w:hint="eastAsia" w:ascii="宋体" w:hAnsi="宋体" w:cs="宋体"/>
          <w:b w:val="0"/>
          <w:bCs/>
          <w:color w:val="000000" w:themeColor="text1"/>
          <w:sz w:val="24"/>
          <w:lang w:val="en-US" w:eastAsia="zh-CN"/>
          <w14:textFill>
            <w14:solidFill>
              <w14:schemeClr w14:val="tx1"/>
            </w14:solidFill>
          </w14:textFill>
        </w:rPr>
        <w:t>。</w:t>
      </w:r>
    </w:p>
    <w:p>
      <w:pPr>
        <w:pStyle w:val="19"/>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三</w:t>
      </w:r>
      <w:r>
        <w:rPr>
          <w:rFonts w:hint="eastAsia" w:ascii="宋体" w:hAnsi="宋体" w:cs="宋体"/>
          <w:b/>
          <w:color w:val="000000" w:themeColor="text1"/>
          <w:sz w:val="24"/>
          <w:highlight w:val="none"/>
          <w14:textFill>
            <w14:solidFill>
              <w14:schemeClr w14:val="tx1"/>
            </w14:solidFill>
          </w14:textFill>
        </w:rPr>
        <w:t>、验收标准</w:t>
      </w:r>
    </w:p>
    <w:p>
      <w:pPr>
        <w:pStyle w:val="19"/>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（一）所有成果提交并通过前海深港现代服务业合作区管理局验收。</w:t>
      </w:r>
    </w:p>
    <w:p>
      <w:pPr>
        <w:pStyle w:val="19"/>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（二）验收</w:t>
      </w:r>
      <w:r>
        <w:rPr>
          <w:rFonts w:hint="eastAsia" w:ascii="宋体" w:hAnsi="宋体" w:eastAsia="宋体" w:cs="宋体"/>
          <w:color w:val="000000" w:themeColor="text1"/>
          <w:sz w:val="24"/>
          <w:lang w:val="en-US" w:eastAsia="zh-CN"/>
          <w14:textFill>
            <w14:solidFill>
              <w14:schemeClr w14:val="tx1"/>
            </w14:solidFill>
          </w14:textFill>
        </w:rPr>
        <w:t>内容</w:t>
      </w:r>
      <w:r>
        <w:rPr>
          <w:rFonts w:hint="eastAsia" w:ascii="宋体" w:hAnsi="宋体" w:cs="宋体"/>
          <w:bCs/>
          <w:color w:val="000000" w:themeColor="text1"/>
          <w:sz w:val="24"/>
          <w:highlight w:val="none"/>
          <w14:textFill>
            <w14:solidFill>
              <w14:schemeClr w14:val="tx1"/>
            </w14:solidFill>
          </w14:textFill>
        </w:rPr>
        <w:t>:本项目需形成</w:t>
      </w:r>
      <w:r>
        <w:rPr>
          <w:rFonts w:hint="eastAsia" w:ascii="宋体" w:hAnsi="宋体" w:cs="宋体"/>
          <w:bCs/>
          <w:color w:val="000000" w:themeColor="text1"/>
          <w:sz w:val="24"/>
          <w:highlight w:val="none"/>
          <w:lang w:eastAsia="zh-CN"/>
          <w14:textFill>
            <w14:solidFill>
              <w14:schemeClr w14:val="tx1"/>
            </w14:solidFill>
          </w14:textFill>
        </w:rPr>
        <w:t>四</w:t>
      </w:r>
      <w:r>
        <w:rPr>
          <w:rFonts w:hint="eastAsia" w:ascii="宋体" w:hAnsi="宋体" w:cs="宋体"/>
          <w:bCs/>
          <w:color w:val="000000" w:themeColor="text1"/>
          <w:sz w:val="24"/>
          <w:highlight w:val="none"/>
          <w14:textFill>
            <w14:solidFill>
              <w14:schemeClr w14:val="tx1"/>
            </w14:solidFill>
          </w14:textFill>
        </w:rPr>
        <w:t>类文件，并以书面形式和电子形式（*.doc格式）按时提交至</w:t>
      </w:r>
      <w:r>
        <w:rPr>
          <w:rFonts w:hint="eastAsia" w:ascii="宋体" w:hAnsi="宋体" w:cs="宋体"/>
          <w:bCs/>
          <w:color w:val="000000" w:themeColor="text1"/>
          <w:sz w:val="24"/>
          <w:highlight w:val="none"/>
          <w:lang w:val="en-US" w:eastAsia="zh-CN"/>
          <w14:textFill>
            <w14:solidFill>
              <w14:schemeClr w14:val="tx1"/>
            </w14:solidFill>
          </w14:textFill>
        </w:rPr>
        <w:t>采购人</w:t>
      </w:r>
      <w:r>
        <w:rPr>
          <w:rFonts w:hint="eastAsia" w:ascii="宋体" w:hAnsi="宋体" w:cs="宋体"/>
          <w:bCs/>
          <w:color w:val="000000" w:themeColor="text1"/>
          <w:sz w:val="24"/>
          <w:highlight w:val="none"/>
          <w14:textFill>
            <w14:solidFill>
              <w14:schemeClr w14:val="tx1"/>
            </w14:solidFill>
          </w14:textFill>
        </w:rPr>
        <w:t>进行修改完善直至定稿：一是按月度形成外资月度数据简报（全年共12份）；二是按季度形成</w:t>
      </w:r>
      <w:r>
        <w:rPr>
          <w:rFonts w:hint="eastAsia" w:ascii="宋体" w:hAnsi="宋体" w:cs="宋体"/>
          <w:bCs/>
          <w:color w:val="000000" w:themeColor="text1"/>
          <w:sz w:val="24"/>
          <w:highlight w:val="none"/>
          <w:lang w:eastAsia="zh-CN"/>
          <w14:textFill>
            <w14:solidFill>
              <w14:schemeClr w14:val="tx1"/>
            </w14:solidFill>
          </w14:textFill>
        </w:rPr>
        <w:t>外资数据统计分析</w:t>
      </w:r>
      <w:r>
        <w:rPr>
          <w:rFonts w:hint="eastAsia" w:ascii="宋体" w:hAnsi="宋体" w:cs="宋体"/>
          <w:bCs/>
          <w:color w:val="000000" w:themeColor="text1"/>
          <w:sz w:val="24"/>
          <w:highlight w:val="none"/>
          <w14:textFill>
            <w14:solidFill>
              <w14:schemeClr w14:val="tx1"/>
            </w14:solidFill>
          </w14:textFill>
        </w:rPr>
        <w:t>报告（全年共4份）；三是按年度形成外商投资企业年度投资经营信息联合年度报告（全年共1份）</w:t>
      </w:r>
      <w:r>
        <w:rPr>
          <w:rFonts w:hint="eastAsia" w:ascii="宋体" w:hAnsi="宋体" w:cs="宋体"/>
          <w:bCs/>
          <w:color w:val="000000" w:themeColor="text1"/>
          <w:sz w:val="24"/>
          <w:highlight w:val="none"/>
          <w:lang w:eastAsia="zh-CN"/>
          <w14:textFill>
            <w14:solidFill>
              <w14:schemeClr w14:val="tx1"/>
            </w14:solidFill>
          </w14:textFill>
        </w:rPr>
        <w:t>；四是国际国内外资动向、比对报告（全年共2份）</w:t>
      </w:r>
      <w:r>
        <w:rPr>
          <w:rFonts w:hint="eastAsia" w:ascii="宋体" w:hAnsi="宋体" w:cs="宋体"/>
          <w:bCs/>
          <w:color w:val="000000" w:themeColor="text1"/>
          <w:sz w:val="24"/>
          <w:highlight w:val="none"/>
          <w14:textFill>
            <w14:solidFill>
              <w14:schemeClr w14:val="tx1"/>
            </w14:solidFill>
          </w14:textFill>
        </w:rPr>
        <w:t>。</w:t>
      </w:r>
    </w:p>
    <w:p>
      <w:pPr>
        <w:pStyle w:val="19"/>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四</w:t>
      </w:r>
      <w:r>
        <w:rPr>
          <w:rFonts w:hint="eastAsia" w:ascii="宋体" w:hAnsi="宋体" w:cs="宋体"/>
          <w:b/>
          <w:color w:val="000000" w:themeColor="text1"/>
          <w:sz w:val="24"/>
          <w14:textFill>
            <w14:solidFill>
              <w14:schemeClr w14:val="tx1"/>
            </w14:solidFill>
          </w14:textFill>
        </w:rPr>
        <w:t>、商务要求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spacing w:after="156" w:afterLines="50" w:line="360" w:lineRule="auto"/>
        <w:ind w:firstLine="480" w:firstLineChars="200"/>
        <w:rPr>
          <w:rFonts w:hint="eastAsia"/>
          <w:color w:val="000000" w:themeColor="text1"/>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本项目合同服务期限为自合同签订之日起12个月。本项目为长期服务项目，经履约考核</w:t>
      </w:r>
      <w:r>
        <w:rPr>
          <w:rFonts w:hint="eastAsia" w:ascii="宋体" w:hAnsi="宋体" w:cs="宋体"/>
          <w:color w:val="000000" w:themeColor="text1"/>
          <w:sz w:val="24"/>
          <w:highlight w:val="none"/>
          <w:lang w:eastAsia="zh-CN"/>
          <w14:textFill>
            <w14:solidFill>
              <w14:schemeClr w14:val="tx1"/>
            </w14:solidFill>
          </w14:textFill>
        </w:rPr>
        <w:t>优秀</w:t>
      </w:r>
      <w:r>
        <w:rPr>
          <w:rFonts w:hint="eastAsia" w:ascii="宋体" w:hAnsi="宋体" w:cs="宋体"/>
          <w:color w:val="000000" w:themeColor="text1"/>
          <w:sz w:val="24"/>
          <w:highlight w:val="none"/>
          <w14:textFill>
            <w14:solidFill>
              <w14:schemeClr w14:val="tx1"/>
            </w14:solidFill>
          </w14:textFill>
        </w:rPr>
        <w:t>后可续签下一年度合同，但最长不超过</w:t>
      </w:r>
      <w:r>
        <w:rPr>
          <w:rFonts w:hint="eastAsia" w:ascii="宋体" w:hAnsi="宋体" w:cs="宋体"/>
          <w:color w:val="000000" w:themeColor="text1"/>
          <w:sz w:val="24"/>
          <w:highlight w:val="none"/>
          <w:lang w:val="en-US" w:eastAsia="zh-CN"/>
          <w14:textFill>
            <w14:solidFill>
              <w14:schemeClr w14:val="tx1"/>
            </w14:solidFill>
          </w14:textFill>
        </w:rPr>
        <w:t>36个月</w:t>
      </w:r>
      <w:r>
        <w:rPr>
          <w:rFonts w:hint="eastAsia" w:ascii="宋体" w:hAnsi="宋体" w:cs="宋体"/>
          <w:color w:val="000000" w:themeColor="text1"/>
          <w:sz w:val="24"/>
          <w14:textFill>
            <w14:solidFill>
              <w14:schemeClr w14:val="tx1"/>
            </w14:solidFill>
          </w14:textFill>
        </w:rPr>
        <w:t>。</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二</w:t>
      </w:r>
      <w:r>
        <w:rPr>
          <w:rFonts w:hint="eastAsia" w:ascii="宋体" w:hAnsi="宋体" w:cs="宋体"/>
          <w:b/>
          <w:bCs/>
          <w:color w:val="000000" w:themeColor="text1"/>
          <w:kern w:val="0"/>
          <w:sz w:val="24"/>
          <w14:textFill>
            <w14:solidFill>
              <w14:schemeClr w14:val="tx1"/>
            </w14:solidFill>
          </w14:textFill>
        </w:rPr>
        <w:t>）报价要求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1.本次投标为总价包干，投标报价总价作为中标人与采购人签定的合同金额。项目预算控制</w:t>
      </w:r>
      <w:r>
        <w:rPr>
          <w:rFonts w:hint="eastAsia" w:ascii="宋体" w:hAnsi="宋体" w:cs="宋体"/>
          <w:color w:val="000000" w:themeColor="text1"/>
          <w:sz w:val="24"/>
          <w:lang w:eastAsia="zh-CN"/>
          <w14:textFill>
            <w14:solidFill>
              <w14:schemeClr w14:val="tx1"/>
            </w14:solidFill>
          </w14:textFill>
        </w:rPr>
        <w:t>5</w:t>
      </w:r>
      <w:r>
        <w:rPr>
          <w:rFonts w:hint="eastAsia" w:ascii="宋体" w:hAnsi="宋体" w:cs="宋体"/>
          <w:color w:val="000000" w:themeColor="text1"/>
          <w:sz w:val="24"/>
          <w:lang w:val="en-US" w:eastAsia="zh-CN"/>
          <w14:textFill>
            <w14:solidFill>
              <w14:schemeClr w14:val="tx1"/>
            </w14:solidFill>
          </w14:textFill>
        </w:rPr>
        <w:t>2.95万</w:t>
      </w:r>
      <w:r>
        <w:rPr>
          <w:rFonts w:hint="eastAsia" w:ascii="宋体" w:hAnsi="宋体" w:cs="宋体"/>
          <w:color w:val="000000" w:themeColor="text1"/>
          <w:sz w:val="24"/>
          <w:lang w:eastAsia="zh-CN"/>
          <w14:textFill>
            <w14:solidFill>
              <w14:schemeClr w14:val="tx1"/>
            </w14:solidFill>
          </w14:textFill>
        </w:rPr>
        <w:t>元</w:t>
      </w:r>
      <w:r>
        <w:rPr>
          <w:rFonts w:hint="eastAsia" w:ascii="宋体" w:hAnsi="宋体" w:cs="宋体"/>
          <w:color w:val="000000" w:themeColor="text1"/>
          <w:sz w:val="24"/>
          <w14:textFill>
            <w14:solidFill>
              <w14:schemeClr w14:val="tx1"/>
            </w14:solidFill>
          </w14:textFill>
        </w:rPr>
        <w:t>以内，投标人的报价不可高于预算（限价），否则投标人的投标文件视同无效。</w:t>
      </w:r>
      <w:r>
        <w:rPr>
          <w:rFonts w:hint="eastAsia" w:ascii="宋体" w:hAnsi="宋体" w:cs="宋体"/>
          <w:color w:val="000000" w:themeColor="text1"/>
          <w:sz w:val="24"/>
          <w:lang w:eastAsia="zh-CN"/>
          <w14:textFill>
            <w14:solidFill>
              <w14:schemeClr w14:val="tx1"/>
            </w14:solidFill>
          </w14:textFill>
        </w:rPr>
        <w:t>投标人的投标总价为完成项目及招标文件或合同条款所规定的工作内容的各项费用，项目服务费包括</w:t>
      </w:r>
      <w:r>
        <w:rPr>
          <w:rFonts w:hint="eastAsia" w:ascii="宋体" w:hAnsi="宋体" w:cs="宋体"/>
          <w:color w:val="000000" w:themeColor="text1"/>
          <w:sz w:val="24"/>
          <w:lang w:val="en-US" w:eastAsia="zh-CN"/>
          <w14:textFill>
            <w14:solidFill>
              <w14:schemeClr w14:val="tx1"/>
            </w14:solidFill>
          </w14:textFill>
        </w:rPr>
        <w:t>但不限于</w:t>
      </w:r>
      <w:r>
        <w:rPr>
          <w:rFonts w:hint="eastAsia" w:ascii="宋体" w:hAnsi="宋体" w:cs="宋体"/>
          <w:color w:val="000000" w:themeColor="text1"/>
          <w:sz w:val="24"/>
          <w:lang w:eastAsia="zh-CN"/>
          <w14:textFill>
            <w14:solidFill>
              <w14:schemeClr w14:val="tx1"/>
            </w14:solidFill>
          </w14:textFill>
        </w:rPr>
        <w:t>数据采购费、数据系统费、</w:t>
      </w:r>
      <w:r>
        <w:rPr>
          <w:rFonts w:hint="eastAsia" w:ascii="宋体" w:hAnsi="宋体" w:cs="宋体"/>
          <w:color w:val="000000" w:themeColor="text1"/>
          <w:sz w:val="24"/>
          <w:lang w:val="en-US" w:eastAsia="zh-CN"/>
          <w14:textFill>
            <w14:solidFill>
              <w14:schemeClr w14:val="tx1"/>
            </w14:solidFill>
          </w14:textFill>
        </w:rPr>
        <w:t>投标人</w:t>
      </w:r>
      <w:r>
        <w:rPr>
          <w:rFonts w:hint="eastAsia" w:ascii="宋体" w:hAnsi="宋体" w:cs="宋体"/>
          <w:color w:val="000000" w:themeColor="text1"/>
          <w:sz w:val="24"/>
          <w:lang w:eastAsia="zh-CN"/>
          <w14:textFill>
            <w14:solidFill>
              <w14:schemeClr w14:val="tx1"/>
            </w14:solidFill>
          </w14:textFill>
        </w:rPr>
        <w:t>工作人员成本、中标服务费、资料费、通讯费、交通费、税金、后续服务、利润等所有费用，并提供合同要求的成果文件，以及其它相关服务的全部费用</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w:t>
      </w:r>
      <w:r>
        <w:rPr>
          <w:rFonts w:hint="eastAsia" w:ascii="宋体" w:hAnsi="宋体" w:cs="宋体"/>
          <w:b/>
          <w:bCs/>
          <w:color w:val="000000" w:themeColor="text1"/>
          <w:kern w:val="0"/>
          <w:sz w:val="24"/>
          <w:highlight w:val="none"/>
          <w:lang w:val="en-US" w:eastAsia="zh-CN"/>
          <w14:textFill>
            <w14:solidFill>
              <w14:schemeClr w14:val="tx1"/>
            </w14:solidFill>
          </w14:textFill>
        </w:rPr>
        <w:t>三</w:t>
      </w:r>
      <w:r>
        <w:rPr>
          <w:rFonts w:hint="eastAsia" w:ascii="宋体" w:hAnsi="宋体" w:cs="宋体"/>
          <w:b/>
          <w:bCs/>
          <w:color w:val="000000" w:themeColor="text1"/>
          <w:kern w:val="0"/>
          <w:sz w:val="24"/>
          <w:highlight w:val="none"/>
          <w14:textFill>
            <w14:solidFill>
              <w14:schemeClr w14:val="tx1"/>
            </w14:solidFill>
          </w14:textFill>
        </w:rPr>
        <w:t>）付款方式</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项目资金分2期支付至中标人指定银行账户：</w:t>
      </w:r>
    </w:p>
    <w:p>
      <w:pPr>
        <w:pageBreakBefore w:val="0"/>
        <w:widowControl/>
        <w:numPr>
          <w:ilvl w:val="0"/>
          <w:numId w:val="0"/>
        </w:numPr>
        <w:kinsoku/>
        <w:overflowPunct/>
        <w:topLinePunct w:val="0"/>
        <w:bidi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default" w:ascii="宋体" w:hAnsi="宋体" w:cs="宋体"/>
          <w:color w:val="000000" w:themeColor="text1"/>
          <w:sz w:val="24"/>
          <w:lang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首期：</w:t>
      </w:r>
      <w:r>
        <w:rPr>
          <w:rFonts w:hint="eastAsia" w:ascii="宋体" w:hAnsi="宋体" w:cs="宋体"/>
          <w:color w:val="000000" w:themeColor="text1"/>
          <w:sz w:val="24"/>
          <w:lang w:val="en-US" w:eastAsia="zh-CN"/>
          <w14:textFill>
            <w14:solidFill>
              <w14:schemeClr w14:val="tx1"/>
            </w14:solidFill>
          </w14:textFill>
        </w:rPr>
        <w:t>自</w:t>
      </w:r>
      <w:r>
        <w:rPr>
          <w:rFonts w:hint="eastAsia" w:ascii="宋体" w:hAnsi="宋体" w:cs="宋体"/>
          <w:color w:val="000000" w:themeColor="text1"/>
          <w:sz w:val="24"/>
          <w14:textFill>
            <w14:solidFill>
              <w14:schemeClr w14:val="tx1"/>
            </w14:solidFill>
          </w14:textFill>
        </w:rPr>
        <w:t>合同签订</w:t>
      </w:r>
      <w:r>
        <w:rPr>
          <w:rFonts w:hint="eastAsia" w:ascii="宋体" w:hAnsi="宋体" w:cs="宋体"/>
          <w:color w:val="000000" w:themeColor="text1"/>
          <w:sz w:val="24"/>
          <w:lang w:val="en-US" w:eastAsia="zh-CN"/>
          <w14:textFill>
            <w14:solidFill>
              <w14:schemeClr w14:val="tx1"/>
            </w14:solidFill>
          </w14:textFill>
        </w:rPr>
        <w:t>之日起</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个工作日内，根据中标人提出的付款申请，采购人向中标人支付总价款</w:t>
      </w:r>
      <w:r>
        <w:rPr>
          <w:rFonts w:hint="eastAsia" w:ascii="宋体" w:hAnsi="宋体" w:cs="宋体"/>
          <w:b w:val="0"/>
          <w:bCs w:val="0"/>
          <w:color w:val="000000" w:themeColor="text1"/>
          <w:sz w:val="24"/>
          <w14:textFill>
            <w14:solidFill>
              <w14:schemeClr w14:val="tx1"/>
            </w14:solidFill>
          </w14:textFill>
        </w:rPr>
        <w:t>的</w:t>
      </w:r>
      <w:r>
        <w:rPr>
          <w:rFonts w:hint="eastAsia" w:ascii="宋体" w:hAnsi="宋体" w:cs="宋体"/>
          <w:b w:val="0"/>
          <w:bCs w:val="0"/>
          <w:color w:val="000000" w:themeColor="text1"/>
          <w:sz w:val="24"/>
          <w:lang w:val="en-US" w:eastAsia="zh-CN"/>
          <w14:textFill>
            <w14:solidFill>
              <w14:schemeClr w14:val="tx1"/>
            </w14:solidFill>
          </w14:textFill>
        </w:rPr>
        <w:t>5</w:t>
      </w:r>
      <w:r>
        <w:rPr>
          <w:rFonts w:hint="eastAsia" w:ascii="宋体" w:hAnsi="宋体" w:cs="宋体"/>
          <w:b w:val="0"/>
          <w:bCs w:val="0"/>
          <w:color w:val="000000" w:themeColor="text1"/>
          <w:sz w:val="24"/>
          <w14:textFill>
            <w14:solidFill>
              <w14:schemeClr w14:val="tx1"/>
            </w14:solidFill>
          </w14:textFill>
        </w:rPr>
        <w:t>0%；</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2.第二期：</w:t>
      </w:r>
      <w:r>
        <w:rPr>
          <w:rFonts w:hint="eastAsia" w:ascii="宋体" w:hAnsi="宋体" w:cs="宋体"/>
          <w:color w:val="000000" w:themeColor="text1"/>
          <w:sz w:val="24"/>
          <w14:textFill>
            <w14:solidFill>
              <w14:schemeClr w14:val="tx1"/>
            </w14:solidFill>
          </w14:textFill>
        </w:rPr>
        <w:t>在合同期满前，</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对</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服务内容进行最终验收，验收合格后由</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出具终期验收工作报告，经</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确认后</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采购人向中标人支付剩余</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0%合同尾款。如遇验收不合格情况，</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给予中标人30天整改期，验收合格后，</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出具终期验收工作报告经</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确认后予以支付</w:t>
      </w:r>
      <w:r>
        <w:rPr>
          <w:rFonts w:hint="eastAsia" w:ascii="宋体" w:hAnsi="宋体" w:cs="宋体"/>
          <w:color w:val="000000" w:themeColor="text1"/>
          <w:sz w:val="24"/>
          <w:highlight w:val="none"/>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付款审批影响支付进度，请</w:t>
      </w:r>
      <w:r>
        <w:rPr>
          <w:rFonts w:ascii="宋体" w:hAnsi="宋体" w:cs="宋体"/>
          <w:color w:val="000000" w:themeColor="text1"/>
          <w:sz w:val="24"/>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予以谅解，并不得就此向</w:t>
      </w:r>
      <w:r>
        <w:rPr>
          <w:rFonts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索赔</w:t>
      </w:r>
      <w:r>
        <w:rPr>
          <w:rFonts w:hint="eastAsia" w:ascii="宋体" w:hAnsi="宋体" w:cs="宋体"/>
          <w:color w:val="000000" w:themeColor="text1"/>
          <w:sz w:val="24"/>
          <w:highlight w:val="none"/>
          <w14:textFill>
            <w14:solidFill>
              <w14:schemeClr w14:val="tx1"/>
            </w14:solidFill>
          </w14:textFill>
        </w:rPr>
        <w:t>。</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四</w:t>
      </w:r>
      <w:r>
        <w:rPr>
          <w:rFonts w:hint="eastAsia" w:ascii="宋体" w:hAnsi="宋体" w:cs="宋体"/>
          <w:b/>
          <w:bCs/>
          <w:color w:val="000000" w:themeColor="text1"/>
          <w:kern w:val="0"/>
          <w:sz w:val="24"/>
          <w14:textFill>
            <w14:solidFill>
              <w14:schemeClr w14:val="tx1"/>
            </w14:solidFill>
          </w14:textFill>
        </w:rPr>
        <w:t>）成果权属与知识产权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u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10%的违约金，如果违约金无法弥补采购人的损失，采购人有权要求中标人赔偿全部损失</w:t>
      </w:r>
      <w:r>
        <w:rPr>
          <w:rFonts w:hint="eastAsia" w:ascii="宋体" w:hAnsi="宋体" w:cs="宋体"/>
          <w:color w:val="000000" w:themeColor="text1"/>
          <w:sz w:val="24"/>
          <w:u w:val="none"/>
          <w14:textFill>
            <w14:solidFill>
              <w14:schemeClr w14:val="tx1"/>
            </w14:solidFill>
          </w14:textFill>
        </w:rPr>
        <w:t>，包括但不限于上述索赔或责任所产生的诉讼费用、合理的律师费用、鉴定评估费用、调查费用、和解金额或生效法律文书中规定的赔偿金额。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5.中标人完成本合同项目的研究人员享有在有关技术成果文件上署名的权利和与采购人共同获得有关荣誉证书、奖励的权利。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五</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人应以保密方式处理在编制本项目成果文件过程中自采购人、采购人工作人员或采购人关联机构获得的相关信息、资料、数据等，或由采购人在履行本合同过程中明确指明为秘密的任何信息，以及中标人因本项目工作内容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中标人违反上述保密条款，采购人有权解除本合同，中标人应在合同解除通知发出之日起10日内向采购人支付本合同服务费总金额10%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w:t>
      </w:r>
      <w:r>
        <w:rPr>
          <w:rFonts w:hint="eastAsia" w:ascii="宋体" w:hAnsi="宋体" w:cs="宋体"/>
          <w:b/>
          <w:bCs/>
          <w:color w:val="000000" w:themeColor="text1"/>
          <w:kern w:val="0"/>
          <w:sz w:val="24"/>
          <w:highlight w:val="none"/>
          <w:lang w:val="en-US" w:eastAsia="zh-CN"/>
          <w14:textFill>
            <w14:solidFill>
              <w14:schemeClr w14:val="tx1"/>
            </w14:solidFill>
          </w14:textFill>
        </w:rPr>
        <w:t>六</w:t>
      </w:r>
      <w:r>
        <w:rPr>
          <w:rFonts w:hint="eastAsia" w:ascii="宋体" w:hAnsi="宋体" w:cs="宋体"/>
          <w:b/>
          <w:bCs/>
          <w:color w:val="000000" w:themeColor="text1"/>
          <w:kern w:val="0"/>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1.中标人未按照本合同约定的时间完成本项目各阶段工作，每延迟一日，采购人有权自尚未支付的合同款项中扣除本合同服务费总金额的1‰的逾期违约金。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2.本合同项下的工作内容不可分割，任一文件的迟延交付均视为整个项目的迟延交付。</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3.本合同履行期间，发生下述情形时，采购人有权解除本合同，中标人除应退还采购人已支付的全部款项外, 还应在合同解除通知发出之日起10日内向采购人支付合同总价款10%的违约金。中标人应同时将已完成的项目成果移交给采购人，并将全部有关资料退还采购人：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（1）中标人未能按合同约定的日期(含协商延缓的日期)提交各阶段工作成果，延误时间超过15个工作日；</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（2）因中标人工作的错误或遗漏造成成果质量损失，工作成果质量低劣，不能满足采购人工作需要和要求；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（3）中标人虽如期提交最终成果，但连续二次未能通过采购人验收的；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（4）未经采购人书面在先同意，中标人擅自将本合同项目与任何第三方合作，或将本合同标的全部或部分擅自转包或分包给任何第三方，且未按采购人的要求终止与第三方的合同的；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（7）中标人明确表示或者以自己的行为表明不履行本合同的。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除因采购人付款审批影响支付进度的情况外，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采购人无正当理由拒绝接受服务，到期明确表示拒付服务款项的，采购人向中标人偿付本合同总价10%的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jc w:val="center"/>
        <w:rPr>
          <w:rFonts w:hint="eastAsia" w:asci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17" w:name="_Toc23822"/>
      <w:r>
        <w:rPr>
          <w:rFonts w:hint="eastAsia" w:ascii="宋体" w:cs="宋体"/>
          <w:b/>
          <w:bCs/>
          <w:color w:val="000000" w:themeColor="text1"/>
          <w:sz w:val="24"/>
          <w14:textFill>
            <w14:solidFill>
              <w14:schemeClr w14:val="tx1"/>
            </w14:solidFill>
          </w14:textFill>
        </w:rPr>
        <w:t>第六章 投标文件初审及招标项目评分表</w:t>
      </w:r>
      <w:bookmarkEnd w:id="17"/>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投标人不具备招标文件所列的资格要求，或未提交相应的资格证明资料（详见招标公告 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分项报价或投标总价高于预算金额（最高投标限价）或投标报价有严重缺漏项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法律、法规规定的其他情形</w:t>
            </w:r>
          </w:p>
        </w:tc>
      </w:tr>
    </w:tbl>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13"/>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w:t>
            </w:r>
            <w:r>
              <w:rPr>
                <w:rFonts w:hint="eastAsia" w:ascii="宋体" w:hAnsi="宋体" w:cs="宋体"/>
                <w:b/>
                <w:color w:val="000000" w:themeColor="text1"/>
                <w:sz w:val="24"/>
                <w:lang w:val="en-US" w:eastAsia="zh-CN"/>
                <w14:textFill>
                  <w14:solidFill>
                    <w14:schemeClr w14:val="tx1"/>
                  </w14:solidFill>
                </w14:textFill>
              </w:rPr>
              <w:t>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07" w:type="dxa"/>
            <w:noWrap w:val="0"/>
            <w:vAlign w:val="center"/>
          </w:tcPr>
          <w:p>
            <w:pPr>
              <w:pStyle w:val="2"/>
              <w:spacing w:line="360" w:lineRule="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2"/>
              <w:spacing w:line="360" w:lineRule="auto"/>
              <w:rPr>
                <w:rFonts w:ascii="宋体" w:hAnsi="宋体" w:cs="宋体"/>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投标报价得分=(评标基准价／投标报价)×10</w:t>
            </w:r>
          </w:p>
          <w:p>
            <w:pPr>
              <w:numPr>
                <w:ilvl w:val="0"/>
                <w:numId w:val="7"/>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7"/>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本项目非专门面向中小企业的项目，对小型和微型企业、监狱企业或残疾人福利性企业产品的价格给予10%的扣除，用扣除后的价格即为“经评审合格的投标报价”参与价格评审。</w:t>
            </w:r>
          </w:p>
          <w:p>
            <w:pPr>
              <w:pStyle w:val="2"/>
              <w:spacing w:line="360" w:lineRule="auto"/>
              <w:ind w:left="216" w:leftChars="103"/>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bCs/>
                <w:color w:val="000000" w:themeColor="text1"/>
                <w:kern w:val="2"/>
                <w:sz w:val="24"/>
                <w:lang w:val="en-US" w:eastAsia="zh-CN"/>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901" w:type="dxa"/>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0</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lang w:val="en-US" w:eastAsia="zh-CN"/>
                <w14:textFill>
                  <w14:solidFill>
                    <w14:schemeClr w14:val="tx1"/>
                  </w14:solidFill>
                </w14:textFill>
              </w:rPr>
              <w:t>50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投标人资质情况</w:t>
            </w:r>
          </w:p>
        </w:tc>
        <w:tc>
          <w:tcPr>
            <w:tcW w:w="5907" w:type="dxa"/>
            <w:noWrap w:val="0"/>
            <w:vAlign w:val="center"/>
          </w:tcPr>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评审内容：</w:t>
            </w:r>
          </w:p>
          <w:p>
            <w:pPr>
              <w:pageBreakBefore w:val="0"/>
              <w:kinsoku/>
              <w:overflowPunct/>
              <w:topLinePunct w:val="0"/>
              <w:bidi w:val="0"/>
              <w:spacing w:line="360" w:lineRule="auto"/>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1、投标人具有质量管理体系认证证书</w:t>
            </w:r>
            <w:r>
              <w:rPr>
                <w:rFonts w:hint="eastAsia" w:ascii="宋体" w:hAnsi="宋体" w:cs="宋体"/>
                <w:color w:val="000000" w:themeColor="text1"/>
                <w:sz w:val="24"/>
                <w:lang w:eastAsia="zh-CN"/>
                <w14:textFill>
                  <w14:solidFill>
                    <w14:schemeClr w14:val="tx1"/>
                  </w14:solidFill>
                </w14:textFill>
              </w:rPr>
              <w:t>（ISO9001）</w:t>
            </w:r>
            <w:r>
              <w:rPr>
                <w:rFonts w:hint="eastAsia" w:ascii="宋体" w:hAnsi="宋体" w:eastAsia="宋体" w:cs="宋体"/>
                <w:color w:val="000000" w:themeColor="text1"/>
                <w:sz w:val="24"/>
                <w14:textFill>
                  <w14:solidFill>
                    <w14:schemeClr w14:val="tx1"/>
                  </w14:solidFill>
                </w14:textFill>
              </w:rPr>
              <w:t>的；</w:t>
            </w:r>
          </w:p>
          <w:p>
            <w:pPr>
              <w:pageBreakBefore w:val="0"/>
              <w:kinsoku/>
              <w:overflowPunct/>
              <w:topLinePunct w:val="0"/>
              <w:bidi w:val="0"/>
              <w:spacing w:line="360" w:lineRule="auto"/>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、投标人具有环境管理体系认证证书</w:t>
            </w:r>
            <w:r>
              <w:rPr>
                <w:rFonts w:hint="eastAsia" w:ascii="宋体" w:hAnsi="宋体" w:cs="宋体"/>
                <w:color w:val="000000" w:themeColor="text1"/>
                <w:sz w:val="24"/>
                <w:lang w:val="en-US" w:eastAsia="zh-CN"/>
                <w14:textFill>
                  <w14:solidFill>
                    <w14:schemeClr w14:val="tx1"/>
                  </w14:solidFill>
                </w14:textFill>
              </w:rPr>
              <w:t>（ISO14001）</w:t>
            </w:r>
            <w:r>
              <w:rPr>
                <w:rFonts w:hint="eastAsia" w:ascii="宋体" w:hAnsi="宋体" w:eastAsia="宋体" w:cs="宋体"/>
                <w:color w:val="000000" w:themeColor="text1"/>
                <w:sz w:val="24"/>
                <w:lang w:val="en-US" w:eastAsia="zh-CN"/>
                <w14:textFill>
                  <w14:solidFill>
                    <w14:schemeClr w14:val="tx1"/>
                  </w14:solidFill>
                </w14:textFill>
              </w:rPr>
              <w:t>的；</w:t>
            </w:r>
          </w:p>
          <w:p>
            <w:pPr>
              <w:pageBreakBefore w:val="0"/>
              <w:kinsoku/>
              <w:overflowPunct/>
              <w:topLinePunct w:val="0"/>
              <w:bidi w:val="0"/>
              <w:spacing w:line="360" w:lineRule="auto"/>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lang w:val="en-US" w:eastAsia="zh-CN"/>
                <w14:textFill>
                  <w14:solidFill>
                    <w14:schemeClr w14:val="tx1"/>
                  </w14:solidFill>
                </w14:textFill>
              </w:rPr>
              <w:t>、投标人具有职业健康安全管理体系认证证书</w:t>
            </w:r>
            <w:r>
              <w:rPr>
                <w:rFonts w:hint="eastAsia" w:ascii="宋体" w:hAnsi="宋体" w:cs="宋体"/>
                <w:color w:val="000000" w:themeColor="text1"/>
                <w:sz w:val="24"/>
                <w:lang w:val="en-US" w:eastAsia="zh-CN"/>
                <w14:textFill>
                  <w14:solidFill>
                    <w14:schemeClr w14:val="tx1"/>
                  </w14:solidFill>
                </w14:textFill>
              </w:rPr>
              <w:t>（OHSAS18001/ISO45001）</w:t>
            </w:r>
            <w:r>
              <w:rPr>
                <w:rFonts w:hint="eastAsia" w:ascii="宋体" w:hAnsi="宋体" w:eastAsia="宋体" w:cs="宋体"/>
                <w:color w:val="000000" w:themeColor="text1"/>
                <w:sz w:val="24"/>
                <w:lang w:val="en-US" w:eastAsia="zh-CN"/>
                <w14:textFill>
                  <w14:solidFill>
                    <w14:schemeClr w14:val="tx1"/>
                  </w14:solidFill>
                </w14:textFill>
              </w:rPr>
              <w:t>的；</w:t>
            </w:r>
          </w:p>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每1个得2分，最高得6分</w:t>
            </w:r>
            <w:r>
              <w:rPr>
                <w:rFonts w:hint="eastAsia" w:ascii="宋体" w:hAnsi="宋体" w:eastAsia="宋体" w:cs="宋体"/>
                <w:color w:val="000000" w:themeColor="text1"/>
                <w:sz w:val="24"/>
                <w14:textFill>
                  <w14:solidFill>
                    <w14:schemeClr w14:val="tx1"/>
                  </w14:solidFill>
                </w14:textFill>
              </w:rPr>
              <w:t>。</w:t>
            </w:r>
          </w:p>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评分标准：</w:t>
            </w:r>
          </w:p>
          <w:p>
            <w:pPr>
              <w:pageBreakBefore w:val="0"/>
              <w:kinsoku/>
              <w:overflowPunct/>
              <w:topLinePunct w:val="0"/>
              <w:bidi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1、投标人须提供以上在有效期内的认证证书</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认证范围须包括数据采集、数据分析等相关字眼</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及全国认证认可信息公共服务平台http:// http://cx.cnca.cn/的查询截图</w:t>
            </w:r>
            <w:r>
              <w:rPr>
                <w:rFonts w:hint="eastAsia" w:ascii="宋体" w:hAnsi="宋体" w:eastAsia="宋体" w:cs="宋体"/>
                <w:color w:val="000000" w:themeColor="text1"/>
                <w:sz w:val="24"/>
                <w:lang w:val="en-US" w:eastAsia="zh-CN"/>
                <w14:textFill>
                  <w14:solidFill>
                    <w14:schemeClr w14:val="tx1"/>
                  </w14:solidFill>
                </w14:textFill>
              </w:rPr>
              <w:t>加盖公章</w:t>
            </w:r>
            <w:r>
              <w:rPr>
                <w:rFonts w:hint="eastAsia" w:ascii="宋体" w:hAnsi="宋体" w:eastAsia="宋体" w:cs="宋体"/>
                <w:color w:val="000000" w:themeColor="text1"/>
                <w:sz w:val="24"/>
                <w14:textFill>
                  <w14:solidFill>
                    <w14:schemeClr w14:val="tx1"/>
                  </w14:solidFill>
                </w14:textFill>
              </w:rPr>
              <w:t>，截图需显示证书状态为有效，原件备查。评分中出现无证明资料或专家无法凭所提供资料判断是否得分的情况，一律作不得分处理。</w:t>
            </w:r>
          </w:p>
        </w:tc>
        <w:tc>
          <w:tcPr>
            <w:tcW w:w="901" w:type="dxa"/>
            <w:noWrap w:val="0"/>
            <w:vAlign w:val="center"/>
          </w:tcPr>
          <w:p>
            <w:pPr>
              <w:pageBreakBefore w:val="0"/>
              <w:kinsoku/>
              <w:overflowPunct/>
              <w:topLinePunct w:val="0"/>
              <w:bidi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noWrap w:val="0"/>
            <w:vAlign w:val="center"/>
          </w:tcPr>
          <w:p>
            <w:pPr>
              <w:pageBreakBefore w:val="0"/>
              <w:kinsoku/>
              <w:overflowPunct/>
              <w:topLinePunct w:val="0"/>
              <w:bidi w:val="0"/>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项目负责人（仅限1人）</w:t>
            </w:r>
          </w:p>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p>
        </w:tc>
        <w:tc>
          <w:tcPr>
            <w:tcW w:w="5907" w:type="dxa"/>
            <w:noWrap w:val="0"/>
            <w:vAlign w:val="center"/>
          </w:tcPr>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评审内容：</w:t>
            </w:r>
          </w:p>
          <w:p>
            <w:pPr>
              <w:pageBreakBefore w:val="0"/>
              <w:kinsoku/>
              <w:overflowPunct/>
              <w:topLinePunct w:val="0"/>
              <w:bidi w:val="0"/>
              <w:spacing w:line="360" w:lineRule="auto"/>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1、具备本科</w:t>
            </w:r>
            <w:r>
              <w:rPr>
                <w:rFonts w:hint="eastAsia" w:ascii="宋体" w:hAnsi="宋体" w:cs="宋体"/>
                <w:color w:val="000000" w:themeColor="text1"/>
                <w:sz w:val="24"/>
                <w:lang w:val="en-US" w:eastAsia="zh-CN"/>
                <w14:textFill>
                  <w14:solidFill>
                    <w14:schemeClr w14:val="tx1"/>
                  </w14:solidFill>
                </w14:textFill>
              </w:rPr>
              <w:t>（或以上）</w:t>
            </w:r>
            <w:r>
              <w:rPr>
                <w:rFonts w:hint="eastAsia" w:ascii="宋体" w:hAnsi="宋体" w:eastAsia="宋体" w:cs="宋体"/>
                <w:color w:val="000000" w:themeColor="text1"/>
                <w:sz w:val="24"/>
                <w14:textFill>
                  <w14:solidFill>
                    <w14:schemeClr w14:val="tx1"/>
                  </w14:solidFill>
                </w14:textFill>
              </w:rPr>
              <w:t>学历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毕业于</w:t>
            </w:r>
            <w:r>
              <w:rPr>
                <w:rFonts w:hint="eastAsia" w:ascii="宋体" w:hAnsi="宋体" w:eastAsia="宋体" w:cs="宋体"/>
                <w:color w:val="000000" w:themeColor="text1"/>
                <w:sz w:val="24"/>
                <w:lang w:val="en-US" w:eastAsia="zh-CN"/>
                <w14:textFill>
                  <w14:solidFill>
                    <w14:schemeClr w14:val="tx1"/>
                  </w14:solidFill>
                </w14:textFill>
              </w:rPr>
              <w:t>金融或统计或经济等相关专业</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且</w:t>
            </w:r>
            <w:r>
              <w:rPr>
                <w:rFonts w:hint="eastAsia" w:ascii="宋体" w:hAnsi="宋体" w:eastAsia="宋体" w:cs="宋体"/>
                <w:color w:val="000000" w:themeColor="text1"/>
                <w:sz w:val="24"/>
                <w14:textFill>
                  <w14:solidFill>
                    <w14:schemeClr w14:val="tx1"/>
                  </w14:solidFill>
                </w14:textFill>
              </w:rPr>
              <w:t>具</w:t>
            </w:r>
            <w:r>
              <w:rPr>
                <w:rFonts w:hint="eastAsia" w:ascii="宋体" w:hAnsi="宋体" w:cs="宋体"/>
                <w:color w:val="000000" w:themeColor="text1"/>
                <w:sz w:val="24"/>
                <w:lang w:val="en-US" w:eastAsia="zh-CN"/>
                <w14:textFill>
                  <w14:solidFill>
                    <w14:schemeClr w14:val="tx1"/>
                  </w14:solidFill>
                </w14:textFill>
              </w:rPr>
              <w:t>有人力资源和社会保障部门颁发的</w:t>
            </w:r>
            <w:r>
              <w:rPr>
                <w:rFonts w:hint="eastAsia" w:ascii="宋体" w:hAnsi="宋体" w:eastAsia="宋体" w:cs="宋体"/>
                <w:color w:val="000000" w:themeColor="text1"/>
                <w:sz w:val="24"/>
                <w14:textFill>
                  <w14:solidFill>
                    <w14:schemeClr w14:val="tx1"/>
                  </w14:solidFill>
                </w14:textFill>
              </w:rPr>
              <w:t>高级统计师</w:t>
            </w:r>
            <w:r>
              <w:rPr>
                <w:rFonts w:hint="eastAsia" w:ascii="宋体" w:hAnsi="宋体" w:cs="宋体"/>
                <w:color w:val="000000" w:themeColor="text1"/>
                <w:sz w:val="24"/>
                <w:lang w:val="en-US" w:eastAsia="zh-CN"/>
                <w14:textFill>
                  <w14:solidFill>
                    <w14:schemeClr w14:val="tx1"/>
                  </w14:solidFill>
                </w14:textFill>
              </w:rPr>
              <w:t>证书</w:t>
            </w:r>
            <w:r>
              <w:rPr>
                <w:rFonts w:hint="eastAsia" w:ascii="宋体" w:hAnsi="宋体" w:eastAsia="宋体" w:cs="宋体"/>
                <w:color w:val="000000" w:themeColor="text1"/>
                <w:sz w:val="24"/>
                <w14:textFill>
                  <w14:solidFill>
                    <w14:schemeClr w14:val="tx1"/>
                  </w14:solidFill>
                </w14:textFill>
              </w:rPr>
              <w:t>的，得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分</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overflowPunct/>
              <w:topLinePunct w:val="0"/>
              <w:bidi w:val="0"/>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担任过区级（或县级）或以上数据服务类或统计分析类项目负责人（或总统筹）的，每1个项目得1分，最高得3分；</w:t>
            </w:r>
          </w:p>
          <w:p>
            <w:pPr>
              <w:pageBreakBefore w:val="0"/>
              <w:kinsoku/>
              <w:overflowPunct/>
              <w:topLinePunct w:val="0"/>
              <w:bidi w:val="0"/>
              <w:spacing w:line="360" w:lineRule="auto"/>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3、在统计研究或中国统计等中国中文类核心期刊或中国核心学术类期刊发表过与统计相关的论文的，每1篇论文得1分，最高得2分。</w:t>
            </w:r>
          </w:p>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以上</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项累计得分，最高得</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分。</w:t>
            </w:r>
          </w:p>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评分标准：</w:t>
            </w:r>
          </w:p>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1、提供由投标人或其同一法人的分公司</w:t>
            </w:r>
            <w:r>
              <w:rPr>
                <w:rFonts w:hint="eastAsia" w:ascii="宋体" w:hAnsi="宋体" w:cs="宋体"/>
                <w:color w:val="000000" w:themeColor="text1"/>
                <w:sz w:val="24"/>
                <w:lang w:val="en-US" w:eastAsia="zh-CN"/>
                <w14:textFill>
                  <w14:solidFill>
                    <w14:schemeClr w14:val="tx1"/>
                  </w14:solidFill>
                </w14:textFill>
              </w:rPr>
              <w:t>在投标截止之日前</w:t>
            </w:r>
            <w:r>
              <w:rPr>
                <w:rFonts w:hint="eastAsia" w:ascii="宋体" w:hAnsi="宋体" w:eastAsia="宋体" w:cs="宋体"/>
                <w:color w:val="000000" w:themeColor="text1"/>
                <w:sz w:val="24"/>
                <w14:textFill>
                  <w14:solidFill>
                    <w14:schemeClr w14:val="tx1"/>
                  </w14:solidFill>
                </w14:textFill>
              </w:rPr>
              <w:t>为</w:t>
            </w:r>
            <w:r>
              <w:rPr>
                <w:rFonts w:hint="eastAsia" w:ascii="宋体" w:hAnsi="宋体" w:eastAsia="宋体" w:cs="宋体"/>
                <w:color w:val="000000" w:themeColor="text1"/>
                <w:sz w:val="24"/>
                <w:lang w:val="en-US" w:eastAsia="zh-CN"/>
                <w14:textFill>
                  <w14:solidFill>
                    <w14:schemeClr w14:val="tx1"/>
                  </w14:solidFill>
                </w14:textFill>
              </w:rPr>
              <w:t>其</w:t>
            </w:r>
            <w:r>
              <w:rPr>
                <w:rFonts w:hint="eastAsia" w:ascii="宋体" w:hAnsi="宋体" w:eastAsia="宋体" w:cs="宋体"/>
                <w:color w:val="000000" w:themeColor="text1"/>
                <w:sz w:val="24"/>
                <w14:textFill>
                  <w14:solidFill>
                    <w14:schemeClr w14:val="tx1"/>
                  </w14:solidFill>
                </w14:textFill>
              </w:rPr>
              <w:t>缴纳的近</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个月内</w:t>
            </w:r>
            <w:r>
              <w:rPr>
                <w:rFonts w:hint="eastAsia" w:ascii="宋体" w:hAnsi="宋体" w:eastAsia="宋体" w:cs="宋体"/>
                <w:color w:val="000000" w:themeColor="text1"/>
                <w:sz w:val="24"/>
                <w:lang w:val="en-US" w:eastAsia="zh-CN"/>
                <w14:textFill>
                  <w14:solidFill>
                    <w14:schemeClr w14:val="tx1"/>
                  </w14:solidFill>
                </w14:textFill>
              </w:rPr>
              <w:t>任意一个月</w:t>
            </w:r>
            <w:r>
              <w:rPr>
                <w:rFonts w:hint="eastAsia" w:ascii="宋体" w:hAnsi="宋体" w:eastAsia="宋体" w:cs="宋体"/>
                <w:color w:val="000000" w:themeColor="text1"/>
                <w:sz w:val="24"/>
                <w14:textFill>
                  <w14:solidFill>
                    <w14:schemeClr w14:val="tx1"/>
                  </w14:solidFill>
                </w14:textFill>
              </w:rPr>
              <w:t>的社保证明或加盖公章的社保承诺函</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仅在投标人注册成立时间不足一个月的情况下提供</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作为得分依据</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并加盖公章</w:t>
            </w:r>
            <w:r>
              <w:rPr>
                <w:rFonts w:hint="eastAsia" w:ascii="宋体" w:hAnsi="宋体" w:eastAsia="宋体" w:cs="宋体"/>
                <w:color w:val="000000" w:themeColor="text1"/>
                <w:sz w:val="24"/>
                <w14:textFill>
                  <w14:solidFill>
                    <w14:schemeClr w14:val="tx1"/>
                  </w14:solidFill>
                </w14:textFill>
              </w:rPr>
              <w:t>。</w:t>
            </w:r>
          </w:p>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2、提供学历证书</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或毕业证书</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及学信网查询截图，原件备查。对于较早颁发的学历证书，学信网无法查询的，除要求提供证书扫描件，需要提供其他佐证材料（如毕业院校、人社部门等颁发机构或监管机构等单位出具的证明）</w:t>
            </w:r>
            <w:r>
              <w:rPr>
                <w:rFonts w:hint="eastAsia" w:ascii="宋体" w:hAnsi="宋体" w:eastAsia="宋体" w:cs="宋体"/>
                <w:color w:val="000000" w:themeColor="text1"/>
                <w:sz w:val="24"/>
                <w14:textFill>
                  <w14:solidFill>
                    <w14:schemeClr w14:val="tx1"/>
                  </w14:solidFill>
                </w14:textFill>
              </w:rPr>
              <w:t>作为得分依据，</w:t>
            </w:r>
            <w:r>
              <w:rPr>
                <w:rFonts w:hint="eastAsia" w:ascii="宋体" w:hAnsi="宋体" w:eastAsia="宋体" w:cs="宋体"/>
                <w:color w:val="000000" w:themeColor="text1"/>
                <w:sz w:val="24"/>
                <w:lang w:val="en-US" w:eastAsia="zh-CN"/>
                <w14:textFill>
                  <w14:solidFill>
                    <w14:schemeClr w14:val="tx1"/>
                  </w14:solidFill>
                </w14:textFill>
              </w:rPr>
              <w:t>并加盖公章</w:t>
            </w:r>
            <w:r>
              <w:rPr>
                <w:rFonts w:hint="eastAsia" w:ascii="宋体" w:hAnsi="宋体" w:eastAsia="宋体" w:cs="宋体"/>
                <w:color w:val="000000" w:themeColor="text1"/>
                <w:sz w:val="24"/>
                <w14:textFill>
                  <w14:solidFill>
                    <w14:schemeClr w14:val="tx1"/>
                  </w14:solidFill>
                </w14:textFill>
              </w:rPr>
              <w:t>。留学归国人员</w:t>
            </w:r>
            <w:r>
              <w:rPr>
                <w:rFonts w:hint="eastAsia" w:ascii="宋体" w:hAnsi="宋体" w:eastAsia="宋体" w:cs="宋体"/>
                <w:color w:val="000000" w:themeColor="text1"/>
                <w:sz w:val="24"/>
                <w:lang w:val="en-US" w:eastAsia="zh-CN"/>
                <w14:textFill>
                  <w14:solidFill>
                    <w14:schemeClr w14:val="tx1"/>
                  </w14:solidFill>
                </w14:textFill>
              </w:rPr>
              <w:t>需</w:t>
            </w:r>
            <w:r>
              <w:rPr>
                <w:rFonts w:hint="eastAsia" w:ascii="宋体" w:hAnsi="宋体" w:eastAsia="宋体" w:cs="宋体"/>
                <w:color w:val="000000" w:themeColor="text1"/>
                <w:sz w:val="24"/>
                <w14:textFill>
                  <w14:solidFill>
                    <w14:schemeClr w14:val="tx1"/>
                  </w14:solidFill>
                </w14:textFill>
              </w:rPr>
              <w:t>提供国（境）外学历证书扫描件和教育部留学服务中心出具的国外学历认证书扫描件【或教育部留学服务中心网站（</w:t>
            </w:r>
            <w:r>
              <w:rPr>
                <w:rFonts w:hint="eastAsia" w:ascii="宋体" w:hAnsi="宋体" w:eastAsia="宋体" w:cs="宋体"/>
                <w:color w:val="000000" w:themeColor="text1"/>
                <w:sz w:val="24"/>
                <w14:textFill>
                  <w14:solidFill>
                    <w14:schemeClr w14:val="tx1"/>
                  </w14:solidFill>
                </w14:textFill>
              </w:rPr>
              <w:fldChar w:fldCharType="begin"/>
            </w:r>
            <w:r>
              <w:rPr>
                <w:rFonts w:hint="eastAsia" w:ascii="宋体" w:hAnsi="宋体" w:eastAsia="宋体" w:cs="宋体"/>
                <w:color w:val="000000" w:themeColor="text1"/>
                <w:sz w:val="24"/>
                <w14:textFill>
                  <w14:solidFill>
                    <w14:schemeClr w14:val="tx1"/>
                  </w14:solidFill>
                </w14:textFill>
              </w:rPr>
              <w:instrText xml:space="preserve"> HYPERLINK "http://zwfw.cscse.edu.cn/）在线查询截图】也予以认可。</w:instrText>
            </w:r>
          </w:p>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 </w:t>
            </w:r>
            <w:r>
              <w:rPr>
                <w:rFonts w:hint="eastAsia" w:ascii="宋体" w:hAnsi="宋体" w:eastAsia="宋体" w:cs="宋体"/>
                <w:color w:val="000000" w:themeColor="text1"/>
                <w:sz w:val="24"/>
                <w14:textFill>
                  <w14:solidFill>
                    <w14:schemeClr w14:val="tx1"/>
                  </w14:solidFill>
                </w14:textFill>
              </w:rPr>
              <w:fldChar w:fldCharType="separate"/>
            </w:r>
            <w:r>
              <w:rPr>
                <w:rFonts w:hint="eastAsia" w:ascii="宋体" w:hAnsi="宋体" w:eastAsia="宋体" w:cs="宋体"/>
                <w:color w:val="000000" w:themeColor="text1"/>
                <w:sz w:val="24"/>
                <w14:textFill>
                  <w14:solidFill>
                    <w14:schemeClr w14:val="tx1"/>
                  </w14:solidFill>
                </w14:textFill>
              </w:rPr>
              <w:t>http://zwfw.cscse.edu.cn/）在线查询截图】也予以认可。</w:t>
            </w:r>
          </w:p>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fldChar w:fldCharType="end"/>
            </w:r>
            <w:r>
              <w:rPr>
                <w:rFonts w:hint="eastAsia" w:ascii="宋体" w:hAnsi="宋体" w:eastAsia="宋体" w:cs="宋体"/>
                <w:color w:val="000000" w:themeColor="text1"/>
                <w:sz w:val="24"/>
                <w14:textFill>
                  <w14:solidFill>
                    <w14:schemeClr w14:val="tx1"/>
                  </w14:solidFill>
                </w14:textFill>
              </w:rPr>
              <w:t>、提供职称证书</w:t>
            </w:r>
            <w:r>
              <w:rPr>
                <w:rFonts w:hint="eastAsia" w:ascii="宋体" w:hAnsi="宋体" w:cs="宋体"/>
                <w:color w:val="000000" w:themeColor="text1"/>
                <w:sz w:val="24"/>
                <w:lang w:val="en-US" w:eastAsia="zh-CN"/>
                <w14:textFill>
                  <w14:solidFill>
                    <w14:schemeClr w14:val="tx1"/>
                  </w14:solidFill>
                </w14:textFill>
              </w:rPr>
              <w:t>、刊物证明及项目业绩证明（合同关键页或结项证明、官方网站公告等）作为得分依据</w:t>
            </w:r>
            <w:r>
              <w:rPr>
                <w:rFonts w:hint="eastAsia" w:ascii="宋体" w:hAnsi="宋体" w:eastAsia="宋体" w:cs="宋体"/>
                <w:color w:val="000000" w:themeColor="text1"/>
                <w:sz w:val="24"/>
                <w:lang w:val="en-US" w:eastAsia="zh-CN"/>
                <w14:textFill>
                  <w14:solidFill>
                    <w14:schemeClr w14:val="tx1"/>
                  </w14:solidFill>
                </w14:textFill>
              </w:rPr>
              <w:t>并加盖公章</w:t>
            </w:r>
            <w:r>
              <w:rPr>
                <w:rFonts w:hint="eastAsia" w:ascii="宋体" w:hAnsi="宋体" w:cs="宋体"/>
                <w:color w:val="000000" w:themeColor="text1"/>
                <w:sz w:val="24"/>
                <w:lang w:val="en-US" w:eastAsia="zh-CN"/>
                <w14:textFill>
                  <w14:solidFill>
                    <w14:schemeClr w14:val="tx1"/>
                  </w14:solidFill>
                </w14:textFill>
              </w:rPr>
              <w:t>，其中合同关键页需</w:t>
            </w:r>
            <w:r>
              <w:rPr>
                <w:rFonts w:hint="eastAsia" w:ascii="宋体" w:hAnsi="宋体" w:eastAsia="宋体" w:cs="宋体"/>
                <w:color w:val="000000" w:themeColor="text1"/>
                <w:sz w:val="24"/>
                <w14:textFill>
                  <w14:solidFill>
                    <w14:schemeClr w14:val="tx1"/>
                  </w14:solidFill>
                </w14:textFill>
              </w:rPr>
              <w:t>包含签订合同双方的单位名称、合同项目名称、服务内容页</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双方盖章和签订日期等信息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证明文件须体</w:t>
            </w:r>
            <w:r>
              <w:rPr>
                <w:rFonts w:hint="eastAsia" w:ascii="宋体" w:hAnsi="宋体" w:eastAsia="宋体" w:cs="宋体"/>
                <w:color w:val="000000" w:themeColor="text1"/>
                <w:sz w:val="24"/>
                <w:lang w:val="en-US" w:eastAsia="zh-CN"/>
                <w14:textFill>
                  <w14:solidFill>
                    <w14:schemeClr w14:val="tx1"/>
                  </w14:solidFill>
                </w14:textFill>
              </w:rPr>
              <w:t>现项目负责人的名称，如项目业绩证明资料</w:t>
            </w:r>
            <w:r>
              <w:rPr>
                <w:rFonts w:hint="eastAsia" w:ascii="宋体" w:hAnsi="宋体" w:eastAsia="宋体" w:cs="宋体"/>
                <w:color w:val="000000" w:themeColor="text1"/>
                <w:sz w:val="24"/>
                <w:highlight w:val="none"/>
                <w:lang w:val="en-US" w:eastAsia="zh-CN"/>
                <w14:textFill>
                  <w14:solidFill>
                    <w14:schemeClr w14:val="tx1"/>
                  </w14:solidFill>
                </w14:textFill>
              </w:rPr>
              <w:t>无法判断是否得分的或无人员信息的，须提供甲方出具的人员证明材料</w:t>
            </w:r>
            <w:r>
              <w:rPr>
                <w:rFonts w:hint="eastAsia" w:ascii="宋体" w:hAnsi="宋体" w:eastAsia="宋体" w:cs="宋体"/>
                <w:color w:val="000000" w:themeColor="text1"/>
                <w:sz w:val="24"/>
                <w14:textFill>
                  <w14:solidFill>
                    <w14:schemeClr w14:val="tx1"/>
                  </w14:solidFill>
                </w14:textFill>
              </w:rPr>
              <w:t>。</w:t>
            </w:r>
          </w:p>
          <w:p>
            <w:pPr>
              <w:pageBreakBefore w:val="0"/>
              <w:kinsoku/>
              <w:overflowPunct/>
              <w:topLinePunct w:val="0"/>
              <w:bidi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4、以上资料均要求提供扫描件（或官方网站截图），原件备查。评分中出现无证明资料或专家无法凭所提供资料判断是否得分的情况，一律不得分。</w:t>
            </w:r>
          </w:p>
        </w:tc>
        <w:tc>
          <w:tcPr>
            <w:tcW w:w="901" w:type="dxa"/>
            <w:noWrap w:val="0"/>
            <w:vAlign w:val="center"/>
          </w:tcPr>
          <w:p>
            <w:pPr>
              <w:pageBreakBefore w:val="0"/>
              <w:kinsoku/>
              <w:overflowPunct/>
              <w:topLinePunct w:val="0"/>
              <w:bidi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拟安排的项目主要团队成员情况（项目负责人除外）</w:t>
            </w:r>
          </w:p>
        </w:tc>
        <w:tc>
          <w:tcPr>
            <w:tcW w:w="5907" w:type="dxa"/>
            <w:noWrap w:val="0"/>
            <w:vAlign w:val="center"/>
          </w:tcPr>
          <w:p>
            <w:pPr>
              <w:pageBreakBefore w:val="0"/>
              <w:kinsoku/>
              <w:overflowPunct/>
              <w:topLinePunct w:val="0"/>
              <w:bidi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评审内容：</w:t>
            </w:r>
          </w:p>
          <w:p>
            <w:pPr>
              <w:pageBreakBefore w:val="0"/>
              <w:kinsoku/>
              <w:overflowPunct/>
              <w:topLinePunct w:val="0"/>
              <w:bidi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具备本科</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或以上</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学历的</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毕业于</w:t>
            </w:r>
            <w:r>
              <w:rPr>
                <w:rFonts w:hint="eastAsia" w:ascii="宋体" w:hAnsi="宋体" w:eastAsia="宋体" w:cs="宋体"/>
                <w:color w:val="000000" w:themeColor="text1"/>
                <w:sz w:val="24"/>
                <w:lang w:val="en-US" w:eastAsia="zh-CN"/>
                <w14:textFill>
                  <w14:solidFill>
                    <w14:schemeClr w14:val="tx1"/>
                  </w14:solidFill>
                </w14:textFill>
              </w:rPr>
              <w:t>金融或统计或经济等相关专业</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每1个得1分，最高得3分</w:t>
            </w:r>
            <w:r>
              <w:rPr>
                <w:rFonts w:hint="eastAsia" w:ascii="宋体" w:hAnsi="宋体" w:eastAsia="宋体" w:cs="宋体"/>
                <w:color w:val="000000" w:themeColor="text1"/>
                <w:sz w:val="24"/>
                <w:highlight w:val="none"/>
                <w14:textFill>
                  <w14:solidFill>
                    <w14:schemeClr w14:val="tx1"/>
                  </w14:solidFill>
                </w14:textFill>
              </w:rPr>
              <w:t>；</w:t>
            </w:r>
          </w:p>
          <w:p>
            <w:pPr>
              <w:pageBreakBefore w:val="0"/>
              <w:kinsoku/>
              <w:overflowPunct/>
              <w:topLinePunct w:val="0"/>
              <w:bidi w:val="0"/>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具有人力资源和社会保障部门颁发的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中级（或以上）统计师或经济师证书</w:t>
            </w:r>
            <w:r>
              <w:rPr>
                <w:rFonts w:hint="eastAsia" w:ascii="宋体" w:hAnsi="宋体" w:eastAsia="宋体" w:cs="宋体"/>
                <w:color w:val="000000" w:themeColor="text1"/>
                <w:sz w:val="24"/>
                <w:szCs w:val="24"/>
                <w:highlight w:val="none"/>
                <w14:textFill>
                  <w14:solidFill>
                    <w14:schemeClr w14:val="tx1"/>
                  </w14:solidFill>
                </w14:textFill>
              </w:rPr>
              <w:t>的，每1</w:t>
            </w: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r>
              <w:rPr>
                <w:rFonts w:hint="eastAsia" w:ascii="宋体" w:hAnsi="宋体" w:eastAsia="宋体" w:cs="宋体"/>
                <w:color w:val="000000" w:themeColor="text1"/>
                <w:sz w:val="24"/>
                <w:szCs w:val="24"/>
                <w:highlight w:val="none"/>
                <w14:textFill>
                  <w14:solidFill>
                    <w14:schemeClr w14:val="tx1"/>
                  </w14:solidFill>
                </w14:textFill>
              </w:rPr>
              <w:t>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最高得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本项最高得6分；</w:t>
            </w:r>
          </w:p>
          <w:p>
            <w:pPr>
              <w:pageBreakBefore w:val="0"/>
              <w:kinsoku/>
              <w:overflowPunct/>
              <w:topLinePunct w:val="0"/>
              <w:bidi w:val="0"/>
              <w:spacing w:line="360" w:lineRule="auto"/>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3、上述1-2项的人员中有参与过区级（或县级）</w:t>
            </w:r>
            <w:r>
              <w:rPr>
                <w:rFonts w:hint="eastAsia" w:ascii="宋体" w:hAnsi="宋体" w:cs="宋体"/>
                <w:color w:val="000000" w:themeColor="text1"/>
                <w:sz w:val="24"/>
                <w:lang w:val="en-US" w:eastAsia="zh-CN"/>
                <w14:textFill>
                  <w14:solidFill>
                    <w14:schemeClr w14:val="tx1"/>
                  </w14:solidFill>
                </w14:textFill>
              </w:rPr>
              <w:t>或以上数据服务类或统计分析类项目</w:t>
            </w:r>
            <w:r>
              <w:rPr>
                <w:rFonts w:hint="eastAsia" w:ascii="宋体" w:hAnsi="宋体" w:eastAsia="宋体" w:cs="宋体"/>
                <w:color w:val="000000" w:themeColor="text1"/>
                <w:sz w:val="24"/>
                <w:highlight w:val="none"/>
                <w:lang w:val="en-US" w:eastAsia="zh-CN"/>
                <w14:textFill>
                  <w14:solidFill>
                    <w14:schemeClr w14:val="tx1"/>
                  </w14:solidFill>
                </w14:textFill>
              </w:rPr>
              <w:t>经验的，每</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个</w:t>
            </w:r>
            <w:r>
              <w:rPr>
                <w:rFonts w:hint="eastAsia" w:ascii="宋体" w:hAnsi="宋体" w:cs="宋体"/>
                <w:color w:val="000000" w:themeColor="text1"/>
                <w:sz w:val="24"/>
                <w:highlight w:val="none"/>
                <w:lang w:val="en-US" w:eastAsia="zh-CN"/>
                <w14:textFill>
                  <w14:solidFill>
                    <w14:schemeClr w14:val="tx1"/>
                  </w14:solidFill>
                </w14:textFill>
              </w:rPr>
              <w:t>项目</w:t>
            </w:r>
            <w:r>
              <w:rPr>
                <w:rFonts w:hint="eastAsia" w:ascii="宋体" w:hAnsi="宋体" w:eastAsia="宋体" w:cs="宋体"/>
                <w:color w:val="000000" w:themeColor="text1"/>
                <w:sz w:val="24"/>
                <w:highlight w:val="none"/>
                <w:lang w:val="en-US" w:eastAsia="zh-CN"/>
                <w14:textFill>
                  <w14:solidFill>
                    <w14:schemeClr w14:val="tx1"/>
                  </w14:solidFill>
                </w14:textFill>
              </w:rPr>
              <w:t>得1分，最高得</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分。</w:t>
            </w:r>
            <w:r>
              <w:rPr>
                <w:rFonts w:hint="eastAsia" w:ascii="宋体" w:hAnsi="宋体" w:cs="宋体"/>
                <w:color w:val="000000" w:themeColor="text1"/>
                <w:sz w:val="24"/>
                <w:highlight w:val="none"/>
                <w:lang w:val="en-US" w:eastAsia="zh-CN"/>
                <w14:textFill>
                  <w14:solidFill>
                    <w14:schemeClr w14:val="tx1"/>
                  </w14:solidFill>
                </w14:textFill>
              </w:rPr>
              <w:t>按项目得分，如同一项目有多名团队成员，仅算一次分数。</w:t>
            </w:r>
          </w:p>
          <w:p>
            <w:pPr>
              <w:pageBreakBefore w:val="0"/>
              <w:kinsoku/>
              <w:overflowPunct/>
              <w:topLinePunct w:val="0"/>
              <w:bidi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同一人员</w:t>
            </w:r>
            <w:r>
              <w:rPr>
                <w:rFonts w:hint="eastAsia" w:ascii="宋体" w:hAnsi="宋体" w:cs="宋体"/>
                <w:color w:val="000000" w:themeColor="text1"/>
                <w:sz w:val="24"/>
                <w:highlight w:val="none"/>
                <w:lang w:val="en-US" w:eastAsia="zh-CN"/>
                <w14:textFill>
                  <w14:solidFill>
                    <w14:schemeClr w14:val="tx1"/>
                  </w14:solidFill>
                </w14:textFill>
              </w:rPr>
              <w:t>满足多项条件</w:t>
            </w:r>
            <w:r>
              <w:rPr>
                <w:rFonts w:hint="eastAsia" w:ascii="宋体" w:hAnsi="宋体" w:eastAsia="宋体" w:cs="宋体"/>
                <w:color w:val="000000" w:themeColor="text1"/>
                <w:sz w:val="24"/>
                <w:highlight w:val="none"/>
                <w:lang w:val="en-US" w:eastAsia="zh-CN"/>
                <w14:textFill>
                  <w14:solidFill>
                    <w14:schemeClr w14:val="tx1"/>
                  </w14:solidFill>
                </w14:textFill>
              </w:rPr>
              <w:t>可重复得分，</w:t>
            </w:r>
            <w:r>
              <w:rPr>
                <w:rFonts w:hint="eastAsia" w:ascii="宋体" w:hAnsi="宋体" w:eastAsia="宋体" w:cs="宋体"/>
                <w:color w:val="000000" w:themeColor="text1"/>
                <w:sz w:val="24"/>
                <w:highlight w:val="none"/>
                <w14:textFill>
                  <w14:solidFill>
                    <w14:schemeClr w14:val="tx1"/>
                  </w14:solidFill>
                </w14:textFill>
              </w:rPr>
              <w:t>以上</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项累计得分，最高得</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分。</w:t>
            </w:r>
          </w:p>
          <w:p>
            <w:pPr>
              <w:pageBreakBefore w:val="0"/>
              <w:kinsoku/>
              <w:overflowPunct/>
              <w:topLinePunct w:val="0"/>
              <w:bidi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评分标准：</w:t>
            </w:r>
          </w:p>
          <w:p>
            <w:pPr>
              <w:pageBreakBefore w:val="0"/>
              <w:kinsoku/>
              <w:overflowPunct/>
              <w:topLinePunct w:val="0"/>
              <w:bidi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提供由投标人</w:t>
            </w:r>
            <w:r>
              <w:rPr>
                <w:rFonts w:hint="eastAsia" w:ascii="宋体" w:hAnsi="宋体" w:cs="宋体"/>
                <w:color w:val="000000" w:themeColor="text1"/>
                <w:sz w:val="24"/>
                <w:lang w:val="en-US" w:eastAsia="zh-CN"/>
                <w14:textFill>
                  <w14:solidFill>
                    <w14:schemeClr w14:val="tx1"/>
                  </w14:solidFill>
                </w14:textFill>
              </w:rPr>
              <w:t>在投标截止之日前</w:t>
            </w:r>
            <w:r>
              <w:rPr>
                <w:rFonts w:hint="eastAsia" w:ascii="宋体" w:hAnsi="宋体" w:eastAsia="宋体" w:cs="宋体"/>
                <w:color w:val="000000" w:themeColor="text1"/>
                <w:sz w:val="24"/>
                <w14:textFill>
                  <w14:solidFill>
                    <w14:schemeClr w14:val="tx1"/>
                  </w14:solidFill>
                </w14:textFill>
              </w:rPr>
              <w:t>为其缴纳的近</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个月内任1个月的社保证明或加盖公章的社保承诺函</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仅在投标人注册成立时间不足一个月的情况下提供</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作为得分依据</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并加盖公章</w:t>
            </w:r>
            <w:r>
              <w:rPr>
                <w:rFonts w:hint="eastAsia" w:ascii="宋体" w:hAnsi="宋体" w:eastAsia="宋体" w:cs="宋体"/>
                <w:color w:val="000000" w:themeColor="text1"/>
                <w:sz w:val="24"/>
                <w:highlight w:val="none"/>
                <w14:textFill>
                  <w14:solidFill>
                    <w14:schemeClr w14:val="tx1"/>
                  </w14:solidFill>
                </w14:textFill>
              </w:rPr>
              <w:t>。</w:t>
            </w:r>
          </w:p>
          <w:p>
            <w:pPr>
              <w:pageBreakBefore w:val="0"/>
              <w:kinsoku/>
              <w:overflowPunct/>
              <w:topLinePunct w:val="0"/>
              <w:bidi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提供学历证书</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或毕业证书</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及学信网查询截图，原件备查。对于较早颁发的学历证书，学信网无法查询的，除要求提供证书扫描件，需要提供其他佐证材料（如毕业院校、人社部门等颁发机构或监管机构等单位出具的证明）</w:t>
            </w:r>
            <w:r>
              <w:rPr>
                <w:rFonts w:hint="eastAsia" w:ascii="宋体" w:hAnsi="宋体" w:eastAsia="宋体" w:cs="宋体"/>
                <w:color w:val="000000" w:themeColor="text1"/>
                <w:sz w:val="24"/>
                <w:highlight w:val="none"/>
                <w14:textFill>
                  <w14:solidFill>
                    <w14:schemeClr w14:val="tx1"/>
                  </w14:solidFill>
                </w14:textFill>
              </w:rPr>
              <w:t>作为得分依据</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并加盖公章</w:t>
            </w:r>
            <w:r>
              <w:rPr>
                <w:rFonts w:hint="eastAsia" w:ascii="宋体" w:hAnsi="宋体" w:eastAsia="宋体" w:cs="宋体"/>
                <w:color w:val="000000" w:themeColor="text1"/>
                <w:sz w:val="24"/>
                <w:highlight w:val="none"/>
                <w14:textFill>
                  <w14:solidFill>
                    <w14:schemeClr w14:val="tx1"/>
                  </w14:solidFill>
                </w14:textFill>
              </w:rPr>
              <w:t>。留学归国人员</w:t>
            </w:r>
            <w:r>
              <w:rPr>
                <w:rFonts w:hint="eastAsia" w:ascii="宋体" w:hAnsi="宋体" w:eastAsia="宋体" w:cs="宋体"/>
                <w:color w:val="000000" w:themeColor="text1"/>
                <w:sz w:val="24"/>
                <w:highlight w:val="none"/>
                <w:lang w:val="en-US" w:eastAsia="zh-CN"/>
                <w14:textFill>
                  <w14:solidFill>
                    <w14:schemeClr w14:val="tx1"/>
                  </w14:solidFill>
                </w14:textFill>
              </w:rPr>
              <w:t>需</w:t>
            </w:r>
            <w:r>
              <w:rPr>
                <w:rFonts w:hint="eastAsia" w:ascii="宋体" w:hAnsi="宋体" w:eastAsia="宋体" w:cs="宋体"/>
                <w:color w:val="000000" w:themeColor="text1"/>
                <w:sz w:val="24"/>
                <w:highlight w:val="none"/>
                <w14:textFill>
                  <w14:solidFill>
                    <w14:schemeClr w14:val="tx1"/>
                  </w14:solidFill>
                </w14:textFill>
              </w:rPr>
              <w:t>提供国（境）外学历证书扫描件和教育部留学服务中心出具的国外学历认证书扫描件【或教育部留学服务中心网站（</w:t>
            </w:r>
            <w:r>
              <w:rPr>
                <w:rFonts w:hint="eastAsia" w:ascii="宋体" w:hAnsi="宋体" w:eastAsia="宋体" w:cs="宋体"/>
                <w:color w:val="000000" w:themeColor="text1"/>
                <w:sz w:val="24"/>
                <w:highlight w:val="none"/>
                <w14:textFill>
                  <w14:solidFill>
                    <w14:schemeClr w14:val="tx1"/>
                  </w14:solidFill>
                </w14:textFill>
              </w:rPr>
              <w:fldChar w:fldCharType="begin"/>
            </w:r>
            <w:r>
              <w:rPr>
                <w:rFonts w:hint="eastAsia" w:ascii="宋体" w:hAnsi="宋体" w:eastAsia="宋体" w:cs="宋体"/>
                <w:color w:val="000000" w:themeColor="text1"/>
                <w:sz w:val="24"/>
                <w:highlight w:val="none"/>
                <w14:textFill>
                  <w14:solidFill>
                    <w14:schemeClr w14:val="tx1"/>
                  </w14:solidFill>
                </w14:textFill>
              </w:rPr>
              <w:instrText xml:space="preserve"> HYPERLINK "http://zwfw.cscse.edu.cn/）在线查询截图】也予以认可。</w:instrText>
            </w:r>
          </w:p>
          <w:p>
            <w:pPr>
              <w:pageBreakBefore w:val="0"/>
              <w:kinsoku/>
              <w:overflowPunct/>
              <w:topLinePunct w:val="0"/>
              <w:bidi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http://zwfw.cscse.edu.cn/）在线查询截图】也予以认可。</w:t>
            </w:r>
            <w:r>
              <w:rPr>
                <w:rFonts w:hint="eastAsia" w:ascii="宋体" w:hAnsi="宋体" w:eastAsia="宋体" w:cs="宋体"/>
                <w:color w:val="000000" w:themeColor="text1"/>
                <w:sz w:val="24"/>
                <w:highlight w:val="none"/>
                <w14:textFill>
                  <w14:solidFill>
                    <w14:schemeClr w14:val="tx1"/>
                  </w14:solidFill>
                </w14:textFill>
              </w:rPr>
              <w:fldChar w:fldCharType="end"/>
            </w:r>
          </w:p>
          <w:p>
            <w:pPr>
              <w:pageBreakBefore w:val="0"/>
              <w:kinsoku/>
              <w:overflowPunct/>
              <w:topLinePunct w:val="0"/>
              <w:bidi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提供职称证书</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项目业绩证明（合同关键页或结项证明、官网公告等）作为得分依据，</w:t>
            </w:r>
            <w:r>
              <w:rPr>
                <w:rFonts w:hint="eastAsia" w:ascii="宋体" w:hAnsi="宋体" w:eastAsia="宋体" w:cs="宋体"/>
                <w:color w:val="000000" w:themeColor="text1"/>
                <w:sz w:val="24"/>
                <w:lang w:val="en-US" w:eastAsia="zh-CN"/>
                <w14:textFill>
                  <w14:solidFill>
                    <w14:schemeClr w14:val="tx1"/>
                  </w14:solidFill>
                </w14:textFill>
              </w:rPr>
              <w:t>并加盖公章，原件备查</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证明文件须体</w:t>
            </w:r>
            <w:r>
              <w:rPr>
                <w:rFonts w:hint="eastAsia" w:ascii="宋体" w:hAnsi="宋体" w:eastAsia="宋体" w:cs="宋体"/>
                <w:color w:val="000000" w:themeColor="text1"/>
                <w:sz w:val="24"/>
                <w:lang w:val="en-US" w:eastAsia="zh-CN"/>
                <w14:textFill>
                  <w14:solidFill>
                    <w14:schemeClr w14:val="tx1"/>
                  </w14:solidFill>
                </w14:textFill>
              </w:rPr>
              <w:t>现团队成员的名称，如项目业绩证明资料无法判断是否得分的或无人员信息的，须提供甲方出具的人员证明材料</w:t>
            </w:r>
            <w:r>
              <w:rPr>
                <w:rFonts w:hint="eastAsia" w:ascii="宋体" w:hAnsi="宋体" w:eastAsia="宋体" w:cs="宋体"/>
                <w:color w:val="000000" w:themeColor="text1"/>
                <w:sz w:val="24"/>
                <w:highlight w:val="none"/>
                <w14:textFill>
                  <w14:solidFill>
                    <w14:schemeClr w14:val="tx1"/>
                  </w14:solidFill>
                </w14:textFill>
              </w:rPr>
              <w:t>。</w:t>
            </w:r>
          </w:p>
          <w:p>
            <w:pPr>
              <w:pageBreakBefore w:val="0"/>
              <w:kinsoku/>
              <w:overflowPunct/>
              <w:topLinePunct w:val="0"/>
              <w:bidi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评分中出现无证明资料或专家无法凭所提供资料判断是否得分的情况，一律不得分。</w:t>
            </w:r>
          </w:p>
        </w:tc>
        <w:tc>
          <w:tcPr>
            <w:tcW w:w="901" w:type="dxa"/>
            <w:noWrap w:val="0"/>
            <w:vAlign w:val="center"/>
          </w:tcPr>
          <w:p>
            <w:pPr>
              <w:pageBreakBefore w:val="0"/>
              <w:kinsoku/>
              <w:overflowPunct/>
              <w:topLinePunct w:val="0"/>
              <w:bidi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1168" w:type="dxa"/>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业绩情况</w:t>
            </w:r>
          </w:p>
        </w:tc>
        <w:tc>
          <w:tcPr>
            <w:tcW w:w="5907" w:type="dxa"/>
            <w:noWrap w:val="0"/>
            <w:vAlign w:val="center"/>
          </w:tcPr>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评审内容：</w:t>
            </w:r>
          </w:p>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投标人自</w:t>
            </w:r>
            <w:r>
              <w:rPr>
                <w:rFonts w:hint="eastAsia" w:ascii="宋体" w:hAnsi="宋体" w:eastAsia="宋体" w:cs="宋体"/>
                <w:color w:val="000000" w:themeColor="text1"/>
                <w:sz w:val="24"/>
                <w:lang w:val="en-US" w:eastAsia="zh-CN"/>
                <w14:textFill>
                  <w14:solidFill>
                    <w14:schemeClr w14:val="tx1"/>
                  </w14:solidFill>
                </w14:textFill>
              </w:rPr>
              <w:t>2020年</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月1日至投标截止之日</w:t>
            </w:r>
            <w:r>
              <w:rPr>
                <w:rFonts w:hint="eastAsia" w:ascii="宋体" w:hAnsi="宋体" w:eastAsia="宋体" w:cs="宋体"/>
                <w:color w:val="000000" w:themeColor="text1"/>
                <w:sz w:val="24"/>
                <w14:textFill>
                  <w14:solidFill>
                    <w14:schemeClr w14:val="tx1"/>
                  </w14:solidFill>
                </w14:textFill>
              </w:rPr>
              <w:t>（以合同签订时间为准），承接过</w:t>
            </w:r>
            <w:r>
              <w:rPr>
                <w:rFonts w:hint="eastAsia" w:ascii="宋体" w:hAnsi="宋体" w:cs="宋体"/>
                <w:color w:val="000000" w:themeColor="text1"/>
                <w:sz w:val="24"/>
                <w:lang w:val="en-US" w:eastAsia="zh-CN"/>
                <w14:textFill>
                  <w14:solidFill>
                    <w14:schemeClr w14:val="tx1"/>
                  </w14:solidFill>
                </w14:textFill>
              </w:rPr>
              <w:t>区级（或县级）或以上统计分析</w:t>
            </w:r>
            <w:r>
              <w:rPr>
                <w:rFonts w:hint="eastAsia" w:ascii="宋体" w:hAnsi="宋体" w:eastAsia="宋体" w:cs="宋体"/>
                <w:color w:val="000000" w:themeColor="text1"/>
                <w:sz w:val="24"/>
                <w:lang w:val="en-US" w:eastAsia="zh-CN"/>
                <w14:textFill>
                  <w14:solidFill>
                    <w14:schemeClr w14:val="tx1"/>
                  </w14:solidFill>
                </w14:textFill>
              </w:rPr>
              <w:t>或数据服务类</w:t>
            </w:r>
            <w:r>
              <w:rPr>
                <w:rFonts w:hint="eastAsia" w:ascii="宋体" w:hAnsi="宋体" w:eastAsia="宋体" w:cs="宋体"/>
                <w:color w:val="000000" w:themeColor="text1"/>
                <w:sz w:val="24"/>
                <w14:textFill>
                  <w14:solidFill>
                    <w14:schemeClr w14:val="tx1"/>
                  </w14:solidFill>
                </w14:textFill>
              </w:rPr>
              <w:t>项目的，每个得1分，最高得</w:t>
            </w:r>
            <w:r>
              <w:rPr>
                <w:rFonts w:hint="default"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分。</w:t>
            </w:r>
          </w:p>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评分标准：</w:t>
            </w:r>
          </w:p>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提供合同关键页，合同关键页要求包含签订合同双方的单位名称、合同项目名称、服务内容页</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双方盖章和签订日期等信息。</w:t>
            </w:r>
          </w:p>
          <w:p>
            <w:pPr>
              <w:pageBreakBefore w:val="0"/>
              <w:kinsoku/>
              <w:overflowPunct/>
              <w:topLinePunct w:val="0"/>
              <w:bidi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以上资料均要求提供复印件，加盖公章</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原件备查</w:t>
            </w:r>
            <w:r>
              <w:rPr>
                <w:rFonts w:hint="eastAsia" w:ascii="宋体" w:hAnsi="宋体" w:eastAsia="宋体" w:cs="宋体"/>
                <w:color w:val="000000" w:themeColor="text1"/>
                <w:sz w:val="24"/>
                <w14:textFill>
                  <w14:solidFill>
                    <w14:schemeClr w14:val="tx1"/>
                  </w14:solidFill>
                </w14:textFill>
              </w:rPr>
              <w:t>。评分中出现无证明资料或专家无法凭所提供资料判断是否得分的情况，一律不得分。</w:t>
            </w:r>
          </w:p>
        </w:tc>
        <w:tc>
          <w:tcPr>
            <w:tcW w:w="901" w:type="dxa"/>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default" w:ascii="宋体" w:hAnsi="宋体" w:eastAsia="宋体" w:cs="宋体"/>
                <w:color w:val="000000" w:themeColor="text1"/>
                <w:sz w:val="24"/>
                <w:lang w:val="en-US" w:eastAsia="zh-CN"/>
                <w14:textFill>
                  <w14:solidFill>
                    <w14:schemeClr w14:val="tx1"/>
                  </w14:solidFill>
                </w14:textFill>
              </w:rPr>
              <w:t>8</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1168" w:type="dxa"/>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自主知识产权产品（创新、设计）情况</w:t>
            </w:r>
          </w:p>
        </w:tc>
        <w:tc>
          <w:tcPr>
            <w:tcW w:w="5907" w:type="dxa"/>
            <w:noWrap w:val="0"/>
            <w:vAlign w:val="center"/>
          </w:tcPr>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评审内容：</w:t>
            </w:r>
          </w:p>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投标人具有</w:t>
            </w:r>
            <w:r>
              <w:rPr>
                <w:rFonts w:hint="eastAsia" w:ascii="宋体" w:hAnsi="宋体" w:cs="宋体"/>
                <w:color w:val="000000" w:themeColor="text1"/>
                <w:sz w:val="24"/>
                <w:lang w:val="en-US" w:eastAsia="zh-CN"/>
                <w14:textFill>
                  <w14:solidFill>
                    <w14:schemeClr w14:val="tx1"/>
                  </w14:solidFill>
                </w14:textFill>
              </w:rPr>
              <w:t>以下自主研发(购买或租赁)</w:t>
            </w:r>
            <w:r>
              <w:rPr>
                <w:rFonts w:hint="eastAsia" w:ascii="宋体" w:hAnsi="宋体" w:eastAsia="宋体" w:cs="宋体"/>
                <w:color w:val="000000" w:themeColor="text1"/>
                <w:sz w:val="24"/>
                <w14:textFill>
                  <w14:solidFill>
                    <w14:schemeClr w14:val="tx1"/>
                  </w14:solidFill>
                </w14:textFill>
              </w:rPr>
              <w:t>的知识产权，包括：</w:t>
            </w:r>
          </w:p>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具有</w:t>
            </w:r>
            <w:r>
              <w:rPr>
                <w:rFonts w:hint="eastAsia" w:ascii="宋体" w:hAnsi="宋体" w:eastAsia="宋体" w:cs="宋体"/>
                <w:color w:val="000000" w:themeColor="text1"/>
                <w:sz w:val="24"/>
                <w:lang w:val="en-US" w:eastAsia="zh-CN"/>
                <w14:textFill>
                  <w14:solidFill>
                    <w14:schemeClr w14:val="tx1"/>
                  </w14:solidFill>
                </w14:textFill>
              </w:rPr>
              <w:t>统计类、</w:t>
            </w:r>
            <w:r>
              <w:rPr>
                <w:rFonts w:hint="eastAsia" w:ascii="宋体" w:hAnsi="宋体" w:eastAsia="宋体" w:cs="宋体"/>
                <w:color w:val="000000" w:themeColor="text1"/>
                <w:sz w:val="24"/>
                <w14:textFill>
                  <w14:solidFill>
                    <w14:schemeClr w14:val="tx1"/>
                  </w14:solidFill>
                </w14:textFill>
              </w:rPr>
              <w:t>分析</w:t>
            </w:r>
            <w:r>
              <w:rPr>
                <w:rFonts w:hint="eastAsia" w:ascii="宋体" w:hAnsi="宋体" w:eastAsia="宋体" w:cs="宋体"/>
                <w:color w:val="000000" w:themeColor="text1"/>
                <w:sz w:val="24"/>
                <w:lang w:val="en-US" w:eastAsia="zh-CN"/>
                <w14:textFill>
                  <w14:solidFill>
                    <w14:schemeClr w14:val="tx1"/>
                  </w14:solidFill>
                </w14:textFill>
              </w:rPr>
              <w:t>类、数据服务类或数据管理类软件著作权的，每</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个得1分，最高得</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lang w:val="en-US" w:eastAsia="zh-CN"/>
                <w14:textFill>
                  <w14:solidFill>
                    <w14:schemeClr w14:val="tx1"/>
                  </w14:solidFill>
                </w14:textFill>
              </w:rPr>
              <w:t>分</w:t>
            </w:r>
            <w:r>
              <w:rPr>
                <w:rFonts w:hint="eastAsia" w:ascii="宋体" w:hAnsi="宋体" w:cs="宋体"/>
                <w:color w:val="000000" w:themeColor="text1"/>
                <w:sz w:val="24"/>
                <w:lang w:val="en-US" w:eastAsia="zh-CN"/>
                <w14:textFill>
                  <w14:solidFill>
                    <w14:schemeClr w14:val="tx1"/>
                  </w14:solidFill>
                </w14:textFill>
              </w:rPr>
              <w:t>；</w:t>
            </w:r>
          </w:p>
          <w:p>
            <w:pPr>
              <w:pageBreakBefore w:val="0"/>
              <w:kinsoku/>
              <w:overflowPunct/>
              <w:topLinePunct w:val="0"/>
              <w:bidi w:val="0"/>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2、具有企业</w:t>
            </w:r>
            <w:r>
              <w:rPr>
                <w:rFonts w:hint="eastAsia" w:ascii="宋体" w:hAnsi="宋体" w:cs="宋体"/>
                <w:color w:val="000000" w:themeColor="text1"/>
                <w:sz w:val="24"/>
                <w:lang w:val="en-US" w:eastAsia="zh-CN"/>
                <w14:textFill>
                  <w14:solidFill>
                    <w14:schemeClr w14:val="tx1"/>
                  </w14:solidFill>
                </w14:textFill>
              </w:rPr>
              <w:t>数据</w:t>
            </w:r>
            <w:r>
              <w:rPr>
                <w:rFonts w:hint="eastAsia" w:ascii="宋体" w:hAnsi="宋体" w:eastAsia="宋体" w:cs="宋体"/>
                <w:color w:val="000000" w:themeColor="text1"/>
                <w:sz w:val="24"/>
                <w:lang w:val="en-US" w:eastAsia="zh-CN"/>
                <w14:textFill>
                  <w14:solidFill>
                    <w14:schemeClr w14:val="tx1"/>
                  </w14:solidFill>
                </w14:textFill>
              </w:rPr>
              <w:t>类</w:t>
            </w:r>
            <w:r>
              <w:rPr>
                <w:rFonts w:hint="eastAsia" w:ascii="宋体" w:hAnsi="宋体" w:cs="宋体"/>
                <w:color w:val="000000" w:themeColor="text1"/>
                <w:sz w:val="24"/>
                <w:lang w:val="en-US" w:eastAsia="zh-CN"/>
                <w14:textFill>
                  <w14:solidFill>
                    <w14:schemeClr w14:val="tx1"/>
                  </w14:solidFill>
                </w14:textFill>
              </w:rPr>
              <w:t>（须包括投资或财务或融资或税务等相关字眼的数据）</w:t>
            </w:r>
            <w:r>
              <w:rPr>
                <w:rFonts w:hint="eastAsia" w:ascii="宋体" w:hAnsi="宋体" w:eastAsia="宋体" w:cs="宋体"/>
                <w:color w:val="000000" w:themeColor="text1"/>
                <w:sz w:val="24"/>
                <w:lang w:val="en-US" w:eastAsia="zh-CN"/>
                <w14:textFill>
                  <w14:solidFill>
                    <w14:schemeClr w14:val="tx1"/>
                  </w14:solidFill>
                </w14:textFill>
              </w:rPr>
              <w:t>数据知识产权的，每</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个得</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分，最高得</w:t>
            </w:r>
            <w:r>
              <w:rPr>
                <w:rFonts w:hint="default"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lang w:val="en-US" w:eastAsia="zh-CN"/>
                <w14:textFill>
                  <w14:solidFill>
                    <w14:schemeClr w14:val="tx1"/>
                  </w14:solidFill>
                </w14:textFill>
              </w:rPr>
              <w:t>分</w:t>
            </w:r>
            <w:r>
              <w:rPr>
                <w:rFonts w:hint="eastAsia" w:ascii="宋体" w:hAnsi="宋体" w:cs="宋体"/>
                <w:color w:val="000000" w:themeColor="text1"/>
                <w:sz w:val="24"/>
                <w:lang w:val="en-US" w:eastAsia="zh-CN"/>
                <w14:textFill>
                  <w14:solidFill>
                    <w14:schemeClr w14:val="tx1"/>
                  </w14:solidFill>
                </w14:textFill>
              </w:rPr>
              <w:t>；</w:t>
            </w:r>
          </w:p>
          <w:p>
            <w:pPr>
              <w:pageBreakBefore w:val="0"/>
              <w:kinsoku/>
              <w:overflowPunct/>
              <w:topLinePunct w:val="0"/>
              <w:bidi w:val="0"/>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3、具有数据分析类（须包括数据分析等相关字眼）发明专利的，每1个得3分，最高得3分。</w:t>
            </w:r>
          </w:p>
          <w:p>
            <w:pPr>
              <w:pageBreakBefore w:val="0"/>
              <w:kinsoku/>
              <w:overflowPunct/>
              <w:topLinePunct w:val="0"/>
              <w:bidi w:val="0"/>
              <w:spacing w:line="360" w:lineRule="auto"/>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以上</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项累计得分，最高得</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分</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overflowPunct/>
              <w:topLinePunct w:val="0"/>
              <w:bidi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评分标准：</w:t>
            </w:r>
          </w:p>
          <w:p>
            <w:pPr>
              <w:pageBreakBefore w:val="0"/>
              <w:kinsoku/>
              <w:overflowPunct/>
              <w:topLinePunct w:val="0"/>
              <w:bidi w:val="0"/>
              <w:spacing w:line="360" w:lineRule="auto"/>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证明材料：</w:t>
            </w:r>
          </w:p>
          <w:p>
            <w:pPr>
              <w:pageBreakBefore w:val="0"/>
              <w:numPr>
                <w:ilvl w:val="0"/>
                <w:numId w:val="8"/>
              </w:numPr>
              <w:kinsoku/>
              <w:overflowPunct/>
              <w:topLinePunct w:val="0"/>
              <w:bidi w:val="0"/>
              <w:spacing w:line="360" w:lineRule="auto"/>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要求提供相关有效的计算机软件著作权证书</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发明</w:t>
            </w:r>
            <w:r>
              <w:rPr>
                <w:rFonts w:hint="eastAsia" w:ascii="宋体" w:hAnsi="宋体" w:eastAsia="宋体" w:cs="宋体"/>
                <w:color w:val="000000" w:themeColor="text1"/>
                <w:sz w:val="24"/>
                <w:lang w:val="en-US" w:eastAsia="zh-CN"/>
                <w14:textFill>
                  <w14:solidFill>
                    <w14:schemeClr w14:val="tx1"/>
                  </w14:solidFill>
                </w14:textFill>
              </w:rPr>
              <w:t>专利</w:t>
            </w:r>
            <w:r>
              <w:rPr>
                <w:rFonts w:hint="eastAsia" w:ascii="宋体" w:hAnsi="宋体" w:cs="宋体"/>
                <w:color w:val="000000" w:themeColor="text1"/>
                <w:sz w:val="24"/>
                <w:lang w:val="en-US" w:eastAsia="zh-CN"/>
                <w14:textFill>
                  <w14:solidFill>
                    <w14:schemeClr w14:val="tx1"/>
                  </w14:solidFill>
                </w14:textFill>
              </w:rPr>
              <w:t>证书、数据知识产权登记证书作为得分依据，并</w:t>
            </w:r>
            <w:r>
              <w:rPr>
                <w:rFonts w:hint="eastAsia" w:ascii="宋体" w:hAnsi="宋体" w:eastAsia="宋体" w:cs="宋体"/>
                <w:color w:val="000000" w:themeColor="text1"/>
                <w:sz w:val="24"/>
                <w:lang w:val="en-US" w:eastAsia="zh-CN"/>
                <w14:textFill>
                  <w14:solidFill>
                    <w14:schemeClr w14:val="tx1"/>
                  </w14:solidFill>
                </w14:textFill>
              </w:rPr>
              <w:t>加盖公章</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原件备查</w:t>
            </w:r>
          </w:p>
          <w:p>
            <w:pPr>
              <w:pageBreakBefore w:val="0"/>
              <w:numPr>
                <w:ilvl w:val="0"/>
                <w:numId w:val="8"/>
              </w:numPr>
              <w:kinsoku/>
              <w:overflowPunct/>
              <w:topLinePunct w:val="0"/>
              <w:bidi w:val="0"/>
              <w:spacing w:line="360" w:lineRule="auto"/>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如为购买（或租赁）的，需同时提供：</w:t>
            </w:r>
          </w:p>
          <w:p>
            <w:pPr>
              <w:pageBreakBefore w:val="0"/>
              <w:numPr>
                <w:ilvl w:val="-1"/>
                <w:numId w:val="0"/>
              </w:numPr>
              <w:kinsoku/>
              <w:overflowPunct/>
              <w:topLinePunct w:val="0"/>
              <w:bidi w:val="0"/>
              <w:spacing w:line="360" w:lineRule="auto"/>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①购买（或租赁）合同扫描件加盖公章，需体现购买人（或租赁人）为投标人；</w:t>
            </w:r>
          </w:p>
          <w:p>
            <w:pPr>
              <w:pageBreakBefore w:val="0"/>
              <w:numPr>
                <w:ilvl w:val="-1"/>
                <w:numId w:val="0"/>
              </w:numPr>
              <w:kinsoku/>
              <w:overflowPunct/>
              <w:topLinePunct w:val="0"/>
              <w:bidi w:val="0"/>
              <w:spacing w:line="360" w:lineRule="auto"/>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②计算机软件著作权登记证书</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发明</w:t>
            </w:r>
            <w:r>
              <w:rPr>
                <w:rFonts w:hint="eastAsia" w:ascii="宋体" w:hAnsi="宋体" w:eastAsia="宋体" w:cs="宋体"/>
                <w:color w:val="000000" w:themeColor="text1"/>
                <w:sz w:val="24"/>
                <w:lang w:val="en-US" w:eastAsia="zh-CN"/>
                <w14:textFill>
                  <w14:solidFill>
                    <w14:schemeClr w14:val="tx1"/>
                  </w14:solidFill>
                </w14:textFill>
              </w:rPr>
              <w:t>专利</w:t>
            </w:r>
            <w:r>
              <w:rPr>
                <w:rFonts w:hint="eastAsia" w:ascii="宋体" w:hAnsi="宋体" w:cs="宋体"/>
                <w:color w:val="000000" w:themeColor="text1"/>
                <w:sz w:val="24"/>
                <w:lang w:val="en-US" w:eastAsia="zh-CN"/>
                <w14:textFill>
                  <w14:solidFill>
                    <w14:schemeClr w14:val="tx1"/>
                  </w14:solidFill>
                </w14:textFill>
              </w:rPr>
              <w:t>证书、数据知识产权登记证书</w:t>
            </w:r>
            <w:r>
              <w:rPr>
                <w:rFonts w:hint="eastAsia" w:ascii="宋体" w:hAnsi="宋体" w:eastAsia="宋体" w:cs="宋体"/>
                <w:color w:val="000000" w:themeColor="text1"/>
                <w:sz w:val="24"/>
                <w:lang w:val="en-US" w:eastAsia="zh-CN"/>
                <w14:textFill>
                  <w14:solidFill>
                    <w14:schemeClr w14:val="tx1"/>
                  </w14:solidFill>
                </w14:textFill>
              </w:rPr>
              <w:t>复印件，需体现著作权人/专利权人/登记主体为出售方（或出租方）；</w:t>
            </w:r>
          </w:p>
          <w:p>
            <w:pPr>
              <w:pageBreakBefore w:val="0"/>
              <w:numPr>
                <w:ilvl w:val="-1"/>
                <w:numId w:val="0"/>
              </w:numPr>
              <w:kinsoku/>
              <w:overflowPunct/>
              <w:topLinePunct w:val="0"/>
              <w:bidi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③购买（或租赁）发票扫描件加盖公章，需体现购买人（或租赁人）为投标人。</w:t>
            </w:r>
          </w:p>
        </w:tc>
        <w:tc>
          <w:tcPr>
            <w:tcW w:w="901" w:type="dxa"/>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07" w:type="dxa"/>
            <w:noWrap w:val="0"/>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（一）评分内容：</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eastAsia="宋体" w:cs="宋体"/>
                <w:color w:val="000000" w:themeColor="text1"/>
                <w:sz w:val="24"/>
                <w:szCs w:val="24"/>
                <w:lang w:eastAsia="zh-CN"/>
                <w14:textFill>
                  <w14:solidFill>
                    <w14:schemeClr w14:val="tx1"/>
                  </w14:solidFill>
                </w14:textFill>
              </w:rPr>
              <w:t>满</w:t>
            </w:r>
            <w:r>
              <w:rPr>
                <w:rFonts w:hint="eastAsia" w:ascii="宋体" w:hAnsi="宋体" w:eastAsia="宋体" w:cs="宋体"/>
                <w:color w:val="000000" w:themeColor="text1"/>
                <w:sz w:val="24"/>
                <w:szCs w:val="24"/>
                <w14:textFill>
                  <w14:solidFill>
                    <w14:schemeClr w14:val="tx1"/>
                  </w14:solidFill>
                </w14:textFill>
              </w:rPr>
              <w:t>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（二）评分依据:</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采购代理机构通过“信用中国”、“中国政府采购网”、“深圳市政府采购监管网”以及市、区财政部门认定的其他渠道查询供应商信用信息，投标人无需提供证明材料。</w:t>
            </w:r>
          </w:p>
        </w:tc>
        <w:tc>
          <w:tcPr>
            <w:tcW w:w="901" w:type="dxa"/>
            <w:noWrap w:val="0"/>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noWrap w:val="0"/>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项目实施方案</w:t>
            </w:r>
          </w:p>
        </w:tc>
        <w:tc>
          <w:tcPr>
            <w:tcW w:w="5907" w:type="dxa"/>
            <w:noWrap w:val="0"/>
            <w:vAlign w:val="center"/>
          </w:tcPr>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评审内容：</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投标人根据项目自身特点，针对项目运行的整体设想和策划，编制实施方案。包括但不限于以下内容：</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1、项目背景；</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2、服务目标；</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3、服务内容。</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评分标准：</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每满足1点得2分，最高得6分</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未满足</w:t>
            </w:r>
            <w:r>
              <w:rPr>
                <w:rFonts w:hint="eastAsia" w:ascii="宋体" w:hAnsi="宋体" w:eastAsia="宋体" w:cs="宋体"/>
                <w:color w:val="000000" w:themeColor="text1"/>
                <w:sz w:val="24"/>
                <w:lang w:val="en-US" w:eastAsia="zh-CN"/>
                <w14:textFill>
                  <w14:solidFill>
                    <w14:schemeClr w14:val="tx1"/>
                  </w14:solidFill>
                </w14:textFill>
              </w:rPr>
              <w:t>不得分</w:t>
            </w:r>
            <w:r>
              <w:rPr>
                <w:rFonts w:hint="eastAsia" w:ascii="宋体" w:hAnsi="宋体" w:eastAsia="宋体" w:cs="宋体"/>
                <w:color w:val="000000" w:themeColor="text1"/>
                <w:sz w:val="24"/>
                <w14:textFill>
                  <w14:solidFill>
                    <w14:schemeClr w14:val="tx1"/>
                  </w14:solidFill>
                </w14:textFill>
              </w:rPr>
              <w:t>。</w:t>
            </w:r>
          </w:p>
          <w:p>
            <w:pPr>
              <w:pageBreakBefore w:val="0"/>
              <w:kinsoku/>
              <w:overflowPunct/>
              <w:topLinePunct w:val="0"/>
              <w:bidi w:val="0"/>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2、在此基础上，评审专家根据投标人的具体相应内容按照量化的评审因素指标进一步评审</w:t>
            </w:r>
            <w:r>
              <w:rPr>
                <w:rFonts w:hint="eastAsia" w:ascii="宋体" w:hAnsi="宋体" w:cs="宋体"/>
                <w:color w:val="000000" w:themeColor="text1"/>
                <w:sz w:val="24"/>
                <w:lang w:eastAsia="zh-CN"/>
                <w14:textFill>
                  <w14:solidFill>
                    <w14:schemeClr w14:val="tx1"/>
                  </w14:solidFill>
                </w14:textFill>
              </w:rPr>
              <w:t>：</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评审为优：方案内容完整详细且符合项目实际，可行性强的，加</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分；</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评审为良：方案内容完整，可行性较好的，加</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分；</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评审为中：方案内容能符合项目部分要求，较贴近项目实际的，加</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分；</w:t>
            </w:r>
          </w:p>
          <w:p>
            <w:pPr>
              <w:pageBreakBefore w:val="0"/>
              <w:kinsoku/>
              <w:overflowPunct/>
              <w:topLinePunct w:val="0"/>
              <w:bidi w:val="0"/>
              <w:spacing w:line="360" w:lineRule="auto"/>
              <w:rPr>
                <w:rFonts w:hint="eastAsia" w:ascii="宋体" w:hAnsi="宋体" w:cs="宋体"/>
                <w:color w:val="000000" w:themeColor="text1"/>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评审为差：方案内容</w:t>
            </w:r>
            <w:r>
              <w:rPr>
                <w:rFonts w:hint="eastAsia" w:ascii="宋体" w:hAnsi="宋体" w:eastAsia="宋体" w:cs="宋体"/>
                <w:color w:val="000000" w:themeColor="text1"/>
                <w:sz w:val="24"/>
                <w:lang w:val="en-US" w:eastAsia="zh-CN"/>
                <w14:textFill>
                  <w14:solidFill>
                    <w14:schemeClr w14:val="tx1"/>
                  </w14:solidFill>
                </w14:textFill>
              </w:rPr>
              <w:t>不符合项目要求</w:t>
            </w:r>
            <w:r>
              <w:rPr>
                <w:rFonts w:hint="eastAsia" w:ascii="宋体" w:hAnsi="宋体" w:eastAsia="宋体" w:cs="宋体"/>
                <w:color w:val="000000" w:themeColor="text1"/>
                <w:sz w:val="24"/>
                <w14:textFill>
                  <w14:solidFill>
                    <w14:schemeClr w14:val="tx1"/>
                  </w14:solidFill>
                </w14:textFill>
              </w:rPr>
              <w:t>的，</w:t>
            </w:r>
            <w:r>
              <w:rPr>
                <w:rFonts w:hint="eastAsia" w:ascii="宋体" w:hAnsi="宋体" w:eastAsia="宋体" w:cs="宋体"/>
                <w:color w:val="000000" w:themeColor="text1"/>
                <w:sz w:val="24"/>
                <w:lang w:val="en-US" w:eastAsia="zh-CN"/>
                <w14:textFill>
                  <w14:solidFill>
                    <w14:schemeClr w14:val="tx1"/>
                  </w14:solidFill>
                </w14:textFill>
              </w:rPr>
              <w:t>不加</w:t>
            </w:r>
            <w:r>
              <w:rPr>
                <w:rFonts w:hint="eastAsia" w:ascii="宋体" w:hAnsi="宋体" w:eastAsia="宋体" w:cs="宋体"/>
                <w:color w:val="000000" w:themeColor="text1"/>
                <w:sz w:val="24"/>
                <w14:textFill>
                  <w14:solidFill>
                    <w14:schemeClr w14:val="tx1"/>
                  </w14:solidFill>
                </w14:textFill>
              </w:rPr>
              <w:t>分。</w:t>
            </w:r>
          </w:p>
        </w:tc>
        <w:tc>
          <w:tcPr>
            <w:tcW w:w="901" w:type="dxa"/>
            <w:noWrap w:val="0"/>
            <w:vAlign w:val="center"/>
          </w:tcPr>
          <w:p>
            <w:pPr>
              <w:pageBreakBefore w:val="0"/>
              <w:kinsoku/>
              <w:overflowPunct/>
              <w:topLinePunct w:val="0"/>
              <w:bidi w:val="0"/>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15</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w:t>
            </w:r>
          </w:p>
        </w:tc>
        <w:tc>
          <w:tcPr>
            <w:tcW w:w="1168" w:type="dxa"/>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项目重难点分析及解决方案</w:t>
            </w:r>
          </w:p>
        </w:tc>
        <w:tc>
          <w:tcPr>
            <w:tcW w:w="5907" w:type="dxa"/>
            <w:noWrap w:val="0"/>
            <w:vAlign w:val="center"/>
          </w:tcPr>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评审内容：</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投标人根据投标文件，提供对本项目的重点难点分析、应对措施及相关的合理化建议。包括但不限于以下内容：</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1、项目重点难点分析；</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2、重点难点应对措施；</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3、对本项目的服务优化意见和建议。</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评分标准：</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每满足1点得2分，最高得6分</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未满足</w:t>
            </w:r>
            <w:r>
              <w:rPr>
                <w:rFonts w:hint="eastAsia" w:ascii="宋体" w:hAnsi="宋体" w:eastAsia="宋体" w:cs="宋体"/>
                <w:color w:val="000000" w:themeColor="text1"/>
                <w:sz w:val="24"/>
                <w:lang w:val="en-US" w:eastAsia="zh-CN"/>
                <w14:textFill>
                  <w14:solidFill>
                    <w14:schemeClr w14:val="tx1"/>
                  </w14:solidFill>
                </w14:textFill>
              </w:rPr>
              <w:t>不得分</w:t>
            </w:r>
            <w:r>
              <w:rPr>
                <w:rFonts w:hint="eastAsia" w:ascii="宋体" w:hAnsi="宋体" w:eastAsia="宋体" w:cs="宋体"/>
                <w:color w:val="000000" w:themeColor="text1"/>
                <w:sz w:val="24"/>
                <w14:textFill>
                  <w14:solidFill>
                    <w14:schemeClr w14:val="tx1"/>
                  </w14:solidFill>
                </w14:textFill>
              </w:rPr>
              <w:t>。</w:t>
            </w:r>
          </w:p>
          <w:p>
            <w:pPr>
              <w:pageBreakBefore w:val="0"/>
              <w:kinsoku/>
              <w:overflowPunct/>
              <w:topLinePunct w:val="0"/>
              <w:bidi w:val="0"/>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2、在此基础上，根据投标人的具体相应内容按照量化的评审因素指标进一步评审</w:t>
            </w:r>
            <w:r>
              <w:rPr>
                <w:rFonts w:hint="eastAsia" w:ascii="宋体" w:hAnsi="宋体" w:cs="宋体"/>
                <w:color w:val="000000" w:themeColor="text1"/>
                <w:sz w:val="24"/>
                <w:lang w:eastAsia="zh-CN"/>
                <w14:textFill>
                  <w14:solidFill>
                    <w14:schemeClr w14:val="tx1"/>
                  </w14:solidFill>
                </w14:textFill>
              </w:rPr>
              <w:t>：</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评审为优：内容完整详细且符合项目实际，可行性强的，加</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分；</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评审为良：内容完整，可行性较好的，加</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分；</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评审为中：内容能符合项目部分要求，较贴近项目实际的，加</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分；</w:t>
            </w:r>
          </w:p>
          <w:p>
            <w:pPr>
              <w:pageBreakBefore w:val="0"/>
              <w:kinsoku/>
              <w:overflowPunct/>
              <w:topLinePunct w:val="0"/>
              <w:bidi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评审为差：方案内容</w:t>
            </w:r>
            <w:r>
              <w:rPr>
                <w:rFonts w:hint="eastAsia" w:ascii="宋体" w:hAnsi="宋体" w:eastAsia="宋体" w:cs="宋体"/>
                <w:color w:val="000000" w:themeColor="text1"/>
                <w:sz w:val="24"/>
                <w:lang w:val="en-US" w:eastAsia="zh-CN"/>
                <w14:textFill>
                  <w14:solidFill>
                    <w14:schemeClr w14:val="tx1"/>
                  </w14:solidFill>
                </w14:textFill>
              </w:rPr>
              <w:t>不符合项目要求</w:t>
            </w:r>
            <w:r>
              <w:rPr>
                <w:rFonts w:hint="eastAsia" w:ascii="宋体" w:hAnsi="宋体" w:eastAsia="宋体" w:cs="宋体"/>
                <w:color w:val="000000" w:themeColor="text1"/>
                <w:sz w:val="24"/>
                <w14:textFill>
                  <w14:solidFill>
                    <w14:schemeClr w14:val="tx1"/>
                  </w14:solidFill>
                </w14:textFill>
              </w:rPr>
              <w:t>的，</w:t>
            </w:r>
            <w:r>
              <w:rPr>
                <w:rFonts w:hint="eastAsia" w:ascii="宋体" w:hAnsi="宋体" w:eastAsia="宋体" w:cs="宋体"/>
                <w:color w:val="000000" w:themeColor="text1"/>
                <w:sz w:val="24"/>
                <w:lang w:val="en-US" w:eastAsia="zh-CN"/>
                <w14:textFill>
                  <w14:solidFill>
                    <w14:schemeClr w14:val="tx1"/>
                  </w14:solidFill>
                </w14:textFill>
              </w:rPr>
              <w:t>不加</w:t>
            </w:r>
            <w:r>
              <w:rPr>
                <w:rFonts w:hint="eastAsia" w:ascii="宋体" w:hAnsi="宋体" w:eastAsia="宋体" w:cs="宋体"/>
                <w:color w:val="000000" w:themeColor="text1"/>
                <w:sz w:val="24"/>
                <w14:textFill>
                  <w14:solidFill>
                    <w14:schemeClr w14:val="tx1"/>
                  </w14:solidFill>
                </w14:textFill>
              </w:rPr>
              <w:t>分。</w:t>
            </w:r>
          </w:p>
        </w:tc>
        <w:tc>
          <w:tcPr>
            <w:tcW w:w="901" w:type="dxa"/>
            <w:noWrap w:val="0"/>
            <w:vAlign w:val="center"/>
          </w:tcPr>
          <w:p>
            <w:pPr>
              <w:pageBreakBefore w:val="0"/>
              <w:kinsoku/>
              <w:overflowPunct/>
              <w:topLinePunct w:val="0"/>
              <w:bidi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0</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w:t>
            </w:r>
          </w:p>
        </w:tc>
        <w:tc>
          <w:tcPr>
            <w:tcW w:w="1168" w:type="dxa"/>
            <w:noWrap w:val="0"/>
            <w:vAlign w:val="center"/>
          </w:tcPr>
          <w:p>
            <w:pPr>
              <w:pageBreakBefore w:val="0"/>
              <w:kinsoku/>
              <w:overflowPunct/>
              <w:topLinePunct w:val="0"/>
              <w:bidi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项目管理措施和进度计划</w:t>
            </w:r>
          </w:p>
        </w:tc>
        <w:tc>
          <w:tcPr>
            <w:tcW w:w="5907" w:type="dxa"/>
            <w:noWrap w:val="0"/>
            <w:vAlign w:val="center"/>
          </w:tcPr>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评审内容：</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投标人根据项目需求和目标，制定质量保障措施和方案，包括但不限于以下内容：</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1、项目时间管理制度与措施；</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2、项目质量管理制度与措施；</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3、项目资料、成果安全性保障制度与措施；</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4、响应时间（投标人须在0.5小时内及时响应采购方需求，并在24小时内提出解决方案）。</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评分标准：</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每满足1点得2分，最高得8分</w:t>
            </w:r>
            <w:r>
              <w:rPr>
                <w:rFonts w:hint="eastAsia" w:ascii="宋体" w:hAnsi="宋体" w:eastAsia="宋体" w:cs="宋体"/>
                <w:color w:val="000000" w:themeColor="text1"/>
                <w:sz w:val="24"/>
                <w14:textFill>
                  <w14:solidFill>
                    <w14:schemeClr w14:val="tx1"/>
                  </w14:solidFill>
                </w14:textFill>
              </w:rPr>
              <w:t>，未满足</w:t>
            </w:r>
            <w:r>
              <w:rPr>
                <w:rFonts w:hint="eastAsia" w:ascii="宋体" w:hAnsi="宋体" w:eastAsia="宋体" w:cs="宋体"/>
                <w:color w:val="000000" w:themeColor="text1"/>
                <w:sz w:val="24"/>
                <w:lang w:val="en-US" w:eastAsia="zh-CN"/>
                <w14:textFill>
                  <w14:solidFill>
                    <w14:schemeClr w14:val="tx1"/>
                  </w14:solidFill>
                </w14:textFill>
              </w:rPr>
              <w:t>不得分</w:t>
            </w:r>
            <w:r>
              <w:rPr>
                <w:rFonts w:hint="eastAsia" w:ascii="宋体" w:hAnsi="宋体" w:eastAsia="宋体" w:cs="宋体"/>
                <w:color w:val="000000" w:themeColor="text1"/>
                <w:sz w:val="24"/>
                <w14:textFill>
                  <w14:solidFill>
                    <w14:schemeClr w14:val="tx1"/>
                  </w14:solidFill>
                </w14:textFill>
              </w:rPr>
              <w:t>。</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2、在此基础上，根据投标人的具体相应内容按照量化的评审因素指标进一步评审；</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评审为优：内容完整详细且符合项目实际，可行性强的，加</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分；</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评审为良：内容完整，可行性较好的，加3分；</w:t>
            </w:r>
          </w:p>
          <w:p>
            <w:pPr>
              <w:pageBreakBefore w:val="0"/>
              <w:kinsoku/>
              <w:overflowPunct/>
              <w:topLinePunct w:val="0"/>
              <w:bidi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评审为中：方案内容能符合项目部分要求，较贴近项目实际的，加</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分；</w:t>
            </w:r>
          </w:p>
          <w:p>
            <w:pPr>
              <w:pageBreakBefore w:val="0"/>
              <w:kinsoku/>
              <w:overflowPunct/>
              <w:topLinePunct w:val="0"/>
              <w:bidi w:val="0"/>
              <w:spacing w:line="360" w:lineRule="auto"/>
              <w:rPr>
                <w:rFonts w:hint="eastAsia" w:ascii="宋体" w:hAnsi="宋体" w:cs="宋体"/>
                <w:color w:val="000000" w:themeColor="text1"/>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评审为差：方案内容</w:t>
            </w:r>
            <w:r>
              <w:rPr>
                <w:rFonts w:hint="eastAsia" w:ascii="宋体" w:hAnsi="宋体" w:eastAsia="宋体" w:cs="宋体"/>
                <w:color w:val="000000" w:themeColor="text1"/>
                <w:sz w:val="24"/>
                <w:lang w:val="en-US" w:eastAsia="zh-CN"/>
                <w14:textFill>
                  <w14:solidFill>
                    <w14:schemeClr w14:val="tx1"/>
                  </w14:solidFill>
                </w14:textFill>
              </w:rPr>
              <w:t>不符合项目要求</w:t>
            </w:r>
            <w:r>
              <w:rPr>
                <w:rFonts w:hint="eastAsia" w:ascii="宋体" w:hAnsi="宋体" w:eastAsia="宋体" w:cs="宋体"/>
                <w:color w:val="000000" w:themeColor="text1"/>
                <w:sz w:val="24"/>
                <w14:textFill>
                  <w14:solidFill>
                    <w14:schemeClr w14:val="tx1"/>
                  </w14:solidFill>
                </w14:textFill>
              </w:rPr>
              <w:t>的，</w:t>
            </w:r>
            <w:r>
              <w:rPr>
                <w:rFonts w:hint="eastAsia" w:ascii="宋体" w:hAnsi="宋体" w:eastAsia="宋体" w:cs="宋体"/>
                <w:color w:val="000000" w:themeColor="text1"/>
                <w:sz w:val="24"/>
                <w:lang w:val="en-US" w:eastAsia="zh-CN"/>
                <w14:textFill>
                  <w14:solidFill>
                    <w14:schemeClr w14:val="tx1"/>
                  </w14:solidFill>
                </w14:textFill>
              </w:rPr>
              <w:t>不加</w:t>
            </w:r>
            <w:r>
              <w:rPr>
                <w:rFonts w:hint="eastAsia" w:ascii="宋体" w:hAnsi="宋体" w:eastAsia="宋体" w:cs="宋体"/>
                <w:color w:val="000000" w:themeColor="text1"/>
                <w:sz w:val="24"/>
                <w14:textFill>
                  <w14:solidFill>
                    <w14:schemeClr w14:val="tx1"/>
                  </w14:solidFill>
                </w14:textFill>
              </w:rPr>
              <w:t>分。</w:t>
            </w:r>
          </w:p>
        </w:tc>
        <w:tc>
          <w:tcPr>
            <w:tcW w:w="901" w:type="dxa"/>
            <w:noWrap w:val="0"/>
            <w:vAlign w:val="center"/>
          </w:tcPr>
          <w:p>
            <w:pPr>
              <w:pageBreakBefore w:val="0"/>
              <w:kinsoku/>
              <w:overflowPunct/>
              <w:topLinePunct w:val="0"/>
              <w:bidi w:val="0"/>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15</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8" w:name="_Toc9548"/>
      <w:bookmarkStart w:id="19" w:name="_Hlk28269117"/>
      <w:r>
        <w:rPr>
          <w:rFonts w:hint="eastAsia" w:ascii="宋体" w:hAnsi="宋体" w:cs="宋体"/>
          <w:b/>
          <w:bCs/>
          <w:color w:val="000000" w:themeColor="text1"/>
          <w:sz w:val="24"/>
          <w14:textFill>
            <w14:solidFill>
              <w14:schemeClr w14:val="tx1"/>
            </w14:solidFill>
          </w14:textFill>
        </w:rPr>
        <w:t>第七章 附件（投标文件格式）</w:t>
      </w:r>
      <w:bookmarkEnd w:id="18"/>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20" w:name="_Toc19494"/>
      <w:bookmarkStart w:id="21" w:name="_Toc6548"/>
      <w:bookmarkStart w:id="22" w:name="_Toc31827"/>
      <w:bookmarkStart w:id="23" w:name="_Toc5116"/>
      <w:r>
        <w:rPr>
          <w:rFonts w:hint="eastAsia" w:ascii="宋体" w:hAnsi="宋体" w:cs="宋体"/>
          <w:b/>
          <w:bCs/>
          <w:color w:val="000000" w:themeColor="text1"/>
          <w:sz w:val="24"/>
          <w14:textFill>
            <w14:solidFill>
              <w14:schemeClr w14:val="tx1"/>
            </w14:solidFill>
          </w14:textFill>
        </w:rPr>
        <w:t>1、投标文件密封袋/封面参考</w:t>
      </w:r>
      <w:bookmarkEnd w:id="20"/>
      <w:bookmarkEnd w:id="21"/>
      <w:bookmarkEnd w:id="22"/>
      <w:bookmarkEnd w:id="23"/>
    </w:p>
    <w:tbl>
      <w:tblPr>
        <w:tblStyle w:val="13"/>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2" w:hRule="atLeast"/>
          <w:jc w:val="center"/>
        </w:trPr>
        <w:tc>
          <w:tcPr>
            <w:tcW w:w="8540" w:type="dxa"/>
            <w:noWrap w:val="0"/>
            <w:vAlign w:val="top"/>
          </w:tcPr>
          <w:p>
            <w:pPr>
              <w:pStyle w:val="3"/>
              <w:tabs>
                <w:tab w:val="left" w:pos="562"/>
                <w:tab w:val="left" w:pos="3372"/>
                <w:tab w:val="left" w:pos="3653"/>
              </w:tabs>
              <w:spacing w:line="360" w:lineRule="auto"/>
              <w:rPr>
                <w:rFonts w:hint="eastAsia" w:ascii="仿宋_GB2312" w:eastAsia="仿宋_GB2312"/>
                <w:b/>
                <w:color w:val="000000" w:themeColor="text1"/>
                <w:sz w:val="32"/>
                <w:lang w:val="en-US" w:eastAsia="zh-CN"/>
                <w14:textFill>
                  <w14:solidFill>
                    <w14:schemeClr w14:val="tx1"/>
                  </w14:solidFill>
                </w14:textFill>
              </w:rPr>
            </w:pPr>
          </w:p>
          <w:p>
            <w:pPr>
              <w:pStyle w:val="3"/>
              <w:tabs>
                <w:tab w:val="left" w:pos="562"/>
                <w:tab w:val="left" w:pos="3372"/>
                <w:tab w:val="left" w:pos="3653"/>
              </w:tabs>
              <w:spacing w:line="360" w:lineRule="auto"/>
              <w:jc w:val="center"/>
              <w:rPr>
                <w:rFonts w:hint="eastAsia" w:ascii="黑体" w:eastAsia="黑体"/>
                <w:b/>
                <w:color w:val="000000" w:themeColor="text1"/>
                <w:sz w:val="72"/>
                <w:szCs w:val="72"/>
                <w:lang w:val="en-US" w:eastAsia="zh-CN"/>
                <w14:textFill>
                  <w14:solidFill>
                    <w14:schemeClr w14:val="tx1"/>
                  </w14:solidFill>
                </w14:textFill>
              </w:rPr>
            </w:pPr>
          </w:p>
          <w:p>
            <w:pPr>
              <w:pStyle w:val="3"/>
              <w:tabs>
                <w:tab w:val="left" w:pos="562"/>
                <w:tab w:val="left" w:pos="3372"/>
                <w:tab w:val="left" w:pos="3653"/>
              </w:tabs>
              <w:spacing w:line="360" w:lineRule="auto"/>
              <w:jc w:val="center"/>
              <w:rPr>
                <w:rFonts w:hint="eastAsia" w:ascii="黑体" w:eastAsia="黑体"/>
                <w:b/>
                <w:color w:val="000000" w:themeColor="text1"/>
                <w:sz w:val="72"/>
                <w:szCs w:val="72"/>
                <w:lang w:val="en-US" w:eastAsia="zh-CN"/>
                <w14:textFill>
                  <w14:solidFill>
                    <w14:schemeClr w14:val="tx1"/>
                  </w14:solidFill>
                </w14:textFill>
              </w:rPr>
            </w:pPr>
            <w:r>
              <w:rPr>
                <w:rFonts w:hint="eastAsia" w:ascii="黑体" w:eastAsia="黑体"/>
                <w:b/>
                <w:color w:val="000000" w:themeColor="text1"/>
                <w:sz w:val="72"/>
                <w:szCs w:val="72"/>
                <w:lang w:val="en-US" w:eastAsia="zh-CN"/>
                <w14:textFill>
                  <w14:solidFill>
                    <w14:schemeClr w14:val="tx1"/>
                  </w14:solidFill>
                </w14:textFill>
              </w:rPr>
              <w:t>投 标 文 件</w:t>
            </w:r>
          </w:p>
          <w:p>
            <w:pPr>
              <w:pStyle w:val="3"/>
              <w:tabs>
                <w:tab w:val="left" w:pos="562"/>
                <w:tab w:val="left" w:pos="3372"/>
                <w:tab w:val="left" w:pos="3653"/>
              </w:tabs>
              <w:spacing w:line="360" w:lineRule="auto"/>
              <w:jc w:val="center"/>
              <w:rPr>
                <w:rFonts w:hint="eastAsia" w:ascii="黑体" w:eastAsia="黑体"/>
                <w:b/>
                <w:strike/>
                <w:color w:val="000000" w:themeColor="text1"/>
                <w:sz w:val="32"/>
                <w:lang w:val="en-US" w:eastAsia="zh-CN"/>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3"/>
              <w:tabs>
                <w:tab w:val="left" w:pos="562"/>
                <w:tab w:val="left" w:pos="3372"/>
                <w:tab w:val="left" w:pos="3653"/>
              </w:tabs>
              <w:spacing w:line="360" w:lineRule="auto"/>
              <w:rPr>
                <w:rFonts w:hint="eastAsia" w:ascii="仿宋_GB2312" w:eastAsia="仿宋_GB2312"/>
                <w:b/>
                <w:color w:val="000000" w:themeColor="text1"/>
                <w:sz w:val="32"/>
                <w:lang w:val="en-US" w:eastAsia="zh-CN"/>
                <w14:textFill>
                  <w14:solidFill>
                    <w14:schemeClr w14:val="tx1"/>
                  </w14:solidFill>
                </w14:textFill>
              </w:rPr>
            </w:pPr>
          </w:p>
          <w:p>
            <w:pPr>
              <w:rPr>
                <w:rFonts w:hint="eastAsia"/>
                <w:color w:val="000000" w:themeColor="text1"/>
                <w14:textFill>
                  <w14:solidFill>
                    <w14:schemeClr w14:val="tx1"/>
                  </w14:solidFill>
                </w14:textFill>
              </w:rPr>
            </w:pPr>
          </w:p>
          <w:p>
            <w:pPr>
              <w:pStyle w:val="3"/>
              <w:tabs>
                <w:tab w:val="left" w:pos="562"/>
                <w:tab w:val="left" w:pos="3372"/>
                <w:tab w:val="left" w:pos="3653"/>
              </w:tabs>
              <w:spacing w:line="400" w:lineRule="exact"/>
              <w:ind w:firstLine="900" w:firstLineChars="320"/>
              <w:rPr>
                <w:rFonts w:hint="eastAsia" w:ascii="仿宋_GB2312" w:eastAsia="仿宋_GB2312"/>
                <w:b/>
                <w:color w:val="000000" w:themeColor="text1"/>
                <w:sz w:val="28"/>
                <w:szCs w:val="28"/>
                <w:lang w:val="en-US" w:eastAsia="zh-CN"/>
                <w14:textFill>
                  <w14:solidFill>
                    <w14:schemeClr w14:val="tx1"/>
                  </w14:solidFill>
                </w14:textFill>
              </w:rPr>
            </w:pPr>
          </w:p>
          <w:p>
            <w:pPr>
              <w:pStyle w:val="3"/>
              <w:tabs>
                <w:tab w:val="left" w:pos="562"/>
                <w:tab w:val="left" w:pos="3372"/>
                <w:tab w:val="left" w:pos="3653"/>
              </w:tabs>
              <w:spacing w:line="400" w:lineRule="exact"/>
              <w:ind w:firstLine="900" w:firstLineChars="320"/>
              <w:rPr>
                <w:rFonts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项目编号：</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pStyle w:val="3"/>
              <w:tabs>
                <w:tab w:val="left" w:pos="562"/>
                <w:tab w:val="left" w:pos="3372"/>
                <w:tab w:val="left" w:pos="3653"/>
              </w:tabs>
              <w:spacing w:line="400" w:lineRule="exact"/>
              <w:ind w:firstLine="900" w:firstLineChars="320"/>
              <w:rPr>
                <w:rFonts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项目名称：</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pStyle w:val="3"/>
              <w:tabs>
                <w:tab w:val="left" w:pos="562"/>
                <w:tab w:val="left" w:pos="3372"/>
                <w:tab w:val="left" w:pos="3653"/>
              </w:tabs>
              <w:spacing w:line="400" w:lineRule="exact"/>
              <w:ind w:firstLine="900" w:firstLineChars="320"/>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投标人名称：</w:t>
            </w:r>
            <w:r>
              <w:rPr>
                <w:rFonts w:hint="eastAsia" w:ascii="宋体" w:hAnsi="宋体" w:cs="Arial"/>
                <w:b/>
                <w:bCs/>
                <w:color w:val="000000" w:themeColor="text1"/>
                <w:sz w:val="28"/>
                <w:szCs w:val="28"/>
                <w:u w:val="single"/>
                <w:lang w:val="en-US" w:eastAsia="zh-CN"/>
                <w14:textFill>
                  <w14:solidFill>
                    <w14:schemeClr w14:val="tx1"/>
                  </w14:solidFill>
                </w14:textFill>
              </w:rPr>
              <w:t xml:space="preserve">                     （加盖公章）</w:t>
            </w:r>
          </w:p>
          <w:p>
            <w:pPr>
              <w:pStyle w:val="3"/>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投标人地址：</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pStyle w:val="3"/>
              <w:tabs>
                <w:tab w:val="left" w:pos="562"/>
                <w:tab w:val="left" w:pos="3372"/>
                <w:tab w:val="left" w:pos="3653"/>
              </w:tabs>
              <w:spacing w:line="400" w:lineRule="exact"/>
              <w:ind w:firstLine="900" w:firstLineChars="320"/>
              <w:rPr>
                <w:rFonts w:ascii="宋体" w:hAnsi="宋体" w:cs="Arial"/>
                <w:b/>
                <w:bCs/>
                <w:color w:val="000000" w:themeColor="text1"/>
                <w:sz w:val="28"/>
                <w:szCs w:val="28"/>
                <w:u w:val="single"/>
                <w:lang w:val="en-US" w:eastAsia="zh-CN"/>
                <w14:textFill>
                  <w14:solidFill>
                    <w14:schemeClr w14:val="tx1"/>
                  </w14:solidFill>
                </w14:textFill>
              </w:rPr>
            </w:pPr>
            <w:r>
              <w:rPr>
                <w:rFonts w:hint="eastAsia" w:ascii="宋体" w:hAnsi="宋体" w:cs="Arial"/>
                <w:b/>
                <w:bCs/>
                <w:color w:val="000000" w:themeColor="text1"/>
                <w:sz w:val="28"/>
                <w:szCs w:val="28"/>
                <w:lang w:val="en-US" w:eastAsia="zh-CN"/>
                <w14:textFill>
                  <w14:solidFill>
                    <w14:schemeClr w14:val="tx1"/>
                  </w14:solidFill>
                </w14:textFill>
              </w:rPr>
              <w:t>法定代表人/被授权人：</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pStyle w:val="3"/>
              <w:tabs>
                <w:tab w:val="left" w:pos="562"/>
                <w:tab w:val="left" w:pos="3372"/>
                <w:tab w:val="left" w:pos="3653"/>
              </w:tabs>
              <w:spacing w:line="400" w:lineRule="exact"/>
              <w:ind w:firstLine="900" w:firstLineChars="320"/>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Arial"/>
                <w:b/>
                <w:bCs/>
                <w:color w:val="000000" w:themeColor="text1"/>
                <w:sz w:val="28"/>
                <w:szCs w:val="28"/>
                <w:lang w:val="en-US" w:eastAsia="zh-CN"/>
                <w14:textFill>
                  <w14:solidFill>
                    <w14:schemeClr w14:val="tx1"/>
                  </w14:solidFill>
                </w14:textFill>
              </w:rPr>
              <w:t>联系电话：</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24" w:name="_Toc16724"/>
      <w:r>
        <w:rPr>
          <w:rFonts w:hint="eastAsia" w:ascii="宋体" w:hAnsi="宋体" w:cs="宋体"/>
          <w:b/>
          <w:color w:val="000000" w:themeColor="text1"/>
          <w:sz w:val="24"/>
          <w14:textFill>
            <w14:solidFill>
              <w14:schemeClr w14:val="tx1"/>
            </w14:solidFill>
          </w14:textFill>
        </w:rPr>
        <w:t>2、投标文件—目录</w:t>
      </w:r>
      <w:bookmarkEnd w:id="24"/>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9"/>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9"/>
        </w:numPr>
        <w:tabs>
          <w:tab w:val="left" w:pos="640"/>
          <w:tab w:val="clear" w:pos="425"/>
        </w:tabs>
        <w:spacing w:line="360" w:lineRule="auto"/>
        <w:ind w:left="625" w:hanging="62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投标函；</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投标人资质情况；</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项目负责人（仅限1人）；</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拟安排的项目主要团队成员情况（项目负责人除外）；</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业绩情况；</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自主知识产权产品（创新、设计）情况；</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11"/>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项目实施方案；</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项目重难点分析及解决方案；</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项目管理措施和进度计划；</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2"/>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13"/>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noWrap w:val="0"/>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noWrap w:val="0"/>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noWrap w:val="0"/>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noWrap w:val="0"/>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noWrap w:val="0"/>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noWrap w:val="0"/>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3"/>
        <w:rPr>
          <w:rFonts w:hint="eastAsia"/>
          <w:color w:val="000000" w:themeColor="text1"/>
          <w14:textFill>
            <w14:solidFill>
              <w14:schemeClr w14:val="tx1"/>
            </w14:solidFill>
          </w14:textFill>
        </w:rPr>
      </w:pPr>
    </w:p>
    <w:p>
      <w:pPr>
        <w:numPr>
          <w:ilvl w:val="0"/>
          <w:numId w:val="12"/>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noWrap w:val="0"/>
            <w:vAlign w:val="bottom"/>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序号</w:t>
            </w:r>
          </w:p>
        </w:tc>
        <w:tc>
          <w:tcPr>
            <w:tcW w:w="2212"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项目名称、内容</w:t>
            </w:r>
          </w:p>
        </w:tc>
        <w:tc>
          <w:tcPr>
            <w:tcW w:w="7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单位</w:t>
            </w:r>
          </w:p>
        </w:tc>
        <w:tc>
          <w:tcPr>
            <w:tcW w:w="180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数量（工作量）</w:t>
            </w: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单价</w:t>
            </w: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noWrap w:val="0"/>
            <w:vAlign w:val="bottom"/>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1</w:t>
            </w:r>
          </w:p>
        </w:tc>
        <w:tc>
          <w:tcPr>
            <w:tcW w:w="2212"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7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noWrap w:val="0"/>
            <w:vAlign w:val="bottom"/>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2</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noWrap w:val="0"/>
            <w:vAlign w:val="bottom"/>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3</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noWrap w:val="0"/>
            <w:vAlign w:val="bottom"/>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4</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5</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6</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7</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8</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9</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w:t>
            </w:r>
          </w:p>
        </w:tc>
        <w:tc>
          <w:tcPr>
            <w:tcW w:w="2212"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w:t>
            </w:r>
          </w:p>
        </w:tc>
        <w:tc>
          <w:tcPr>
            <w:tcW w:w="7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6"/>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noWrap w:val="0"/>
            <w:vAlign w:val="top"/>
          </w:tcPr>
          <w:p>
            <w:pPr>
              <w:pStyle w:val="6"/>
              <w:spacing w:line="360" w:lineRule="auto"/>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3"/>
        <w:rPr>
          <w:rFonts w:hint="eastAsia"/>
          <w:color w:val="000000" w:themeColor="text1"/>
          <w14:textFill>
            <w14:solidFill>
              <w14:schemeClr w14:val="tx1"/>
            </w14:solidFill>
          </w14:textFill>
        </w:rPr>
      </w:pP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w:t>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4"/>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4"/>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至投标截止时间，我单位未有在“信用中国”网（www.creditchina.gov.cn）、中国政府采购网（www.ccgp.gov.cn）、深圳市政府采购监督管理网（zfcg.sz.gov.cn）和“国家企业信用信息公示系统（www.gsxt.gov.cn）等</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我单位不存在单位法定代表人（负责人）为同一人或者存在直接控股、管理关系的不同供应商，同时参加本项目投标之情形；我公司未为本项目提供过整体设计、规范编制或者项目管理、监理、检测等服务。</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w:t>
      </w:r>
      <w:r>
        <w:rPr>
          <w:rFonts w:ascii="宋体" w:hAnsi="宋体" w:cs="宋体"/>
          <w:color w:val="000000" w:themeColor="text1"/>
          <w:sz w:val="24"/>
          <w14:textFill>
            <w14:solidFill>
              <w14:schemeClr w14:val="tx1"/>
            </w14:solidFill>
          </w14:textFill>
        </w:rPr>
        <w:t>定代表</w:t>
      </w:r>
      <w:r>
        <w:rPr>
          <w:rFonts w:hint="eastAsia" w:ascii="宋体" w:hAnsi="宋体" w:cs="宋体"/>
          <w:color w:val="000000" w:themeColor="text1"/>
          <w:sz w:val="24"/>
          <w:lang w:val="fr-CH"/>
          <w14:textFill>
            <w14:solidFill>
              <w14:schemeClr w14:val="tx1"/>
            </w14:solidFill>
          </w14:textFill>
        </w:rPr>
        <w:t>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noWrap w:val="0"/>
            <w:vAlign w:val="top"/>
          </w:tcPr>
          <w:p>
            <w:pPr>
              <w:pStyle w:val="6"/>
              <w:spacing w:line="360" w:lineRule="auto"/>
              <w:rPr>
                <w:rFonts w:ascii="Arial Narrow" w:hAnsi="Arial Narrow"/>
                <w:b/>
                <w:bCs/>
                <w:color w:val="000000" w:themeColor="text1"/>
                <w:szCs w:val="21"/>
                <w:lang w:val="en-US" w:eastAsia="zh-CN"/>
                <w14:textFill>
                  <w14:solidFill>
                    <w14:schemeClr w14:val="tx1"/>
                  </w14:solidFill>
                </w14:textFill>
              </w:rPr>
            </w:pPr>
          </w:p>
        </w:tc>
        <w:tc>
          <w:tcPr>
            <w:tcW w:w="4240" w:type="dxa"/>
            <w:noWrap w:val="0"/>
            <w:vAlign w:val="top"/>
          </w:tcPr>
          <w:p>
            <w:pPr>
              <w:pStyle w:val="6"/>
              <w:spacing w:line="360" w:lineRule="auto"/>
              <w:rPr>
                <w:rFonts w:ascii="Arial Narrow" w:hAnsi="Arial Narrow"/>
                <w:b/>
                <w:bCs/>
                <w:color w:val="000000" w:themeColor="text1"/>
                <w:szCs w:val="21"/>
                <w:lang w:val="en-US" w:eastAsia="zh-CN"/>
                <w14:textFill>
                  <w14:solidFill>
                    <w14:schemeClr w14:val="tx1"/>
                  </w14:solidFill>
                </w14:textFill>
              </w:rPr>
            </w:pPr>
          </w:p>
        </w:tc>
      </w:tr>
    </w:tbl>
    <w:p>
      <w:pPr>
        <w:pStyle w:val="3"/>
        <w:rPr>
          <w:rFonts w:hint="eastAsia"/>
          <w:color w:val="000000" w:themeColor="text1"/>
          <w:lang w:val="fr-CH"/>
          <w14:textFill>
            <w14:solidFill>
              <w14:schemeClr w14:val="tx1"/>
            </w14:solidFill>
          </w14:textFill>
        </w:rPr>
      </w:pP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6"/>
        <w:spacing w:line="360" w:lineRule="auto"/>
        <w:jc w:val="center"/>
        <w:rPr>
          <w:rFonts w:hint="eastAsia" w:hAnsi="宋体" w:cs="宋体"/>
          <w:b/>
          <w:color w:val="000000" w:themeColor="text1"/>
          <w:sz w:val="24"/>
          <w14:textFill>
            <w14:solidFill>
              <w14:schemeClr w14:val="tx1"/>
            </w14:solidFill>
          </w14:textFill>
        </w:rPr>
      </w:pPr>
    </w:p>
    <w:p>
      <w:pPr>
        <w:pStyle w:val="6"/>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6"/>
        <w:spacing w:line="360" w:lineRule="auto"/>
        <w:rPr>
          <w:rFonts w:hint="eastAsia" w:hAnsi="宋体" w:cs="宋体"/>
          <w:color w:val="000000" w:themeColor="text1"/>
          <w:sz w:val="24"/>
          <w14:textFill>
            <w14:solidFill>
              <w14:schemeClr w14:val="tx1"/>
            </w14:solidFill>
          </w14:textFill>
        </w:rPr>
      </w:pPr>
    </w:p>
    <w:p>
      <w:pPr>
        <w:pStyle w:val="6"/>
        <w:spacing w:line="360" w:lineRule="auto"/>
        <w:rPr>
          <w:rFonts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6"/>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6"/>
              <w:spacing w:line="360" w:lineRule="auto"/>
              <w:rPr>
                <w:rFonts w:ascii="Arial Narrow" w:hAnsi="Arial Narrow"/>
                <w:b/>
                <w:bCs/>
                <w:color w:val="000000" w:themeColor="text1"/>
                <w:szCs w:val="21"/>
                <w:lang w:val="en-US" w:eastAsia="zh-CN"/>
                <w14:textFill>
                  <w14:solidFill>
                    <w14:schemeClr w14:val="tx1"/>
                  </w14:solidFill>
                </w14:textFill>
              </w:rPr>
            </w:pPr>
          </w:p>
        </w:tc>
        <w:tc>
          <w:tcPr>
            <w:tcW w:w="4677" w:type="dxa"/>
            <w:noWrap w:val="0"/>
            <w:vAlign w:val="top"/>
          </w:tcPr>
          <w:p>
            <w:pPr>
              <w:pStyle w:val="6"/>
              <w:spacing w:line="360" w:lineRule="auto"/>
              <w:rPr>
                <w:rFonts w:ascii="Arial Narrow" w:hAnsi="Arial Narrow"/>
                <w:b/>
                <w:bCs/>
                <w:color w:val="000000" w:themeColor="text1"/>
                <w:szCs w:val="21"/>
                <w:lang w:val="en-US" w:eastAsia="zh-CN"/>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）（货物/服务/工程）招标中若获中标，我们保证在收到中标通知书后5日内按招标文件的规定，以现金或电汇向贵公司指定的银行帐号支付全额招标代理服务费。招标代理服务费按照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3"/>
        <w:rPr>
          <w:rFonts w:hint="eastAsia"/>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6"/>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6"/>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（6）开户帐号：___________________________________________</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6"/>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6"/>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3"/>
        <w:rPr>
          <w:rFonts w:hint="eastAsia"/>
          <w:color w:val="000000" w:themeColor="text1"/>
          <w:lang w:val="fr-CH"/>
          <w14:textFill>
            <w14:solidFill>
              <w14:schemeClr w14:val="tx1"/>
            </w14:solidFill>
          </w14:textFill>
        </w:rPr>
      </w:pPr>
    </w:p>
    <w:p>
      <w:pPr>
        <w:numPr>
          <w:ilvl w:val="0"/>
          <w:numId w:val="13"/>
        </w:numPr>
        <w:tabs>
          <w:tab w:val="left" w:pos="640"/>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投标人资质情况</w:t>
      </w:r>
      <w:r>
        <w:rPr>
          <w:rFonts w:hint="eastAsia" w:ascii="宋体" w:hAnsi="宋体" w:cs="宋体"/>
          <w:color w:val="000000" w:themeColor="text1"/>
          <w:sz w:val="24"/>
          <w14:textFill>
            <w14:solidFill>
              <w14:schemeClr w14:val="tx1"/>
            </w14:solidFill>
          </w14:textFill>
        </w:rPr>
        <w:t>；</w:t>
      </w:r>
    </w:p>
    <w:p>
      <w:pPr>
        <w:numPr>
          <w:ilvl w:val="0"/>
          <w:numId w:val="13"/>
        </w:numPr>
        <w:tabs>
          <w:tab w:val="left" w:pos="640"/>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项目负责人（仅限1人）</w:t>
      </w:r>
      <w:r>
        <w:rPr>
          <w:rFonts w:hint="eastAsia" w:ascii="宋体" w:hAnsi="宋体" w:cs="宋体"/>
          <w:color w:val="000000" w:themeColor="text1"/>
          <w:sz w:val="24"/>
          <w14:textFill>
            <w14:solidFill>
              <w14:schemeClr w14:val="tx1"/>
            </w14:solidFill>
          </w14:textFill>
        </w:rPr>
        <w:t>；</w:t>
      </w:r>
    </w:p>
    <w:p>
      <w:pPr>
        <w:numPr>
          <w:ilvl w:val="0"/>
          <w:numId w:val="13"/>
        </w:numPr>
        <w:tabs>
          <w:tab w:val="left" w:pos="640"/>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拟安排的项目主要团队成员情况（项目负责人除外）</w:t>
      </w:r>
      <w:r>
        <w:rPr>
          <w:rFonts w:hint="eastAsia" w:ascii="宋体" w:hAnsi="宋体" w:cs="宋体"/>
          <w:color w:val="000000" w:themeColor="text1"/>
          <w:sz w:val="24"/>
          <w14:textFill>
            <w14:solidFill>
              <w14:schemeClr w14:val="tx1"/>
            </w14:solidFill>
          </w14:textFill>
        </w:rPr>
        <w:t>；</w:t>
      </w:r>
    </w:p>
    <w:p>
      <w:pPr>
        <w:numPr>
          <w:ilvl w:val="0"/>
          <w:numId w:val="13"/>
        </w:numPr>
        <w:tabs>
          <w:tab w:val="left" w:pos="640"/>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业绩情况</w:t>
      </w:r>
      <w:r>
        <w:rPr>
          <w:rFonts w:hint="eastAsia" w:ascii="宋体" w:hAnsi="宋体" w:cs="宋体"/>
          <w:color w:val="000000" w:themeColor="text1"/>
          <w:sz w:val="24"/>
          <w14:textFill>
            <w14:solidFill>
              <w14:schemeClr w14:val="tx1"/>
            </w14:solidFill>
          </w14:textFill>
        </w:rPr>
        <w:t>；</w:t>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自主知识产权产品（创新、设计）情况</w:t>
      </w:r>
      <w:r>
        <w:rPr>
          <w:rFonts w:hint="eastAsia" w:ascii="宋体" w:hAnsi="宋体" w:cs="宋体"/>
          <w:color w:val="000000" w:themeColor="text1"/>
          <w:sz w:val="24"/>
          <w14:textFill>
            <w14:solidFill>
              <w14:schemeClr w14:val="tx1"/>
            </w14:solidFill>
          </w14:textFill>
        </w:rPr>
        <w:t>；</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我司（单位）承诺无财政部《财政部关于在政府采购活动中查询及使用信用记录有关问题的通知》及其他相关文件中规定的予以扣分的情形。</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6"/>
        <w:spacing w:line="360" w:lineRule="auto"/>
        <w:jc w:val="left"/>
        <w:rPr>
          <w:rFonts w:hint="eastAsia" w:hAnsi="宋体" w:cs="宋体"/>
          <w:color w:val="000000" w:themeColor="text1"/>
          <w:sz w:val="24"/>
          <w14:textFill>
            <w14:solidFill>
              <w14:schemeClr w14:val="tx1"/>
            </w14:solidFill>
          </w14:textFill>
        </w:rPr>
      </w:pPr>
    </w:p>
    <w:p>
      <w:pPr>
        <w:pStyle w:val="6"/>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3"/>
        <w:rPr>
          <w:rFonts w:hint="eastAsia"/>
          <w:color w:val="000000" w:themeColor="text1"/>
          <w:lang w:val="fr-CH"/>
          <w14:textFill>
            <w14:solidFill>
              <w14:schemeClr w14:val="tx1"/>
            </w14:solidFill>
          </w14:textFill>
        </w:rPr>
      </w:pP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5"/>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noWrap w:val="0"/>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241" w:type="dxa"/>
            <w:noWrap w:val="0"/>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1917" w:type="dxa"/>
            <w:noWrap w:val="0"/>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noWrap w:val="0"/>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noWrap w:val="0"/>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1917" w:type="dxa"/>
            <w:noWrap w:val="0"/>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若响应情况优于招标要求，应作详细说明；“偏离情况”栏中根据响应情况填写，没有达到要求的填“负偏离”，达到要求的填“符合”，优于要求的填“正偏离”。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3"/>
        <w:spacing w:line="360" w:lineRule="auto"/>
        <w:rPr>
          <w:rFonts w:hint="eastAsia"/>
          <w:color w:val="000000" w:themeColor="text1"/>
          <w:lang w:val="fr-CH"/>
          <w14:textFill>
            <w14:solidFill>
              <w14:schemeClr w14:val="tx1"/>
            </w14:solidFill>
          </w14:textFill>
        </w:rPr>
      </w:pP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项目实施方案；</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项目重难点分析及解决方案；</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项目管理措施和进度计划；</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19"/>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25" w:name="_Toc742"/>
      <w:bookmarkStart w:id="26" w:name="_Toc6251"/>
      <w:r>
        <w:rPr>
          <w:rFonts w:hint="eastAsia" w:ascii="宋体" w:hAnsi="宋体" w:cs="宋体"/>
          <w:b/>
          <w:bCs/>
          <w:color w:val="000000" w:themeColor="text1"/>
          <w:sz w:val="24"/>
          <w14:textFill>
            <w14:solidFill>
              <w14:schemeClr w14:val="tx1"/>
            </w14:solidFill>
          </w14:textFill>
        </w:rPr>
        <w:t>附件：相关政策</w:t>
      </w:r>
      <w:bookmarkEnd w:id="25"/>
      <w:bookmarkEnd w:id="26"/>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3"/>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3"/>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3"/>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3"/>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3"/>
        <w:tabs>
          <w:tab w:val="left" w:pos="562"/>
          <w:tab w:val="left" w:pos="3372"/>
          <w:tab w:val="left" w:pos="3653"/>
        </w:tabs>
        <w:spacing w:before="3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3"/>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3"/>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3"/>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3"/>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3"/>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3"/>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3"/>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3"/>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3"/>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3"/>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3"/>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3"/>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3"/>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3"/>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3"/>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3"/>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3"/>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3"/>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3"/>
        <w:tabs>
          <w:tab w:val="left" w:pos="562"/>
          <w:tab w:val="left" w:pos="3372"/>
          <w:tab w:val="left" w:pos="3653"/>
        </w:tabs>
        <w:rPr>
          <w:rFonts w:hint="eastAsia" w:ascii="宋体" w:hAnsi="宋体" w:cs="宋体"/>
          <w:color w:val="000000" w:themeColor="text1"/>
          <w:spacing w:val="-2"/>
          <w14:textFill>
            <w14:solidFill>
              <w14:schemeClr w14:val="tx1"/>
            </w14:solidFill>
          </w14:textFill>
        </w:rPr>
      </w:pPr>
    </w:p>
    <w:p>
      <w:pPr>
        <w:pStyle w:val="3"/>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3"/>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3"/>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3"/>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13"/>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2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noWrap w:val="0"/>
            <w:vAlign w:val="center"/>
          </w:tcPr>
          <w:p>
            <w:pPr>
              <w:pStyle w:val="2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noWrap w:val="0"/>
            <w:vAlign w:val="center"/>
          </w:tcPr>
          <w:p>
            <w:pPr>
              <w:pStyle w:val="2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noWrap w:val="0"/>
            <w:vAlign w:val="center"/>
          </w:tcPr>
          <w:p>
            <w:pPr>
              <w:pStyle w:val="2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noWrap w:val="0"/>
            <w:vAlign w:val="center"/>
          </w:tcPr>
          <w:p>
            <w:pPr>
              <w:pStyle w:val="2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noWrap w:val="0"/>
            <w:vAlign w:val="center"/>
          </w:tcPr>
          <w:p>
            <w:pPr>
              <w:pStyle w:val="21"/>
              <w:jc w:val="center"/>
              <w:rPr>
                <w:rFonts w:hint="eastAsia"/>
                <w:color w:val="000000" w:themeColor="text1"/>
                <w:sz w:val="24"/>
                <w:szCs w:val="24"/>
                <w14:textFill>
                  <w14:solidFill>
                    <w14:schemeClr w14:val="tx1"/>
                  </w14:solidFill>
                </w14:textFill>
              </w:rPr>
            </w:pPr>
          </w:p>
        </w:tc>
        <w:tc>
          <w:tcPr>
            <w:tcW w:w="1866" w:type="dxa"/>
            <w:tcBorders>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2010" w:type="dxa"/>
            <w:tcBorders>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1784" w:type="dxa"/>
            <w:vMerge w:val="restart"/>
            <w:noWrap w:val="0"/>
            <w:vAlign w:val="center"/>
          </w:tcPr>
          <w:p>
            <w:pPr>
              <w:pStyle w:val="21"/>
              <w:jc w:val="center"/>
              <w:rPr>
                <w:rFonts w:hint="eastAsia"/>
                <w:color w:val="000000" w:themeColor="text1"/>
                <w:sz w:val="24"/>
                <w:szCs w:val="24"/>
                <w14:textFill>
                  <w14:solidFill>
                    <w14:schemeClr w14:val="tx1"/>
                  </w14:solidFill>
                </w14:textFill>
              </w:rPr>
            </w:pPr>
          </w:p>
          <w:p>
            <w:pPr>
              <w:pStyle w:val="21"/>
              <w:jc w:val="center"/>
              <w:rPr>
                <w:rFonts w:hint="eastAsia"/>
                <w:color w:val="000000" w:themeColor="text1"/>
                <w:sz w:val="24"/>
                <w:szCs w:val="24"/>
                <w14:textFill>
                  <w14:solidFill>
                    <w14:schemeClr w14:val="tx1"/>
                  </w14:solidFill>
                </w14:textFill>
              </w:rPr>
            </w:pPr>
          </w:p>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2010"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2010"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2010"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2010"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2010"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2010" w:type="dxa"/>
            <w:tcBorders>
              <w:top w:val="nil"/>
            </w:tcBorders>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noWrap w:val="0"/>
            <w:vAlign w:val="center"/>
          </w:tcPr>
          <w:p>
            <w:pPr>
              <w:pStyle w:val="2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noWrap w:val="0"/>
            <w:vAlign w:val="center"/>
          </w:tcPr>
          <w:p>
            <w:pPr>
              <w:pStyle w:val="2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3"/>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3"/>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2"/>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3"/>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12"/>
        <w:jc w:val="both"/>
        <w:outlineLvl w:val="9"/>
        <w:rPr>
          <w:rFonts w:hint="eastAsia" w:ascii="宋体" w:hAnsi="宋体" w:eastAsia="宋体" w:cs="宋体"/>
          <w:color w:val="000000" w:themeColor="text1"/>
          <w:sz w:val="24"/>
          <w:szCs w:val="24"/>
          <w14:textFill>
            <w14:solidFill>
              <w14:schemeClr w14:val="tx1"/>
            </w14:solidFill>
          </w14:textFill>
        </w:rPr>
      </w:pPr>
    </w:p>
    <w:p>
      <w:pPr>
        <w:pStyle w:val="12"/>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1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noWrap w:val="0"/>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2"/>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1"/>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27" w:name="sendNo"/>
      <w:r>
        <w:rPr>
          <w:rFonts w:hint="eastAsia"/>
          <w:color w:val="000000" w:themeColor="text1"/>
          <w14:textFill>
            <w14:solidFill>
              <w14:schemeClr w14:val="tx1"/>
            </w14:solidFill>
          </w14:textFill>
        </w:rPr>
        <w:t>财库〔</w:t>
      </w:r>
      <w:bookmarkEnd w:id="27"/>
      <w:r>
        <w:rPr>
          <w:rFonts w:hint="eastAsia"/>
          <w:color w:val="000000" w:themeColor="text1"/>
          <w14:textFill>
            <w14:solidFill>
              <w14:schemeClr w14:val="tx1"/>
            </w14:solidFill>
          </w14:textFill>
        </w:rPr>
        <w:t>2017〕141号</w:t>
      </w:r>
    </w:p>
    <w:p>
      <w:pPr>
        <w:pStyle w:val="11"/>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28"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28"/>
      <w:r>
        <w:rPr>
          <w:rFonts w:hint="eastAsia"/>
          <w:color w:val="000000" w:themeColor="text1"/>
          <w14:textFill>
            <w14:solidFill>
              <w14:schemeClr w14:val="tx1"/>
            </w14:solidFill>
          </w14:textFill>
        </w:rPr>
        <w:t>：</w:t>
      </w:r>
    </w:p>
    <w:p>
      <w:pPr>
        <w:pStyle w:val="11"/>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1"/>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1"/>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1"/>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1"/>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1"/>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1"/>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1"/>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1"/>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1"/>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1"/>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1"/>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1"/>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1"/>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1"/>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1"/>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1"/>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1"/>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22"/>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22"/>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23"/>
          <w:rFonts w:hint="eastAsia"/>
          <w:b/>
          <w:bCs/>
          <w:color w:val="000000" w:themeColor="text1"/>
          <w14:textFill>
            <w14:solidFill>
              <w14:schemeClr w14:val="tx1"/>
            </w14:solidFill>
          </w14:textFill>
        </w:rPr>
        <w:t>残疾人福利性单位声明函</w:t>
      </w:r>
    </w:p>
    <w:p>
      <w:pPr>
        <w:pStyle w:val="22"/>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23"/>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2"/>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23"/>
          <w:rFonts w:hint="eastAsia"/>
          <w:color w:val="000000" w:themeColor="text1"/>
          <w14:textFill>
            <w14:solidFill>
              <w14:schemeClr w14:val="tx1"/>
            </w14:solidFill>
          </w14:textFill>
        </w:rPr>
        <w:t>本单位对上述声明的真实性负责。如有虚假，将依法承担相应责任。</w:t>
      </w:r>
    </w:p>
    <w:p>
      <w:pPr>
        <w:pStyle w:val="22"/>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22"/>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23"/>
          <w:rFonts w:hint="eastAsia"/>
          <w:color w:val="000000" w:themeColor="text1"/>
          <w14:textFill>
            <w14:solidFill>
              <w14:schemeClr w14:val="tx1"/>
            </w14:solidFill>
          </w14:textFill>
        </w:rPr>
        <w:t>单位名称（盖章）：</w:t>
      </w:r>
    </w:p>
    <w:p>
      <w:pPr>
        <w:pStyle w:val="22"/>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23"/>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pStyle w:val="17"/>
        <w:rPr>
          <w:rFonts w:hint="eastAsia"/>
          <w:color w:val="000000" w:themeColor="text1"/>
          <w:lang w:val="fr-CH"/>
          <w14:textFill>
            <w14:solidFill>
              <w14:schemeClr w14:val="tx1"/>
            </w14:solidFill>
          </w14:textFill>
        </w:rPr>
      </w:pPr>
    </w:p>
    <w:p>
      <w:pPr>
        <w:rPr>
          <w:color w:val="000000" w:themeColor="text1"/>
          <w14:textFill>
            <w14:solidFill>
              <w14:schemeClr w14:val="tx1"/>
            </w14:solidFill>
          </w14:textFill>
        </w:rPr>
      </w:pPr>
    </w:p>
    <w:sectPr>
      <w:headerReference r:id="rId8" w:type="first"/>
      <w:headerReference r:id="rId6" w:type="default"/>
      <w:headerReference r:id="rId7"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9"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D19E032"/>
    <w:multiLevelType w:val="singleLevel"/>
    <w:tmpl w:val="9D19E032"/>
    <w:lvl w:ilvl="0" w:tentative="0">
      <w:start w:val="1"/>
      <w:numFmt w:val="decimal"/>
      <w:lvlText w:val="%1."/>
      <w:lvlJc w:val="left"/>
      <w:pPr>
        <w:tabs>
          <w:tab w:val="left" w:pos="312"/>
        </w:tabs>
      </w:pPr>
    </w:lvl>
  </w:abstractNum>
  <w:abstractNum w:abstractNumId="2">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3">
    <w:nsid w:val="A77657F5"/>
    <w:multiLevelType w:val="singleLevel"/>
    <w:tmpl w:val="A77657F5"/>
    <w:lvl w:ilvl="0" w:tentative="0">
      <w:start w:val="1"/>
      <w:numFmt w:val="decimal"/>
      <w:suff w:val="nothing"/>
      <w:lvlText w:val="（%1）"/>
      <w:lvlJc w:val="left"/>
    </w:lvl>
  </w:abstractNum>
  <w:abstractNum w:abstractNumId="4">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5">
    <w:nsid w:val="B60EDFBE"/>
    <w:multiLevelType w:val="singleLevel"/>
    <w:tmpl w:val="B60EDFBE"/>
    <w:lvl w:ilvl="0" w:tentative="0">
      <w:start w:val="1"/>
      <w:numFmt w:val="decimal"/>
      <w:suff w:val="nothing"/>
      <w:lvlText w:val="（%1）"/>
      <w:lvlJc w:val="left"/>
    </w:lvl>
  </w:abstractNum>
  <w:abstractNum w:abstractNumId="6">
    <w:nsid w:val="BFFEB4E7"/>
    <w:multiLevelType w:val="singleLevel"/>
    <w:tmpl w:val="BFFEB4E7"/>
    <w:lvl w:ilvl="0" w:tentative="0">
      <w:start w:val="1"/>
      <w:numFmt w:val="decimal"/>
      <w:suff w:val="nothing"/>
      <w:lvlText w:val="（%1）"/>
      <w:lvlJc w:val="left"/>
      <w:pPr>
        <w:ind w:left="480" w:firstLine="0"/>
      </w:pPr>
    </w:lvl>
  </w:abstractNum>
  <w:abstractNum w:abstractNumId="7">
    <w:nsid w:val="CBCC1AFC"/>
    <w:multiLevelType w:val="singleLevel"/>
    <w:tmpl w:val="CBCC1AFC"/>
    <w:lvl w:ilvl="0" w:tentative="0">
      <w:start w:val="5"/>
      <w:numFmt w:val="decimal"/>
      <w:suff w:val="nothing"/>
      <w:lvlText w:val="%1、"/>
      <w:lvlJc w:val="left"/>
    </w:lvl>
  </w:abstractNum>
  <w:abstractNum w:abstractNumId="8">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9">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10">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1">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2">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3">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4">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4"/>
  </w:num>
  <w:num w:numId="2">
    <w:abstractNumId w:val="5"/>
  </w:num>
  <w:num w:numId="3">
    <w:abstractNumId w:val="3"/>
  </w:num>
  <w:num w:numId="4">
    <w:abstractNumId w:val="10"/>
  </w:num>
  <w:num w:numId="5">
    <w:abstractNumId w:val="6"/>
  </w:num>
  <w:num w:numId="6">
    <w:abstractNumId w:val="7"/>
  </w:num>
  <w:num w:numId="7">
    <w:abstractNumId w:val="11"/>
  </w:num>
  <w:num w:numId="8">
    <w:abstractNumId w:val="1"/>
  </w:num>
  <w:num w:numId="9">
    <w:abstractNumId w:val="4"/>
  </w:num>
  <w:num w:numId="10">
    <w:abstractNumId w:val="8"/>
  </w:num>
  <w:num w:numId="11">
    <w:abstractNumId w:val="2"/>
  </w:num>
  <w:num w:numId="12">
    <w:abstractNumId w:val="0"/>
  </w:num>
  <w:num w:numId="13">
    <w:abstractNumId w:val="9"/>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ODg1MzhlNzBjNjZlOTRmNDM3N2Q5YjFjYTUzMjQifQ=="/>
    <w:docVar w:name="KSO_WPS_MARK_KEY" w:val="6c52a594-fa24-4eda-8bdf-1df5baad3362"/>
  </w:docVars>
  <w:rsids>
    <w:rsidRoot w:val="6F152D9A"/>
    <w:rsid w:val="00DE5743"/>
    <w:rsid w:val="01211AD4"/>
    <w:rsid w:val="0159301C"/>
    <w:rsid w:val="022618D2"/>
    <w:rsid w:val="02881E0B"/>
    <w:rsid w:val="031134B4"/>
    <w:rsid w:val="0341645D"/>
    <w:rsid w:val="03E219EE"/>
    <w:rsid w:val="042277B0"/>
    <w:rsid w:val="04A005CC"/>
    <w:rsid w:val="04B50EB1"/>
    <w:rsid w:val="04C63705"/>
    <w:rsid w:val="04FF037E"/>
    <w:rsid w:val="06336033"/>
    <w:rsid w:val="069E458D"/>
    <w:rsid w:val="070D6D82"/>
    <w:rsid w:val="072F63A4"/>
    <w:rsid w:val="07787DB5"/>
    <w:rsid w:val="07FD54F6"/>
    <w:rsid w:val="087C541A"/>
    <w:rsid w:val="08950582"/>
    <w:rsid w:val="08E57A87"/>
    <w:rsid w:val="09300B06"/>
    <w:rsid w:val="09F77876"/>
    <w:rsid w:val="0A5E16A3"/>
    <w:rsid w:val="0A602146"/>
    <w:rsid w:val="0AA72E75"/>
    <w:rsid w:val="0AB85257"/>
    <w:rsid w:val="0B7B37EB"/>
    <w:rsid w:val="0BB91DF1"/>
    <w:rsid w:val="0BE62205"/>
    <w:rsid w:val="0C822ACA"/>
    <w:rsid w:val="0D046532"/>
    <w:rsid w:val="0D3F1CF7"/>
    <w:rsid w:val="0D5C54A5"/>
    <w:rsid w:val="0E4B0853"/>
    <w:rsid w:val="0EDC703A"/>
    <w:rsid w:val="0F670FFA"/>
    <w:rsid w:val="0FAC4C5F"/>
    <w:rsid w:val="0FE96BFE"/>
    <w:rsid w:val="10634BF3"/>
    <w:rsid w:val="12431D83"/>
    <w:rsid w:val="12D149BF"/>
    <w:rsid w:val="13160D6D"/>
    <w:rsid w:val="13242E4C"/>
    <w:rsid w:val="1373154F"/>
    <w:rsid w:val="138A5087"/>
    <w:rsid w:val="139B74C4"/>
    <w:rsid w:val="13A1291C"/>
    <w:rsid w:val="13F57F6C"/>
    <w:rsid w:val="145B077C"/>
    <w:rsid w:val="14FE7D0A"/>
    <w:rsid w:val="15347304"/>
    <w:rsid w:val="16027A14"/>
    <w:rsid w:val="164B3423"/>
    <w:rsid w:val="190B1AB7"/>
    <w:rsid w:val="190E1E92"/>
    <w:rsid w:val="193E2DCB"/>
    <w:rsid w:val="194B4539"/>
    <w:rsid w:val="19677F5C"/>
    <w:rsid w:val="19AA0461"/>
    <w:rsid w:val="19EF3664"/>
    <w:rsid w:val="1A8E78C8"/>
    <w:rsid w:val="1A914D5C"/>
    <w:rsid w:val="1A9B5FFB"/>
    <w:rsid w:val="1AED6666"/>
    <w:rsid w:val="1BD96DDB"/>
    <w:rsid w:val="1C2529FF"/>
    <w:rsid w:val="1C427076"/>
    <w:rsid w:val="1C6F14EE"/>
    <w:rsid w:val="1D2B18B9"/>
    <w:rsid w:val="1D7414B2"/>
    <w:rsid w:val="1D815FCC"/>
    <w:rsid w:val="1D927B8A"/>
    <w:rsid w:val="1DCA2E80"/>
    <w:rsid w:val="1E340C41"/>
    <w:rsid w:val="1E403142"/>
    <w:rsid w:val="1E781388"/>
    <w:rsid w:val="1EC51899"/>
    <w:rsid w:val="1F27593E"/>
    <w:rsid w:val="1F394761"/>
    <w:rsid w:val="1F9BB067"/>
    <w:rsid w:val="200655C0"/>
    <w:rsid w:val="207417C9"/>
    <w:rsid w:val="20AA3CDC"/>
    <w:rsid w:val="20FD531A"/>
    <w:rsid w:val="218B0B78"/>
    <w:rsid w:val="21A734D8"/>
    <w:rsid w:val="21F030D1"/>
    <w:rsid w:val="2221328A"/>
    <w:rsid w:val="22462A8A"/>
    <w:rsid w:val="22696FF6"/>
    <w:rsid w:val="229F2035"/>
    <w:rsid w:val="23006025"/>
    <w:rsid w:val="230C1C0F"/>
    <w:rsid w:val="23664217"/>
    <w:rsid w:val="240F5A90"/>
    <w:rsid w:val="243A63CC"/>
    <w:rsid w:val="249F3FA9"/>
    <w:rsid w:val="26BE19EF"/>
    <w:rsid w:val="26E24FAE"/>
    <w:rsid w:val="27734588"/>
    <w:rsid w:val="27DA0163"/>
    <w:rsid w:val="28150C75"/>
    <w:rsid w:val="286F3F95"/>
    <w:rsid w:val="287B7F79"/>
    <w:rsid w:val="29CD4DD1"/>
    <w:rsid w:val="2B0674C1"/>
    <w:rsid w:val="2B353322"/>
    <w:rsid w:val="2BB9468C"/>
    <w:rsid w:val="2BD73CFD"/>
    <w:rsid w:val="2C41042A"/>
    <w:rsid w:val="2D614E83"/>
    <w:rsid w:val="2E615CCD"/>
    <w:rsid w:val="2F3445FD"/>
    <w:rsid w:val="2F37730B"/>
    <w:rsid w:val="302610FC"/>
    <w:rsid w:val="3058256D"/>
    <w:rsid w:val="30766E97"/>
    <w:rsid w:val="30B71989"/>
    <w:rsid w:val="30E33504"/>
    <w:rsid w:val="310B6BF3"/>
    <w:rsid w:val="31F60A7B"/>
    <w:rsid w:val="33154745"/>
    <w:rsid w:val="335D7410"/>
    <w:rsid w:val="336D3EA4"/>
    <w:rsid w:val="33C64EB5"/>
    <w:rsid w:val="343E641F"/>
    <w:rsid w:val="34C74165"/>
    <w:rsid w:val="34E751DD"/>
    <w:rsid w:val="35C012AA"/>
    <w:rsid w:val="363D6170"/>
    <w:rsid w:val="36C546D4"/>
    <w:rsid w:val="37205FF6"/>
    <w:rsid w:val="37865C12"/>
    <w:rsid w:val="38624A88"/>
    <w:rsid w:val="38DC3EDC"/>
    <w:rsid w:val="38FA68B7"/>
    <w:rsid w:val="39202096"/>
    <w:rsid w:val="39394B01"/>
    <w:rsid w:val="39F50E2C"/>
    <w:rsid w:val="3A950543"/>
    <w:rsid w:val="3A9E7716"/>
    <w:rsid w:val="3ADA56C8"/>
    <w:rsid w:val="3B00217F"/>
    <w:rsid w:val="3BD21711"/>
    <w:rsid w:val="3BD80F0D"/>
    <w:rsid w:val="3C1C4D96"/>
    <w:rsid w:val="3C4B11D8"/>
    <w:rsid w:val="3D7F382F"/>
    <w:rsid w:val="3D9B4E64"/>
    <w:rsid w:val="3DC54FBA"/>
    <w:rsid w:val="3E6B3DB3"/>
    <w:rsid w:val="3E90273A"/>
    <w:rsid w:val="3EBE3EE3"/>
    <w:rsid w:val="3EE33949"/>
    <w:rsid w:val="3EF97772"/>
    <w:rsid w:val="3F3C7CCF"/>
    <w:rsid w:val="3F8C5D8F"/>
    <w:rsid w:val="3FD00372"/>
    <w:rsid w:val="3FDD483D"/>
    <w:rsid w:val="3FE07E89"/>
    <w:rsid w:val="411B561D"/>
    <w:rsid w:val="41361B95"/>
    <w:rsid w:val="41A35612"/>
    <w:rsid w:val="421C7965"/>
    <w:rsid w:val="428F6994"/>
    <w:rsid w:val="42D55690"/>
    <w:rsid w:val="42DE3E28"/>
    <w:rsid w:val="439971FA"/>
    <w:rsid w:val="43A833B4"/>
    <w:rsid w:val="43F41FD8"/>
    <w:rsid w:val="45237196"/>
    <w:rsid w:val="457271D8"/>
    <w:rsid w:val="4649255C"/>
    <w:rsid w:val="469C746C"/>
    <w:rsid w:val="490168B9"/>
    <w:rsid w:val="4AA04DE4"/>
    <w:rsid w:val="4ACC3E2B"/>
    <w:rsid w:val="4AF313B8"/>
    <w:rsid w:val="4BA60AB1"/>
    <w:rsid w:val="4BE34546"/>
    <w:rsid w:val="4BF94C2F"/>
    <w:rsid w:val="4C906769"/>
    <w:rsid w:val="4DE33966"/>
    <w:rsid w:val="4E5E1120"/>
    <w:rsid w:val="4E9208C3"/>
    <w:rsid w:val="4F226DC8"/>
    <w:rsid w:val="4F234ACC"/>
    <w:rsid w:val="4F2A7373"/>
    <w:rsid w:val="4F6351A5"/>
    <w:rsid w:val="4F7F44DF"/>
    <w:rsid w:val="4FA71C3F"/>
    <w:rsid w:val="4FBA3692"/>
    <w:rsid w:val="501C6CBB"/>
    <w:rsid w:val="50601F36"/>
    <w:rsid w:val="50964CC0"/>
    <w:rsid w:val="50FE0AB7"/>
    <w:rsid w:val="515D758B"/>
    <w:rsid w:val="516C5CF7"/>
    <w:rsid w:val="51867B3E"/>
    <w:rsid w:val="519D3E2C"/>
    <w:rsid w:val="51A575B0"/>
    <w:rsid w:val="520774F7"/>
    <w:rsid w:val="525B75EF"/>
    <w:rsid w:val="52666914"/>
    <w:rsid w:val="5267529D"/>
    <w:rsid w:val="53135B7C"/>
    <w:rsid w:val="53A6051D"/>
    <w:rsid w:val="53B92BD0"/>
    <w:rsid w:val="53C27B7A"/>
    <w:rsid w:val="53E61F03"/>
    <w:rsid w:val="550C37A2"/>
    <w:rsid w:val="553757FC"/>
    <w:rsid w:val="566D64C3"/>
    <w:rsid w:val="571006E4"/>
    <w:rsid w:val="58C63C68"/>
    <w:rsid w:val="5A407A4A"/>
    <w:rsid w:val="5AA44386"/>
    <w:rsid w:val="5ABA15AB"/>
    <w:rsid w:val="5B1834F7"/>
    <w:rsid w:val="5BD743DE"/>
    <w:rsid w:val="5BF60D08"/>
    <w:rsid w:val="5C4D4754"/>
    <w:rsid w:val="5C6F429B"/>
    <w:rsid w:val="5C700ABB"/>
    <w:rsid w:val="5D1A517B"/>
    <w:rsid w:val="5E343D6A"/>
    <w:rsid w:val="5E436EA1"/>
    <w:rsid w:val="5E6737F7"/>
    <w:rsid w:val="5EB729BA"/>
    <w:rsid w:val="5EF07C91"/>
    <w:rsid w:val="5F132FF0"/>
    <w:rsid w:val="5F1E0A25"/>
    <w:rsid w:val="5FD01870"/>
    <w:rsid w:val="5FE77D07"/>
    <w:rsid w:val="60211516"/>
    <w:rsid w:val="60382473"/>
    <w:rsid w:val="605E3790"/>
    <w:rsid w:val="607E751E"/>
    <w:rsid w:val="60E45417"/>
    <w:rsid w:val="61161505"/>
    <w:rsid w:val="613876CD"/>
    <w:rsid w:val="616A6E87"/>
    <w:rsid w:val="61E45BE1"/>
    <w:rsid w:val="6341070D"/>
    <w:rsid w:val="637901FC"/>
    <w:rsid w:val="638C3E3F"/>
    <w:rsid w:val="63A075C4"/>
    <w:rsid w:val="64427DEE"/>
    <w:rsid w:val="656F2BC3"/>
    <w:rsid w:val="658E3D60"/>
    <w:rsid w:val="65E358B9"/>
    <w:rsid w:val="65FC3B45"/>
    <w:rsid w:val="66903B07"/>
    <w:rsid w:val="6739419F"/>
    <w:rsid w:val="674768BC"/>
    <w:rsid w:val="678629DB"/>
    <w:rsid w:val="679F2254"/>
    <w:rsid w:val="682E5386"/>
    <w:rsid w:val="686F41A0"/>
    <w:rsid w:val="68D12617"/>
    <w:rsid w:val="69117181"/>
    <w:rsid w:val="691B590A"/>
    <w:rsid w:val="69F85C4B"/>
    <w:rsid w:val="6A7C062B"/>
    <w:rsid w:val="6B0B007F"/>
    <w:rsid w:val="6C134FBF"/>
    <w:rsid w:val="6C643B3D"/>
    <w:rsid w:val="6C7C7008"/>
    <w:rsid w:val="6CC369E5"/>
    <w:rsid w:val="6D152C7A"/>
    <w:rsid w:val="6D401DE3"/>
    <w:rsid w:val="6D5835D1"/>
    <w:rsid w:val="6D8C6AB1"/>
    <w:rsid w:val="6E9835C9"/>
    <w:rsid w:val="6E9D0F19"/>
    <w:rsid w:val="6F101C89"/>
    <w:rsid w:val="6F152D9A"/>
    <w:rsid w:val="6FA64098"/>
    <w:rsid w:val="6FFF7C0E"/>
    <w:rsid w:val="7073599E"/>
    <w:rsid w:val="70A42689"/>
    <w:rsid w:val="72273572"/>
    <w:rsid w:val="72583E79"/>
    <w:rsid w:val="725A654C"/>
    <w:rsid w:val="731C29AB"/>
    <w:rsid w:val="735E0EFB"/>
    <w:rsid w:val="73941CCC"/>
    <w:rsid w:val="744A1799"/>
    <w:rsid w:val="74DB6895"/>
    <w:rsid w:val="75D27C98"/>
    <w:rsid w:val="76934ECB"/>
    <w:rsid w:val="77107490"/>
    <w:rsid w:val="77C61FA0"/>
    <w:rsid w:val="78055809"/>
    <w:rsid w:val="78125870"/>
    <w:rsid w:val="78623556"/>
    <w:rsid w:val="79061938"/>
    <w:rsid w:val="791B1604"/>
    <w:rsid w:val="79A90D10"/>
    <w:rsid w:val="79B0209F"/>
    <w:rsid w:val="79BF480D"/>
    <w:rsid w:val="79CE4C1B"/>
    <w:rsid w:val="7A344A7E"/>
    <w:rsid w:val="7A5F5873"/>
    <w:rsid w:val="7A886B78"/>
    <w:rsid w:val="7BB8348D"/>
    <w:rsid w:val="7BF546E1"/>
    <w:rsid w:val="7BFF585B"/>
    <w:rsid w:val="7D337C34"/>
    <w:rsid w:val="7D4A0A5C"/>
    <w:rsid w:val="7DEB3451"/>
    <w:rsid w:val="7E4E1E86"/>
    <w:rsid w:val="7EC91358"/>
    <w:rsid w:val="7F141322"/>
    <w:rsid w:val="7F341DFF"/>
    <w:rsid w:val="7FDC3989"/>
    <w:rsid w:val="7FEA09E2"/>
    <w:rsid w:val="7FF37189"/>
    <w:rsid w:val="B5FF2DC1"/>
    <w:rsid w:val="BC936312"/>
    <w:rsid w:val="E75F9682"/>
    <w:rsid w:val="EA0B12A9"/>
    <w:rsid w:val="FADDB4F8"/>
    <w:rsid w:val="FAE9CD5D"/>
    <w:rsid w:val="FB692196"/>
    <w:rsid w:val="FFDF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jc w:val="left"/>
    </w:pPr>
    <w:rPr>
      <w:kern w:val="0"/>
      <w:sz w:val="20"/>
    </w:rPr>
  </w:style>
  <w:style w:type="paragraph" w:styleId="3">
    <w:name w:val="Body Text"/>
    <w:basedOn w:val="1"/>
    <w:next w:val="4"/>
    <w:unhideWhenUsed/>
    <w:qFormat/>
    <w:uiPriority w:val="0"/>
    <w:pPr>
      <w:spacing w:after="120"/>
    </w:pPr>
    <w:rPr>
      <w:sz w:val="24"/>
    </w:rPr>
  </w:style>
  <w:style w:type="paragraph" w:styleId="4">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Plain Text"/>
    <w:basedOn w:val="1"/>
    <w:next w:val="7"/>
    <w:qFormat/>
    <w:uiPriority w:val="0"/>
    <w:rPr>
      <w:rFonts w:ascii="宋体" w:hAnsi="Courier New"/>
    </w:rPr>
  </w:style>
  <w:style w:type="paragraph" w:customStyle="1" w:styleId="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Arial" w:hAnsi="Arial" w:eastAsia="隶书"/>
      <w:b/>
      <w:bCs/>
      <w:sz w:val="32"/>
      <w:szCs w:val="32"/>
    </w:rPr>
  </w:style>
  <w:style w:type="character" w:styleId="15">
    <w:name w:val="Strong"/>
    <w:basedOn w:val="14"/>
    <w:qFormat/>
    <w:uiPriority w:val="0"/>
    <w:rPr>
      <w:b/>
    </w:rPr>
  </w:style>
  <w:style w:type="character" w:styleId="16">
    <w:name w:val="page number"/>
    <w:qFormat/>
    <w:uiPriority w:val="0"/>
  </w:style>
  <w:style w:type="paragraph" w:customStyle="1" w:styleId="17">
    <w:name w:val="正文格式"/>
    <w:basedOn w:val="5"/>
    <w:qFormat/>
    <w:uiPriority w:val="99"/>
    <w:pPr>
      <w:spacing w:after="0" w:line="360" w:lineRule="auto"/>
      <w:ind w:left="0" w:leftChars="0" w:firstLine="600"/>
    </w:pPr>
    <w:rPr>
      <w:rFonts w:eastAsia="仿宋_GB2312"/>
      <w:sz w:val="30"/>
      <w:szCs w:val="30"/>
    </w:rPr>
  </w:style>
  <w:style w:type="paragraph" w:customStyle="1" w:styleId="1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19">
    <w:name w:val="List Paragraph"/>
    <w:basedOn w:val="1"/>
    <w:qFormat/>
    <w:uiPriority w:val="34"/>
    <w:pPr>
      <w:ind w:firstLine="420" w:firstLineChars="200"/>
    </w:pPr>
  </w:style>
  <w:style w:type="paragraph" w:customStyle="1" w:styleId="20">
    <w:name w:val="（）列表模式"/>
    <w:basedOn w:val="1"/>
    <w:qFormat/>
    <w:uiPriority w:val="0"/>
    <w:pPr>
      <w:tabs>
        <w:tab w:val="left" w:pos="960"/>
        <w:tab w:val="left" w:pos="1470"/>
      </w:tabs>
      <w:spacing w:line="360" w:lineRule="auto"/>
      <w:ind w:left="1470" w:hanging="420"/>
    </w:pPr>
    <w:rPr>
      <w:sz w:val="24"/>
      <w:szCs w:val="20"/>
    </w:rPr>
  </w:style>
  <w:style w:type="paragraph" w:customStyle="1" w:styleId="21">
    <w:name w:val="Table Paragraph"/>
    <w:basedOn w:val="1"/>
    <w:qFormat/>
    <w:uiPriority w:val="0"/>
    <w:pPr>
      <w:autoSpaceDE w:val="0"/>
      <w:autoSpaceDN w:val="0"/>
      <w:jc w:val="left"/>
    </w:pPr>
    <w:rPr>
      <w:rFonts w:ascii="宋体" w:hAnsi="宋体" w:cs="宋体"/>
      <w:kern w:val="0"/>
      <w:sz w:val="22"/>
      <w:szCs w:val="22"/>
    </w:rPr>
  </w:style>
  <w:style w:type="paragraph" w:customStyle="1" w:styleId="22">
    <w:name w:val="x-scop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3">
    <w:name w:val="qowt-font5-gb23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38564</Words>
  <Characters>41158</Characters>
  <Lines>0</Lines>
  <Paragraphs>0</Paragraphs>
  <TotalTime>5</TotalTime>
  <ScaleCrop>false</ScaleCrop>
  <LinksUpToDate>false</LinksUpToDate>
  <CharactersWithSpaces>43100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2023-11-11T12:59:00Z</dcterms:created>
  <dc:creator>姬崽</dc:creator>
  <cp:lastModifiedBy>陈可欣</cp:lastModifiedBy>
  <dcterms:modified xsi:type="dcterms:W3CDTF">2024-03-21T10:08:09Z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8224269737DF4D17B0D6DFE97BC9763F</vt:lpwstr>
  </property>
</Properties>
</file>