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2023考核</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度</w:t>
      </w:r>
      <w:r>
        <w:rPr>
          <w:rFonts w:hint="eastAsia" w:ascii="方正小标宋简体" w:hAnsi="方正小标宋简体" w:eastAsia="方正小标宋简体" w:cs="方正小标宋简体"/>
          <w:sz w:val="44"/>
          <w:szCs w:val="44"/>
        </w:rPr>
        <w:t>深圳市智能快件箱资助</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申报指南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黑体" w:hAnsi="仿宋" w:eastAsia="黑体"/>
          <w:sz w:val="32"/>
          <w:szCs w:val="32"/>
        </w:rPr>
      </w:pPr>
      <w:r>
        <w:rPr>
          <w:rFonts w:hint="eastAsia" w:ascii="黑体" w:hAnsi="仿宋" w:eastAsia="黑体"/>
          <w:sz w:val="32"/>
          <w:szCs w:val="32"/>
        </w:rPr>
        <w:t>一、实施依据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《深圳市</w:t>
      </w:r>
      <w:r>
        <w:rPr>
          <w:rFonts w:hint="eastAsia" w:ascii="仿宋_GB2312" w:hAnsi="仿宋" w:eastAsia="仿宋_GB2312"/>
          <w:sz w:val="32"/>
          <w:szCs w:val="32"/>
          <w:lang w:val="en-US" w:eastAsia="zh-CN"/>
        </w:rPr>
        <w:t>交通运输专项资金现代物流业领域资助资金实施细则</w:t>
      </w:r>
      <w:r>
        <w:rPr>
          <w:rFonts w:hint="eastAsia" w:ascii="仿宋_GB2312" w:hAnsi="仿宋" w:eastAsia="仿宋_GB2312"/>
          <w:sz w:val="32"/>
          <w:szCs w:val="32"/>
        </w:rPr>
        <w:t>》（</w:t>
      </w:r>
      <w:r>
        <w:rPr>
          <w:rFonts w:hint="eastAsia" w:ascii="仿宋_GB2312" w:hAnsi="仿宋" w:eastAsia="仿宋_GB2312"/>
          <w:sz w:val="32"/>
          <w:szCs w:val="32"/>
          <w:lang w:val="en-US" w:eastAsia="zh-CN"/>
        </w:rPr>
        <w:t>以下简称《实施细则》</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黑体" w:hAnsi="仿宋" w:eastAsia="黑体"/>
          <w:sz w:val="32"/>
          <w:szCs w:val="32"/>
        </w:rPr>
      </w:pPr>
      <w:r>
        <w:rPr>
          <w:rFonts w:hint="eastAsia" w:ascii="黑体" w:hAnsi="仿宋" w:eastAsia="黑体"/>
          <w:sz w:val="32"/>
          <w:szCs w:val="32"/>
        </w:rPr>
        <w:t>二、申报条件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一</w:t>
      </w:r>
      <w:r>
        <w:rPr>
          <w:rFonts w:hint="eastAsia" w:ascii="仿宋_GB2312" w:hAnsi="仿宋" w:eastAsia="仿宋_GB2312"/>
          <w:sz w:val="32"/>
          <w:szCs w:val="32"/>
          <w:lang w:eastAsia="zh-CN"/>
        </w:rPr>
        <w:t>）</w:t>
      </w:r>
      <w:r>
        <w:rPr>
          <w:rFonts w:hint="eastAsia" w:ascii="仿宋_GB2312" w:hAnsi="仿宋" w:eastAsia="仿宋_GB2312"/>
          <w:sz w:val="32"/>
          <w:szCs w:val="32"/>
        </w:rPr>
        <w:t>申请企业考核年度在深圳行政区域内新建并投入运营的智能快件箱不低于50组。申请企业属于中小企业的，考核年度在深圳行政区域内新建并投入运营的智能快件箱不低于30组</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二</w:t>
      </w:r>
      <w:r>
        <w:rPr>
          <w:rFonts w:hint="eastAsia" w:ascii="仿宋_GB2312" w:hAnsi="仿宋" w:eastAsia="仿宋_GB2312"/>
          <w:sz w:val="32"/>
          <w:szCs w:val="32"/>
          <w:lang w:eastAsia="zh-CN"/>
        </w:rPr>
        <w:t>）</w:t>
      </w:r>
      <w:r>
        <w:rPr>
          <w:rFonts w:hint="eastAsia" w:ascii="仿宋_GB2312" w:hAnsi="仿宋" w:eastAsia="仿宋_GB2312"/>
          <w:sz w:val="32"/>
          <w:szCs w:val="32"/>
        </w:rPr>
        <w:t>智能快件箱是指包含独立控制柜，实现人机交互及箱体控制，设立在商业区、居住区、办公区、校区、厂区等场所，供经营快递业务的企业投递和用户提取快件的自助服务设备。由同一控制柜控制的算作一组智能快件箱。</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黑体" w:hAnsi="仿宋" w:eastAsia="黑体"/>
          <w:sz w:val="32"/>
          <w:szCs w:val="32"/>
        </w:rPr>
      </w:pPr>
      <w:r>
        <w:rPr>
          <w:rFonts w:hint="eastAsia" w:ascii="黑体" w:hAnsi="仿宋" w:eastAsia="黑体"/>
          <w:sz w:val="32"/>
          <w:szCs w:val="32"/>
          <w:lang w:val="en-US" w:eastAsia="zh-CN"/>
        </w:rPr>
        <w:t>三</w:t>
      </w:r>
      <w:r>
        <w:rPr>
          <w:rFonts w:hint="eastAsia" w:ascii="黑体" w:hAnsi="仿宋" w:eastAsia="黑体"/>
          <w:sz w:val="32"/>
          <w:szCs w:val="32"/>
        </w:rPr>
        <w:t>、考核期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z w:val="32"/>
        </w:rPr>
      </w:pPr>
      <w:r>
        <w:rPr>
          <w:rFonts w:hint="eastAsia" w:ascii="仿宋_GB2312" w:hAnsi="仿宋" w:eastAsia="仿宋_GB2312"/>
          <w:sz w:val="32"/>
          <w:szCs w:val="32"/>
        </w:rPr>
        <w:t>本次资助考核期为</w:t>
      </w:r>
      <w:r>
        <w:rPr>
          <w:rFonts w:hint="eastAsia" w:ascii="仿宋_GB2312" w:hAnsi="仿宋" w:eastAsia="仿宋_GB2312"/>
          <w:sz w:val="32"/>
          <w:lang w:eastAsia="zh-CN"/>
        </w:rPr>
        <w:t>2023</w:t>
      </w:r>
      <w:r>
        <w:rPr>
          <w:rFonts w:hint="eastAsia" w:ascii="仿宋_GB2312" w:hAnsi="仿宋" w:eastAsia="仿宋_GB2312"/>
          <w:sz w:val="32"/>
        </w:rPr>
        <w:t>年1月1日到</w:t>
      </w:r>
      <w:r>
        <w:rPr>
          <w:rFonts w:hint="eastAsia" w:ascii="仿宋_GB2312" w:hAnsi="仿宋" w:eastAsia="仿宋_GB2312"/>
          <w:sz w:val="32"/>
          <w:szCs w:val="32"/>
          <w:lang w:eastAsia="zh-CN"/>
        </w:rPr>
        <w:t>2023</w:t>
      </w:r>
      <w:r>
        <w:rPr>
          <w:rFonts w:hint="eastAsia" w:ascii="仿宋_GB2312" w:hAnsi="仿宋" w:eastAsia="仿宋_GB2312"/>
          <w:sz w:val="32"/>
        </w:rPr>
        <w:t>年</w:t>
      </w:r>
      <w:r>
        <w:rPr>
          <w:rFonts w:hint="eastAsia" w:ascii="仿宋_GB2312" w:hAnsi="仿宋" w:eastAsia="仿宋_GB2312"/>
          <w:sz w:val="32"/>
          <w:lang w:val="en-US" w:eastAsia="zh-CN"/>
        </w:rPr>
        <w:t>12</w:t>
      </w:r>
      <w:r>
        <w:rPr>
          <w:rFonts w:hint="eastAsia" w:ascii="仿宋_GB2312" w:hAnsi="仿宋" w:eastAsia="仿宋_GB2312"/>
          <w:sz w:val="32"/>
        </w:rPr>
        <w:t>月</w:t>
      </w:r>
      <w:r>
        <w:rPr>
          <w:rFonts w:hint="eastAsia" w:ascii="仿宋_GB2312" w:hAnsi="仿宋" w:eastAsia="仿宋_GB2312"/>
          <w:sz w:val="32"/>
          <w:lang w:val="en-US" w:eastAsia="zh-CN"/>
        </w:rPr>
        <w:t>31</w:t>
      </w:r>
      <w:r>
        <w:rPr>
          <w:rFonts w:hint="eastAsia" w:ascii="仿宋_GB2312" w:hAnsi="仿宋" w:eastAsia="仿宋_GB2312"/>
          <w:sz w:val="32"/>
        </w:rPr>
        <w:t>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default" w:ascii="黑体" w:hAnsi="仿宋" w:eastAsia="黑体"/>
          <w:sz w:val="32"/>
          <w:szCs w:val="32"/>
          <w:lang w:val="en-US" w:eastAsia="zh-CN"/>
        </w:rPr>
      </w:pPr>
      <w:r>
        <w:rPr>
          <w:rFonts w:hint="eastAsia" w:ascii="黑体" w:hAnsi="仿宋" w:eastAsia="黑体"/>
          <w:sz w:val="32"/>
          <w:szCs w:val="32"/>
          <w:lang w:val="en-US" w:eastAsia="zh-CN"/>
        </w:rPr>
        <w:t>四</w:t>
      </w:r>
      <w:r>
        <w:rPr>
          <w:rFonts w:hint="eastAsia" w:ascii="黑体" w:hAnsi="仿宋" w:eastAsia="黑体"/>
          <w:sz w:val="32"/>
          <w:szCs w:val="32"/>
        </w:rPr>
        <w:t>、</w:t>
      </w:r>
      <w:r>
        <w:rPr>
          <w:rFonts w:hint="eastAsia" w:ascii="黑体" w:hAnsi="仿宋" w:eastAsia="黑体"/>
          <w:sz w:val="32"/>
          <w:szCs w:val="32"/>
          <w:lang w:val="en-US" w:eastAsia="zh-CN"/>
        </w:rPr>
        <w:t>资助标准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对考核期内新建设的智能快件箱按3000元/组的标准给予一次性资助，且同一申请企业年度资助总额不超过90万元。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黑体" w:hAnsi="仿宋" w:eastAsia="黑体"/>
          <w:sz w:val="32"/>
          <w:szCs w:val="32"/>
        </w:rPr>
      </w:pPr>
      <w:r>
        <w:rPr>
          <w:rFonts w:hint="eastAsia" w:ascii="黑体" w:hAnsi="仿宋" w:eastAsia="黑体"/>
          <w:sz w:val="32"/>
          <w:szCs w:val="32"/>
        </w:rPr>
        <w:t>五、申报材料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rPr>
        <w:t>（一）企业已开展智能快件箱研发、建设或运营业务的有关材料（技术专利或快递业务经营许可证等)</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rPr>
        <w:t>（二）智能快件箱安装验收清单</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_GB2312" w:hAnsi="仿宋" w:eastAsia="仿宋_GB2312"/>
          <w:sz w:val="32"/>
          <w:szCs w:val="32"/>
          <w:lang w:eastAsia="zh-CN"/>
        </w:rPr>
      </w:pPr>
      <w:r>
        <w:rPr>
          <w:rFonts w:hint="eastAsia" w:ascii="仿宋_GB2312" w:hAnsi="仿宋" w:eastAsia="仿宋_GB2312"/>
          <w:sz w:val="32"/>
          <w:szCs w:val="32"/>
        </w:rPr>
        <w:t>（三）智能快件箱所在场所的租赁合同</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四</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企业营业执照。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黑体" w:hAnsi="仿宋" w:eastAsia="黑体"/>
          <w:sz w:val="32"/>
          <w:szCs w:val="32"/>
        </w:rPr>
      </w:pPr>
      <w:r>
        <w:rPr>
          <w:rFonts w:hint="eastAsia" w:ascii="黑体" w:hAnsi="仿宋" w:eastAsia="黑体"/>
          <w:sz w:val="32"/>
          <w:szCs w:val="32"/>
        </w:rPr>
        <w:t>六、申请受理</w:t>
      </w:r>
    </w:p>
    <w:p>
      <w:pPr>
        <w:keepNext w:val="0"/>
        <w:keepLines w:val="0"/>
        <w:pageBreakBefore w:val="0"/>
        <w:widowControl w:val="0"/>
        <w:kinsoku/>
        <w:wordWrap/>
        <w:overflowPunct/>
        <w:topLinePunct w:val="0"/>
        <w:autoSpaceDE/>
        <w:autoSpaceDN/>
        <w:bidi w:val="0"/>
        <w:adjustRightInd/>
        <w:snapToGrid/>
        <w:spacing w:line="540" w:lineRule="exact"/>
        <w:ind w:left="2" w:leftChars="1"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（一）受理机关：深圳市交通运输局</w:t>
      </w:r>
    </w:p>
    <w:p>
      <w:pPr>
        <w:keepNext w:val="0"/>
        <w:keepLines w:val="0"/>
        <w:pageBreakBefore w:val="0"/>
        <w:widowControl w:val="0"/>
        <w:kinsoku/>
        <w:wordWrap/>
        <w:overflowPunct/>
        <w:topLinePunct w:val="0"/>
        <w:autoSpaceDE/>
        <w:autoSpaceDN/>
        <w:bidi w:val="0"/>
        <w:adjustRightInd/>
        <w:snapToGrid/>
        <w:spacing w:line="540" w:lineRule="exact"/>
        <w:ind w:left="2" w:leftChars="1" w:firstLine="640" w:firstLineChars="200"/>
        <w:textAlignment w:val="auto"/>
        <w:rPr>
          <w:rFonts w:hint="eastAsia" w:ascii="仿宋_GB2312" w:hAnsi="仿宋" w:eastAsia="仿宋_GB2312"/>
          <w:snapToGrid w:val="0"/>
          <w:kern w:val="4"/>
          <w:sz w:val="32"/>
          <w:szCs w:val="32"/>
        </w:rPr>
      </w:pPr>
      <w:r>
        <w:rPr>
          <w:rFonts w:hint="eastAsia" w:ascii="仿宋_GB2312" w:hAnsi="仿宋" w:eastAsia="仿宋_GB2312"/>
          <w:sz w:val="32"/>
          <w:szCs w:val="32"/>
        </w:rPr>
        <w:t>（二）受理时限：</w:t>
      </w:r>
      <w:r>
        <w:rPr>
          <w:rFonts w:hint="eastAsia" w:ascii="仿宋_GB2312" w:hAnsi="仿宋" w:eastAsia="仿宋_GB2312"/>
          <w:sz w:val="32"/>
          <w:szCs w:val="32"/>
          <w:lang w:eastAsia="zh-CN"/>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3</w:t>
      </w:r>
      <w:r>
        <w:rPr>
          <w:rFonts w:hint="eastAsia" w:ascii="仿宋_GB2312" w:hAnsi="仿宋" w:eastAsia="仿宋_GB2312"/>
          <w:sz w:val="32"/>
          <w:szCs w:val="32"/>
        </w:rPr>
        <w:t>月</w:t>
      </w:r>
      <w:r>
        <w:rPr>
          <w:rFonts w:hint="eastAsia" w:ascii="仿宋_GB2312" w:hAnsi="仿宋" w:eastAsia="仿宋_GB2312"/>
          <w:sz w:val="32"/>
          <w:szCs w:val="32"/>
          <w:lang w:val="en-US" w:eastAsia="zh-CN"/>
        </w:rPr>
        <w:t>18</w:t>
      </w:r>
      <w:r>
        <w:rPr>
          <w:rFonts w:hint="eastAsia" w:ascii="仿宋_GB2312" w:hAnsi="仿宋" w:eastAsia="仿宋_GB2312"/>
          <w:sz w:val="32"/>
          <w:szCs w:val="32"/>
        </w:rPr>
        <w:t>日至</w:t>
      </w:r>
      <w:r>
        <w:rPr>
          <w:rFonts w:hint="eastAsia" w:ascii="仿宋_GB2312" w:hAnsi="仿宋" w:eastAsia="仿宋_GB2312"/>
          <w:sz w:val="32"/>
          <w:szCs w:val="32"/>
          <w:lang w:val="en-US" w:eastAsia="zh-CN"/>
        </w:rPr>
        <w:t>2024年</w:t>
      </w:r>
      <w:bookmarkStart w:id="0" w:name="_GoBack"/>
      <w:bookmarkEnd w:id="0"/>
      <w:r>
        <w:rPr>
          <w:rFonts w:hint="eastAsia" w:ascii="仿宋_GB2312" w:hAnsi="仿宋" w:eastAsia="仿宋_GB2312"/>
          <w:sz w:val="32"/>
          <w:szCs w:val="32"/>
          <w:lang w:val="en-US" w:eastAsia="zh-CN"/>
        </w:rPr>
        <w:t>4</w:t>
      </w:r>
      <w:r>
        <w:rPr>
          <w:rFonts w:hint="eastAsia" w:ascii="仿宋_GB2312" w:hAnsi="仿宋" w:eastAsia="仿宋_GB2312"/>
          <w:sz w:val="32"/>
          <w:szCs w:val="32"/>
        </w:rPr>
        <w:t>月</w:t>
      </w:r>
      <w:r>
        <w:rPr>
          <w:rFonts w:hint="eastAsia" w:ascii="仿宋_GB2312" w:hAnsi="仿宋" w:eastAsia="仿宋_GB2312"/>
          <w:sz w:val="32"/>
          <w:szCs w:val="32"/>
          <w:lang w:val="en-US" w:eastAsia="zh-CN"/>
        </w:rPr>
        <w:t>8</w:t>
      </w:r>
      <w:r>
        <w:rPr>
          <w:rFonts w:hint="eastAsia" w:ascii="仿宋_GB2312" w:hAnsi="仿宋" w:eastAsia="仿宋_GB2312"/>
          <w:sz w:val="32"/>
          <w:szCs w:val="32"/>
        </w:rPr>
        <w:t>日，</w:t>
      </w:r>
      <w:r>
        <w:rPr>
          <w:rFonts w:hint="eastAsia" w:ascii="仿宋_GB2312" w:hAnsi="仿宋" w:eastAsia="仿宋_GB2312"/>
          <w:snapToGrid w:val="0"/>
          <w:kern w:val="4"/>
          <w:sz w:val="32"/>
          <w:szCs w:val="32"/>
        </w:rPr>
        <w:t>逾期不予受理。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 w:eastAsia="仿宋_GB2312"/>
          <w:snapToGrid w:val="0"/>
          <w:kern w:val="4"/>
          <w:sz w:val="32"/>
          <w:szCs w:val="32"/>
        </w:rPr>
      </w:pPr>
      <w:r>
        <w:rPr>
          <w:rFonts w:hint="eastAsia" w:ascii="仿宋_GB2312" w:hAnsi="仿宋_GB2312" w:eastAsia="仿宋_GB2312" w:cs="仿宋_GB2312"/>
          <w:sz w:val="32"/>
          <w:szCs w:val="32"/>
        </w:rPr>
        <w:t>（三）咨询电话：831683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9</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黑体" w:hAnsi="仿宋" w:eastAsia="黑体"/>
          <w:sz w:val="32"/>
          <w:szCs w:val="32"/>
        </w:rPr>
      </w:pPr>
      <w:r>
        <w:rPr>
          <w:rFonts w:hint="eastAsia" w:ascii="黑体" w:hAnsi="仿宋" w:eastAsia="黑体"/>
          <w:sz w:val="32"/>
          <w:szCs w:val="32"/>
        </w:rPr>
        <w:t>七、办理流程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 w:eastAsia="仿宋_GB2312"/>
          <w:snapToGrid w:val="0"/>
          <w:kern w:val="4"/>
          <w:sz w:val="32"/>
          <w:szCs w:val="32"/>
        </w:rPr>
      </w:pPr>
      <w:r>
        <w:rPr>
          <w:rFonts w:hint="eastAsia" w:ascii="仿宋_GB2312" w:hAnsi="仿宋" w:eastAsia="仿宋_GB2312"/>
          <w:snapToGrid w:val="0"/>
          <w:kern w:val="4"/>
          <w:sz w:val="32"/>
          <w:szCs w:val="32"/>
        </w:rPr>
        <w:t>（一）</w:t>
      </w:r>
      <w:r>
        <w:rPr>
          <w:rFonts w:hint="eastAsia" w:ascii="仿宋_GB2312" w:hAnsi="仿宋" w:eastAsia="仿宋_GB2312"/>
          <w:snapToGrid w:val="0"/>
          <w:kern w:val="4"/>
          <w:sz w:val="32"/>
          <w:szCs w:val="32"/>
          <w:lang w:eastAsia="zh-CN"/>
        </w:rPr>
        <w:t>深圳</w:t>
      </w:r>
      <w:r>
        <w:rPr>
          <w:rFonts w:hint="eastAsia" w:ascii="仿宋_GB2312" w:hAnsi="仿宋" w:eastAsia="仿宋_GB2312"/>
          <w:snapToGrid w:val="0"/>
          <w:kern w:val="4"/>
          <w:sz w:val="32"/>
          <w:szCs w:val="32"/>
        </w:rPr>
        <w:t>市交通运输局发布申报通知，并在</w:t>
      </w:r>
      <w:r>
        <w:rPr>
          <w:rFonts w:hint="eastAsia" w:ascii="仿宋_GB2312" w:hAnsi="仿宋" w:eastAsia="仿宋_GB2312"/>
          <w:snapToGrid w:val="0"/>
          <w:kern w:val="4"/>
          <w:sz w:val="32"/>
          <w:szCs w:val="32"/>
          <w:lang w:eastAsia="zh-CN"/>
        </w:rPr>
        <w:t>深圳</w:t>
      </w:r>
      <w:r>
        <w:rPr>
          <w:rFonts w:hint="eastAsia" w:ascii="仿宋_GB2312" w:hAnsi="仿宋" w:eastAsia="仿宋_GB2312"/>
          <w:snapToGrid w:val="0"/>
          <w:kern w:val="4"/>
          <w:sz w:val="32"/>
          <w:szCs w:val="32"/>
        </w:rPr>
        <w:t>市交通运输局</w:t>
      </w:r>
      <w:r>
        <w:rPr>
          <w:rFonts w:hint="eastAsia" w:ascii="仿宋_GB2312" w:hAnsi="仿宋" w:eastAsia="仿宋_GB2312"/>
          <w:snapToGrid w:val="0"/>
          <w:kern w:val="4"/>
          <w:sz w:val="32"/>
          <w:szCs w:val="32"/>
          <w:lang w:eastAsia="zh-CN"/>
        </w:rPr>
        <w:t>门户</w:t>
      </w:r>
      <w:r>
        <w:rPr>
          <w:rFonts w:hint="eastAsia" w:ascii="仿宋_GB2312" w:hAnsi="仿宋" w:eastAsia="仿宋_GB2312"/>
          <w:snapToGrid w:val="0"/>
          <w:kern w:val="4"/>
          <w:sz w:val="32"/>
          <w:szCs w:val="32"/>
        </w:rPr>
        <w:t>网站公布。申请企业按照通知要求在规定时限</w:t>
      </w:r>
      <w:r>
        <w:rPr>
          <w:rFonts w:hint="eastAsia" w:ascii="仿宋_GB2312" w:hAnsi="仿宋" w:eastAsia="仿宋_GB2312"/>
          <w:snapToGrid w:val="0"/>
          <w:kern w:val="4"/>
          <w:sz w:val="32"/>
          <w:szCs w:val="32"/>
          <w:lang w:val="en-US" w:eastAsia="zh-CN"/>
        </w:rPr>
        <w:t>登录</w:t>
      </w:r>
      <w:r>
        <w:rPr>
          <w:rFonts w:hint="eastAsia" w:ascii="仿宋_GB2312" w:hAnsi="仿宋_GB2312" w:eastAsia="仿宋_GB2312" w:cs="仿宋_GB2312"/>
          <w:sz w:val="32"/>
          <w:szCs w:val="32"/>
        </w:rPr>
        <w:t>深圳市财政专项资金统一管理平台（网址：https://cqt.szfb.sz.gov.cn/#/home）</w:t>
      </w:r>
      <w:r>
        <w:rPr>
          <w:rFonts w:hint="eastAsia" w:ascii="仿宋_GB2312" w:hAnsi="仿宋" w:eastAsia="仿宋_GB2312"/>
          <w:snapToGrid w:val="0"/>
          <w:kern w:val="4"/>
          <w:sz w:val="32"/>
          <w:szCs w:val="32"/>
        </w:rPr>
        <w:t>提交申请材料，</w:t>
      </w:r>
      <w:r>
        <w:rPr>
          <w:rFonts w:hint="eastAsia" w:ascii="仿宋_GB2312" w:hAnsi="仿宋" w:eastAsia="仿宋_GB2312"/>
          <w:sz w:val="32"/>
          <w:szCs w:val="32"/>
        </w:rPr>
        <w:t>根据指南进行申报。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napToGrid w:val="0"/>
          <w:kern w:val="4"/>
          <w:sz w:val="32"/>
          <w:szCs w:val="32"/>
        </w:rPr>
      </w:pPr>
      <w:r>
        <w:rPr>
          <w:rFonts w:hint="eastAsia" w:ascii="仿宋_GB2312" w:hAnsi="仿宋" w:eastAsia="仿宋_GB2312"/>
          <w:snapToGrid w:val="0"/>
          <w:kern w:val="4"/>
          <w:sz w:val="32"/>
          <w:szCs w:val="32"/>
        </w:rPr>
        <w:t>（二）深圳市交通运输局按照相关规定完成各环节的审核工作，确定通过审核的企业名单及资助金额，并在</w:t>
      </w:r>
      <w:r>
        <w:rPr>
          <w:rFonts w:hint="eastAsia" w:ascii="仿宋_GB2312" w:hAnsi="仿宋" w:eastAsia="仿宋_GB2312"/>
          <w:snapToGrid w:val="0"/>
          <w:kern w:val="4"/>
          <w:sz w:val="32"/>
          <w:szCs w:val="32"/>
          <w:lang w:eastAsia="zh-CN"/>
        </w:rPr>
        <w:t>深圳</w:t>
      </w:r>
      <w:r>
        <w:rPr>
          <w:rFonts w:hint="eastAsia" w:ascii="仿宋_GB2312" w:hAnsi="仿宋" w:eastAsia="仿宋_GB2312"/>
          <w:snapToGrid w:val="0"/>
          <w:kern w:val="4"/>
          <w:sz w:val="32"/>
          <w:szCs w:val="32"/>
        </w:rPr>
        <w:t>市交通运输局门户网站刊登公示。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napToGrid w:val="0"/>
          <w:kern w:val="4"/>
          <w:sz w:val="32"/>
          <w:szCs w:val="32"/>
        </w:rPr>
      </w:pPr>
      <w:r>
        <w:rPr>
          <w:rFonts w:hint="eastAsia" w:ascii="仿宋_GB2312" w:hAnsi="仿宋" w:eastAsia="仿宋_GB2312"/>
          <w:snapToGrid w:val="0"/>
          <w:kern w:val="4"/>
          <w:sz w:val="32"/>
          <w:szCs w:val="32"/>
        </w:rPr>
        <w:t>（三）深圳市交通运输局印发资助结果文件。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napToGrid w:val="0"/>
          <w:kern w:val="4"/>
          <w:sz w:val="32"/>
          <w:szCs w:val="32"/>
        </w:rPr>
      </w:pPr>
      <w:r>
        <w:rPr>
          <w:rFonts w:hint="eastAsia" w:ascii="仿宋_GB2312" w:hAnsi="仿宋" w:eastAsia="仿宋_GB2312"/>
          <w:snapToGrid w:val="0"/>
          <w:kern w:val="4"/>
          <w:sz w:val="32"/>
          <w:szCs w:val="32"/>
        </w:rPr>
        <w:t>（四）专项资金预算下达后，按照国库集中支付管理有关规定办理资金拨付。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黑体" w:hAnsi="仿宋" w:eastAsia="黑体"/>
          <w:sz w:val="32"/>
          <w:szCs w:val="32"/>
        </w:rPr>
      </w:pPr>
      <w:r>
        <w:rPr>
          <w:rFonts w:hint="eastAsia" w:ascii="黑体" w:hAnsi="仿宋" w:eastAsia="黑体"/>
          <w:sz w:val="32"/>
          <w:szCs w:val="32"/>
        </w:rPr>
        <w:t>八、其他说明事项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napToGrid w:val="0"/>
          <w:kern w:val="4"/>
          <w:sz w:val="32"/>
          <w:szCs w:val="32"/>
        </w:rPr>
      </w:pPr>
      <w:r>
        <w:rPr>
          <w:rFonts w:hint="eastAsia" w:ascii="仿宋_GB2312" w:hAnsi="仿宋" w:eastAsia="仿宋_GB2312"/>
          <w:snapToGrid w:val="0"/>
          <w:kern w:val="4"/>
          <w:sz w:val="32"/>
          <w:szCs w:val="32"/>
        </w:rPr>
        <w:t>（一）</w:t>
      </w:r>
      <w:r>
        <w:rPr>
          <w:rFonts w:hint="default" w:ascii="仿宋_GB2312" w:hAnsi="仿宋" w:eastAsia="仿宋_GB2312"/>
          <w:snapToGrid w:val="0"/>
          <w:kern w:val="4"/>
          <w:sz w:val="32"/>
          <w:szCs w:val="32"/>
          <w:highlight w:val="none"/>
        </w:rPr>
        <w:t>深圳市交通运输局</w:t>
      </w:r>
      <w:r>
        <w:rPr>
          <w:rFonts w:hint="eastAsia" w:ascii="仿宋_GB2312" w:hAnsi="仿宋" w:eastAsia="仿宋_GB2312"/>
          <w:snapToGrid w:val="0"/>
          <w:kern w:val="4"/>
          <w:sz w:val="32"/>
          <w:szCs w:val="32"/>
          <w:highlight w:val="none"/>
          <w:lang w:eastAsia="zh-CN"/>
        </w:rPr>
        <w:t>可</w:t>
      </w:r>
      <w:r>
        <w:rPr>
          <w:rFonts w:hint="default" w:ascii="仿宋_GB2312" w:hAnsi="仿宋" w:eastAsia="仿宋_GB2312"/>
          <w:snapToGrid w:val="0"/>
          <w:kern w:val="4"/>
          <w:sz w:val="32"/>
          <w:szCs w:val="32"/>
          <w:highlight w:val="none"/>
        </w:rPr>
        <w:t>委托第三方机构前往申报企业现场进行与申报相关的审核查验，各申报企业</w:t>
      </w:r>
      <w:r>
        <w:rPr>
          <w:rFonts w:hint="eastAsia" w:ascii="仿宋_GB2312" w:hAnsi="仿宋" w:eastAsia="仿宋_GB2312"/>
          <w:snapToGrid w:val="0"/>
          <w:kern w:val="4"/>
          <w:sz w:val="32"/>
          <w:szCs w:val="32"/>
          <w:lang w:eastAsia="zh-CN"/>
        </w:rPr>
        <w:t>需</w:t>
      </w:r>
      <w:r>
        <w:rPr>
          <w:rFonts w:hint="default" w:ascii="仿宋_GB2312" w:hAnsi="仿宋" w:eastAsia="仿宋_GB2312"/>
          <w:snapToGrid w:val="0"/>
          <w:kern w:val="4"/>
          <w:sz w:val="32"/>
          <w:szCs w:val="32"/>
          <w:highlight w:val="none"/>
        </w:rPr>
        <w:t>积极配合</w:t>
      </w:r>
      <w:r>
        <w:rPr>
          <w:rFonts w:hint="eastAsia" w:ascii="仿宋_GB2312" w:hAnsi="仿宋" w:eastAsia="仿宋_GB2312"/>
          <w:snapToGrid w:val="0"/>
          <w:kern w:val="4"/>
          <w:sz w:val="32"/>
          <w:szCs w:val="32"/>
          <w:lang w:eastAsia="zh-CN"/>
        </w:rPr>
        <w:t>。申报企业不配合导致第三方机构无法正常开展审核查验的，视为企业放弃申报</w:t>
      </w:r>
      <w:r>
        <w:rPr>
          <w:rFonts w:hint="default" w:ascii="仿宋_GB2312" w:hAnsi="仿宋" w:eastAsia="仿宋_GB2312"/>
          <w:snapToGrid w:val="0"/>
          <w:kern w:val="4"/>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napToGrid w:val="0"/>
          <w:kern w:val="4"/>
          <w:sz w:val="32"/>
          <w:szCs w:val="32"/>
        </w:rPr>
      </w:pPr>
      <w:r>
        <w:rPr>
          <w:rFonts w:hint="default" w:ascii="仿宋_GB2312" w:hAnsi="仿宋" w:eastAsia="仿宋_GB2312"/>
          <w:snapToGrid w:val="0"/>
          <w:kern w:val="4"/>
          <w:sz w:val="32"/>
          <w:szCs w:val="32"/>
        </w:rPr>
        <w:t>（二）相同内容的项目已经获得其他深圳市级财政性专项</w:t>
      </w:r>
      <w:r>
        <w:rPr>
          <w:rFonts w:hint="eastAsia" w:ascii="仿宋_GB2312" w:hAnsi="仿宋" w:eastAsia="仿宋_GB2312"/>
          <w:snapToGrid w:val="0"/>
          <w:kern w:val="4"/>
          <w:sz w:val="32"/>
          <w:szCs w:val="32"/>
        </w:rPr>
        <w:t>资金资助或奖励的，不得重复申报。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snapToGrid w:val="0"/>
          <w:kern w:val="4"/>
          <w:sz w:val="32"/>
          <w:szCs w:val="32"/>
        </w:rPr>
      </w:pPr>
      <w:r>
        <w:rPr>
          <w:rFonts w:hint="eastAsia" w:ascii="仿宋_GB2312" w:hAnsi="仿宋" w:eastAsia="仿宋_GB2312"/>
          <w:snapToGrid w:val="0"/>
          <w:kern w:val="4"/>
          <w:sz w:val="32"/>
          <w:szCs w:val="32"/>
        </w:rPr>
        <w:t>（三）申报企业存在违反《实施细则》相关规定的，不予资助。</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黑体" w:hAnsi="仿宋" w:eastAsia="黑体"/>
          <w:sz w:val="32"/>
          <w:szCs w:val="32"/>
        </w:rPr>
      </w:pPr>
      <w:r>
        <w:rPr>
          <w:rFonts w:hint="eastAsia" w:ascii="黑体" w:hAnsi="仿宋" w:eastAsia="黑体"/>
          <w:sz w:val="32"/>
          <w:szCs w:val="32"/>
        </w:rPr>
        <w:t>九、特别说明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eastAsia="仿宋_GB2312"/>
        </w:rPr>
      </w:pPr>
      <w:r>
        <w:rPr>
          <w:rFonts w:hint="eastAsia" w:ascii="仿宋_GB2312" w:hAnsi="仿宋" w:eastAsia="仿宋_GB2312"/>
          <w:sz w:val="32"/>
          <w:szCs w:val="32"/>
        </w:rPr>
        <w:t>本项工作将严格按照有关程序和标准受理、审核，对申报</w:t>
      </w:r>
      <w:r>
        <w:rPr>
          <w:rFonts w:ascii="仿宋_GB2312" w:hAnsi="仿宋" w:eastAsia="仿宋_GB2312"/>
          <w:sz w:val="32"/>
          <w:szCs w:val="32"/>
        </w:rPr>
        <w:t>企业</w:t>
      </w:r>
      <w:r>
        <w:rPr>
          <w:rFonts w:hint="eastAsia" w:ascii="仿宋_GB2312" w:hAnsi="仿宋" w:eastAsia="仿宋_GB2312"/>
          <w:sz w:val="32"/>
          <w:szCs w:val="32"/>
        </w:rPr>
        <w:t>不收取任何费用</w:t>
      </w:r>
      <w:r>
        <w:rPr>
          <w:rFonts w:hint="eastAsia" w:ascii="仿宋_GB2312" w:hAnsi="仿宋" w:eastAsia="仿宋_GB2312"/>
          <w:sz w:val="32"/>
          <w:szCs w:val="32"/>
          <w:lang w:eastAsia="zh-CN"/>
        </w:rPr>
        <w:t>，</w:t>
      </w:r>
      <w:r>
        <w:rPr>
          <w:rFonts w:hint="eastAsia" w:ascii="仿宋_GB2312" w:hAnsi="仿宋" w:eastAsia="仿宋_GB2312"/>
          <w:sz w:val="32"/>
          <w:szCs w:val="32"/>
        </w:rPr>
        <w:t>请相关企业自主申报。</w:t>
      </w:r>
    </w:p>
    <w:p>
      <w:pPr>
        <w:keepNext w:val="0"/>
        <w:keepLines w:val="0"/>
        <w:pageBreakBefore w:val="0"/>
        <w:widowControl w:val="0"/>
        <w:kinsoku/>
        <w:wordWrap/>
        <w:overflowPunct/>
        <w:topLinePunct w:val="0"/>
        <w:autoSpaceDE/>
        <w:autoSpaceDN/>
        <w:bidi w:val="0"/>
        <w:adjustRightInd/>
        <w:snapToGrid/>
        <w:spacing w:line="540" w:lineRule="exact"/>
        <w:textAlignment w:val="auto"/>
      </w:pPr>
    </w:p>
    <w:sectPr>
      <w:pgSz w:w="11906" w:h="16838"/>
      <w:pgMar w:top="1247" w:right="1418" w:bottom="124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yZmIzNzRhNGJlODYwNjA1MDZkZDllMDUyMmJjYTgifQ=="/>
    <w:docVar w:name="KSO_WPS_MARK_KEY" w:val="5d9c8d9a-6476-4252-8606-9b1e5638dbd4"/>
  </w:docVars>
  <w:rsids>
    <w:rsidRoot w:val="00172A27"/>
    <w:rsid w:val="088B0505"/>
    <w:rsid w:val="0E4F1A2E"/>
    <w:rsid w:val="10611B99"/>
    <w:rsid w:val="169733D8"/>
    <w:rsid w:val="2CA8383B"/>
    <w:rsid w:val="31D376EF"/>
    <w:rsid w:val="36127078"/>
    <w:rsid w:val="4F1F6A00"/>
    <w:rsid w:val="515020D6"/>
    <w:rsid w:val="5E580450"/>
    <w:rsid w:val="5F7B11EC"/>
    <w:rsid w:val="645E40BE"/>
    <w:rsid w:val="6CE4A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918</Words>
  <Characters>985</Characters>
  <Lines>0</Lines>
  <Paragraphs>0</Paragraphs>
  <TotalTime>0</TotalTime>
  <ScaleCrop>false</ScaleCrop>
  <LinksUpToDate>false</LinksUpToDate>
  <CharactersWithSpaces>989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2023-06-01T22:55:00Z</dcterms:created>
  <dc:creator>陈俊彦</dc:creator>
  <cp:lastModifiedBy>kylin</cp:lastModifiedBy>
  <dcterms:modified xsi:type="dcterms:W3CDTF">2024-02-28T10:11:15Z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CEBDDD257F414678B126984FD0A4B025_12</vt:lpwstr>
  </property>
</Properties>
</file>