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ascii="宋体"/>
          <w:sz w:val="32"/>
          <w:szCs w:val="32"/>
        </w:rPr>
      </w:pPr>
    </w:p>
    <w:p>
      <w:pPr>
        <w:shd w:val="clear" w:color="auto" w:fill="FFFFFF"/>
        <w:tabs>
          <w:tab w:val="left" w:pos="426"/>
        </w:tabs>
        <w:adjustRightInd w:val="0"/>
        <w:snapToGrid w:val="0"/>
        <w:spacing w:line="560" w:lineRule="exact"/>
        <w:jc w:val="center"/>
        <w:outlineLvl w:val="0"/>
        <w:rPr>
          <w:rFonts w:ascii="微软雅黑" w:hAnsi="宋体" w:eastAsia="微软雅黑" w:cs="宋体"/>
          <w:kern w:val="0"/>
          <w:sz w:val="44"/>
          <w:szCs w:val="44"/>
        </w:rPr>
      </w:pPr>
      <w:r>
        <w:rPr>
          <w:rFonts w:hint="eastAsia" w:ascii="微软雅黑" w:hAnsi="宋体" w:eastAsia="微软雅黑" w:cs="宋体"/>
          <w:kern w:val="0"/>
          <w:sz w:val="44"/>
          <w:szCs w:val="44"/>
        </w:rPr>
        <w:t>深圳市前海合作区202</w:t>
      </w:r>
      <w:r>
        <w:rPr>
          <w:rFonts w:ascii="微软雅黑" w:hAnsi="宋体" w:eastAsia="微软雅黑" w:cs="宋体"/>
          <w:kern w:val="0"/>
          <w:sz w:val="44"/>
          <w:szCs w:val="44"/>
        </w:rPr>
        <w:t>4</w:t>
      </w:r>
      <w:r>
        <w:rPr>
          <w:rFonts w:hint="eastAsia" w:ascii="微软雅黑" w:hAnsi="宋体" w:eastAsia="微软雅黑" w:cs="宋体"/>
          <w:kern w:val="0"/>
          <w:sz w:val="44"/>
          <w:szCs w:val="44"/>
        </w:rPr>
        <w:t>年预算（草案）</w:t>
      </w:r>
    </w:p>
    <w:p>
      <w:pPr>
        <w:pStyle w:val="2"/>
        <w:spacing w:after="0" w:line="560" w:lineRule="exact"/>
        <w:ind w:firstLine="0" w:firstLineChars="0"/>
      </w:pPr>
    </w:p>
    <w:p>
      <w:pPr>
        <w:spacing w:line="560" w:lineRule="exact"/>
        <w:jc w:val="center"/>
        <w:outlineLvl w:val="0"/>
        <w:rPr>
          <w:rFonts w:ascii="黑体" w:hAnsi="黑体" w:eastAsia="黑体" w:cs="仿宋_GB2312"/>
          <w:sz w:val="32"/>
          <w:szCs w:val="32"/>
        </w:rPr>
      </w:pPr>
      <w:r>
        <w:rPr>
          <w:rFonts w:hint="eastAsia" w:ascii="黑体" w:hAnsi="黑体" w:eastAsia="黑体" w:cs="仿宋_GB2312"/>
          <w:sz w:val="32"/>
          <w:szCs w:val="32"/>
        </w:rPr>
        <w:t xml:space="preserve">第一部分 </w:t>
      </w:r>
      <w:r>
        <w:rPr>
          <w:rFonts w:ascii="黑体" w:hAnsi="黑体" w:eastAsia="黑体" w:cs="仿宋_GB2312"/>
          <w:sz w:val="32"/>
          <w:szCs w:val="32"/>
        </w:rPr>
        <w:t xml:space="preserve"> 2024</w:t>
      </w:r>
      <w:r>
        <w:rPr>
          <w:rFonts w:hint="eastAsia" w:ascii="黑体" w:hAnsi="黑体" w:eastAsia="黑体" w:cs="仿宋_GB2312"/>
          <w:sz w:val="32"/>
          <w:szCs w:val="32"/>
        </w:rPr>
        <w:t>年财政综合预算（草案）</w:t>
      </w:r>
    </w:p>
    <w:p>
      <w:pPr>
        <w:spacing w:line="560" w:lineRule="exact"/>
        <w:ind w:firstLine="720"/>
        <w:outlineLvl w:val="1"/>
        <w:rPr>
          <w:rFonts w:ascii="黑体" w:hAnsi="黑体" w:eastAsia="黑体" w:cs="黑体"/>
          <w:sz w:val="32"/>
        </w:rPr>
      </w:pPr>
    </w:p>
    <w:p>
      <w:pPr>
        <w:spacing w:line="560" w:lineRule="exact"/>
        <w:ind w:firstLine="720"/>
        <w:outlineLvl w:val="1"/>
        <w:rPr>
          <w:rFonts w:ascii="黑体" w:hAnsi="黑体" w:eastAsia="黑体" w:cs="黑体"/>
          <w:sz w:val="32"/>
        </w:rPr>
      </w:pPr>
      <w:r>
        <w:rPr>
          <w:rFonts w:hint="eastAsia" w:ascii="黑体" w:hAnsi="黑体" w:eastAsia="黑体" w:cs="黑体"/>
          <w:sz w:val="32"/>
        </w:rPr>
        <w:t>一、预算编制指导思想</w:t>
      </w:r>
    </w:p>
    <w:p>
      <w:pPr>
        <w:pStyle w:val="21"/>
        <w:rPr>
          <w:rFonts w:hAnsi="仿宋_GB2312" w:cs="仿宋_GB2312"/>
          <w:bCs w:val="0"/>
          <w:u w:val="none"/>
        </w:rPr>
      </w:pPr>
      <w:r>
        <w:rPr>
          <w:rFonts w:hint="eastAsia" w:hAnsi="仿宋_GB2312" w:cs="仿宋_GB2312"/>
          <w:bCs w:val="0"/>
          <w:u w:val="none"/>
        </w:rPr>
        <w:t>坚持以习近平新时代中国特色社会主义思想为指导，</w:t>
      </w:r>
      <w:r>
        <w:rPr>
          <w:rFonts w:hint="eastAsia" w:hAnsi="仿宋_GB2312" w:cs="仿宋_GB2312"/>
          <w:bCs w:val="0"/>
          <w:u w:val="none"/>
          <w:lang w:eastAsia="zh-CN"/>
        </w:rPr>
        <w:t>全面贯彻落实党的二十大和二十届二中全会精神，认真</w:t>
      </w:r>
      <w:r>
        <w:rPr>
          <w:rFonts w:hint="eastAsia" w:hAnsi="仿宋_GB2312" w:cs="仿宋_GB2312"/>
          <w:bCs w:val="0"/>
          <w:u w:val="none"/>
        </w:rPr>
        <w:t>贯彻落实中央经济工作会议精神，</w:t>
      </w:r>
      <w:r>
        <w:rPr>
          <w:rFonts w:hint="eastAsia" w:hAnsi="仿宋_GB2312" w:cs="仿宋_GB2312"/>
          <w:bCs w:val="0"/>
          <w:u w:val="none"/>
          <w:lang w:eastAsia="zh-CN"/>
        </w:rPr>
        <w:t>落实省委十三届四次全会暨省委经济工作会议、市委七届八次全会暨市委经济工作会议部署安排，</w:t>
      </w:r>
      <w:r>
        <w:rPr>
          <w:rFonts w:hint="eastAsia" w:hAnsi="仿宋_GB2312" w:cs="仿宋_GB2312"/>
          <w:bCs w:val="0"/>
          <w:u w:val="none"/>
        </w:rPr>
        <w:t>锚定《全面深化前海深港现代服务业合作区改革开放方案》（以下简称《前海方案》）、《前海深港现代服务业合作区总体发展规划》（以下简称《</w:t>
      </w:r>
      <w:r>
        <w:rPr>
          <w:rFonts w:hint="eastAsia" w:hAnsi="仿宋_GB2312" w:cs="仿宋_GB2312"/>
          <w:bCs w:val="0"/>
          <w:u w:val="none"/>
          <w:lang w:eastAsia="zh-CN"/>
        </w:rPr>
        <w:t>前海规划</w:t>
      </w:r>
      <w:r>
        <w:rPr>
          <w:rFonts w:hint="eastAsia" w:hAnsi="仿宋_GB2312" w:cs="仿宋_GB2312"/>
          <w:bCs w:val="0"/>
          <w:u w:val="none"/>
        </w:rPr>
        <w:t>》）及“五张清单”</w:t>
      </w:r>
      <w:r>
        <w:rPr>
          <w:rFonts w:hint="eastAsia" w:hAnsi="仿宋_GB2312" w:cs="仿宋_GB2312"/>
          <w:bCs w:val="0"/>
          <w:u w:val="none"/>
          <w:lang w:eastAsia="zh-CN"/>
        </w:rPr>
        <w:t>重点任务</w:t>
      </w:r>
      <w:r>
        <w:rPr>
          <w:rFonts w:hint="eastAsia" w:hAnsi="仿宋_GB2312" w:cs="仿宋_GB2312"/>
          <w:bCs w:val="0"/>
          <w:u w:val="none"/>
        </w:rPr>
        <w:t>，以抓规划、抓规则、抓标准、抓政策为重点，以抓统筹、抓协调、抓赋能、抓增量为方法，推出一批具有标志性、显示度、影响力的新成果，加快打造全面深化改革创新试验平台</w:t>
      </w:r>
      <w:r>
        <w:rPr>
          <w:rFonts w:hint="eastAsia" w:hAnsi="仿宋_GB2312" w:cs="仿宋_GB2312"/>
          <w:bCs w:val="0"/>
          <w:u w:val="none"/>
          <w:lang w:eastAsia="zh-CN"/>
        </w:rPr>
        <w:t>、高水平对外开放门户枢纽、深港深度融合发展引领区、现代服务业高质量发展高地</w:t>
      </w:r>
      <w:r>
        <w:rPr>
          <w:rFonts w:hint="eastAsia" w:hAnsi="仿宋_GB2312" w:cs="仿宋_GB2312"/>
          <w:bCs w:val="0"/>
          <w:u w:val="none"/>
        </w:rPr>
        <w:t>，确保地区生产总值保持两位数增长，为全市</w:t>
      </w:r>
      <w:r>
        <w:rPr>
          <w:rFonts w:hint="eastAsia" w:hAnsi="仿宋_GB2312" w:cs="仿宋_GB2312"/>
          <w:bCs w:val="0"/>
          <w:u w:val="none"/>
          <w:lang w:eastAsia="zh-CN"/>
        </w:rPr>
        <w:t>加快建设</w:t>
      </w:r>
      <w:r>
        <w:rPr>
          <w:rFonts w:hint="eastAsia" w:hAnsi="仿宋_GB2312" w:cs="仿宋_GB2312"/>
          <w:bCs w:val="0"/>
          <w:u w:val="none"/>
        </w:rPr>
        <w:t>更具全球影响力的经济中心城市和现代化国际大都市作出更大贡献。</w:t>
      </w:r>
    </w:p>
    <w:p>
      <w:pPr>
        <w:pStyle w:val="18"/>
        <w:rPr>
          <w:rFonts w:ascii="黑体" w:hAnsi="黑体" w:eastAsia="黑体" w:cs="黑体"/>
        </w:rPr>
      </w:pPr>
      <w:r>
        <w:rPr>
          <w:rFonts w:hint="eastAsia" w:ascii="黑体" w:hAnsi="黑体" w:eastAsia="黑体" w:cs="黑体"/>
        </w:rPr>
        <w:t>二、预算编制总体考虑</w:t>
      </w:r>
    </w:p>
    <w:p>
      <w:pPr>
        <w:pStyle w:val="18"/>
      </w:pPr>
      <w:r>
        <w:rPr>
          <w:rFonts w:hint="eastAsia" w:hAnsi="仿宋_GB2312" w:cs="仿宋_GB2312"/>
          <w:bCs w:val="0"/>
          <w:kern w:val="0"/>
        </w:rPr>
        <w:t>（一）</w:t>
      </w:r>
      <w:r>
        <w:rPr>
          <w:rFonts w:hint="eastAsia"/>
        </w:rPr>
        <w:t>坚持“以政领财、以财辅政”，做好《前海方案》《</w:t>
      </w:r>
      <w:r>
        <w:rPr>
          <w:rFonts w:hint="eastAsia"/>
          <w:lang w:eastAsia="zh-CN"/>
        </w:rPr>
        <w:t>前海规划</w:t>
      </w:r>
      <w:r>
        <w:rPr>
          <w:rFonts w:hint="eastAsia"/>
        </w:rPr>
        <w:t>》重点任务的财力保障。</w:t>
      </w:r>
      <w:r>
        <w:rPr>
          <w:rFonts w:hint="eastAsia" w:ascii="仿宋_GB2312" w:hAnsi="仿宋_GB2312" w:eastAsia="仿宋_GB2312" w:cs="仿宋_GB2312"/>
        </w:rPr>
        <w:t>优先保障《前海方案》《</w:t>
      </w:r>
      <w:r>
        <w:rPr>
          <w:rFonts w:hint="eastAsia" w:ascii="仿宋_GB2312" w:hAnsi="仿宋_GB2312" w:eastAsia="仿宋_GB2312" w:cs="仿宋_GB2312"/>
          <w:lang w:eastAsia="zh-CN"/>
        </w:rPr>
        <w:t>前海规划</w:t>
      </w:r>
      <w:r>
        <w:rPr>
          <w:rFonts w:hint="eastAsia" w:ascii="仿宋_GB2312" w:hAnsi="仿宋_GB2312" w:eastAsia="仿宋_GB2312" w:cs="仿宋_GB2312"/>
        </w:rPr>
        <w:t>》重点任务资金需求，为</w:t>
      </w:r>
      <w:r>
        <w:rPr>
          <w:rFonts w:hint="eastAsia" w:ascii="仿宋_GB2312" w:hAnsi="仿宋_GB2312" w:eastAsia="仿宋_GB2312" w:cs="仿宋_GB2312"/>
          <w:lang w:eastAsia="zh-CN"/>
        </w:rPr>
        <w:t>实现</w:t>
      </w:r>
      <w:r>
        <w:rPr>
          <w:rFonts w:hint="eastAsia" w:ascii="仿宋_GB2312" w:hAnsi="仿宋_GB2312" w:eastAsia="仿宋_GB2312" w:cs="仿宋_GB2312"/>
        </w:rPr>
        <w:t>“到2025年，建立健全更高层次的开放型经济新体制，初步形成具有全球竞争力的营商环境，高端要素集聚、辐射作用突出的现代服务业蓬勃发展，多轮驱动的创新体系成效突出，对粤港澳大湾区发展的引擎作用日益彰显”阶段性目标提供充足财力保障。</w:t>
      </w:r>
    </w:p>
    <w:p>
      <w:pPr>
        <w:pStyle w:val="18"/>
        <w:rPr>
          <w:rFonts w:ascii="仿宋_GB2312" w:hAnsi="仿宋_GB2312" w:eastAsia="仿宋_GB2312" w:cs="仿宋_GB2312"/>
        </w:rPr>
      </w:pPr>
      <w:r>
        <w:rPr>
          <w:rFonts w:hint="eastAsia" w:hAnsi="仿宋_GB2312" w:cs="仿宋_GB2312"/>
          <w:bCs w:val="0"/>
          <w:kern w:val="0"/>
        </w:rPr>
        <w:t>（二）</w:t>
      </w:r>
      <w:r>
        <w:rPr>
          <w:rFonts w:hint="eastAsia"/>
        </w:rPr>
        <w:t>坚持“衔接顺畅，规范平衡”</w:t>
      </w:r>
      <w:r>
        <w:rPr>
          <w:rFonts w:hint="eastAsia"/>
          <w:lang w:eastAsia="zh-CN"/>
        </w:rPr>
        <w:t>，</w:t>
      </w:r>
      <w:r>
        <w:rPr>
          <w:rFonts w:hint="eastAsia"/>
        </w:rPr>
        <w:t>进一步落实落好前海一级财政管理体制。</w:t>
      </w:r>
      <w:r>
        <w:rPr>
          <w:rFonts w:hint="eastAsia" w:ascii="仿宋_GB2312" w:hAnsi="仿宋_GB2312" w:eastAsia="仿宋_GB2312" w:cs="仿宋_GB2312"/>
        </w:rPr>
        <w:t>理顺</w:t>
      </w:r>
      <w:r>
        <w:rPr>
          <w:rFonts w:hint="eastAsia" w:ascii="仿宋_GB2312" w:hAnsi="仿宋_GB2312" w:eastAsia="仿宋_GB2312" w:cs="仿宋_GB2312"/>
          <w:lang w:eastAsia="zh-CN"/>
        </w:rPr>
        <w:t>并</w:t>
      </w:r>
      <w:r>
        <w:rPr>
          <w:rFonts w:hint="eastAsia" w:ascii="仿宋_GB2312" w:hAnsi="仿宋_GB2312" w:eastAsia="仿宋_GB2312" w:cs="仿宋_GB2312"/>
        </w:rPr>
        <w:t>优化市本级、南山区、宝安区与前海合作区的事权财权关系，进一步规范预算项目库和支出标准，结合2023年预算执行</w:t>
      </w:r>
      <w:r>
        <w:rPr>
          <w:rFonts w:hint="eastAsia" w:ascii="仿宋_GB2312" w:hAnsi="仿宋_GB2312" w:eastAsia="仿宋_GB2312" w:cs="仿宋_GB2312"/>
          <w:lang w:eastAsia="zh-CN"/>
        </w:rPr>
        <w:t>情况</w:t>
      </w:r>
      <w:r>
        <w:rPr>
          <w:rFonts w:hint="eastAsia" w:ascii="仿宋_GB2312" w:hAnsi="仿宋_GB2312" w:eastAsia="仿宋_GB2312" w:cs="仿宋_GB2312"/>
        </w:rPr>
        <w:t>合理安排预算。加强跨年度预算平衡，做好与2023年度各项工作的衔接，</w:t>
      </w:r>
      <w:r>
        <w:rPr>
          <w:rFonts w:hint="eastAsia" w:ascii="仿宋_GB2312" w:hAnsi="仿宋_GB2312" w:eastAsia="仿宋_GB2312" w:cs="仿宋_GB2312"/>
          <w:lang w:eastAsia="zh-CN"/>
        </w:rPr>
        <w:t>强化</w:t>
      </w:r>
      <w:r>
        <w:rPr>
          <w:rFonts w:hint="eastAsia" w:ascii="仿宋_GB2312" w:hAnsi="仿宋_GB2312" w:eastAsia="仿宋_GB2312" w:cs="仿宋_GB2312"/>
        </w:rPr>
        <w:t>年度预算约束。</w:t>
      </w:r>
    </w:p>
    <w:p>
      <w:pPr>
        <w:pStyle w:val="18"/>
        <w:rPr>
          <w:rFonts w:ascii="仿宋_GB2312" w:hAnsi="仿宋_GB2312" w:eastAsia="仿宋_GB2312" w:cs="仿宋_GB2312"/>
        </w:rPr>
      </w:pPr>
      <w:r>
        <w:rPr>
          <w:rFonts w:hint="eastAsia" w:hAnsi="仿宋_GB2312" w:cs="仿宋_GB2312"/>
          <w:bCs w:val="0"/>
          <w:kern w:val="0"/>
        </w:rPr>
        <w:t>（三）</w:t>
      </w:r>
      <w:r>
        <w:rPr>
          <w:rFonts w:hint="eastAsia"/>
        </w:rPr>
        <w:t>坚持“规划引领、保障有力”</w:t>
      </w:r>
      <w:r>
        <w:rPr>
          <w:rFonts w:hint="eastAsia"/>
          <w:lang w:eastAsia="zh-CN"/>
        </w:rPr>
        <w:t>，</w:t>
      </w:r>
      <w:r>
        <w:rPr>
          <w:rFonts w:hint="eastAsia"/>
        </w:rPr>
        <w:t>支持前海全域均衡发展。</w:t>
      </w:r>
      <w:r>
        <w:rPr>
          <w:rFonts w:hint="eastAsia" w:ascii="仿宋_GB2312" w:hAnsi="仿宋_GB2312" w:eastAsia="仿宋_GB2312" w:cs="仿宋_GB2312"/>
        </w:rPr>
        <w:t>围绕“扩区”和第一批、第二批权责分工清单事项，优化收支结构，通过开展国土收入返还、税收分成、国有资本经营预算等收入统筹，切实保障“扩区”后的政府投资、产业扶持等各项既有政策扩展至前海全域，加快释放</w:t>
      </w:r>
      <w:r>
        <w:rPr>
          <w:rFonts w:hint="eastAsia" w:ascii="仿宋_GB2312" w:hAnsi="仿宋_GB2312" w:eastAsia="仿宋_GB2312" w:cs="仿宋_GB2312"/>
          <w:lang w:eastAsia="zh-CN"/>
        </w:rPr>
        <w:t>“</w:t>
      </w:r>
      <w:r>
        <w:rPr>
          <w:rFonts w:hint="eastAsia" w:ascii="仿宋_GB2312" w:hAnsi="仿宋_GB2312" w:eastAsia="仿宋_GB2312" w:cs="仿宋_GB2312"/>
        </w:rPr>
        <w:t>扩区</w:t>
      </w:r>
      <w:r>
        <w:rPr>
          <w:rFonts w:hint="eastAsia" w:ascii="仿宋_GB2312" w:hAnsi="仿宋_GB2312" w:eastAsia="仿宋_GB2312" w:cs="仿宋_GB2312"/>
          <w:lang w:eastAsia="zh-CN"/>
        </w:rPr>
        <w:t>”</w:t>
      </w:r>
      <w:r>
        <w:rPr>
          <w:rFonts w:hint="eastAsia" w:ascii="仿宋_GB2312" w:hAnsi="仿宋_GB2312" w:eastAsia="仿宋_GB2312" w:cs="仿宋_GB2312"/>
        </w:rPr>
        <w:t>规模效应和乘数效应。</w:t>
      </w:r>
    </w:p>
    <w:p>
      <w:pPr>
        <w:pStyle w:val="18"/>
        <w:rPr>
          <w:rFonts w:hint="eastAsia" w:ascii="仿宋_GB2312" w:hAnsi="仿宋_GB2312" w:eastAsia="仿宋_GB2312" w:cs="仿宋_GB2312"/>
        </w:rPr>
      </w:pPr>
      <w:r>
        <w:rPr>
          <w:rFonts w:hint="eastAsia" w:hAnsi="仿宋_GB2312" w:cs="仿宋_GB2312"/>
          <w:bCs w:val="0"/>
          <w:kern w:val="0"/>
        </w:rPr>
        <w:t>（四）</w:t>
      </w:r>
      <w:r>
        <w:rPr>
          <w:rFonts w:hint="eastAsia"/>
        </w:rPr>
        <w:t>坚持“厉行节约、提质增效”</w:t>
      </w:r>
      <w:r>
        <w:rPr>
          <w:rFonts w:hint="eastAsia"/>
          <w:lang w:eastAsia="zh-CN"/>
        </w:rPr>
        <w:t>，</w:t>
      </w:r>
      <w:r>
        <w:rPr>
          <w:rFonts w:hint="eastAsia"/>
        </w:rPr>
        <w:t>提高资金效益和政策效果。</w:t>
      </w:r>
      <w:r>
        <w:rPr>
          <w:rFonts w:hint="eastAsia" w:ascii="仿宋_GB2312" w:hAnsi="仿宋_GB2312" w:eastAsia="仿宋_GB2312" w:cs="仿宋_GB2312"/>
          <w:color w:val="000000"/>
          <w:kern w:val="2"/>
          <w:shd w:val="clear" w:color="auto" w:fill="FFFFFF"/>
          <w:lang w:bidi="ar-SA"/>
        </w:rPr>
        <w:t>贯彻落实中央经济工作会议精神，</w:t>
      </w:r>
      <w:r>
        <w:rPr>
          <w:rFonts w:hint="eastAsia" w:ascii="仿宋_GB2312" w:hAnsi="仿宋_GB2312" w:eastAsia="仿宋_GB2312" w:cs="仿宋_GB2312"/>
          <w:color w:val="000000"/>
          <w:kern w:val="2"/>
          <w:shd w:val="clear" w:color="auto" w:fill="FFFFFF"/>
          <w:lang w:eastAsia="zh-CN" w:bidi="ar-SA"/>
        </w:rPr>
        <w:t>坚持</w:t>
      </w:r>
      <w:r>
        <w:rPr>
          <w:rFonts w:hint="eastAsia" w:ascii="仿宋_GB2312" w:hAnsi="仿宋_GB2312" w:eastAsia="仿宋_GB2312" w:cs="仿宋_GB2312"/>
          <w:color w:val="000000"/>
          <w:kern w:val="2"/>
          <w:sz w:val="32"/>
          <w:szCs w:val="32"/>
          <w:shd w:val="clear" w:color="auto" w:fill="FFFFFF"/>
          <w:lang w:bidi="ar-SA"/>
        </w:rPr>
        <w:t>积极的财政政策适度加力、提质增效</w:t>
      </w:r>
      <w:r>
        <w:rPr>
          <w:rFonts w:hint="eastAsia" w:ascii="仿宋_GB2312" w:hAnsi="仿宋_GB2312" w:eastAsia="仿宋_GB2312" w:cs="仿宋_GB2312"/>
          <w:color w:val="000000"/>
          <w:kern w:val="2"/>
          <w:shd w:val="clear" w:color="auto" w:fill="FFFFFF"/>
          <w:lang w:eastAsia="zh-CN" w:bidi="ar-SA"/>
        </w:rPr>
        <w:t>。</w:t>
      </w:r>
      <w:r>
        <w:rPr>
          <w:rFonts w:hint="eastAsia" w:ascii="仿宋_GB2312" w:hAnsi="仿宋_GB2312" w:eastAsia="仿宋_GB2312" w:cs="仿宋_GB2312"/>
          <w:color w:val="000000"/>
          <w:kern w:val="2"/>
          <w:sz w:val="32"/>
          <w:szCs w:val="32"/>
          <w:shd w:val="clear" w:color="auto" w:fill="FFFFFF"/>
          <w:lang w:bidi="ar-SA"/>
        </w:rPr>
        <w:t>用好财政政策空间，提高资金效益和政策效果。增强财政可持续性，深入落实习惯过紧日子要</w:t>
      </w:r>
      <w:r>
        <w:rPr>
          <w:rFonts w:hint="eastAsia" w:ascii="仿宋_GB2312" w:hAnsi="仿宋_GB2312" w:eastAsia="仿宋_GB2312" w:cs="仿宋_GB2312"/>
          <w:color w:val="000000"/>
          <w:shd w:val="clear" w:color="auto" w:fill="FFFFFF"/>
        </w:rPr>
        <w:t>求，</w:t>
      </w:r>
      <w:r>
        <w:rPr>
          <w:rFonts w:hint="eastAsia" w:ascii="仿宋_GB2312" w:hAnsi="仿宋_GB2312" w:eastAsia="仿宋_GB2312" w:cs="仿宋_GB2312"/>
          <w:lang w:val="en-US" w:eastAsia="zh-CN"/>
        </w:rPr>
        <w:t>大力优化调整支出结构，</w:t>
      </w:r>
      <w:r>
        <w:rPr>
          <w:rFonts w:hint="eastAsia" w:ascii="仿宋_GB2312" w:hAnsi="仿宋_GB2312" w:eastAsia="仿宋_GB2312" w:cs="仿宋_GB2312"/>
          <w:color w:val="000000"/>
          <w:kern w:val="2"/>
          <w:sz w:val="32"/>
          <w:szCs w:val="32"/>
          <w:shd w:val="clear" w:color="auto" w:fill="FFFFFF"/>
          <w:lang w:bidi="ar-SA"/>
        </w:rPr>
        <w:t>严控一般性支出</w:t>
      </w:r>
      <w:r>
        <w:rPr>
          <w:rFonts w:hint="eastAsia" w:ascii="仿宋_GB2312" w:hAnsi="仿宋_GB2312" w:eastAsia="仿宋_GB2312" w:cs="仿宋_GB2312"/>
          <w:color w:val="000000"/>
          <w:kern w:val="2"/>
          <w:sz w:val="32"/>
          <w:szCs w:val="32"/>
          <w:shd w:val="clear" w:color="auto" w:fill="FFFFFF"/>
          <w:lang w:eastAsia="zh-CN" w:bidi="ar-SA"/>
        </w:rPr>
        <w:t>，</w:t>
      </w:r>
      <w:r>
        <w:rPr>
          <w:rFonts w:hint="eastAsia" w:ascii="仿宋_GB2312" w:hAnsi="仿宋_GB2312" w:eastAsia="仿宋_GB2312" w:cs="仿宋_GB2312"/>
          <w:lang w:val="en-US" w:eastAsia="zh-CN"/>
        </w:rPr>
        <w:t>持续压减行政成本。</w:t>
      </w:r>
      <w:r>
        <w:rPr>
          <w:rFonts w:hint="eastAsia" w:ascii="仿宋_GB2312" w:hAnsi="仿宋_GB2312" w:eastAsia="仿宋_GB2312" w:cs="仿宋_GB2312"/>
          <w:color w:val="000000"/>
          <w:kern w:val="2"/>
          <w:sz w:val="32"/>
          <w:szCs w:val="32"/>
          <w:shd w:val="clear" w:color="auto" w:fill="FFFFFF"/>
          <w:lang w:bidi="ar-SA"/>
        </w:rPr>
        <w:t>严肃财经纪律</w:t>
      </w:r>
      <w:r>
        <w:rPr>
          <w:rFonts w:hint="eastAsia" w:ascii="仿宋_GB2312" w:hAnsi="仿宋_GB2312" w:eastAsia="仿宋_GB2312" w:cs="仿宋_GB2312"/>
          <w:color w:val="000000"/>
          <w:kern w:val="2"/>
          <w:shd w:val="clear" w:color="auto" w:fill="FFFFFF"/>
          <w:lang w:bidi="ar-SA"/>
        </w:rPr>
        <w:t>，</w:t>
      </w:r>
      <w:r>
        <w:rPr>
          <w:rFonts w:hint="eastAsia" w:ascii="仿宋_GB2312" w:hAnsi="仿宋_GB2312" w:eastAsia="仿宋_GB2312" w:cs="仿宋_GB2312"/>
        </w:rPr>
        <w:t>牢固树立花钱必问效的理念，加强重点领域财政资金绩效管理</w:t>
      </w:r>
      <w:r>
        <w:rPr>
          <w:rFonts w:hint="eastAsia" w:ascii="仿宋_GB2312" w:hAnsi="仿宋_GB2312" w:eastAsia="仿宋_GB2312" w:cs="仿宋_GB2312"/>
          <w:lang w:eastAsia="zh-CN"/>
        </w:rPr>
        <w:t>和绩效评价</w:t>
      </w:r>
      <w:r>
        <w:rPr>
          <w:rFonts w:hint="eastAsia" w:ascii="仿宋_GB2312" w:hAnsi="仿宋_GB2312" w:eastAsia="仿宋_GB2312" w:cs="仿宋_GB2312"/>
        </w:rPr>
        <w:t>，提升财政资源配置的科学性和有效性。</w:t>
      </w:r>
    </w:p>
    <w:p>
      <w:pPr>
        <w:pStyle w:val="19"/>
        <w:adjustRightInd w:val="0"/>
        <w:snapToGrid w:val="0"/>
        <w:ind w:firstLine="640" w:firstLineChars="200"/>
        <w:jc w:val="both"/>
        <w:outlineLvl w:val="1"/>
        <w:rPr>
          <w:rFonts w:ascii="黑体" w:hAnsi="黑体" w:eastAsia="黑体" w:cs="仿宋_GB2312"/>
        </w:rPr>
      </w:pPr>
      <w:r>
        <w:rPr>
          <w:rFonts w:hint="eastAsia" w:ascii="黑体" w:hAnsi="黑体" w:eastAsia="黑体" w:cs="仿宋_GB2312"/>
        </w:rPr>
        <w:t>三、</w:t>
      </w:r>
      <w:r>
        <w:rPr>
          <w:rFonts w:ascii="黑体" w:hAnsi="黑体" w:eastAsia="黑体" w:cs="仿宋_GB2312"/>
        </w:rPr>
        <w:t>2024</w:t>
      </w:r>
      <w:r>
        <w:rPr>
          <w:rFonts w:hint="eastAsia" w:ascii="黑体" w:hAnsi="黑体" w:eastAsia="黑体" w:cs="仿宋_GB2312"/>
        </w:rPr>
        <w:t>年财政综合预算收支情况</w:t>
      </w:r>
    </w:p>
    <w:p>
      <w:pPr>
        <w:pStyle w:val="19"/>
        <w:rPr>
          <w:rFonts w:hAnsi="仿宋_GB2312" w:cs="仿宋_GB2312"/>
        </w:rPr>
      </w:pPr>
      <w:r>
        <w:rPr>
          <w:rFonts w:hint="eastAsia" w:ascii="楷体_GB2312" w:hAnsi="仿宋_GB2312" w:eastAsia="楷体_GB2312" w:cs="仿宋_GB2312"/>
          <w:bCs w:val="0"/>
          <w:kern w:val="0"/>
        </w:rPr>
        <w:t>（一）</w:t>
      </w:r>
      <w:r>
        <w:rPr>
          <w:rFonts w:hint="eastAsia" w:ascii="楷体_GB2312" w:hAnsi="楷体_GB2312" w:eastAsia="楷体_GB2312" w:cs="楷体_GB2312"/>
          <w:bCs/>
        </w:rPr>
        <w:t>一般公共预算总收入为</w:t>
      </w:r>
      <w:r>
        <w:rPr>
          <w:rFonts w:ascii="楷体_GB2312" w:hAnsi="楷体_GB2312" w:eastAsia="楷体_GB2312" w:cs="楷体_GB2312"/>
          <w:bCs/>
        </w:rPr>
        <w:t>5</w:t>
      </w:r>
      <w:r>
        <w:rPr>
          <w:rFonts w:hint="eastAsia" w:ascii="楷体_GB2312" w:hAnsi="楷体_GB2312" w:eastAsia="楷体_GB2312" w:cs="楷体_GB2312"/>
          <w:bCs/>
          <w:lang w:val="en-US" w:eastAsia="zh-CN"/>
        </w:rPr>
        <w:t>2</w:t>
      </w:r>
      <w:r>
        <w:rPr>
          <w:rFonts w:ascii="楷体_GB2312" w:hAnsi="楷体_GB2312" w:eastAsia="楷体_GB2312" w:cs="楷体_GB2312"/>
          <w:bCs/>
        </w:rPr>
        <w:t>.49</w:t>
      </w:r>
      <w:r>
        <w:rPr>
          <w:rFonts w:hint="eastAsia" w:ascii="楷体_GB2312" w:hAnsi="楷体_GB2312" w:eastAsia="楷体_GB2312" w:cs="楷体_GB2312"/>
          <w:bCs/>
        </w:rPr>
        <w:t>亿元。</w:t>
      </w:r>
      <w:r>
        <w:rPr>
          <w:rFonts w:hint="eastAsia" w:hAnsi="仿宋_GB2312" w:cs="仿宋_GB2312"/>
        </w:rPr>
        <w:t>其中：一般公共预算收入</w:t>
      </w:r>
      <w:r>
        <w:rPr>
          <w:rFonts w:hAnsi="仿宋_GB2312" w:cs="仿宋_GB2312"/>
        </w:rPr>
        <w:t>39.48</w:t>
      </w:r>
      <w:r>
        <w:rPr>
          <w:rFonts w:hint="eastAsia" w:hAnsi="仿宋_GB2312" w:cs="仿宋_GB2312"/>
        </w:rPr>
        <w:t>亿元、从政府性基金预算调入</w:t>
      </w:r>
      <w:r>
        <w:rPr>
          <w:rFonts w:hint="eastAsia" w:hAnsi="仿宋_GB2312" w:cs="仿宋_GB2312"/>
          <w:lang w:val="en-US" w:eastAsia="zh-CN"/>
        </w:rPr>
        <w:t>8</w:t>
      </w:r>
      <w:r>
        <w:rPr>
          <w:rFonts w:hAnsi="仿宋_GB2312" w:cs="仿宋_GB2312"/>
        </w:rPr>
        <w:t>.45</w:t>
      </w:r>
      <w:r>
        <w:rPr>
          <w:rFonts w:hint="eastAsia" w:hAnsi="仿宋_GB2312" w:cs="仿宋_GB2312"/>
        </w:rPr>
        <w:t>亿元、从国有资本经营预算调入</w:t>
      </w:r>
      <w:r>
        <w:rPr>
          <w:rFonts w:hAnsi="仿宋_GB2312" w:cs="仿宋_GB2312"/>
        </w:rPr>
        <w:t>0.</w:t>
      </w:r>
      <w:r>
        <w:rPr>
          <w:rFonts w:hint="eastAsia" w:hAnsi="仿宋_GB2312" w:cs="仿宋_GB2312"/>
        </w:rPr>
        <w:t>23亿元、一般性转移支付收入4</w:t>
      </w:r>
      <w:r>
        <w:rPr>
          <w:rFonts w:hAnsi="仿宋_GB2312" w:cs="仿宋_GB2312"/>
        </w:rPr>
        <w:t>.33</w:t>
      </w:r>
      <w:r>
        <w:rPr>
          <w:rFonts w:hint="eastAsia" w:hAnsi="仿宋_GB2312" w:cs="仿宋_GB2312"/>
        </w:rPr>
        <w:t>亿元。按照</w:t>
      </w:r>
      <w:r>
        <w:rPr>
          <w:rFonts w:hint="eastAsia" w:hAnsi="仿宋_GB2312" w:cs="仿宋_GB2312"/>
          <w:lang w:val="en-US" w:eastAsia="zh-CN"/>
        </w:rPr>
        <w:t>收支平衡</w:t>
      </w:r>
      <w:r>
        <w:rPr>
          <w:rFonts w:hint="eastAsia" w:hAnsi="仿宋_GB2312" w:cs="仿宋_GB2312"/>
        </w:rPr>
        <w:t>原则，安排一般公共预算总支出</w:t>
      </w:r>
      <w:r>
        <w:rPr>
          <w:rFonts w:hAnsi="仿宋_GB2312" w:cs="仿宋_GB2312"/>
        </w:rPr>
        <w:t>5</w:t>
      </w:r>
      <w:r>
        <w:rPr>
          <w:rFonts w:hint="eastAsia" w:hAnsi="仿宋_GB2312" w:cs="仿宋_GB2312"/>
          <w:lang w:val="en-US" w:eastAsia="zh-CN"/>
        </w:rPr>
        <w:t>2</w:t>
      </w:r>
      <w:r>
        <w:rPr>
          <w:rFonts w:hAnsi="仿宋_GB2312" w:cs="仿宋_GB2312"/>
        </w:rPr>
        <w:t>.49</w:t>
      </w:r>
      <w:r>
        <w:rPr>
          <w:rFonts w:hint="eastAsia" w:hAnsi="仿宋_GB2312" w:cs="仿宋_GB2312"/>
        </w:rPr>
        <w:t>亿元。</w:t>
      </w:r>
    </w:p>
    <w:p>
      <w:pPr>
        <w:pStyle w:val="19"/>
        <w:rPr>
          <w:rFonts w:ascii="仿宋" w:eastAsia="仿宋" w:cs="仿宋"/>
        </w:rPr>
      </w:pPr>
      <w:r>
        <w:rPr>
          <w:rFonts w:hint="eastAsia" w:ascii="楷体_GB2312" w:hAnsi="仿宋_GB2312" w:eastAsia="楷体_GB2312" w:cs="仿宋_GB2312"/>
          <w:bCs w:val="0"/>
          <w:kern w:val="0"/>
        </w:rPr>
        <w:t>（二）</w:t>
      </w:r>
      <w:r>
        <w:rPr>
          <w:rFonts w:hint="eastAsia" w:ascii="楷体_GB2312" w:hAnsi="楷体_GB2312" w:eastAsia="楷体_GB2312" w:cs="楷体_GB2312"/>
          <w:bCs/>
        </w:rPr>
        <w:t>政府性基金总收入为</w:t>
      </w:r>
      <w:r>
        <w:rPr>
          <w:rFonts w:hint="eastAsia" w:ascii="楷体_GB2312" w:hAnsi="楷体_GB2312" w:eastAsia="楷体_GB2312" w:cs="楷体_GB2312"/>
          <w:bCs/>
          <w:lang w:val="en-US" w:eastAsia="zh-CN"/>
        </w:rPr>
        <w:t>71.69</w:t>
      </w:r>
      <w:r>
        <w:rPr>
          <w:rFonts w:hint="eastAsia" w:ascii="楷体_GB2312" w:hAnsi="楷体_GB2312" w:eastAsia="楷体_GB2312" w:cs="楷体_GB2312"/>
          <w:bCs/>
        </w:rPr>
        <w:t>亿元。</w:t>
      </w:r>
      <w:r>
        <w:rPr>
          <w:rFonts w:hint="eastAsia" w:hAnsi="仿宋_GB2312" w:cs="仿宋_GB2312"/>
        </w:rPr>
        <w:t>其中</w:t>
      </w:r>
      <w:r>
        <w:rPr>
          <w:rFonts w:hint="eastAsia" w:hAnsi="仿宋_GB2312" w:cs="仿宋_GB2312"/>
          <w:lang w:eastAsia="zh-CN"/>
        </w:rPr>
        <w:t>：</w:t>
      </w:r>
      <w:r>
        <w:rPr>
          <w:rFonts w:hint="eastAsia" w:hAnsi="仿宋_GB2312" w:cs="仿宋_GB2312"/>
        </w:rPr>
        <w:t>政府性基金转移收入</w:t>
      </w:r>
      <w:r>
        <w:rPr>
          <w:rFonts w:hAnsi="仿宋_GB2312" w:cs="仿宋_GB2312"/>
        </w:rPr>
        <w:t>30.00</w:t>
      </w:r>
      <w:r>
        <w:rPr>
          <w:rFonts w:hint="eastAsia" w:hAnsi="仿宋_GB2312" w:cs="仿宋_GB2312"/>
        </w:rPr>
        <w:t>亿元</w:t>
      </w:r>
      <w:r>
        <w:rPr>
          <w:rFonts w:hint="eastAsia" w:hAnsi="仿宋_GB2312" w:cs="仿宋_GB2312"/>
          <w:lang w:eastAsia="zh-CN"/>
        </w:rPr>
        <w:t>、上年结余收入</w:t>
      </w:r>
      <w:r>
        <w:rPr>
          <w:rFonts w:hint="eastAsia" w:hAnsi="仿宋_GB2312" w:cs="仿宋_GB2312"/>
          <w:lang w:val="en-US" w:eastAsia="zh-CN"/>
        </w:rPr>
        <w:t>37.29</w:t>
      </w:r>
      <w:r>
        <w:rPr>
          <w:rFonts w:hint="eastAsia" w:hAnsi="仿宋_GB2312" w:cs="仿宋_GB2312"/>
        </w:rPr>
        <w:t>亿元</w:t>
      </w:r>
      <w:r>
        <w:rPr>
          <w:rFonts w:hint="eastAsia" w:hAnsi="仿宋_GB2312" w:cs="仿宋_GB2312"/>
          <w:lang w:eastAsia="zh-CN"/>
        </w:rPr>
        <w:t>、地方政府专项债转贷收入</w:t>
      </w:r>
      <w:r>
        <w:rPr>
          <w:rFonts w:hint="eastAsia" w:hAnsi="仿宋_GB2312" w:cs="仿宋_GB2312"/>
          <w:lang w:val="en-US" w:eastAsia="zh-CN"/>
        </w:rPr>
        <w:t>2.65亿元、</w:t>
      </w:r>
      <w:r>
        <w:rPr>
          <w:rFonts w:hint="eastAsia" w:hAnsi="仿宋_GB2312" w:cs="仿宋_GB2312"/>
        </w:rPr>
        <w:t>专项债券对应项目专项收入</w:t>
      </w:r>
      <w:r>
        <w:rPr>
          <w:rFonts w:hint="eastAsia" w:hAnsi="仿宋_GB2312" w:cs="仿宋_GB2312"/>
          <w:lang w:val="en-US" w:eastAsia="zh-CN"/>
        </w:rPr>
        <w:t>1.75</w:t>
      </w:r>
      <w:r>
        <w:rPr>
          <w:rFonts w:hint="eastAsia" w:hAnsi="仿宋_GB2312" w:cs="仿宋_GB2312"/>
        </w:rPr>
        <w:t>亿元。按照</w:t>
      </w:r>
      <w:r>
        <w:rPr>
          <w:rFonts w:hint="eastAsia" w:hAnsi="仿宋_GB2312" w:cs="仿宋_GB2312"/>
          <w:lang w:val="en-US" w:eastAsia="zh-CN"/>
        </w:rPr>
        <w:t>收支平衡</w:t>
      </w:r>
      <w:r>
        <w:rPr>
          <w:rFonts w:hint="eastAsia" w:hAnsi="仿宋_GB2312" w:cs="仿宋_GB2312"/>
        </w:rPr>
        <w:t>原则，安排政府性基金总支出</w:t>
      </w:r>
      <w:r>
        <w:rPr>
          <w:rFonts w:hint="eastAsia" w:hAnsi="仿宋_GB2312" w:cs="仿宋_GB2312"/>
          <w:bCs w:val="0"/>
          <w:lang w:val="en-US" w:eastAsia="zh-CN"/>
        </w:rPr>
        <w:t>71.69</w:t>
      </w:r>
      <w:r>
        <w:rPr>
          <w:rFonts w:hint="eastAsia" w:hAnsi="仿宋_GB2312" w:cs="仿宋_GB2312"/>
        </w:rPr>
        <w:t>亿元，</w:t>
      </w:r>
      <w:r>
        <w:rPr>
          <w:rFonts w:hint="eastAsia" w:hAnsi="仿宋_GB2312" w:cs="仿宋_GB2312"/>
          <w:lang w:eastAsia="zh-CN"/>
        </w:rPr>
        <w:t>含</w:t>
      </w:r>
      <w:r>
        <w:rPr>
          <w:rFonts w:hint="eastAsia" w:hAnsi="仿宋_GB2312" w:cs="仿宋_GB2312"/>
        </w:rPr>
        <w:t>调出至一般公共预算</w:t>
      </w:r>
      <w:r>
        <w:rPr>
          <w:rFonts w:hint="eastAsia" w:hAnsi="仿宋_GB2312" w:cs="仿宋_GB2312"/>
          <w:lang w:val="en-US" w:eastAsia="zh-CN"/>
        </w:rPr>
        <w:t>8</w:t>
      </w:r>
      <w:r>
        <w:rPr>
          <w:rFonts w:hAnsi="仿宋_GB2312" w:cs="仿宋_GB2312"/>
        </w:rPr>
        <w:t>.45</w:t>
      </w:r>
      <w:r>
        <w:rPr>
          <w:rFonts w:hint="eastAsia" w:hAnsi="仿宋_GB2312" w:cs="仿宋_GB2312"/>
        </w:rPr>
        <w:t>亿元</w:t>
      </w:r>
      <w:r>
        <w:rPr>
          <w:rFonts w:hint="eastAsia" w:hAnsi="仿宋_GB2312" w:cs="仿宋_GB2312"/>
          <w:lang w:eastAsia="zh-CN"/>
        </w:rPr>
        <w:t>、</w:t>
      </w:r>
      <w:r>
        <w:rPr>
          <w:rFonts w:hint="eastAsia" w:hAnsi="仿宋_GB2312" w:cs="仿宋_GB2312"/>
        </w:rPr>
        <w:t>年终结余12.57亿元。</w:t>
      </w:r>
    </w:p>
    <w:p>
      <w:pPr>
        <w:pStyle w:val="19"/>
        <w:rPr>
          <w:rFonts w:ascii="仿宋" w:eastAsia="仿宋" w:cs="仿宋"/>
        </w:rPr>
      </w:pPr>
      <w:r>
        <w:rPr>
          <w:rFonts w:hint="eastAsia" w:ascii="楷体_GB2312" w:hAnsi="仿宋_GB2312" w:eastAsia="楷体_GB2312" w:cs="仿宋_GB2312"/>
          <w:bCs w:val="0"/>
          <w:kern w:val="0"/>
        </w:rPr>
        <w:t>（三）</w:t>
      </w:r>
      <w:r>
        <w:rPr>
          <w:rFonts w:hint="eastAsia" w:ascii="楷体_GB2312" w:hAnsi="楷体_GB2312" w:eastAsia="楷体_GB2312" w:cs="楷体_GB2312"/>
          <w:bCs/>
        </w:rPr>
        <w:t>国有资本经营预算总收入为</w:t>
      </w:r>
      <w:r>
        <w:rPr>
          <w:rFonts w:ascii="楷体_GB2312" w:hAnsi="楷体_GB2312" w:eastAsia="楷体_GB2312" w:cs="楷体_GB2312"/>
          <w:bCs/>
        </w:rPr>
        <w:t>0.</w:t>
      </w:r>
      <w:r>
        <w:rPr>
          <w:rFonts w:hint="eastAsia" w:ascii="楷体_GB2312" w:hAnsi="楷体_GB2312" w:eastAsia="楷体_GB2312" w:cs="楷体_GB2312"/>
          <w:bCs/>
        </w:rPr>
        <w:t>55亿元。</w:t>
      </w:r>
      <w:r>
        <w:rPr>
          <w:rFonts w:hint="eastAsia" w:hAnsi="仿宋_GB2312" w:cs="仿宋_GB2312"/>
        </w:rPr>
        <w:t>其中</w:t>
      </w:r>
      <w:bookmarkStart w:id="0" w:name="_Hlk152927840"/>
      <w:r>
        <w:rPr>
          <w:rFonts w:hint="eastAsia" w:hAnsi="仿宋_GB2312" w:cs="仿宋_GB2312"/>
        </w:rPr>
        <w:t>：</w:t>
      </w:r>
      <w:r>
        <w:rPr>
          <w:rFonts w:hint="eastAsia" w:hAnsi="仿宋_GB2312" w:cs="仿宋_GB2312"/>
          <w:lang w:val="en-US" w:eastAsia="zh-CN"/>
        </w:rPr>
        <w:t>局属企业</w:t>
      </w:r>
      <w:r>
        <w:rPr>
          <w:rFonts w:hint="eastAsia" w:hAnsi="仿宋_GB2312" w:cs="仿宋_GB2312"/>
        </w:rPr>
        <w:t>上缴利润收入0</w:t>
      </w:r>
      <w:r>
        <w:rPr>
          <w:rFonts w:hAnsi="仿宋_GB2312" w:cs="仿宋_GB2312"/>
        </w:rPr>
        <w:t>.45</w:t>
      </w:r>
      <w:r>
        <w:rPr>
          <w:rFonts w:hint="eastAsia" w:hAnsi="仿宋_GB2312" w:cs="仿宋_GB2312"/>
        </w:rPr>
        <w:t>亿元</w:t>
      </w:r>
      <w:r>
        <w:rPr>
          <w:rFonts w:hint="eastAsia" w:hAnsi="仿宋_GB2312" w:cs="仿宋_GB2312"/>
          <w:lang w:eastAsia="zh-CN"/>
        </w:rPr>
        <w:t>、</w:t>
      </w:r>
      <w:r>
        <w:rPr>
          <w:rFonts w:hint="eastAsia"/>
        </w:rPr>
        <w:t>上年</w:t>
      </w:r>
      <w:r>
        <w:rPr>
          <w:rFonts w:hint="eastAsia"/>
          <w:lang w:eastAsia="zh-CN"/>
        </w:rPr>
        <w:t>结转</w:t>
      </w:r>
      <w:r>
        <w:rPr>
          <w:rFonts w:hint="eastAsia"/>
        </w:rPr>
        <w:t>收入0.09亿元</w:t>
      </w:r>
      <w:r>
        <w:rPr>
          <w:rFonts w:hint="eastAsia" w:hAnsi="仿宋_GB2312" w:cs="仿宋_GB2312"/>
        </w:rPr>
        <w:t>。</w:t>
      </w:r>
      <w:bookmarkEnd w:id="0"/>
      <w:r>
        <w:rPr>
          <w:rFonts w:hint="eastAsia" w:hAnsi="仿宋_GB2312" w:cs="仿宋_GB2312"/>
        </w:rPr>
        <w:t>按照收支平衡原则，安排国有资本经营预算总支出</w:t>
      </w:r>
      <w:r>
        <w:rPr>
          <w:rFonts w:hAnsi="仿宋_GB2312" w:cs="仿宋_GB2312"/>
        </w:rPr>
        <w:t>0.</w:t>
      </w:r>
      <w:r>
        <w:rPr>
          <w:rFonts w:hint="eastAsia" w:hAnsi="仿宋_GB2312" w:cs="仿宋_GB2312"/>
        </w:rPr>
        <w:t>55亿元，</w:t>
      </w:r>
      <w:r>
        <w:rPr>
          <w:rFonts w:hint="eastAsia" w:hAnsi="仿宋_GB2312" w:cs="仿宋_GB2312"/>
          <w:lang w:val="en-US" w:eastAsia="zh-CN"/>
        </w:rPr>
        <w:t>含</w:t>
      </w:r>
      <w:r>
        <w:rPr>
          <w:rFonts w:hint="eastAsia" w:hAnsi="仿宋_GB2312" w:cs="仿宋_GB2312"/>
        </w:rPr>
        <w:t>调出至一般公共预算</w:t>
      </w:r>
      <w:r>
        <w:rPr>
          <w:rFonts w:hAnsi="仿宋_GB2312" w:cs="仿宋_GB2312"/>
        </w:rPr>
        <w:t>0.</w:t>
      </w:r>
      <w:r>
        <w:rPr>
          <w:rFonts w:hint="eastAsia" w:hAnsi="仿宋_GB2312" w:cs="仿宋_GB2312"/>
        </w:rPr>
        <w:t>23亿元。</w:t>
      </w:r>
    </w:p>
    <w:p>
      <w:pPr>
        <w:numPr>
          <w:ilvl w:val="255"/>
          <w:numId w:val="0"/>
        </w:numPr>
        <w:spacing w:line="560" w:lineRule="exact"/>
        <w:jc w:val="left"/>
        <w:outlineLvl w:val="0"/>
        <w:rPr>
          <w:rFonts w:ascii="仿宋" w:eastAsia="仿宋" w:cs="仿宋"/>
          <w:sz w:val="32"/>
          <w:szCs w:val="32"/>
        </w:rPr>
      </w:pPr>
    </w:p>
    <w:p>
      <w:pPr>
        <w:numPr>
          <w:ilvl w:val="0"/>
          <w:numId w:val="1"/>
        </w:numPr>
        <w:spacing w:line="560" w:lineRule="exact"/>
        <w:jc w:val="center"/>
        <w:outlineLvl w:val="0"/>
        <w:rPr>
          <w:rFonts w:ascii="黑体" w:hAnsi="黑体" w:eastAsia="黑体" w:cs="仿宋_GB2312"/>
          <w:sz w:val="32"/>
          <w:szCs w:val="32"/>
        </w:rPr>
      </w:pPr>
      <w:r>
        <w:rPr>
          <w:rFonts w:hint="eastAsia" w:ascii="黑体" w:hAnsi="黑体" w:eastAsia="黑体" w:cs="仿宋_GB2312"/>
          <w:sz w:val="32"/>
          <w:szCs w:val="32"/>
        </w:rPr>
        <w:t xml:space="preserve"> 前海合作区</w:t>
      </w:r>
      <w:r>
        <w:rPr>
          <w:rFonts w:ascii="黑体" w:hAnsi="黑体" w:eastAsia="黑体" w:cs="仿宋_GB2312"/>
          <w:sz w:val="32"/>
          <w:szCs w:val="32"/>
        </w:rPr>
        <w:t>2024</w:t>
      </w:r>
      <w:r>
        <w:rPr>
          <w:rFonts w:hint="eastAsia" w:ascii="黑体" w:hAnsi="黑体" w:eastAsia="黑体" w:cs="仿宋_GB2312"/>
          <w:sz w:val="32"/>
          <w:szCs w:val="32"/>
        </w:rPr>
        <w:t>年一般公共预算（草案）</w:t>
      </w:r>
    </w:p>
    <w:p>
      <w:pPr>
        <w:numPr>
          <w:ilvl w:val="255"/>
          <w:numId w:val="0"/>
        </w:numPr>
        <w:spacing w:line="560" w:lineRule="exact"/>
        <w:outlineLvl w:val="0"/>
        <w:rPr>
          <w:rFonts w:ascii="黑体" w:hAnsi="黑体" w:eastAsia="黑体" w:cs="仿宋_GB2312"/>
          <w:sz w:val="32"/>
          <w:szCs w:val="32"/>
        </w:rPr>
      </w:pPr>
    </w:p>
    <w:p>
      <w:pPr>
        <w:numPr>
          <w:ilvl w:val="0"/>
          <w:numId w:val="2"/>
        </w:numPr>
        <w:shd w:val="clear" w:color="auto" w:fill="FFFFFF"/>
        <w:adjustRightInd w:val="0"/>
        <w:snapToGrid w:val="0"/>
        <w:spacing w:line="560" w:lineRule="exact"/>
        <w:ind w:left="0" w:firstLine="640" w:firstLineChars="200"/>
        <w:outlineLvl w:val="1"/>
        <w:rPr>
          <w:rFonts w:ascii="黑体" w:hAnsi="黑体" w:eastAsia="黑体" w:cs="黑体"/>
          <w:bCs/>
          <w:kern w:val="0"/>
          <w:sz w:val="32"/>
          <w:szCs w:val="32"/>
        </w:rPr>
      </w:pPr>
      <w:r>
        <w:rPr>
          <w:rFonts w:hint="eastAsia" w:ascii="黑体" w:hAnsi="黑体" w:eastAsia="黑体" w:cs="黑体"/>
          <w:bCs/>
          <w:kern w:val="0"/>
          <w:sz w:val="32"/>
          <w:szCs w:val="32"/>
        </w:rPr>
        <w:t>202</w:t>
      </w:r>
      <w:r>
        <w:rPr>
          <w:rFonts w:ascii="黑体" w:hAnsi="黑体" w:eastAsia="黑体" w:cs="黑体"/>
          <w:bCs/>
          <w:kern w:val="0"/>
          <w:sz w:val="32"/>
          <w:szCs w:val="32"/>
        </w:rPr>
        <w:t>4</w:t>
      </w:r>
      <w:r>
        <w:rPr>
          <w:rFonts w:hint="eastAsia" w:ascii="黑体" w:hAnsi="黑体" w:eastAsia="黑体" w:cs="黑体"/>
          <w:bCs/>
          <w:kern w:val="0"/>
          <w:sz w:val="32"/>
          <w:szCs w:val="32"/>
        </w:rPr>
        <w:t>年一般公共预算收入预算</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一般公共预算总收入预计为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rPr>
        <w:t>.49</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highlight w:val="none"/>
        </w:rPr>
        <w:t>比</w:t>
      </w:r>
      <w:r>
        <w:rPr>
          <w:rFonts w:ascii="仿宋_GB2312" w:hAnsi="仿宋_GB2312" w:eastAsia="仿宋_GB2312" w:cs="仿宋_GB2312"/>
          <w:kern w:val="0"/>
          <w:sz w:val="32"/>
          <w:szCs w:val="32"/>
          <w:highlight w:val="none"/>
        </w:rPr>
        <w:t>2023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预计执行数</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13.22</w:t>
      </w:r>
      <w:r>
        <w:rPr>
          <w:rFonts w:hint="eastAsia" w:ascii="仿宋_GB2312" w:hAnsi="仿宋_GB2312" w:eastAsia="仿宋_GB2312" w:cs="仿宋_GB2312"/>
          <w:kern w:val="0"/>
          <w:sz w:val="32"/>
          <w:szCs w:val="32"/>
          <w:highlight w:val="none"/>
        </w:rPr>
        <w:t>亿元。</w:t>
      </w:r>
      <w:r>
        <w:rPr>
          <w:rFonts w:hint="eastAsia" w:ascii="仿宋_GB2312" w:hAnsi="仿宋_GB2312" w:eastAsia="仿宋_GB2312" w:cs="仿宋_GB2312"/>
          <w:kern w:val="0"/>
          <w:sz w:val="32"/>
          <w:szCs w:val="32"/>
        </w:rPr>
        <w:t>其中：一般公共预算收入3</w:t>
      </w:r>
      <w:r>
        <w:rPr>
          <w:rFonts w:ascii="仿宋_GB2312" w:hAnsi="仿宋_GB2312" w:eastAsia="仿宋_GB2312" w:cs="仿宋_GB2312"/>
          <w:kern w:val="0"/>
          <w:sz w:val="32"/>
          <w:szCs w:val="32"/>
        </w:rPr>
        <w:t>9.48</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调入资金</w:t>
      </w:r>
      <w:r>
        <w:rPr>
          <w:rFonts w:hint="eastAsia" w:ascii="仿宋_GB2312" w:hAnsi="仿宋_GB2312" w:eastAsia="仿宋_GB2312" w:cs="仿宋_GB2312"/>
          <w:kern w:val="0"/>
          <w:sz w:val="32"/>
          <w:szCs w:val="32"/>
          <w:lang w:eastAsia="zh-CN"/>
        </w:rPr>
        <w:t>8</w:t>
      </w:r>
      <w:r>
        <w:rPr>
          <w:rFonts w:hint="eastAsia" w:ascii="仿宋_GB2312" w:hAnsi="仿宋_GB2312" w:eastAsia="仿宋_GB2312" w:cs="仿宋_GB2312"/>
          <w:kern w:val="0"/>
          <w:sz w:val="32"/>
          <w:szCs w:val="32"/>
        </w:rPr>
        <w:t>.68亿元</w:t>
      </w:r>
      <w:r>
        <w:rPr>
          <w:rFonts w:hint="eastAsia" w:ascii="仿宋_GB2312" w:hAnsi="仿宋_GB2312" w:eastAsia="仿宋_GB2312" w:cs="仿宋_GB2312"/>
          <w:kern w:val="0"/>
          <w:sz w:val="32"/>
          <w:szCs w:val="32"/>
          <w:lang w:eastAsia="zh-CN"/>
        </w:rPr>
        <w:t>、一般性转移支付收入4.33亿元</w:t>
      </w:r>
      <w:r>
        <w:rPr>
          <w:rFonts w:hint="eastAsia" w:ascii="仿宋_GB2312" w:hAnsi="仿宋_GB2312" w:eastAsia="仿宋_GB2312" w:cs="仿宋_GB2312"/>
          <w:kern w:val="0"/>
          <w:sz w:val="32"/>
          <w:szCs w:val="32"/>
        </w:rPr>
        <w:t>。各项收入预计如下：</w:t>
      </w:r>
    </w:p>
    <w:p>
      <w:pPr>
        <w:shd w:val="clear" w:color="auto" w:fill="FFFFFF"/>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仿宋_GB2312" w:eastAsia="楷体_GB2312" w:cs="仿宋_GB2312"/>
          <w:kern w:val="0"/>
          <w:sz w:val="32"/>
          <w:szCs w:val="32"/>
        </w:rPr>
        <w:t>（一）</w:t>
      </w:r>
      <w:r>
        <w:rPr>
          <w:rFonts w:hint="eastAsia" w:ascii="楷体_GB2312" w:hAnsi="楷体_GB2312" w:eastAsia="楷体_GB2312" w:cs="楷体_GB2312"/>
          <w:kern w:val="0"/>
          <w:sz w:val="32"/>
          <w:szCs w:val="32"/>
        </w:rPr>
        <w:t>税收收入</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2024年</w:t>
      </w:r>
      <w:r>
        <w:rPr>
          <w:rFonts w:hint="eastAsia" w:ascii="仿宋_GB2312" w:hAnsi="仿宋_GB2312" w:eastAsia="仿宋_GB2312" w:cs="仿宋_GB2312"/>
          <w:bCs/>
          <w:kern w:val="0"/>
          <w:sz w:val="32"/>
          <w:szCs w:val="32"/>
        </w:rPr>
        <w:t>税收收入预计</w:t>
      </w:r>
      <w:r>
        <w:rPr>
          <w:rFonts w:hint="eastAsia" w:ascii="仿宋_GB2312" w:hAnsi="仿宋_GB2312" w:eastAsia="仿宋_GB2312" w:cs="仿宋_GB2312"/>
          <w:bCs/>
          <w:kern w:val="0"/>
          <w:sz w:val="32"/>
          <w:szCs w:val="32"/>
          <w:lang w:val="en-US" w:eastAsia="zh-CN"/>
        </w:rPr>
        <w:t>为</w:t>
      </w:r>
      <w:r>
        <w:rPr>
          <w:rFonts w:ascii="仿宋_GB2312" w:hAnsi="仿宋_GB2312" w:eastAsia="仿宋_GB2312" w:cs="仿宋_GB2312"/>
          <w:bCs/>
          <w:kern w:val="0"/>
          <w:sz w:val="32"/>
          <w:szCs w:val="32"/>
        </w:rPr>
        <w:t>37.68亿元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比2023年预计</w:t>
      </w:r>
      <w:r>
        <w:rPr>
          <w:rFonts w:hint="eastAsia" w:ascii="仿宋_GB2312" w:hAnsi="仿宋_GB2312" w:eastAsia="仿宋_GB2312" w:cs="仿宋_GB2312"/>
          <w:bCs/>
          <w:kern w:val="0"/>
          <w:sz w:val="32"/>
          <w:szCs w:val="32"/>
          <w:lang w:eastAsia="zh-CN"/>
        </w:rPr>
        <w:t>执行数</w:t>
      </w:r>
      <w:r>
        <w:rPr>
          <w:rFonts w:hint="eastAsia" w:ascii="仿宋_GB2312" w:hAnsi="仿宋_GB2312" w:eastAsia="仿宋_GB2312" w:cs="仿宋_GB2312"/>
          <w:bCs/>
          <w:kern w:val="0"/>
          <w:sz w:val="32"/>
          <w:szCs w:val="32"/>
        </w:rPr>
        <w:t>减少</w:t>
      </w:r>
      <w:r>
        <w:rPr>
          <w:rFonts w:hint="eastAsia" w:ascii="仿宋_GB2312" w:hAnsi="仿宋_GB2312" w:eastAsia="仿宋_GB2312" w:cs="仿宋_GB2312"/>
          <w:bCs/>
          <w:kern w:val="0"/>
          <w:sz w:val="32"/>
          <w:szCs w:val="32"/>
          <w:lang w:val="en-US" w:eastAsia="zh-CN"/>
        </w:rPr>
        <w:t>1.73</w:t>
      </w:r>
      <w:r>
        <w:rPr>
          <w:rFonts w:hint="eastAsia" w:ascii="仿宋_GB2312" w:hAnsi="仿宋_GB2312" w:eastAsia="仿宋_GB2312" w:cs="仿宋_GB2312"/>
          <w:bCs/>
          <w:kern w:val="0"/>
          <w:sz w:val="32"/>
          <w:szCs w:val="32"/>
        </w:rPr>
        <w:t>亿元，下降</w:t>
      </w:r>
      <w:r>
        <w:rPr>
          <w:rFonts w:hint="eastAsia" w:ascii="仿宋_GB2312" w:hAnsi="仿宋_GB2312" w:eastAsia="仿宋_GB2312" w:cs="仿宋_GB2312"/>
          <w:bCs/>
          <w:kern w:val="0"/>
          <w:sz w:val="32"/>
          <w:szCs w:val="32"/>
          <w:lang w:val="en-US" w:eastAsia="zh-CN"/>
        </w:rPr>
        <w:t>4.4</w:t>
      </w:r>
      <w:r>
        <w:rPr>
          <w:rFonts w:hint="eastAsia" w:ascii="仿宋_GB2312" w:hAnsi="仿宋_GB2312" w:eastAsia="仿宋_GB2312" w:cs="仿宋_GB2312"/>
          <w:bCs/>
          <w:kern w:val="0"/>
          <w:sz w:val="32"/>
          <w:szCs w:val="32"/>
        </w:rPr>
        <w:t>%。具体如下：</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1.增值税预计为1</w:t>
      </w:r>
      <w:r>
        <w:rPr>
          <w:rFonts w:ascii="仿宋_GB2312" w:hAnsi="仿宋_GB2312" w:eastAsia="仿宋_GB2312" w:cs="仿宋_GB2312"/>
          <w:bCs/>
          <w:kern w:val="0"/>
          <w:sz w:val="32"/>
          <w:szCs w:val="32"/>
        </w:rPr>
        <w:t>4.33</w:t>
      </w:r>
      <w:r>
        <w:rPr>
          <w:rFonts w:hint="eastAsia" w:ascii="仿宋_GB2312" w:hAnsi="仿宋_GB2312" w:eastAsia="仿宋_GB2312" w:cs="仿宋_GB2312"/>
          <w:bCs/>
          <w:kern w:val="0"/>
          <w:sz w:val="32"/>
          <w:szCs w:val="32"/>
        </w:rPr>
        <w:t>亿元，</w:t>
      </w:r>
      <w:bookmarkStart w:id="1" w:name="_Hlk154514684"/>
      <w:r>
        <w:rPr>
          <w:rFonts w:hint="eastAsia" w:ascii="仿宋_GB2312" w:hAnsi="仿宋_GB2312" w:eastAsia="仿宋_GB2312" w:cs="仿宋_GB2312"/>
          <w:bCs/>
          <w:kern w:val="0"/>
          <w:sz w:val="32"/>
          <w:szCs w:val="32"/>
          <w:lang w:val="en-US" w:eastAsia="zh-CN"/>
        </w:rPr>
        <w:t>与2023年预计执行数基本持平</w:t>
      </w:r>
      <w:r>
        <w:rPr>
          <w:rFonts w:hint="eastAsia" w:ascii="仿宋_GB2312" w:hAnsi="仿宋_GB2312" w:eastAsia="仿宋_GB2312" w:cs="仿宋_GB2312"/>
          <w:bCs/>
          <w:kern w:val="0"/>
          <w:sz w:val="32"/>
          <w:szCs w:val="32"/>
          <w:lang w:eastAsia="zh-CN"/>
        </w:rPr>
        <w:t>。</w:t>
      </w:r>
      <w:bookmarkEnd w:id="1"/>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2.企业所得税</w:t>
      </w:r>
      <w:r>
        <w:rPr>
          <w:rFonts w:hint="eastAsia" w:ascii="仿宋_GB2312" w:hAnsi="仿宋_GB2312" w:eastAsia="仿宋_GB2312" w:cs="仿宋_GB2312"/>
          <w:bCs/>
          <w:kern w:val="0"/>
          <w:sz w:val="32"/>
          <w:szCs w:val="32"/>
          <w:lang w:val="en-US" w:eastAsia="zh-CN"/>
        </w:rPr>
        <w:t>预计</w:t>
      </w:r>
      <w:r>
        <w:rPr>
          <w:rFonts w:hint="eastAsia" w:ascii="仿宋_GB2312" w:hAnsi="仿宋_GB2312" w:eastAsia="仿宋_GB2312" w:cs="仿宋_GB2312"/>
          <w:bCs/>
          <w:kern w:val="0"/>
          <w:sz w:val="32"/>
          <w:szCs w:val="32"/>
        </w:rPr>
        <w:t>为13.73亿元，</w:t>
      </w:r>
      <w:r>
        <w:rPr>
          <w:rFonts w:hint="eastAsia" w:ascii="仿宋_GB2312" w:hAnsi="仿宋_GB2312" w:eastAsia="仿宋_GB2312" w:cs="仿宋_GB2312"/>
          <w:bCs/>
          <w:kern w:val="0"/>
          <w:sz w:val="32"/>
          <w:szCs w:val="32"/>
          <w:lang w:val="en-US" w:eastAsia="zh-CN"/>
        </w:rPr>
        <w:t>与2023年预计执行数基本持平</w:t>
      </w:r>
      <w:r>
        <w:rPr>
          <w:rFonts w:hint="eastAsia" w:ascii="仿宋_GB2312" w:hAnsi="仿宋_GB2312" w:eastAsia="仿宋_GB2312" w:cs="仿宋_GB2312"/>
          <w:bCs/>
          <w:kern w:val="0"/>
          <w:sz w:val="32"/>
          <w:szCs w:val="32"/>
          <w:lang w:eastAsia="zh-CN"/>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3.个人所得税</w:t>
      </w:r>
      <w:r>
        <w:rPr>
          <w:rFonts w:hint="eastAsia" w:ascii="仿宋_GB2312" w:hAnsi="仿宋_GB2312" w:eastAsia="仿宋_GB2312" w:cs="仿宋_GB2312"/>
          <w:bCs/>
          <w:kern w:val="0"/>
          <w:sz w:val="32"/>
          <w:szCs w:val="32"/>
          <w:lang w:val="en-US" w:eastAsia="zh-CN"/>
        </w:rPr>
        <w:t>预计</w:t>
      </w:r>
      <w:r>
        <w:rPr>
          <w:rFonts w:hint="eastAsia" w:ascii="仿宋_GB2312" w:hAnsi="仿宋_GB2312" w:eastAsia="仿宋_GB2312" w:cs="仿宋_GB2312"/>
          <w:bCs/>
          <w:kern w:val="0"/>
          <w:sz w:val="32"/>
          <w:szCs w:val="32"/>
        </w:rPr>
        <w:t>为5.</w:t>
      </w:r>
      <w:r>
        <w:rPr>
          <w:rFonts w:ascii="仿宋_GB2312" w:hAnsi="仿宋_GB2312" w:eastAsia="仿宋_GB2312" w:cs="仿宋_GB2312"/>
          <w:bCs/>
          <w:kern w:val="0"/>
          <w:sz w:val="32"/>
          <w:szCs w:val="32"/>
        </w:rPr>
        <w:t>81</w:t>
      </w:r>
      <w:r>
        <w:rPr>
          <w:rFonts w:hint="eastAsia" w:ascii="仿宋_GB2312" w:hAnsi="仿宋_GB2312" w:eastAsia="仿宋_GB2312" w:cs="仿宋_GB2312"/>
          <w:bCs/>
          <w:kern w:val="0"/>
          <w:sz w:val="32"/>
          <w:szCs w:val="32"/>
        </w:rPr>
        <w:t>亿元，</w:t>
      </w:r>
      <w:r>
        <w:rPr>
          <w:rFonts w:hint="eastAsia" w:ascii="仿宋_GB2312" w:hAnsi="仿宋_GB2312" w:eastAsia="仿宋_GB2312" w:cs="仿宋_GB2312"/>
          <w:bCs/>
          <w:kern w:val="0"/>
          <w:sz w:val="32"/>
          <w:szCs w:val="32"/>
          <w:lang w:val="en-US" w:eastAsia="zh-CN"/>
        </w:rPr>
        <w:t>与2023年预计执行数基本持平</w:t>
      </w:r>
      <w:r>
        <w:rPr>
          <w:rFonts w:hint="eastAsia" w:ascii="仿宋_GB2312" w:hAnsi="仿宋_GB2312" w:eastAsia="仿宋_GB2312" w:cs="仿宋_GB2312"/>
          <w:bCs/>
          <w:kern w:val="0"/>
          <w:sz w:val="32"/>
          <w:szCs w:val="32"/>
          <w:lang w:eastAsia="zh-CN"/>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w:t>
      </w:r>
      <w:r>
        <w:rPr>
          <w:rFonts w:hint="eastAsia" w:ascii="仿宋_GB2312" w:hAnsi="Arial" w:eastAsia="仿宋_GB2312"/>
          <w:snapToGrid w:val="0"/>
          <w:kern w:val="0"/>
          <w:sz w:val="32"/>
          <w:szCs w:val="22"/>
        </w:rPr>
        <w:t>土地增值税</w:t>
      </w:r>
      <w:r>
        <w:rPr>
          <w:rFonts w:hint="eastAsia" w:ascii="仿宋_GB2312" w:hAnsi="Arial" w:eastAsia="仿宋_GB2312"/>
          <w:snapToGrid w:val="0"/>
          <w:kern w:val="0"/>
          <w:sz w:val="32"/>
          <w:szCs w:val="22"/>
          <w:lang w:val="en-US" w:eastAsia="zh-CN"/>
        </w:rPr>
        <w:t>预计</w:t>
      </w:r>
      <w:r>
        <w:rPr>
          <w:rFonts w:hint="eastAsia" w:ascii="仿宋_GB2312" w:hAnsi="仿宋_GB2312" w:eastAsia="仿宋_GB2312" w:cs="仿宋_GB2312"/>
          <w:bCs/>
          <w:kern w:val="0"/>
          <w:sz w:val="32"/>
          <w:szCs w:val="32"/>
        </w:rPr>
        <w:t>为</w:t>
      </w:r>
      <w:r>
        <w:rPr>
          <w:rFonts w:ascii="仿宋_GB2312" w:hAnsi="仿宋_GB2312" w:eastAsia="仿宋_GB2312" w:cs="仿宋_GB2312"/>
          <w:bCs/>
          <w:kern w:val="0"/>
          <w:sz w:val="32"/>
          <w:szCs w:val="32"/>
        </w:rPr>
        <w:t>3.48</w:t>
      </w:r>
      <w:r>
        <w:rPr>
          <w:rFonts w:hint="eastAsia" w:ascii="仿宋_GB2312" w:hAnsi="仿宋_GB2312" w:eastAsia="仿宋_GB2312" w:cs="仿宋_GB2312"/>
          <w:bCs/>
          <w:kern w:val="0"/>
          <w:sz w:val="32"/>
          <w:szCs w:val="32"/>
        </w:rPr>
        <w:t>亿元，</w:t>
      </w:r>
      <w:bookmarkStart w:id="2" w:name="_Hlk154513617"/>
      <w:r>
        <w:rPr>
          <w:rFonts w:hint="eastAsia" w:ascii="仿宋_GB2312" w:hAnsi="仿宋_GB2312" w:eastAsia="仿宋_GB2312" w:cs="仿宋_GB2312"/>
          <w:bCs/>
          <w:kern w:val="0"/>
          <w:sz w:val="32"/>
          <w:szCs w:val="32"/>
        </w:rPr>
        <w:t>比2023年</w:t>
      </w:r>
      <w:r>
        <w:rPr>
          <w:rFonts w:hint="eastAsia" w:ascii="仿宋_GB2312" w:hAnsi="仿宋_GB2312" w:eastAsia="仿宋_GB2312" w:cs="仿宋_GB2312"/>
          <w:bCs/>
          <w:kern w:val="0"/>
          <w:sz w:val="32"/>
          <w:szCs w:val="32"/>
          <w:lang w:eastAsia="zh-CN"/>
        </w:rPr>
        <w:t>预计执行数</w:t>
      </w:r>
      <w:r>
        <w:rPr>
          <w:rFonts w:hint="eastAsia" w:ascii="仿宋_GB2312" w:hAnsi="仿宋_GB2312" w:eastAsia="仿宋_GB2312" w:cs="仿宋_GB2312"/>
          <w:bCs/>
          <w:kern w:val="0"/>
          <w:sz w:val="32"/>
          <w:szCs w:val="32"/>
        </w:rPr>
        <w:t>减少</w:t>
      </w:r>
      <w:r>
        <w:rPr>
          <w:rFonts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val="en-US" w:eastAsia="zh-CN"/>
        </w:rPr>
        <w:t>68</w:t>
      </w:r>
      <w:r>
        <w:rPr>
          <w:rFonts w:hint="eastAsia" w:ascii="仿宋_GB2312" w:hAnsi="仿宋_GB2312" w:eastAsia="仿宋_GB2312" w:cs="仿宋_GB2312"/>
          <w:bCs/>
          <w:kern w:val="0"/>
          <w:sz w:val="32"/>
          <w:szCs w:val="32"/>
        </w:rPr>
        <w:t>亿元，下降</w:t>
      </w:r>
      <w:r>
        <w:rPr>
          <w:rFonts w:hint="eastAsia" w:ascii="仿宋_GB2312" w:hAnsi="仿宋_GB2312" w:eastAsia="仿宋_GB2312" w:cs="仿宋_GB2312"/>
          <w:bCs/>
          <w:kern w:val="0"/>
          <w:sz w:val="32"/>
          <w:szCs w:val="32"/>
          <w:lang w:val="en-US" w:eastAsia="zh-CN"/>
        </w:rPr>
        <w:t>32.6</w:t>
      </w:r>
      <w:r>
        <w:rPr>
          <w:rFonts w:hint="eastAsia" w:ascii="仿宋_GB2312" w:hAnsi="仿宋_GB2312" w:eastAsia="仿宋_GB2312" w:cs="仿宋_GB2312"/>
          <w:bCs/>
          <w:kern w:val="0"/>
          <w:sz w:val="32"/>
          <w:szCs w:val="32"/>
        </w:rPr>
        <w:t>%，主要原因是</w:t>
      </w:r>
      <w:bookmarkEnd w:id="2"/>
      <w:r>
        <w:rPr>
          <w:rFonts w:hint="eastAsia" w:ascii="仿宋_GB2312" w:hAnsi="仿宋_GB2312" w:eastAsia="仿宋_GB2312" w:cs="仿宋_GB2312"/>
          <w:bCs/>
          <w:kern w:val="0"/>
          <w:sz w:val="32"/>
          <w:szCs w:val="32"/>
          <w:lang w:eastAsia="zh-CN"/>
        </w:rPr>
        <w:t>土地增值税</w:t>
      </w:r>
      <w:r>
        <w:rPr>
          <w:rFonts w:hint="eastAsia" w:ascii="仿宋_GB2312" w:hAnsi="仿宋_GB2312" w:eastAsia="仿宋_GB2312" w:cs="仿宋_GB2312"/>
          <w:bCs/>
          <w:kern w:val="0"/>
          <w:sz w:val="32"/>
          <w:szCs w:val="32"/>
        </w:rPr>
        <w:t>受房地产</w:t>
      </w:r>
      <w:r>
        <w:rPr>
          <w:rFonts w:hint="eastAsia" w:ascii="仿宋_GB2312" w:hAnsi="仿宋_GB2312" w:eastAsia="仿宋_GB2312" w:cs="仿宋_GB2312"/>
          <w:bCs/>
          <w:kern w:val="0"/>
          <w:sz w:val="32"/>
          <w:szCs w:val="32"/>
          <w:lang w:eastAsia="zh-CN"/>
        </w:rPr>
        <w:t>行业发展情况影响较大</w:t>
      </w:r>
      <w:r>
        <w:rPr>
          <w:rFonts w:hint="eastAsia" w:ascii="仿宋_GB2312" w:hAnsi="仿宋_GB2312" w:eastAsia="仿宋_GB2312" w:cs="仿宋_GB2312"/>
          <w:bCs/>
          <w:kern w:val="0"/>
          <w:sz w:val="32"/>
          <w:szCs w:val="32"/>
        </w:rPr>
        <w:t>。</w:t>
      </w:r>
    </w:p>
    <w:p>
      <w:pPr>
        <w:spacing w:line="560" w:lineRule="exact"/>
        <w:ind w:firstLine="640" w:firstLineChars="200"/>
        <w:rPr>
          <w:rFonts w:ascii="仿宋_GB2312" w:hAnsi="Arial" w:eastAsia="仿宋_GB2312"/>
          <w:snapToGrid w:val="0"/>
          <w:kern w:val="0"/>
          <w:sz w:val="32"/>
          <w:szCs w:val="22"/>
        </w:rPr>
      </w:pPr>
      <w:r>
        <w:rPr>
          <w:rFonts w:hint="eastAsia" w:ascii="仿宋_GB2312" w:hAnsi="仿宋_GB2312" w:eastAsia="仿宋_GB2312" w:cs="仿宋_GB2312"/>
          <w:bCs/>
          <w:kern w:val="0"/>
          <w:sz w:val="32"/>
          <w:szCs w:val="32"/>
        </w:rPr>
        <w:t>5.</w:t>
      </w:r>
      <w:r>
        <w:rPr>
          <w:rFonts w:hint="eastAsia" w:ascii="仿宋_GB2312" w:hAnsi="Arial" w:eastAsia="仿宋_GB2312"/>
          <w:snapToGrid w:val="0"/>
          <w:kern w:val="0"/>
          <w:sz w:val="32"/>
          <w:szCs w:val="22"/>
        </w:rPr>
        <w:t>其他税种</w:t>
      </w:r>
      <w:r>
        <w:rPr>
          <w:rFonts w:hint="eastAsia" w:ascii="仿宋_GB2312" w:hAnsi="Arial" w:eastAsia="仿宋_GB2312"/>
          <w:snapToGrid w:val="0"/>
          <w:kern w:val="0"/>
          <w:sz w:val="32"/>
          <w:szCs w:val="22"/>
          <w:lang w:val="en-US" w:eastAsia="zh-CN"/>
        </w:rPr>
        <w:t>预计</w:t>
      </w:r>
      <w:r>
        <w:rPr>
          <w:rFonts w:hint="eastAsia" w:ascii="仿宋_GB2312" w:hAnsi="仿宋_GB2312" w:eastAsia="仿宋_GB2312" w:cs="仿宋_GB2312"/>
          <w:bCs/>
          <w:kern w:val="0"/>
          <w:sz w:val="32"/>
          <w:szCs w:val="32"/>
        </w:rPr>
        <w:t>为0.33亿元，与2023年</w:t>
      </w:r>
      <w:r>
        <w:rPr>
          <w:rFonts w:hint="eastAsia" w:ascii="仿宋_GB2312" w:hAnsi="仿宋_GB2312" w:eastAsia="仿宋_GB2312" w:cs="仿宋_GB2312"/>
          <w:bCs/>
          <w:kern w:val="0"/>
          <w:sz w:val="32"/>
          <w:szCs w:val="32"/>
          <w:lang w:eastAsia="zh-CN"/>
        </w:rPr>
        <w:t>预计执行数</w:t>
      </w:r>
      <w:r>
        <w:rPr>
          <w:rFonts w:hint="eastAsia" w:ascii="仿宋_GB2312" w:hAnsi="仿宋_GB2312" w:eastAsia="仿宋_GB2312" w:cs="仿宋_GB2312"/>
          <w:bCs/>
          <w:kern w:val="0"/>
          <w:sz w:val="32"/>
          <w:szCs w:val="32"/>
        </w:rPr>
        <w:t>基本持平。</w:t>
      </w:r>
    </w:p>
    <w:p>
      <w:pPr>
        <w:shd w:val="clear" w:color="auto" w:fill="FFFFFF"/>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仿宋_GB2312" w:eastAsia="楷体_GB2312" w:cs="仿宋_GB2312"/>
          <w:kern w:val="0"/>
          <w:sz w:val="32"/>
          <w:szCs w:val="32"/>
        </w:rPr>
        <w:t>（二）</w:t>
      </w:r>
      <w:r>
        <w:rPr>
          <w:rFonts w:hint="eastAsia" w:ascii="楷体_GB2312" w:hAnsi="楷体_GB2312" w:eastAsia="楷体_GB2312" w:cs="楷体_GB2312"/>
          <w:kern w:val="0"/>
          <w:sz w:val="32"/>
          <w:szCs w:val="32"/>
        </w:rPr>
        <w:t>非税收入</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bCs/>
          <w:kern w:val="0"/>
          <w:sz w:val="32"/>
          <w:szCs w:val="32"/>
        </w:rPr>
        <w:t>2024年非税收入</w:t>
      </w:r>
      <w:r>
        <w:rPr>
          <w:rFonts w:hint="eastAsia" w:ascii="仿宋_GB2312" w:hAnsi="仿宋_GB2312" w:eastAsia="仿宋_GB2312" w:cs="仿宋_GB2312"/>
          <w:bCs/>
          <w:kern w:val="0"/>
          <w:sz w:val="32"/>
          <w:szCs w:val="32"/>
        </w:rPr>
        <w:t>预计</w:t>
      </w:r>
      <w:r>
        <w:rPr>
          <w:rFonts w:hint="eastAsia" w:ascii="仿宋_GB2312" w:hAnsi="仿宋_GB2312" w:eastAsia="仿宋_GB2312" w:cs="仿宋_GB2312"/>
          <w:bCs/>
          <w:kern w:val="0"/>
          <w:sz w:val="32"/>
          <w:szCs w:val="32"/>
          <w:lang w:val="en-US" w:eastAsia="zh-CN"/>
        </w:rPr>
        <w:t>为</w:t>
      </w:r>
      <w:r>
        <w:rPr>
          <w:rFonts w:ascii="仿宋_GB2312" w:hAnsi="仿宋_GB2312" w:eastAsia="仿宋_GB2312" w:cs="仿宋_GB2312"/>
          <w:bCs/>
          <w:kern w:val="0"/>
          <w:sz w:val="32"/>
          <w:szCs w:val="32"/>
        </w:rPr>
        <w:t>1.79亿元</w:t>
      </w:r>
      <w:r>
        <w:rPr>
          <w:rFonts w:hint="eastAsia" w:ascii="仿宋_GB2312" w:hAnsi="仿宋_GB2312" w:eastAsia="仿宋_GB2312" w:cs="仿宋_GB2312"/>
          <w:bCs/>
          <w:kern w:val="0"/>
          <w:sz w:val="32"/>
          <w:szCs w:val="32"/>
        </w:rPr>
        <w:t>，主要是人才住房、配建物业、公共设施有偿使用收入</w:t>
      </w:r>
      <w:r>
        <w:rPr>
          <w:rFonts w:hint="eastAsia" w:ascii="仿宋_GB2312" w:hAnsi="仿宋_GB2312" w:eastAsia="仿宋_GB2312" w:cs="仿宋_GB2312"/>
          <w:bCs/>
          <w:kern w:val="0"/>
          <w:sz w:val="32"/>
          <w:szCs w:val="32"/>
          <w:lang w:eastAsia="zh-CN"/>
        </w:rPr>
        <w:t>，</w:t>
      </w:r>
      <w:r>
        <w:rPr>
          <w:rFonts w:ascii="仿宋_GB2312" w:hAnsi="仿宋_GB2312" w:eastAsia="仿宋_GB2312" w:cs="仿宋_GB2312"/>
          <w:bCs/>
          <w:kern w:val="0"/>
          <w:sz w:val="32"/>
          <w:szCs w:val="32"/>
        </w:rPr>
        <w:t>比2023年</w:t>
      </w:r>
      <w:r>
        <w:rPr>
          <w:rFonts w:hint="eastAsia" w:ascii="仿宋_GB2312" w:hAnsi="仿宋_GB2312" w:eastAsia="仿宋_GB2312" w:cs="仿宋_GB2312"/>
          <w:bCs/>
          <w:kern w:val="0"/>
          <w:sz w:val="32"/>
          <w:szCs w:val="32"/>
          <w:lang w:eastAsia="zh-CN"/>
        </w:rPr>
        <w:t>预计执行数</w:t>
      </w:r>
      <w:r>
        <w:rPr>
          <w:rFonts w:hint="eastAsia" w:ascii="仿宋_GB2312" w:hAnsi="仿宋_GB2312" w:eastAsia="仿宋_GB2312" w:cs="仿宋_GB2312"/>
          <w:bCs/>
          <w:kern w:val="0"/>
          <w:sz w:val="32"/>
          <w:szCs w:val="32"/>
        </w:rPr>
        <w:t>增加0.</w:t>
      </w:r>
      <w:r>
        <w:rPr>
          <w:rFonts w:hint="eastAsia" w:ascii="仿宋_GB2312" w:hAnsi="仿宋_GB2312" w:eastAsia="仿宋_GB2312" w:cs="仿宋_GB2312"/>
          <w:bCs/>
          <w:kern w:val="0"/>
          <w:sz w:val="32"/>
          <w:szCs w:val="32"/>
          <w:lang w:val="en-US" w:eastAsia="zh-CN"/>
        </w:rPr>
        <w:t>40</w:t>
      </w:r>
      <w:r>
        <w:rPr>
          <w:rFonts w:ascii="仿宋_GB2312" w:hAnsi="仿宋_GB2312" w:eastAsia="仿宋_GB2312" w:cs="仿宋_GB2312"/>
          <w:bCs/>
          <w:kern w:val="0"/>
          <w:sz w:val="32"/>
          <w:szCs w:val="32"/>
        </w:rPr>
        <w:t>亿元</w:t>
      </w:r>
      <w:r>
        <w:rPr>
          <w:rFonts w:hint="eastAsia" w:ascii="仿宋_GB2312" w:hAnsi="仿宋_GB2312" w:eastAsia="仿宋_GB2312" w:cs="仿宋_GB2312"/>
          <w:bCs/>
          <w:kern w:val="0"/>
          <w:sz w:val="32"/>
          <w:szCs w:val="32"/>
        </w:rPr>
        <w:t>，增长28.</w:t>
      </w:r>
      <w:r>
        <w:rPr>
          <w:rFonts w:hint="eastAsia" w:ascii="仿宋_GB2312" w:hAnsi="仿宋_GB2312" w:eastAsia="仿宋_GB2312" w:cs="仿宋_GB2312"/>
          <w:bCs/>
          <w:kern w:val="0"/>
          <w:sz w:val="32"/>
          <w:szCs w:val="32"/>
          <w:lang w:val="en-US" w:eastAsia="zh-CN"/>
        </w:rPr>
        <w:t>9</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，主要原因是</w:t>
      </w:r>
      <w:r>
        <w:rPr>
          <w:rFonts w:hint="eastAsia" w:ascii="仿宋_GB2312" w:hAnsi="仿宋_GB2312" w:eastAsia="仿宋_GB2312" w:cs="仿宋_GB2312"/>
          <w:bCs/>
          <w:kern w:val="0"/>
          <w:sz w:val="32"/>
          <w:szCs w:val="32"/>
          <w:lang w:eastAsia="zh-CN"/>
        </w:rPr>
        <w:t>加大资产盘活力度，</w:t>
      </w:r>
      <w:r>
        <w:rPr>
          <w:rFonts w:hint="eastAsia" w:ascii="仿宋_GB2312" w:hAnsi="仿宋_GB2312" w:eastAsia="仿宋_GB2312" w:cs="仿宋_GB2312"/>
          <w:bCs/>
          <w:kern w:val="0"/>
          <w:sz w:val="32"/>
          <w:szCs w:val="32"/>
        </w:rPr>
        <w:t>局属物业出租率</w:t>
      </w:r>
      <w:r>
        <w:rPr>
          <w:rFonts w:hint="eastAsia" w:ascii="仿宋_GB2312" w:hAnsi="仿宋_GB2312" w:eastAsia="仿宋_GB2312" w:cs="仿宋_GB2312"/>
          <w:bCs/>
          <w:kern w:val="0"/>
          <w:sz w:val="32"/>
          <w:szCs w:val="32"/>
          <w:lang w:eastAsia="zh-CN"/>
        </w:rPr>
        <w:t>有所</w:t>
      </w:r>
      <w:r>
        <w:rPr>
          <w:rFonts w:hint="eastAsia" w:ascii="仿宋_GB2312" w:hAnsi="仿宋_GB2312" w:eastAsia="仿宋_GB2312" w:cs="仿宋_GB2312"/>
          <w:bCs/>
          <w:kern w:val="0"/>
          <w:sz w:val="32"/>
          <w:szCs w:val="32"/>
        </w:rPr>
        <w:t>增长</w:t>
      </w:r>
      <w:r>
        <w:rPr>
          <w:rFonts w:ascii="仿宋_GB2312" w:hAnsi="仿宋_GB2312" w:eastAsia="仿宋_GB2312" w:cs="仿宋_GB2312"/>
          <w:bCs/>
          <w:kern w:val="0"/>
          <w:sz w:val="32"/>
          <w:szCs w:val="32"/>
        </w:rPr>
        <w:t>。</w:t>
      </w:r>
    </w:p>
    <w:p>
      <w:pPr>
        <w:shd w:val="clear" w:color="auto" w:fill="FFFFFF"/>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仿宋_GB2312" w:eastAsia="楷体_GB2312" w:cs="仿宋_GB2312"/>
          <w:kern w:val="0"/>
          <w:sz w:val="32"/>
          <w:szCs w:val="32"/>
        </w:rPr>
        <w:t>（三）</w:t>
      </w:r>
      <w:r>
        <w:rPr>
          <w:rFonts w:hint="eastAsia" w:ascii="楷体_GB2312" w:hAnsi="楷体_GB2312" w:eastAsia="楷体_GB2312" w:cs="楷体_GB2312"/>
          <w:kern w:val="0"/>
          <w:sz w:val="32"/>
          <w:szCs w:val="32"/>
        </w:rPr>
        <w:t>转移性收入</w:t>
      </w:r>
    </w:p>
    <w:p>
      <w:pPr>
        <w:shd w:val="clear" w:color="auto" w:fill="FFFFFF"/>
        <w:adjustRightInd w:val="0"/>
        <w:snapToGrid w:val="0"/>
        <w:spacing w:line="560" w:lineRule="exact"/>
        <w:ind w:firstLine="640" w:firstLineChars="200"/>
        <w:rPr>
          <w:rFonts w:ascii="仿宋_GB2312" w:hAnsi="楷体_GB2312" w:eastAsia="仿宋_GB2312" w:cs="楷体_GB2312"/>
          <w:kern w:val="0"/>
          <w:sz w:val="32"/>
          <w:szCs w:val="32"/>
        </w:rPr>
      </w:pPr>
      <w:r>
        <w:rPr>
          <w:rFonts w:ascii="仿宋_GB2312" w:hAnsi="仿宋_GB2312" w:eastAsia="仿宋_GB2312" w:cs="仿宋_GB2312"/>
          <w:bCs/>
          <w:kern w:val="0"/>
          <w:sz w:val="32"/>
          <w:szCs w:val="32"/>
        </w:rPr>
        <w:t>2024年</w:t>
      </w:r>
      <w:r>
        <w:rPr>
          <w:rFonts w:hint="eastAsia" w:ascii="仿宋_GB2312" w:hAnsi="仿宋_GB2312" w:eastAsia="仿宋_GB2312" w:cs="仿宋_GB2312"/>
          <w:bCs/>
          <w:kern w:val="0"/>
          <w:sz w:val="32"/>
          <w:szCs w:val="32"/>
        </w:rPr>
        <w:t>转移性收入预计</w:t>
      </w:r>
      <w:r>
        <w:rPr>
          <w:rFonts w:hint="eastAsia" w:ascii="仿宋_GB2312" w:hAnsi="仿宋_GB2312" w:eastAsia="仿宋_GB2312" w:cs="仿宋_GB2312"/>
          <w:bCs/>
          <w:kern w:val="0"/>
          <w:sz w:val="32"/>
          <w:szCs w:val="32"/>
          <w:lang w:eastAsia="zh-CN"/>
        </w:rPr>
        <w:t>为</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val="en-US" w:eastAsia="zh-CN"/>
        </w:rPr>
        <w:t>3</w:t>
      </w:r>
      <w:r>
        <w:rPr>
          <w:rFonts w:ascii="仿宋_GB2312" w:hAnsi="仿宋_GB2312" w:eastAsia="仿宋_GB2312" w:cs="仿宋_GB2312"/>
          <w:bCs/>
          <w:kern w:val="0"/>
          <w:sz w:val="32"/>
          <w:szCs w:val="32"/>
        </w:rPr>
        <w:t>.01</w:t>
      </w:r>
      <w:r>
        <w:rPr>
          <w:rFonts w:hint="eastAsia" w:ascii="仿宋_GB2312" w:hAnsi="仿宋_GB2312" w:eastAsia="仿宋_GB2312" w:cs="仿宋_GB2312"/>
          <w:bCs/>
          <w:kern w:val="0"/>
          <w:sz w:val="32"/>
          <w:szCs w:val="32"/>
        </w:rPr>
        <w:t>亿元，</w:t>
      </w:r>
      <w:r>
        <w:rPr>
          <w:rFonts w:hint="eastAsia" w:ascii="仿宋_GB2312" w:hAnsi="仿宋_GB2312" w:eastAsia="仿宋_GB2312" w:cs="仿宋_GB2312"/>
          <w:bCs/>
          <w:kern w:val="0"/>
          <w:sz w:val="32"/>
          <w:szCs w:val="32"/>
          <w:highlight w:val="none"/>
        </w:rPr>
        <w:t>比</w:t>
      </w:r>
      <w:r>
        <w:rPr>
          <w:rFonts w:ascii="仿宋_GB2312" w:hAnsi="仿宋_GB2312" w:eastAsia="仿宋_GB2312" w:cs="仿宋_GB2312"/>
          <w:bCs/>
          <w:kern w:val="0"/>
          <w:sz w:val="32"/>
          <w:szCs w:val="32"/>
          <w:highlight w:val="none"/>
        </w:rPr>
        <w:t>2023年</w:t>
      </w:r>
      <w:r>
        <w:rPr>
          <w:rFonts w:hint="eastAsia" w:ascii="仿宋_GB2312" w:hAnsi="仿宋_GB2312" w:eastAsia="仿宋_GB2312" w:cs="仿宋_GB2312"/>
          <w:bCs/>
          <w:kern w:val="0"/>
          <w:sz w:val="32"/>
          <w:szCs w:val="32"/>
          <w:highlight w:val="none"/>
          <w:lang w:eastAsia="zh-CN"/>
        </w:rPr>
        <w:t>预计执行数</w:t>
      </w:r>
      <w:r>
        <w:rPr>
          <w:rFonts w:ascii="仿宋_GB2312" w:hAnsi="仿宋_GB2312" w:eastAsia="仿宋_GB2312" w:cs="仿宋_GB2312"/>
          <w:bCs/>
          <w:kern w:val="0"/>
          <w:sz w:val="32"/>
          <w:szCs w:val="32"/>
          <w:highlight w:val="none"/>
        </w:rPr>
        <w:t>减少</w:t>
      </w:r>
      <w:r>
        <w:rPr>
          <w:rFonts w:hint="eastAsia" w:ascii="仿宋_GB2312" w:hAnsi="仿宋_GB2312" w:eastAsia="仿宋_GB2312" w:cs="仿宋_GB2312"/>
          <w:bCs/>
          <w:kern w:val="0"/>
          <w:sz w:val="32"/>
          <w:szCs w:val="32"/>
          <w:highlight w:val="none"/>
          <w:lang w:val="en-US" w:eastAsia="zh-CN"/>
        </w:rPr>
        <w:t>11.89</w:t>
      </w:r>
      <w:r>
        <w:rPr>
          <w:rFonts w:hint="eastAsia" w:ascii="仿宋_GB2312" w:hAnsi="仿宋_GB2312" w:eastAsia="仿宋_GB2312" w:cs="仿宋_GB2312"/>
          <w:bCs/>
          <w:kern w:val="0"/>
          <w:sz w:val="32"/>
          <w:szCs w:val="32"/>
          <w:highlight w:val="none"/>
        </w:rPr>
        <w:t>亿元，下降</w:t>
      </w:r>
      <w:r>
        <w:rPr>
          <w:rFonts w:hint="eastAsia" w:ascii="仿宋_GB2312" w:hAnsi="仿宋_GB2312" w:eastAsia="仿宋_GB2312" w:cs="仿宋_GB2312"/>
          <w:bCs/>
          <w:kern w:val="0"/>
          <w:sz w:val="32"/>
          <w:szCs w:val="32"/>
          <w:highlight w:val="none"/>
          <w:lang w:val="en-US" w:eastAsia="zh-CN"/>
        </w:rPr>
        <w:t>47.8</w:t>
      </w:r>
      <w:r>
        <w:rPr>
          <w:rFonts w:ascii="仿宋_GB2312" w:hAnsi="仿宋_GB2312" w:eastAsia="仿宋_GB2312" w:cs="仿宋_GB2312"/>
          <w:bCs/>
          <w:kern w:val="0"/>
          <w:sz w:val="32"/>
          <w:szCs w:val="32"/>
          <w:highlight w:val="none"/>
        </w:rPr>
        <w:t>%。</w:t>
      </w:r>
      <w:r>
        <w:rPr>
          <w:rFonts w:hint="eastAsia" w:ascii="仿宋_GB2312" w:hAnsi="楷体_GB2312" w:eastAsia="仿宋_GB2312" w:cs="楷体_GB2312"/>
          <w:kern w:val="0"/>
          <w:sz w:val="32"/>
          <w:szCs w:val="32"/>
        </w:rPr>
        <w:t>其中：从</w:t>
      </w:r>
      <w:r>
        <w:rPr>
          <w:rFonts w:hint="eastAsia" w:ascii="仿宋_GB2312" w:hAnsi="仿宋_GB2312" w:eastAsia="仿宋_GB2312" w:cs="仿宋_GB2312"/>
          <w:kern w:val="0"/>
          <w:sz w:val="32"/>
          <w:szCs w:val="32"/>
        </w:rPr>
        <w:t>政府性基金预算调入</w:t>
      </w:r>
      <w:r>
        <w:rPr>
          <w:rFonts w:hint="eastAsia" w:ascii="仿宋_GB2312" w:hAnsi="仿宋_GB2312" w:eastAsia="仿宋_GB2312" w:cs="仿宋_GB2312"/>
          <w:kern w:val="0"/>
          <w:sz w:val="32"/>
          <w:szCs w:val="32"/>
          <w:lang w:val="en-US" w:eastAsia="zh-CN"/>
        </w:rPr>
        <w:t>8</w:t>
      </w:r>
      <w:r>
        <w:rPr>
          <w:rFonts w:ascii="仿宋_GB2312" w:hAnsi="仿宋_GB2312" w:eastAsia="仿宋_GB2312" w:cs="仿宋_GB2312"/>
          <w:kern w:val="0"/>
          <w:sz w:val="32"/>
          <w:szCs w:val="32"/>
        </w:rPr>
        <w:t>.45</w:t>
      </w:r>
      <w:r>
        <w:rPr>
          <w:rFonts w:hint="eastAsia" w:ascii="仿宋_GB2312" w:hAnsi="楷体_GB2312" w:eastAsia="仿宋_GB2312" w:cs="楷体_GB2312"/>
          <w:kern w:val="0"/>
          <w:sz w:val="32"/>
          <w:szCs w:val="32"/>
        </w:rPr>
        <w:t>亿元</w:t>
      </w:r>
      <w:r>
        <w:rPr>
          <w:rFonts w:hint="eastAsia" w:ascii="仿宋_GB2312" w:hAnsi="楷体_GB2312" w:eastAsia="仿宋_GB2312" w:cs="楷体_GB2312"/>
          <w:kern w:val="0"/>
          <w:sz w:val="32"/>
          <w:szCs w:val="32"/>
          <w:lang w:eastAsia="zh-CN"/>
        </w:rPr>
        <w:t>、</w:t>
      </w:r>
      <w:r>
        <w:rPr>
          <w:rFonts w:hint="eastAsia" w:ascii="仿宋_GB2312" w:hAnsi="楷体_GB2312" w:eastAsia="仿宋_GB2312" w:cs="楷体_GB2312"/>
          <w:kern w:val="0"/>
          <w:sz w:val="32"/>
          <w:szCs w:val="32"/>
        </w:rPr>
        <w:t>从国有资本经营预算调入0.23亿元</w:t>
      </w:r>
      <w:r>
        <w:rPr>
          <w:rFonts w:hint="eastAsia" w:ascii="仿宋_GB2312" w:hAnsi="楷体_GB2312" w:eastAsia="仿宋_GB2312" w:cs="楷体_GB2312"/>
          <w:kern w:val="0"/>
          <w:sz w:val="32"/>
          <w:szCs w:val="32"/>
          <w:lang w:eastAsia="zh-CN"/>
        </w:rPr>
        <w:t>、</w:t>
      </w:r>
      <w:r>
        <w:rPr>
          <w:rFonts w:hint="eastAsia" w:ascii="仿宋_GB2312" w:hAnsi="楷体_GB2312" w:eastAsia="仿宋_GB2312" w:cs="楷体_GB2312"/>
          <w:kern w:val="0"/>
          <w:sz w:val="32"/>
          <w:szCs w:val="32"/>
        </w:rPr>
        <w:t>一般性转移支付收入4</w:t>
      </w:r>
      <w:r>
        <w:rPr>
          <w:rFonts w:ascii="仿宋_GB2312" w:hAnsi="楷体_GB2312" w:eastAsia="仿宋_GB2312" w:cs="楷体_GB2312"/>
          <w:kern w:val="0"/>
          <w:sz w:val="32"/>
          <w:szCs w:val="32"/>
        </w:rPr>
        <w:t>.33</w:t>
      </w:r>
      <w:r>
        <w:rPr>
          <w:rFonts w:hint="eastAsia" w:ascii="仿宋_GB2312" w:hAnsi="楷体_GB2312" w:eastAsia="仿宋_GB2312" w:cs="楷体_GB2312"/>
          <w:kern w:val="0"/>
          <w:sz w:val="32"/>
          <w:szCs w:val="32"/>
        </w:rPr>
        <w:t>亿元。</w:t>
      </w:r>
    </w:p>
    <w:p>
      <w:pPr>
        <w:numPr>
          <w:ilvl w:val="0"/>
          <w:numId w:val="2"/>
        </w:numPr>
        <w:shd w:val="clear" w:color="auto" w:fill="FFFFFF"/>
        <w:adjustRightInd w:val="0"/>
        <w:snapToGrid w:val="0"/>
        <w:spacing w:line="560" w:lineRule="exact"/>
        <w:ind w:left="0" w:firstLine="640" w:firstLineChars="200"/>
        <w:outlineLvl w:val="1"/>
        <w:rPr>
          <w:rFonts w:ascii="黑体" w:hAnsi="黑体" w:eastAsia="黑体" w:cs="黑体"/>
          <w:kern w:val="0"/>
          <w:sz w:val="32"/>
          <w:szCs w:val="32"/>
        </w:rPr>
      </w:pPr>
      <w:r>
        <w:rPr>
          <w:rFonts w:ascii="黑体" w:hAnsi="黑体" w:eastAsia="黑体" w:cs="黑体"/>
          <w:kern w:val="0"/>
          <w:sz w:val="32"/>
          <w:szCs w:val="32"/>
        </w:rPr>
        <w:t>2024年一般公共预算支出</w:t>
      </w:r>
      <w:r>
        <w:rPr>
          <w:rFonts w:hint="eastAsia" w:ascii="黑体" w:hAnsi="黑体" w:eastAsia="黑体" w:cs="黑体"/>
          <w:kern w:val="0"/>
          <w:sz w:val="32"/>
          <w:szCs w:val="32"/>
        </w:rPr>
        <w:t>预算</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按照收支平衡原则，一般公共预算总支出预计为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rPr>
        <w:t>.49</w:t>
      </w:r>
      <w:r>
        <w:rPr>
          <w:rFonts w:hint="eastAsia" w:ascii="仿宋_GB2312" w:hAnsi="仿宋_GB2312" w:eastAsia="仿宋_GB2312" w:cs="仿宋_GB2312"/>
          <w:kern w:val="0"/>
          <w:sz w:val="32"/>
          <w:szCs w:val="32"/>
        </w:rPr>
        <w:t>亿元。其中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一般公共预算支出</w:t>
      </w:r>
      <w:r>
        <w:rPr>
          <w:rFonts w:hint="eastAsia" w:ascii="仿宋_GB2312" w:hAnsi="仿宋_GB2312" w:eastAsia="仿宋_GB2312" w:cs="仿宋_GB2312"/>
          <w:kern w:val="0"/>
          <w:sz w:val="32"/>
          <w:szCs w:val="32"/>
          <w:lang w:val="en-US" w:eastAsia="zh-CN"/>
        </w:rPr>
        <w:t>45.49</w:t>
      </w:r>
      <w:r>
        <w:rPr>
          <w:rFonts w:hint="eastAsia" w:ascii="仿宋_GB2312" w:hAnsi="仿宋_GB2312" w:eastAsia="仿宋_GB2312" w:cs="仿宋_GB2312"/>
          <w:kern w:val="0"/>
          <w:sz w:val="32"/>
          <w:szCs w:val="32"/>
        </w:rPr>
        <w:t>亿元、上解支出</w:t>
      </w:r>
      <w:r>
        <w:rPr>
          <w:rFonts w:hint="eastAsia" w:ascii="仿宋_GB2312" w:hAnsi="仿宋_GB2312" w:eastAsia="仿宋_GB2312" w:cs="仿宋_GB2312"/>
          <w:kern w:val="0"/>
          <w:sz w:val="32"/>
          <w:szCs w:val="32"/>
          <w:lang w:val="en-US" w:eastAsia="zh-CN"/>
        </w:rPr>
        <w:t>2.00</w:t>
      </w:r>
      <w:r>
        <w:rPr>
          <w:rFonts w:hint="eastAsia" w:ascii="仿宋_GB2312" w:hAnsi="仿宋_GB2312" w:eastAsia="仿宋_GB2312" w:cs="仿宋_GB2312"/>
          <w:kern w:val="0"/>
          <w:sz w:val="32"/>
          <w:szCs w:val="32"/>
        </w:rPr>
        <w:t>亿元、预算稳定调节基金</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亿元。2</w:t>
      </w:r>
      <w:r>
        <w:rPr>
          <w:rFonts w:ascii="仿宋_GB2312" w:hAnsi="仿宋_GB2312" w:eastAsia="仿宋_GB2312" w:cs="仿宋_GB2312"/>
          <w:kern w:val="0"/>
          <w:sz w:val="32"/>
          <w:szCs w:val="32"/>
        </w:rPr>
        <w:t>024</w:t>
      </w:r>
      <w:r>
        <w:rPr>
          <w:rFonts w:hint="eastAsia" w:ascii="仿宋_GB2312" w:hAnsi="仿宋_GB2312" w:eastAsia="仿宋_GB2312" w:cs="仿宋_GB2312"/>
          <w:kern w:val="0"/>
          <w:sz w:val="32"/>
          <w:szCs w:val="32"/>
        </w:rPr>
        <w:t>年一般公共预算支出科目具体安排如下：</w:t>
      </w:r>
    </w:p>
    <w:p>
      <w:pPr>
        <w:spacing w:line="560" w:lineRule="exact"/>
        <w:ind w:firstLine="640" w:firstLineChars="200"/>
        <w:rPr>
          <w:rFonts w:ascii="仿宋_GB2312" w:hAnsi="仿宋_GB2312" w:eastAsia="仿宋_GB2312" w:cs="仿宋_GB2312"/>
          <w:color w:val="auto"/>
          <w:kern w:val="0"/>
          <w:sz w:val="32"/>
          <w:szCs w:val="32"/>
          <w:highlight w:val="yellow"/>
        </w:rPr>
      </w:pPr>
      <w:r>
        <w:rPr>
          <w:rFonts w:hint="eastAsia" w:ascii="楷体_GB2312" w:hAnsi="仿宋_GB2312" w:eastAsia="楷体_GB2312" w:cs="仿宋_GB2312"/>
          <w:kern w:val="0"/>
          <w:sz w:val="32"/>
          <w:szCs w:val="32"/>
        </w:rPr>
        <w:t>（一）一般公共服务支出。</w:t>
      </w:r>
      <w:r>
        <w:rPr>
          <w:rFonts w:hint="eastAsia" w:ascii="仿宋_GB2312" w:hAnsi="仿宋_GB2312" w:eastAsia="仿宋_GB2312" w:cs="仿宋_GB2312"/>
          <w:kern w:val="0"/>
          <w:sz w:val="32"/>
          <w:szCs w:val="32"/>
        </w:rPr>
        <w:t>反映政府一般公共服务</w:t>
      </w:r>
      <w:r>
        <w:rPr>
          <w:rFonts w:hint="eastAsia" w:ascii="仿宋_GB2312" w:hAnsi="仿宋_GB2312" w:eastAsia="仿宋_GB2312" w:cs="仿宋_GB2312"/>
          <w:kern w:val="0"/>
          <w:sz w:val="32"/>
          <w:szCs w:val="32"/>
          <w:lang w:val="en-US" w:eastAsia="zh-CN"/>
        </w:rPr>
        <w:t>事务</w:t>
      </w:r>
      <w:r>
        <w:rPr>
          <w:rFonts w:hint="eastAsia" w:ascii="仿宋_GB2312" w:hAnsi="仿宋_GB2312" w:eastAsia="仿宋_GB2312" w:cs="仿宋_GB2312"/>
          <w:kern w:val="0"/>
          <w:sz w:val="32"/>
          <w:szCs w:val="32"/>
        </w:rPr>
        <w:t>支出，主要用于保障前海合作区基本运转、对外经贸合作综合服务、宏观经济规划、营商环境优化、制度创新事务、法治环境与法治建设、合作区发展与投资、国际交流与港澳事务、e站通服务中心、城市管理与社会建设产业发展规划、国有企业监管、数字政府发展等事务。2024年度计划安排11.93亿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bCs w:val="0"/>
          <w:kern w:val="0"/>
          <w:sz w:val="32"/>
          <w:szCs w:val="32"/>
        </w:rPr>
        <w:t>2023年</w:t>
      </w:r>
      <w:r>
        <w:rPr>
          <w:rFonts w:hint="eastAsia" w:ascii="仿宋_GB2312" w:hAnsi="仿宋_GB2312" w:eastAsia="仿宋_GB2312" w:cs="仿宋_GB2312"/>
          <w:bCs w:val="0"/>
          <w:kern w:val="0"/>
          <w:sz w:val="32"/>
          <w:szCs w:val="32"/>
          <w:lang w:eastAsia="zh-CN"/>
        </w:rPr>
        <w:t>执行数</w:t>
      </w:r>
      <w:r>
        <w:rPr>
          <w:rFonts w:hint="eastAsia" w:ascii="仿宋_GB2312" w:hAnsi="仿宋_GB2312" w:eastAsia="仿宋_GB2312" w:cs="仿宋_GB2312"/>
          <w:bCs w:val="0"/>
          <w:kern w:val="0"/>
          <w:sz w:val="32"/>
          <w:szCs w:val="32"/>
          <w:lang w:val="en-US" w:eastAsia="zh-CN"/>
        </w:rPr>
        <w:t>增加4.55</w:t>
      </w:r>
      <w:r>
        <w:rPr>
          <w:rFonts w:hint="eastAsia" w:ascii="仿宋_GB2312" w:hAnsi="仿宋_GB2312" w:eastAsia="仿宋_GB2312" w:cs="仿宋_GB2312"/>
          <w:bCs w:val="0"/>
          <w:kern w:val="0"/>
          <w:sz w:val="32"/>
          <w:szCs w:val="32"/>
        </w:rPr>
        <w:t>亿元，增长</w:t>
      </w:r>
      <w:r>
        <w:rPr>
          <w:rFonts w:hint="eastAsia" w:ascii="仿宋_GB2312" w:hAnsi="仿宋_GB2312" w:eastAsia="仿宋_GB2312" w:cs="仿宋_GB2312"/>
          <w:bCs w:val="0"/>
          <w:kern w:val="0"/>
          <w:sz w:val="32"/>
          <w:szCs w:val="32"/>
          <w:lang w:val="en-US" w:eastAsia="zh-CN"/>
        </w:rPr>
        <w:t>61.7</w:t>
      </w:r>
      <w:r>
        <w:rPr>
          <w:rFonts w:hint="eastAsia" w:ascii="仿宋_GB2312" w:hAnsi="仿宋_GB2312" w:eastAsia="仿宋_GB2312" w:cs="仿宋_GB2312"/>
          <w:bCs w:val="0"/>
          <w:kern w:val="0"/>
          <w:sz w:val="32"/>
          <w:szCs w:val="32"/>
        </w:rPr>
        <w:t>%，主要原因</w:t>
      </w:r>
      <w:r>
        <w:rPr>
          <w:rFonts w:hint="eastAsia" w:ascii="仿宋_GB2312" w:hAnsi="仿宋_GB2312" w:eastAsia="仿宋_GB2312" w:cs="仿宋_GB2312"/>
          <w:bCs w:val="0"/>
          <w:color w:val="auto"/>
          <w:kern w:val="0"/>
          <w:sz w:val="32"/>
          <w:szCs w:val="32"/>
          <w:highlight w:val="none"/>
          <w:lang w:eastAsia="zh-CN"/>
        </w:rPr>
        <w:t>是增加综合保税区等区域配套及支持港澳青年创新创业相关支出。</w:t>
      </w:r>
    </w:p>
    <w:p>
      <w:pPr>
        <w:shd w:val="clear" w:color="auto" w:fill="FFFFFF"/>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楷体_GB2312" w:hAnsi="仿宋_GB2312" w:eastAsia="楷体_GB2312" w:cs="仿宋_GB2312"/>
          <w:kern w:val="0"/>
          <w:sz w:val="32"/>
          <w:szCs w:val="32"/>
        </w:rPr>
        <w:t>（二）教育支出。</w:t>
      </w:r>
      <w:r>
        <w:rPr>
          <w:rFonts w:hint="eastAsia" w:ascii="仿宋_GB2312" w:hAnsi="仿宋_GB2312" w:eastAsia="仿宋_GB2312" w:cs="仿宋_GB2312"/>
          <w:kern w:val="0"/>
          <w:sz w:val="32"/>
          <w:szCs w:val="32"/>
        </w:rPr>
        <w:t>反映政府教育事务支出，主要用于区域学校建设事务，包括桂湾四单元九年一贯制学校、前湾十单元九年一贯制学校、妈湾十九单元九年一贯制学校、前湾十单元学校等建设投资支出。2024年度计划安排</w:t>
      </w:r>
      <w:r>
        <w:rPr>
          <w:rFonts w:ascii="仿宋_GB2312" w:hAnsi="仿宋_GB2312" w:eastAsia="仿宋_GB2312" w:cs="仿宋_GB2312"/>
          <w:kern w:val="0"/>
          <w:sz w:val="32"/>
          <w:szCs w:val="32"/>
        </w:rPr>
        <w:t>7.6</w:t>
      </w: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较</w:t>
      </w:r>
      <w:r>
        <w:rPr>
          <w:rFonts w:ascii="仿宋_GB2312" w:hAnsi="仿宋_GB2312" w:eastAsia="仿宋_GB2312" w:cs="仿宋_GB2312"/>
          <w:bCs/>
          <w:kern w:val="0"/>
          <w:sz w:val="32"/>
          <w:szCs w:val="32"/>
        </w:rPr>
        <w:t>2023年</w:t>
      </w:r>
      <w:r>
        <w:rPr>
          <w:rFonts w:hint="eastAsia" w:ascii="仿宋_GB2312" w:hAnsi="仿宋_GB2312" w:eastAsia="仿宋_GB2312" w:cs="仿宋_GB2312"/>
          <w:bCs/>
          <w:kern w:val="0"/>
          <w:sz w:val="32"/>
          <w:szCs w:val="32"/>
          <w:lang w:eastAsia="zh-CN"/>
        </w:rPr>
        <w:t>执行数</w:t>
      </w:r>
      <w:r>
        <w:rPr>
          <w:rFonts w:hint="eastAsia" w:ascii="仿宋_GB2312" w:hAnsi="仿宋_GB2312" w:eastAsia="仿宋_GB2312" w:cs="仿宋_GB2312"/>
          <w:bCs/>
          <w:kern w:val="0"/>
          <w:sz w:val="32"/>
          <w:szCs w:val="32"/>
          <w:lang w:val="en-US" w:eastAsia="zh-CN"/>
        </w:rPr>
        <w:t>增加</w:t>
      </w:r>
      <w:r>
        <w:rPr>
          <w:rFonts w:ascii="仿宋_GB2312" w:hAnsi="仿宋_GB2312" w:eastAsia="仿宋_GB2312" w:cs="仿宋_GB2312"/>
          <w:bCs/>
          <w:kern w:val="0"/>
          <w:sz w:val="32"/>
          <w:szCs w:val="32"/>
        </w:rPr>
        <w:t>1.88亿元，</w:t>
      </w:r>
      <w:r>
        <w:rPr>
          <w:rFonts w:hint="eastAsia" w:ascii="仿宋_GB2312" w:hAnsi="仿宋_GB2312" w:eastAsia="仿宋_GB2312" w:cs="仿宋_GB2312"/>
          <w:bCs/>
          <w:kern w:val="0"/>
          <w:sz w:val="32"/>
          <w:szCs w:val="32"/>
          <w:lang w:eastAsia="zh-CN"/>
        </w:rPr>
        <w:t>增长</w:t>
      </w:r>
      <w:r>
        <w:rPr>
          <w:rFonts w:hint="eastAsia" w:ascii="仿宋_GB2312" w:hAnsi="仿宋_GB2312" w:eastAsia="仿宋_GB2312" w:cs="仿宋_GB2312"/>
          <w:bCs/>
          <w:kern w:val="0"/>
          <w:sz w:val="32"/>
          <w:szCs w:val="32"/>
          <w:lang w:val="en-US" w:eastAsia="zh-CN"/>
        </w:rPr>
        <w:t>32.3</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主要原因是区域学校建设进入主体工程施工阶段，资金</w:t>
      </w:r>
      <w:r>
        <w:rPr>
          <w:rFonts w:ascii="仿宋_GB2312" w:hAnsi="仿宋_GB2312" w:eastAsia="仿宋_GB2312" w:cs="仿宋_GB2312"/>
          <w:bCs/>
          <w:kern w:val="0"/>
          <w:sz w:val="32"/>
          <w:szCs w:val="32"/>
        </w:rPr>
        <w:t>需求</w:t>
      </w:r>
      <w:r>
        <w:rPr>
          <w:rFonts w:hint="eastAsia" w:ascii="仿宋_GB2312" w:hAnsi="仿宋_GB2312" w:eastAsia="仿宋_GB2312" w:cs="仿宋_GB2312"/>
          <w:bCs/>
          <w:kern w:val="0"/>
          <w:sz w:val="32"/>
          <w:szCs w:val="32"/>
        </w:rPr>
        <w:t>相应增长。</w:t>
      </w:r>
    </w:p>
    <w:p>
      <w:pPr>
        <w:shd w:val="clear" w:color="auto" w:fill="FFFFFF"/>
        <w:adjustRightInd w:val="0"/>
        <w:snapToGrid w:val="0"/>
        <w:spacing w:line="560" w:lineRule="exact"/>
        <w:ind w:firstLine="640" w:firstLineChars="200"/>
        <w:rPr>
          <w:rFonts w:hint="default" w:ascii="仿宋_GB2312" w:hAnsi="仿宋_GB2312" w:eastAsia="仿宋_GB2312" w:cs="仿宋_GB2312"/>
          <w:kern w:val="0"/>
          <w:sz w:val="32"/>
          <w:szCs w:val="32"/>
          <w:lang w:eastAsia="zh-CN"/>
        </w:rPr>
      </w:pPr>
      <w:r>
        <w:rPr>
          <w:rFonts w:hint="eastAsia" w:ascii="楷体_GB2312" w:hAnsi="仿宋_GB2312" w:eastAsia="楷体_GB2312" w:cs="仿宋_GB2312"/>
          <w:bCs w:val="0"/>
          <w:kern w:val="0"/>
          <w:sz w:val="32"/>
          <w:szCs w:val="32"/>
          <w:lang w:eastAsia="zh-CN"/>
        </w:rPr>
        <w:t>（三）文化旅游体育与传媒支出。</w:t>
      </w:r>
      <w:r>
        <w:rPr>
          <w:rFonts w:hint="eastAsia" w:ascii="仿宋_GB2312" w:hAnsi="仿宋_GB2312" w:eastAsia="仿宋_GB2312" w:cs="仿宋_GB2312"/>
          <w:bCs w:val="0"/>
          <w:kern w:val="0"/>
          <w:sz w:val="32"/>
          <w:szCs w:val="32"/>
          <w:lang w:eastAsia="zh-CN"/>
        </w:rPr>
        <w:t>反</w:t>
      </w:r>
      <w:r>
        <w:rPr>
          <w:rFonts w:hint="eastAsia" w:ascii="仿宋_GB2312" w:hAnsi="仿宋_GB2312" w:eastAsia="仿宋_GB2312" w:cs="仿宋_GB2312"/>
          <w:bCs w:val="0"/>
          <w:kern w:val="0"/>
          <w:sz w:val="32"/>
          <w:szCs w:val="32"/>
          <w:lang w:val="en-US" w:eastAsia="zh-CN"/>
        </w:rPr>
        <w:t>映</w:t>
      </w:r>
      <w:r>
        <w:rPr>
          <w:rFonts w:hint="eastAsia" w:ascii="仿宋_GB2312" w:hAnsi="仿宋_GB2312" w:eastAsia="仿宋_GB2312" w:cs="仿宋_GB2312"/>
          <w:bCs w:val="0"/>
          <w:kern w:val="0"/>
          <w:sz w:val="32"/>
          <w:szCs w:val="32"/>
          <w:lang w:eastAsia="zh-CN"/>
        </w:rPr>
        <w:t>政府文化旅游体育与传媒</w:t>
      </w:r>
      <w:r>
        <w:rPr>
          <w:rFonts w:hint="eastAsia" w:ascii="仿宋_GB2312" w:hAnsi="仿宋_GB2312" w:eastAsia="仿宋_GB2312" w:cs="仿宋_GB2312"/>
          <w:bCs w:val="0"/>
          <w:kern w:val="0"/>
          <w:sz w:val="32"/>
          <w:szCs w:val="32"/>
          <w:lang w:val="en-US" w:eastAsia="zh-CN"/>
        </w:rPr>
        <w:t>事务</w:t>
      </w:r>
      <w:r>
        <w:rPr>
          <w:rFonts w:hint="eastAsia" w:ascii="仿宋_GB2312" w:hAnsi="仿宋_GB2312" w:eastAsia="仿宋_GB2312" w:cs="仿宋_GB2312"/>
          <w:bCs w:val="0"/>
          <w:kern w:val="0"/>
          <w:sz w:val="32"/>
          <w:szCs w:val="32"/>
          <w:lang w:eastAsia="zh-CN"/>
        </w:rPr>
        <w:t>支出，主要用于前海博物馆项目建设，</w:t>
      </w:r>
      <w:r>
        <w:rPr>
          <w:rFonts w:hint="eastAsia" w:ascii="仿宋_GB2312" w:hAnsi="仿宋_GB2312" w:eastAsia="仿宋_GB2312" w:cs="仿宋_GB2312"/>
          <w:bCs w:val="0"/>
          <w:kern w:val="0"/>
          <w:sz w:val="32"/>
          <w:szCs w:val="32"/>
          <w:lang w:val="en-US" w:eastAsia="zh-CN"/>
        </w:rPr>
        <w:t>2024年度暂未安排支出，较2023年执行数减少2.90亿元，主要原因是</w:t>
      </w:r>
      <w:r>
        <w:rPr>
          <w:rFonts w:hint="eastAsia" w:ascii="仿宋_GB2312" w:hAnsi="仿宋_GB2312" w:eastAsia="仿宋_GB2312" w:cs="仿宋_GB2312"/>
          <w:bCs w:val="0"/>
          <w:kern w:val="0"/>
          <w:sz w:val="32"/>
          <w:szCs w:val="32"/>
          <w:lang w:eastAsia="zh-CN"/>
        </w:rPr>
        <w:t>该项目为市本级政府投资项目，</w:t>
      </w:r>
      <w:r>
        <w:rPr>
          <w:rFonts w:hint="eastAsia" w:ascii="仿宋_GB2312" w:hAnsi="仿宋_GB2312" w:eastAsia="仿宋_GB2312" w:cs="仿宋_GB2312"/>
          <w:bCs w:val="0"/>
          <w:kern w:val="0"/>
          <w:sz w:val="32"/>
          <w:szCs w:val="32"/>
          <w:lang w:val="en-US" w:eastAsia="zh-CN"/>
        </w:rPr>
        <w:t>2024年预算资金尚未下达，暂不安排预算支出。</w:t>
      </w:r>
    </w:p>
    <w:p>
      <w:pPr>
        <w:shd w:val="clear" w:color="auto" w:fill="FFFFFF"/>
        <w:adjustRightInd w:val="0"/>
        <w:snapToGrid w:val="0"/>
        <w:spacing w:line="56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四</w:t>
      </w:r>
      <w:r>
        <w:rPr>
          <w:rFonts w:hint="eastAsia" w:ascii="楷体_GB2312" w:hAnsi="仿宋_GB2312" w:eastAsia="楷体_GB2312" w:cs="仿宋_GB2312"/>
          <w:kern w:val="0"/>
          <w:sz w:val="32"/>
          <w:szCs w:val="32"/>
        </w:rPr>
        <w:t>）社会保障和就业支出。</w:t>
      </w:r>
      <w:r>
        <w:rPr>
          <w:rFonts w:hint="eastAsia" w:ascii="仿宋_GB2312" w:hAnsi="仿宋_GB2312" w:eastAsia="仿宋_GB2312" w:cs="仿宋_GB2312"/>
          <w:kern w:val="0"/>
          <w:sz w:val="32"/>
          <w:szCs w:val="32"/>
        </w:rPr>
        <w:t>反映政府社会保障与就业</w:t>
      </w:r>
      <w:r>
        <w:rPr>
          <w:rFonts w:hint="eastAsia" w:ascii="仿宋_GB2312" w:hAnsi="仿宋_GB2312" w:eastAsia="仿宋_GB2312" w:cs="仿宋_GB2312"/>
          <w:kern w:val="0"/>
          <w:sz w:val="32"/>
          <w:szCs w:val="32"/>
          <w:lang w:val="en-US" w:eastAsia="zh-CN"/>
        </w:rPr>
        <w:t>方面</w:t>
      </w:r>
      <w:r>
        <w:rPr>
          <w:rFonts w:hint="eastAsia" w:ascii="仿宋_GB2312" w:hAnsi="仿宋_GB2312" w:eastAsia="仿宋_GB2312" w:cs="仿宋_GB2312"/>
          <w:kern w:val="0"/>
          <w:sz w:val="32"/>
          <w:szCs w:val="32"/>
        </w:rPr>
        <w:t>支出，主要用于在职人员基本养老保险缴费、职业年金缴费等相关支出。2024年度计划安排0.26亿元，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bCs/>
          <w:kern w:val="0"/>
          <w:sz w:val="32"/>
          <w:szCs w:val="32"/>
        </w:rPr>
        <w:t>2023年</w:t>
      </w:r>
      <w:r>
        <w:rPr>
          <w:rFonts w:hint="eastAsia" w:ascii="仿宋_GB2312" w:hAnsi="仿宋_GB2312" w:eastAsia="仿宋_GB2312" w:cs="仿宋_GB2312"/>
          <w:bCs/>
          <w:kern w:val="0"/>
          <w:sz w:val="32"/>
          <w:szCs w:val="32"/>
          <w:lang w:eastAsia="zh-CN"/>
        </w:rPr>
        <w:t>执行数增加</w:t>
      </w:r>
      <w:r>
        <w:rPr>
          <w:rFonts w:hint="eastAsia" w:ascii="仿宋_GB2312" w:hAnsi="仿宋_GB2312" w:eastAsia="仿宋_GB2312" w:cs="仿宋_GB2312"/>
          <w:bCs/>
          <w:kern w:val="0"/>
          <w:sz w:val="32"/>
          <w:szCs w:val="32"/>
        </w:rPr>
        <w:t>0.0</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亿元，</w:t>
      </w:r>
      <w:r>
        <w:rPr>
          <w:rFonts w:hint="eastAsia" w:ascii="仿宋_GB2312" w:hAnsi="仿宋_GB2312" w:eastAsia="仿宋_GB2312" w:cs="仿宋_GB2312"/>
          <w:bCs/>
          <w:kern w:val="0"/>
          <w:sz w:val="32"/>
          <w:szCs w:val="32"/>
          <w:lang w:eastAsia="zh-CN"/>
        </w:rPr>
        <w:t>增长</w:t>
      </w:r>
      <w:r>
        <w:rPr>
          <w:rFonts w:hint="eastAsia" w:ascii="仿宋_GB2312" w:hAnsi="仿宋_GB2312" w:eastAsia="仿宋_GB2312" w:cs="仿宋_GB2312"/>
          <w:bCs/>
          <w:kern w:val="0"/>
          <w:sz w:val="32"/>
          <w:szCs w:val="32"/>
          <w:lang w:val="en-US" w:eastAsia="zh-CN"/>
        </w:rPr>
        <w:t>3.3</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ab/>
      </w:r>
    </w:p>
    <w:p>
      <w:pPr>
        <w:shd w:val="clear" w:color="auto" w:fill="FFFFFF"/>
        <w:adjustRightInd w:val="0"/>
        <w:snapToGrid w:val="0"/>
        <w:spacing w:line="560" w:lineRule="exact"/>
        <w:ind w:firstLine="640" w:firstLineChars="200"/>
        <w:rPr>
          <w:rFonts w:ascii="楷体_GB2312" w:hAnsi="仿宋_GB2312" w:eastAsia="楷体_GB2312" w:cs="仿宋_GB2312"/>
          <w:kern w:val="0"/>
          <w:sz w:val="32"/>
          <w:szCs w:val="32"/>
          <w:highlight w:val="yellow"/>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五</w:t>
      </w:r>
      <w:r>
        <w:rPr>
          <w:rFonts w:hint="eastAsia" w:ascii="楷体_GB2312" w:hAnsi="仿宋_GB2312" w:eastAsia="楷体_GB2312" w:cs="仿宋_GB2312"/>
          <w:kern w:val="0"/>
          <w:sz w:val="32"/>
          <w:szCs w:val="32"/>
        </w:rPr>
        <w:t>）卫生健康支出。</w:t>
      </w:r>
      <w:r>
        <w:rPr>
          <w:rFonts w:hint="eastAsia" w:ascii="仿宋_GB2312" w:hAnsi="仿宋_GB2312" w:eastAsia="仿宋_GB2312" w:cs="仿宋_GB2312"/>
          <w:kern w:val="0"/>
          <w:sz w:val="32"/>
          <w:szCs w:val="32"/>
        </w:rPr>
        <w:t>反映政府卫生健康</w:t>
      </w:r>
      <w:r>
        <w:rPr>
          <w:rFonts w:hint="eastAsia" w:ascii="仿宋_GB2312" w:hAnsi="仿宋_GB2312" w:eastAsia="仿宋_GB2312" w:cs="仿宋_GB2312"/>
          <w:kern w:val="0"/>
          <w:sz w:val="32"/>
          <w:szCs w:val="32"/>
          <w:lang w:val="en-US" w:eastAsia="zh-CN"/>
        </w:rPr>
        <w:t>方面</w:t>
      </w:r>
      <w:r>
        <w:rPr>
          <w:rFonts w:hint="eastAsia" w:ascii="仿宋_GB2312" w:hAnsi="仿宋_GB2312" w:eastAsia="仿宋_GB2312" w:cs="仿宋_GB2312"/>
          <w:kern w:val="0"/>
          <w:sz w:val="32"/>
          <w:szCs w:val="32"/>
        </w:rPr>
        <w:t>支出，主要用于前海合作区医疗保障相关支出。2024年度计划安排0.0</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kern w:val="0"/>
          <w:sz w:val="32"/>
          <w:szCs w:val="32"/>
          <w:lang w:val="en-US" w:eastAsia="zh-CN"/>
        </w:rPr>
        <w:t>2023年执行数增加0.02亿元，增长38.6%，主要原因是</w:t>
      </w:r>
      <w:r>
        <w:rPr>
          <w:rFonts w:hint="eastAsia" w:ascii="仿宋_GB2312" w:hAnsi="仿宋_GB2312" w:eastAsia="仿宋_GB2312" w:cs="仿宋_GB2312"/>
          <w:kern w:val="0"/>
          <w:sz w:val="32"/>
          <w:szCs w:val="32"/>
          <w:highlight w:val="none"/>
          <w:lang w:val="en-US" w:eastAsia="zh-CN"/>
        </w:rPr>
        <w:t>扩区后</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highlight w:val="none"/>
          <w:lang w:val="en-US" w:eastAsia="zh-CN"/>
        </w:rPr>
        <w:t>职能增加，授薪员额人数逐步增加</w:t>
      </w:r>
      <w:r>
        <w:rPr>
          <w:rFonts w:hint="eastAsia" w:ascii="仿宋_GB2312" w:hAnsi="仿宋_GB2312" w:eastAsia="仿宋_GB2312" w:cs="仿宋_GB2312"/>
          <w:kern w:val="0"/>
          <w:sz w:val="32"/>
          <w:szCs w:val="32"/>
        </w:rPr>
        <w:t>。</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六</w:t>
      </w:r>
      <w:r>
        <w:rPr>
          <w:rFonts w:hint="eastAsia" w:ascii="楷体_GB2312" w:hAnsi="仿宋_GB2312" w:eastAsia="楷体_GB2312" w:cs="仿宋_GB2312"/>
          <w:kern w:val="0"/>
          <w:sz w:val="32"/>
          <w:szCs w:val="32"/>
        </w:rPr>
        <w:t>）城乡社区支出。</w:t>
      </w:r>
      <w:r>
        <w:rPr>
          <w:rFonts w:hint="eastAsia" w:ascii="仿宋_GB2312" w:hAnsi="仿宋_GB2312" w:eastAsia="仿宋_GB2312" w:cs="仿宋_GB2312"/>
          <w:kern w:val="0"/>
          <w:sz w:val="32"/>
          <w:szCs w:val="32"/>
        </w:rPr>
        <w:t>反映政府城乡社区事务支出，主要用于开展城市规划综合管理、工程质量安全管理、国土空间规划、合作区住房管理、市容环境卫生管理、市政公用设施管理。2024年度计划安排2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42</w:t>
      </w:r>
      <w:r>
        <w:rPr>
          <w:rFonts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bCs/>
          <w:kern w:val="0"/>
          <w:sz w:val="32"/>
          <w:szCs w:val="32"/>
        </w:rPr>
        <w:t>2023年</w:t>
      </w:r>
      <w:r>
        <w:rPr>
          <w:rFonts w:hint="eastAsia" w:ascii="仿宋_GB2312" w:hAnsi="仿宋_GB2312" w:eastAsia="仿宋_GB2312" w:cs="仿宋_GB2312"/>
          <w:bCs/>
          <w:kern w:val="0"/>
          <w:sz w:val="32"/>
          <w:szCs w:val="32"/>
          <w:lang w:eastAsia="zh-CN"/>
        </w:rPr>
        <w:t>执行数</w:t>
      </w:r>
      <w:r>
        <w:rPr>
          <w:rFonts w:hint="eastAsia" w:ascii="仿宋_GB2312" w:hAnsi="仿宋_GB2312" w:eastAsia="仿宋_GB2312" w:cs="仿宋_GB2312"/>
          <w:bCs/>
          <w:kern w:val="0"/>
          <w:sz w:val="32"/>
          <w:szCs w:val="32"/>
        </w:rPr>
        <w:t>减少</w:t>
      </w:r>
      <w:r>
        <w:rPr>
          <w:rFonts w:ascii="仿宋_GB2312" w:hAnsi="仿宋_GB2312" w:eastAsia="仿宋_GB2312" w:cs="仿宋_GB2312"/>
          <w:bCs/>
          <w:kern w:val="0"/>
          <w:sz w:val="32"/>
          <w:szCs w:val="32"/>
        </w:rPr>
        <w:t>0</w:t>
      </w:r>
      <w:r>
        <w:rPr>
          <w:rFonts w:hint="eastAsia" w:ascii="仿宋_GB2312" w:hAnsi="仿宋_GB2312" w:eastAsia="仿宋_GB2312" w:cs="仿宋_GB2312"/>
          <w:bCs/>
          <w:kern w:val="0"/>
          <w:sz w:val="32"/>
          <w:szCs w:val="32"/>
          <w:lang w:val="en-US" w:eastAsia="zh-CN"/>
        </w:rPr>
        <w:t>.48</w:t>
      </w:r>
      <w:r>
        <w:rPr>
          <w:rFonts w:ascii="仿宋_GB2312" w:hAnsi="仿宋_GB2312" w:eastAsia="仿宋_GB2312" w:cs="仿宋_GB2312"/>
          <w:bCs/>
          <w:kern w:val="0"/>
          <w:sz w:val="32"/>
          <w:szCs w:val="32"/>
        </w:rPr>
        <w:t>亿元，下降</w:t>
      </w:r>
      <w:r>
        <w:rPr>
          <w:rFonts w:hint="eastAsia" w:ascii="仿宋_GB2312" w:hAnsi="仿宋_GB2312" w:eastAsia="仿宋_GB2312" w:cs="仿宋_GB2312"/>
          <w:bCs/>
          <w:kern w:val="0"/>
          <w:sz w:val="32"/>
          <w:szCs w:val="32"/>
          <w:lang w:val="en-US" w:eastAsia="zh-CN"/>
        </w:rPr>
        <w:t>16.5</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highlight w:val="none"/>
        </w:rPr>
        <w:t>主要原因是</w:t>
      </w:r>
      <w:r>
        <w:rPr>
          <w:rFonts w:ascii="仿宋_GB2312" w:hAnsi="仿宋_GB2312" w:eastAsia="仿宋_GB2312" w:cs="仿宋_GB2312"/>
          <w:bCs/>
          <w:kern w:val="0"/>
          <w:sz w:val="32"/>
          <w:szCs w:val="32"/>
        </w:rPr>
        <w:t>根据权责清单，</w:t>
      </w:r>
      <w:r>
        <w:rPr>
          <w:rFonts w:hint="eastAsia" w:ascii="仿宋_GB2312" w:hAnsi="仿宋_GB2312" w:eastAsia="仿宋_GB2312" w:cs="仿宋_GB2312"/>
          <w:bCs/>
          <w:kern w:val="0"/>
          <w:sz w:val="32"/>
          <w:szCs w:val="32"/>
          <w:highlight w:val="none"/>
        </w:rPr>
        <w:t>部分市政业务事权转移</w:t>
      </w:r>
      <w:r>
        <w:rPr>
          <w:rFonts w:ascii="仿宋_GB2312" w:hAnsi="仿宋_GB2312" w:eastAsia="仿宋_GB2312" w:cs="仿宋_GB2312"/>
          <w:bCs/>
          <w:kern w:val="0"/>
          <w:sz w:val="32"/>
          <w:szCs w:val="32"/>
        </w:rPr>
        <w:t>至行政区负责</w:t>
      </w:r>
      <w:r>
        <w:rPr>
          <w:rFonts w:hint="eastAsia" w:ascii="仿宋_GB2312" w:hAnsi="仿宋_GB2312" w:eastAsia="仿宋_GB2312" w:cs="仿宋_GB2312"/>
          <w:bCs/>
          <w:kern w:val="0"/>
          <w:sz w:val="32"/>
          <w:szCs w:val="32"/>
        </w:rPr>
        <w:t>。</w:t>
      </w:r>
    </w:p>
    <w:p>
      <w:pPr>
        <w:shd w:val="clear" w:color="auto" w:fill="FFFFFF"/>
        <w:adjustRightInd w:val="0"/>
        <w:snapToGrid w:val="0"/>
        <w:spacing w:line="560" w:lineRule="exact"/>
        <w:ind w:firstLine="640" w:firstLineChars="200"/>
        <w:rPr>
          <w:rFonts w:ascii="仿宋_GB2312" w:hAnsi="仿宋_GB2312" w:eastAsia="仿宋_GB2312" w:cs="仿宋_GB2312"/>
          <w:color w:val="FF0000"/>
          <w:kern w:val="0"/>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七</w:t>
      </w:r>
      <w:r>
        <w:rPr>
          <w:rFonts w:hint="eastAsia" w:ascii="楷体_GB2312" w:hAnsi="仿宋_GB2312" w:eastAsia="楷体_GB2312" w:cs="仿宋_GB2312"/>
          <w:kern w:val="0"/>
          <w:sz w:val="32"/>
          <w:szCs w:val="32"/>
        </w:rPr>
        <w:t>）商业服务业等支出。</w:t>
      </w:r>
      <w:r>
        <w:rPr>
          <w:rFonts w:hint="eastAsia" w:ascii="仿宋_GB2312" w:hAnsi="仿宋_GB2312" w:eastAsia="仿宋_GB2312" w:cs="仿宋_GB2312"/>
          <w:kern w:val="0"/>
          <w:sz w:val="32"/>
          <w:szCs w:val="32"/>
        </w:rPr>
        <w:t>反映商业服务业事务支出，主要用于局属企业增资以及对金融业、商贸物流业、专业服务业等现代服务业的产业扶持。</w:t>
      </w:r>
      <w:r>
        <w:rPr>
          <w:rFonts w:ascii="仿宋_GB2312" w:hAnsi="仿宋_GB2312" w:eastAsia="仿宋_GB2312" w:cs="仿宋_GB2312"/>
          <w:kern w:val="0"/>
          <w:sz w:val="32"/>
          <w:szCs w:val="32"/>
        </w:rPr>
        <w:t>2024年度</w:t>
      </w:r>
      <w:r>
        <w:rPr>
          <w:rFonts w:hint="eastAsia" w:ascii="仿宋_GB2312" w:hAnsi="仿宋_GB2312" w:eastAsia="仿宋_GB2312" w:cs="仿宋_GB2312"/>
          <w:kern w:val="0"/>
          <w:sz w:val="32"/>
          <w:szCs w:val="32"/>
        </w:rPr>
        <w:t>计划安排</w:t>
      </w:r>
      <w:r>
        <w:rPr>
          <w:rFonts w:ascii="仿宋_GB2312" w:hAnsi="仿宋_GB2312" w:eastAsia="仿宋_GB2312" w:cs="仿宋_GB2312"/>
          <w:kern w:val="0"/>
          <w:sz w:val="32"/>
          <w:szCs w:val="32"/>
        </w:rPr>
        <w:t>21.37亿元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较</w:t>
      </w:r>
      <w:r>
        <w:rPr>
          <w:rFonts w:ascii="仿宋_GB2312" w:hAnsi="仿宋_GB2312" w:eastAsia="仿宋_GB2312" w:cs="仿宋_GB2312"/>
          <w:bCs/>
          <w:kern w:val="0"/>
          <w:sz w:val="32"/>
          <w:szCs w:val="32"/>
        </w:rPr>
        <w:t>2023年</w:t>
      </w:r>
      <w:r>
        <w:rPr>
          <w:rFonts w:hint="eastAsia" w:ascii="仿宋_GB2312" w:hAnsi="仿宋_GB2312" w:eastAsia="仿宋_GB2312" w:cs="仿宋_GB2312"/>
          <w:bCs/>
          <w:kern w:val="0"/>
          <w:sz w:val="32"/>
          <w:szCs w:val="32"/>
          <w:lang w:eastAsia="zh-CN"/>
        </w:rPr>
        <w:t>执行数</w:t>
      </w:r>
      <w:r>
        <w:rPr>
          <w:rFonts w:ascii="仿宋_GB2312" w:hAnsi="仿宋_GB2312" w:eastAsia="仿宋_GB2312" w:cs="仿宋_GB2312"/>
          <w:bCs/>
          <w:kern w:val="0"/>
          <w:sz w:val="32"/>
          <w:szCs w:val="32"/>
        </w:rPr>
        <w:t>减少</w:t>
      </w:r>
      <w:r>
        <w:rPr>
          <w:rFonts w:hint="eastAsia" w:ascii="仿宋_GB2312" w:hAnsi="仿宋_GB2312" w:eastAsia="仿宋_GB2312" w:cs="仿宋_GB2312"/>
          <w:bCs/>
          <w:kern w:val="0"/>
          <w:sz w:val="32"/>
          <w:szCs w:val="32"/>
          <w:lang w:val="en-US" w:eastAsia="zh-CN"/>
        </w:rPr>
        <w:t>21.79</w:t>
      </w:r>
      <w:r>
        <w:rPr>
          <w:rFonts w:ascii="仿宋_GB2312" w:hAnsi="仿宋_GB2312" w:eastAsia="仿宋_GB2312" w:cs="仿宋_GB2312"/>
          <w:bCs/>
          <w:kern w:val="0"/>
          <w:sz w:val="32"/>
          <w:szCs w:val="32"/>
        </w:rPr>
        <w:t>亿元，下降</w:t>
      </w:r>
      <w:r>
        <w:rPr>
          <w:rFonts w:hint="eastAsia" w:ascii="仿宋_GB2312" w:hAnsi="仿宋_GB2312" w:eastAsia="仿宋_GB2312" w:cs="仿宋_GB2312"/>
          <w:bCs/>
          <w:kern w:val="0"/>
          <w:sz w:val="32"/>
          <w:szCs w:val="32"/>
          <w:lang w:val="en-US" w:eastAsia="zh-CN"/>
        </w:rPr>
        <w:t>50.5</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highlight w:val="none"/>
        </w:rPr>
        <w:t>主要原因是</w:t>
      </w:r>
      <w:r>
        <w:rPr>
          <w:rFonts w:ascii="仿宋_GB2312" w:hAnsi="仿宋_GB2312" w:eastAsia="仿宋_GB2312" w:cs="仿宋_GB2312"/>
          <w:bCs/>
          <w:kern w:val="0"/>
          <w:sz w:val="32"/>
          <w:szCs w:val="32"/>
        </w:rPr>
        <w:t>2024年一般公共预算未安排国企</w:t>
      </w:r>
      <w:r>
        <w:rPr>
          <w:rFonts w:hint="eastAsia" w:ascii="仿宋_GB2312" w:hAnsi="仿宋_GB2312" w:eastAsia="仿宋_GB2312" w:cs="仿宋_GB2312"/>
          <w:bCs/>
          <w:kern w:val="0"/>
          <w:sz w:val="32"/>
          <w:szCs w:val="32"/>
          <w:highlight w:val="none"/>
        </w:rPr>
        <w:t>增资</w:t>
      </w:r>
      <w:r>
        <w:rPr>
          <w:rFonts w:hint="eastAsia" w:ascii="仿宋_GB2312" w:hAnsi="仿宋_GB2312" w:eastAsia="仿宋_GB2312" w:cs="仿宋_GB2312"/>
          <w:bCs/>
          <w:kern w:val="0"/>
          <w:sz w:val="32"/>
          <w:szCs w:val="32"/>
        </w:rPr>
        <w:t>。</w:t>
      </w:r>
    </w:p>
    <w:p>
      <w:pPr>
        <w:shd w:val="clear" w:color="auto" w:fill="FFFFFF"/>
        <w:adjustRightInd w:val="0"/>
        <w:snapToGrid w:val="0"/>
        <w:spacing w:line="560" w:lineRule="exact"/>
        <w:ind w:firstLine="640" w:firstLineChars="200"/>
        <w:rPr>
          <w:rFonts w:ascii="仿宋_GB2312" w:eastAsia="仿宋_GB2312"/>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八</w:t>
      </w:r>
      <w:r>
        <w:rPr>
          <w:rFonts w:hint="eastAsia" w:ascii="楷体_GB2312" w:hAnsi="仿宋_GB2312" w:eastAsia="楷体_GB2312" w:cs="仿宋_GB2312"/>
          <w:kern w:val="0"/>
          <w:sz w:val="32"/>
          <w:szCs w:val="32"/>
        </w:rPr>
        <w:t>）</w:t>
      </w:r>
      <w:r>
        <w:rPr>
          <w:rFonts w:hint="eastAsia" w:ascii="楷体_GB2312" w:eastAsia="楷体_GB2312"/>
          <w:sz w:val="32"/>
          <w:szCs w:val="32"/>
        </w:rPr>
        <w:t>金融支出。</w:t>
      </w:r>
      <w:r>
        <w:rPr>
          <w:rFonts w:hint="eastAsia" w:ascii="仿宋_GB2312" w:eastAsia="仿宋_GB2312"/>
          <w:sz w:val="32"/>
          <w:szCs w:val="32"/>
        </w:rPr>
        <w:t>反映金融</w:t>
      </w:r>
      <w:r>
        <w:rPr>
          <w:rFonts w:hint="eastAsia" w:ascii="仿宋_GB2312" w:eastAsia="仿宋_GB2312"/>
          <w:sz w:val="32"/>
          <w:szCs w:val="32"/>
          <w:lang w:eastAsia="zh-CN"/>
        </w:rPr>
        <w:t>事务</w:t>
      </w:r>
      <w:r>
        <w:rPr>
          <w:rFonts w:hint="eastAsia" w:ascii="仿宋_GB2312" w:eastAsia="仿宋_GB2312"/>
          <w:sz w:val="32"/>
          <w:szCs w:val="32"/>
        </w:rPr>
        <w:t>支出，主要用于前海金融行业创新及规范管理事务。</w:t>
      </w:r>
      <w:r>
        <w:rPr>
          <w:rFonts w:ascii="仿宋_GB2312" w:hAnsi="仿宋_GB2312" w:eastAsia="仿宋_GB2312" w:cs="仿宋_GB2312"/>
          <w:kern w:val="0"/>
          <w:sz w:val="32"/>
          <w:szCs w:val="32"/>
        </w:rPr>
        <w:t>2024年度</w:t>
      </w:r>
      <w:r>
        <w:rPr>
          <w:rFonts w:hint="eastAsia" w:ascii="仿宋_GB2312" w:eastAsia="仿宋_GB2312"/>
          <w:sz w:val="32"/>
          <w:szCs w:val="32"/>
        </w:rPr>
        <w:t>计划安排</w:t>
      </w:r>
      <w:r>
        <w:rPr>
          <w:rFonts w:ascii="仿宋_GB2312" w:eastAsia="仿宋_GB2312"/>
          <w:sz w:val="32"/>
          <w:szCs w:val="32"/>
        </w:rPr>
        <w:t>0.08</w:t>
      </w:r>
      <w:r>
        <w:rPr>
          <w:rFonts w:hint="eastAsia" w:ascii="仿宋_GB2312" w:eastAsia="仿宋_GB2312"/>
          <w:sz w:val="32"/>
          <w:szCs w:val="32"/>
        </w:rPr>
        <w:t>亿元，</w:t>
      </w:r>
      <w:r>
        <w:rPr>
          <w:rFonts w:hint="eastAsia" w:ascii="仿宋_GB2312" w:eastAsia="仿宋_GB2312"/>
          <w:sz w:val="32"/>
          <w:szCs w:val="32"/>
          <w:lang w:eastAsia="zh-CN"/>
        </w:rPr>
        <w:t>较</w:t>
      </w:r>
      <w:r>
        <w:rPr>
          <w:rFonts w:ascii="仿宋_GB2312" w:hAnsi="仿宋_GB2312" w:eastAsia="仿宋_GB2312" w:cs="仿宋_GB2312"/>
          <w:bCs/>
          <w:kern w:val="0"/>
          <w:sz w:val="32"/>
          <w:szCs w:val="32"/>
        </w:rPr>
        <w:t>2023年</w:t>
      </w:r>
      <w:r>
        <w:rPr>
          <w:rFonts w:hint="eastAsia" w:ascii="仿宋_GB2312" w:hAnsi="仿宋_GB2312" w:eastAsia="仿宋_GB2312" w:cs="仿宋_GB2312"/>
          <w:bCs/>
          <w:kern w:val="0"/>
          <w:sz w:val="32"/>
          <w:szCs w:val="32"/>
          <w:lang w:eastAsia="zh-CN"/>
        </w:rPr>
        <w:t>执行数</w:t>
      </w:r>
      <w:r>
        <w:rPr>
          <w:rFonts w:ascii="仿宋_GB2312" w:hAnsi="仿宋_GB2312" w:eastAsia="仿宋_GB2312" w:cs="仿宋_GB2312"/>
          <w:bCs/>
          <w:kern w:val="0"/>
          <w:sz w:val="32"/>
          <w:szCs w:val="32"/>
        </w:rPr>
        <w:t>减少0.0</w:t>
      </w:r>
      <w:r>
        <w:rPr>
          <w:rFonts w:hint="eastAsia" w:ascii="仿宋_GB2312" w:hAnsi="仿宋_GB2312" w:eastAsia="仿宋_GB2312" w:cs="仿宋_GB2312"/>
          <w:bCs/>
          <w:kern w:val="0"/>
          <w:sz w:val="32"/>
          <w:szCs w:val="32"/>
          <w:lang w:val="en-US" w:eastAsia="zh-CN"/>
        </w:rPr>
        <w:t>2</w:t>
      </w:r>
      <w:r>
        <w:rPr>
          <w:rFonts w:ascii="仿宋_GB2312" w:hAnsi="仿宋_GB2312" w:eastAsia="仿宋_GB2312" w:cs="仿宋_GB2312"/>
          <w:bCs/>
          <w:kern w:val="0"/>
          <w:sz w:val="32"/>
          <w:szCs w:val="32"/>
        </w:rPr>
        <w:t>亿元，下降</w:t>
      </w:r>
      <w:r>
        <w:rPr>
          <w:rFonts w:hint="eastAsia" w:ascii="仿宋_GB2312" w:hAnsi="仿宋_GB2312" w:eastAsia="仿宋_GB2312" w:cs="仿宋_GB2312"/>
          <w:bCs/>
          <w:kern w:val="0"/>
          <w:sz w:val="32"/>
          <w:szCs w:val="32"/>
          <w:lang w:val="en-US" w:eastAsia="zh-CN"/>
        </w:rPr>
        <w:t>23.2</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highlight w:val="none"/>
        </w:rPr>
        <w:t>主要原因</w:t>
      </w:r>
      <w:r>
        <w:rPr>
          <w:rFonts w:ascii="仿宋_GB2312" w:hAnsi="仿宋_GB2312" w:eastAsia="仿宋_GB2312" w:cs="仿宋_GB2312"/>
          <w:bCs/>
          <w:kern w:val="0"/>
          <w:sz w:val="32"/>
          <w:szCs w:val="32"/>
        </w:rPr>
        <w:t>是厉行节约，压减一般性经费支出</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部分工作经费转由</w:t>
      </w:r>
      <w:r>
        <w:rPr>
          <w:rFonts w:ascii="仿宋_GB2312" w:hAnsi="仿宋_GB2312" w:eastAsia="仿宋_GB2312" w:cs="仿宋_GB2312"/>
          <w:bCs/>
          <w:kern w:val="0"/>
          <w:sz w:val="32"/>
          <w:szCs w:val="32"/>
        </w:rPr>
        <w:t>其</w:t>
      </w:r>
      <w:r>
        <w:rPr>
          <w:rFonts w:hint="eastAsia" w:ascii="仿宋_GB2312" w:hAnsi="仿宋_GB2312" w:eastAsia="仿宋_GB2312" w:cs="仿宋_GB2312"/>
          <w:bCs/>
          <w:kern w:val="0"/>
          <w:sz w:val="32"/>
          <w:szCs w:val="32"/>
          <w:lang w:eastAsia="zh-CN"/>
        </w:rPr>
        <w:t>他</w:t>
      </w:r>
      <w:r>
        <w:rPr>
          <w:rFonts w:ascii="仿宋_GB2312" w:hAnsi="仿宋_GB2312" w:eastAsia="仿宋_GB2312" w:cs="仿宋_GB2312"/>
          <w:bCs/>
          <w:kern w:val="0"/>
          <w:sz w:val="32"/>
          <w:szCs w:val="32"/>
        </w:rPr>
        <w:t>科目保障。</w:t>
      </w:r>
    </w:p>
    <w:p>
      <w:pPr>
        <w:shd w:val="clear" w:color="auto" w:fill="FFFFFF"/>
        <w:adjustRightInd w:val="0"/>
        <w:snapToGrid w:val="0"/>
        <w:spacing w:line="560" w:lineRule="exact"/>
        <w:ind w:firstLine="640" w:firstLineChars="200"/>
        <w:rPr>
          <w:rFonts w:ascii="楷体_GB2312" w:eastAsia="楷体_GB2312"/>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九</w:t>
      </w:r>
      <w:r>
        <w:rPr>
          <w:rFonts w:hint="eastAsia" w:ascii="楷体_GB2312" w:hAnsi="仿宋_GB2312" w:eastAsia="楷体_GB2312" w:cs="仿宋_GB2312"/>
          <w:kern w:val="0"/>
          <w:sz w:val="32"/>
          <w:szCs w:val="32"/>
        </w:rPr>
        <w:t>）</w:t>
      </w:r>
      <w:r>
        <w:rPr>
          <w:rFonts w:hint="eastAsia" w:ascii="楷体_GB2312" w:eastAsia="楷体_GB2312"/>
          <w:sz w:val="32"/>
          <w:szCs w:val="32"/>
        </w:rPr>
        <w:t>住房保障支出。</w:t>
      </w:r>
      <w:r>
        <w:rPr>
          <w:rFonts w:hint="eastAsia" w:ascii="仿宋_GB2312" w:eastAsia="仿宋_GB2312"/>
          <w:sz w:val="32"/>
          <w:szCs w:val="32"/>
        </w:rPr>
        <w:t>反映政府住房</w:t>
      </w:r>
      <w:r>
        <w:rPr>
          <w:rFonts w:hint="eastAsia" w:ascii="仿宋_GB2312" w:eastAsia="仿宋_GB2312"/>
          <w:sz w:val="32"/>
          <w:szCs w:val="32"/>
          <w:lang w:eastAsia="zh-CN"/>
        </w:rPr>
        <w:t>保障</w:t>
      </w:r>
      <w:r>
        <w:rPr>
          <w:rFonts w:hint="eastAsia" w:ascii="仿宋_GB2312" w:eastAsia="仿宋_GB2312"/>
          <w:sz w:val="32"/>
          <w:szCs w:val="32"/>
          <w:lang w:val="en-US" w:eastAsia="zh-CN"/>
        </w:rPr>
        <w:t>事务</w:t>
      </w:r>
      <w:r>
        <w:rPr>
          <w:rFonts w:hint="eastAsia" w:ascii="仿宋_GB2312" w:eastAsia="仿宋_GB2312"/>
          <w:sz w:val="32"/>
          <w:szCs w:val="32"/>
        </w:rPr>
        <w:t>支出，主要用于前海合作区住房保障相关支出。</w:t>
      </w:r>
      <w:r>
        <w:rPr>
          <w:rFonts w:hint="eastAsia" w:ascii="仿宋_GB2312" w:hAnsi="仿宋_GB2312" w:eastAsia="仿宋_GB2312" w:cs="仿宋_GB2312"/>
          <w:kern w:val="0"/>
          <w:sz w:val="32"/>
          <w:szCs w:val="32"/>
        </w:rPr>
        <w:t>2024年度</w:t>
      </w:r>
      <w:r>
        <w:rPr>
          <w:rFonts w:hint="eastAsia" w:ascii="仿宋_GB2312" w:eastAsia="仿宋_GB2312"/>
          <w:sz w:val="32"/>
          <w:szCs w:val="32"/>
        </w:rPr>
        <w:t>计划安排0.1</w:t>
      </w:r>
      <w:r>
        <w:rPr>
          <w:rFonts w:ascii="仿宋_GB2312" w:eastAsia="仿宋_GB2312"/>
          <w:sz w:val="32"/>
          <w:szCs w:val="32"/>
        </w:rPr>
        <w:t>7</w:t>
      </w:r>
      <w:r>
        <w:rPr>
          <w:rFonts w:hint="eastAsia" w:ascii="仿宋_GB2312" w:eastAsia="仿宋_GB2312"/>
          <w:sz w:val="32"/>
          <w:szCs w:val="32"/>
        </w:rPr>
        <w:t>亿元，</w:t>
      </w:r>
      <w:r>
        <w:rPr>
          <w:rFonts w:hint="eastAsia" w:ascii="仿宋_GB2312" w:hAnsi="仿宋_GB2312" w:eastAsia="仿宋_GB2312" w:cs="仿宋_GB2312"/>
          <w:bCs/>
          <w:kern w:val="0"/>
          <w:sz w:val="32"/>
          <w:szCs w:val="32"/>
        </w:rPr>
        <w:t>比2023年</w:t>
      </w:r>
      <w:r>
        <w:rPr>
          <w:rFonts w:hint="eastAsia" w:ascii="仿宋_GB2312" w:hAnsi="仿宋_GB2312" w:eastAsia="仿宋_GB2312" w:cs="仿宋_GB2312"/>
          <w:bCs/>
          <w:kern w:val="0"/>
          <w:sz w:val="32"/>
          <w:szCs w:val="32"/>
          <w:lang w:val="en-US" w:eastAsia="zh-CN"/>
        </w:rPr>
        <w:t>执行数</w:t>
      </w:r>
      <w:r>
        <w:rPr>
          <w:rFonts w:hint="eastAsia" w:ascii="仿宋_GB2312" w:hAnsi="仿宋_GB2312" w:eastAsia="仿宋_GB2312" w:cs="仿宋_GB2312"/>
          <w:bCs/>
          <w:kern w:val="0"/>
          <w:sz w:val="32"/>
          <w:szCs w:val="32"/>
        </w:rPr>
        <w:t>增长</w:t>
      </w:r>
      <w:r>
        <w:rPr>
          <w:rFonts w:hint="eastAsia" w:ascii="仿宋_GB2312" w:hAnsi="仿宋_GB2312" w:eastAsia="仿宋_GB2312" w:cs="仿宋_GB2312"/>
          <w:bCs/>
          <w:kern w:val="0"/>
          <w:sz w:val="32"/>
          <w:szCs w:val="32"/>
          <w:lang w:val="en-US" w:eastAsia="zh-CN"/>
        </w:rPr>
        <w:t>0.03</w:t>
      </w:r>
      <w:r>
        <w:rPr>
          <w:rFonts w:hint="eastAsia" w:ascii="仿宋_GB2312" w:hAnsi="仿宋_GB2312" w:eastAsia="仿宋_GB2312" w:cs="仿宋_GB2312"/>
          <w:bCs/>
          <w:kern w:val="0"/>
          <w:sz w:val="32"/>
          <w:szCs w:val="32"/>
        </w:rPr>
        <w:t>亿元，增长</w:t>
      </w:r>
      <w:r>
        <w:rPr>
          <w:rFonts w:hint="eastAsia" w:ascii="仿宋_GB2312" w:hAnsi="仿宋_GB2312" w:eastAsia="仿宋_GB2312" w:cs="仿宋_GB2312"/>
          <w:bCs/>
          <w:kern w:val="0"/>
          <w:sz w:val="32"/>
          <w:szCs w:val="32"/>
          <w:lang w:val="en-US" w:eastAsia="zh-CN"/>
        </w:rPr>
        <w:t>20.7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lang w:val="en-US" w:eastAsia="zh-CN"/>
        </w:rPr>
        <w:t>主要原因是扩区后管理职能增加，授薪员额人数逐步增加</w:t>
      </w:r>
      <w:r>
        <w:rPr>
          <w:rFonts w:hint="eastAsia" w:ascii="仿宋_GB2312" w:hAnsi="仿宋_GB2312" w:eastAsia="仿宋_GB2312" w:cs="仿宋_GB2312"/>
          <w:kern w:val="0"/>
          <w:sz w:val="32"/>
          <w:szCs w:val="32"/>
        </w:rPr>
        <w:t>。</w:t>
      </w:r>
    </w:p>
    <w:p>
      <w:pPr>
        <w:shd w:val="clear" w:color="auto" w:fill="FFFFFF"/>
        <w:adjustRightInd w:val="0"/>
        <w:snapToGrid w:val="0"/>
        <w:spacing w:line="560" w:lineRule="exact"/>
        <w:ind w:firstLine="640" w:firstLineChars="200"/>
        <w:rPr>
          <w:rFonts w:ascii="仿宋_GB2312" w:eastAsia="仿宋_GB2312"/>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eastAsia="zh-CN"/>
        </w:rPr>
        <w:t>十</w:t>
      </w:r>
      <w:r>
        <w:rPr>
          <w:rFonts w:hint="eastAsia" w:ascii="楷体_GB2312" w:hAnsi="仿宋_GB2312" w:eastAsia="楷体_GB2312" w:cs="仿宋_GB2312"/>
          <w:kern w:val="0"/>
          <w:sz w:val="32"/>
          <w:szCs w:val="32"/>
        </w:rPr>
        <w:t>）预备费。</w:t>
      </w:r>
      <w:r>
        <w:rPr>
          <w:rFonts w:hint="eastAsia" w:ascii="仿宋_GB2312" w:eastAsia="仿宋_GB2312"/>
          <w:sz w:val="32"/>
          <w:szCs w:val="32"/>
        </w:rPr>
        <w:t>反映预算中安排的预备费，主要用于当年预算执行中的自然灾害等突发事件处理增加的支出及其</w:t>
      </w:r>
      <w:r>
        <w:rPr>
          <w:rFonts w:hint="eastAsia" w:ascii="仿宋_GB2312" w:eastAsia="仿宋_GB2312"/>
          <w:sz w:val="32"/>
          <w:szCs w:val="32"/>
          <w:lang w:eastAsia="zh-CN"/>
        </w:rPr>
        <w:t>他</w:t>
      </w:r>
      <w:r>
        <w:rPr>
          <w:rFonts w:hint="eastAsia" w:ascii="仿宋_GB2312" w:eastAsia="仿宋_GB2312"/>
          <w:sz w:val="32"/>
          <w:szCs w:val="32"/>
        </w:rPr>
        <w:t>难以预见的开支。</w:t>
      </w:r>
      <w:r>
        <w:rPr>
          <w:rFonts w:hint="eastAsia" w:ascii="仿宋_GB2312" w:hAnsi="仿宋_GB2312" w:eastAsia="仿宋_GB2312" w:cs="仿宋_GB2312"/>
          <w:kern w:val="0"/>
          <w:sz w:val="32"/>
          <w:szCs w:val="32"/>
        </w:rPr>
        <w:t>2024年度</w:t>
      </w:r>
      <w:r>
        <w:rPr>
          <w:rFonts w:hint="eastAsia" w:ascii="仿宋_GB2312" w:eastAsia="仿宋_GB2312"/>
          <w:sz w:val="32"/>
          <w:szCs w:val="32"/>
        </w:rPr>
        <w:t>计划安排1</w:t>
      </w:r>
      <w:r>
        <w:rPr>
          <w:rFonts w:ascii="仿宋_GB2312" w:eastAsia="仿宋_GB2312"/>
          <w:sz w:val="32"/>
          <w:szCs w:val="32"/>
        </w:rPr>
        <w:t>.50</w:t>
      </w:r>
      <w:r>
        <w:rPr>
          <w:rFonts w:hint="eastAsia" w:ascii="仿宋_GB2312" w:eastAsia="仿宋_GB2312"/>
          <w:sz w:val="32"/>
          <w:szCs w:val="32"/>
        </w:rPr>
        <w:t>亿元，规模占本级一般公共预算支出的比重约为3</w:t>
      </w:r>
      <w:r>
        <w:rPr>
          <w:rFonts w:ascii="仿宋_GB2312" w:eastAsia="仿宋_GB2312"/>
          <w:sz w:val="32"/>
          <w:szCs w:val="32"/>
        </w:rPr>
        <w:t>%</w:t>
      </w:r>
      <w:r>
        <w:rPr>
          <w:rFonts w:hint="eastAsia" w:ascii="仿宋_GB2312" w:eastAsia="仿宋_GB2312"/>
          <w:sz w:val="32"/>
          <w:szCs w:val="32"/>
        </w:rPr>
        <w:t>。</w:t>
      </w:r>
    </w:p>
    <w:p>
      <w:pPr>
        <w:pStyle w:val="3"/>
        <w:spacing w:before="0" w:line="560" w:lineRule="exact"/>
      </w:pPr>
    </w:p>
    <w:p>
      <w:pPr>
        <w:pStyle w:val="3"/>
        <w:numPr>
          <w:ilvl w:val="0"/>
          <w:numId w:val="1"/>
        </w:numPr>
        <w:adjustRightInd w:val="0"/>
        <w:snapToGrid w:val="0"/>
        <w:spacing w:before="0" w:line="560" w:lineRule="exact"/>
        <w:ind w:left="0"/>
        <w:jc w:val="center"/>
        <w:outlineLvl w:val="0"/>
        <w:rPr>
          <w:rFonts w:ascii="黑体" w:hAnsi="黑体" w:eastAsia="黑体" w:cs="仿宋_GB2312"/>
        </w:rPr>
      </w:pPr>
      <w:r>
        <w:rPr>
          <w:rFonts w:hint="eastAsia" w:ascii="黑体" w:hAnsi="黑体" w:eastAsia="黑体" w:cs="仿宋_GB2312"/>
        </w:rPr>
        <w:t xml:space="preserve"> 前海合作区政府性基金预算（草案）</w:t>
      </w:r>
    </w:p>
    <w:p>
      <w:pPr>
        <w:pStyle w:val="3"/>
        <w:numPr>
          <w:ilvl w:val="255"/>
          <w:numId w:val="0"/>
        </w:numPr>
        <w:adjustRightInd w:val="0"/>
        <w:snapToGrid w:val="0"/>
        <w:spacing w:before="0" w:line="560" w:lineRule="exact"/>
        <w:outlineLvl w:val="0"/>
        <w:rPr>
          <w:rFonts w:ascii="黑体" w:hAnsi="黑体" w:eastAsia="黑体" w:cs="仿宋_GB2312"/>
        </w:rPr>
      </w:pPr>
    </w:p>
    <w:p>
      <w:pPr>
        <w:shd w:val="clear" w:color="auto" w:fill="FFFFFF"/>
        <w:adjustRightInd w:val="0"/>
        <w:snapToGrid w:val="0"/>
        <w:spacing w:line="56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一、</w:t>
      </w:r>
      <w:r>
        <w:rPr>
          <w:rFonts w:ascii="黑体" w:hAnsi="黑体" w:eastAsia="黑体" w:cs="黑体"/>
          <w:kern w:val="0"/>
          <w:sz w:val="32"/>
          <w:szCs w:val="32"/>
        </w:rPr>
        <w:t>2024</w:t>
      </w:r>
      <w:r>
        <w:rPr>
          <w:rFonts w:hint="eastAsia" w:ascii="黑体" w:hAnsi="黑体" w:eastAsia="黑体" w:cs="黑体"/>
          <w:kern w:val="0"/>
          <w:sz w:val="32"/>
          <w:szCs w:val="32"/>
        </w:rPr>
        <w:t>年政府性基金</w:t>
      </w:r>
      <w:r>
        <w:rPr>
          <w:rFonts w:hint="eastAsia" w:ascii="黑体" w:hAnsi="黑体" w:eastAsia="黑体" w:cs="黑体"/>
          <w:kern w:val="0"/>
          <w:sz w:val="32"/>
          <w:szCs w:val="32"/>
          <w:lang w:val="en-US" w:eastAsia="zh-CN"/>
        </w:rPr>
        <w:t>预算</w:t>
      </w:r>
      <w:r>
        <w:rPr>
          <w:rFonts w:hint="eastAsia" w:ascii="黑体" w:hAnsi="黑体" w:eastAsia="黑体" w:cs="黑体"/>
          <w:kern w:val="0"/>
          <w:sz w:val="32"/>
          <w:szCs w:val="32"/>
        </w:rPr>
        <w:t>收入预算</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政府性基金预算收入71.69</w:t>
      </w:r>
      <w:r>
        <w:rPr>
          <w:rFonts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rPr>
        <w:t>比</w:t>
      </w:r>
      <w:r>
        <w:rPr>
          <w:rFonts w:ascii="仿宋_GB2312" w:hAnsi="仿宋_GB2312" w:eastAsia="仿宋_GB2312" w:cs="仿宋_GB2312"/>
          <w:kern w:val="0"/>
          <w:sz w:val="32"/>
          <w:szCs w:val="32"/>
          <w:highlight w:val="none"/>
        </w:rPr>
        <w:t>2023年</w:t>
      </w:r>
      <w:r>
        <w:rPr>
          <w:rFonts w:hint="eastAsia" w:ascii="仿宋_GB2312" w:hAnsi="仿宋_GB2312" w:eastAsia="仿宋_GB2312" w:cs="仿宋_GB2312"/>
          <w:kern w:val="0"/>
          <w:sz w:val="32"/>
          <w:szCs w:val="32"/>
          <w:highlight w:val="none"/>
          <w:lang w:eastAsia="zh-CN"/>
        </w:rPr>
        <w:t>预计执行数</w:t>
      </w:r>
      <w:r>
        <w:rPr>
          <w:rFonts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lang w:val="en-US" w:eastAsia="zh-CN"/>
        </w:rPr>
        <w:t>29.47</w:t>
      </w:r>
      <w:r>
        <w:rPr>
          <w:rFonts w:hint="eastAsia" w:ascii="仿宋_GB2312" w:hAnsi="仿宋_GB2312" w:eastAsia="仿宋_GB2312" w:cs="仿宋_GB2312"/>
          <w:kern w:val="0"/>
          <w:sz w:val="32"/>
          <w:szCs w:val="32"/>
          <w:highlight w:val="none"/>
        </w:rPr>
        <w:t>亿元</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其中：转移性收入</w:t>
      </w:r>
      <w:r>
        <w:rPr>
          <w:rFonts w:hint="eastAsia" w:ascii="仿宋_GB2312" w:hAnsi="仿宋_GB2312" w:eastAsia="仿宋_GB2312" w:cs="仿宋_GB2312"/>
          <w:kern w:val="0"/>
          <w:sz w:val="32"/>
          <w:szCs w:val="32"/>
          <w:lang w:val="en-US" w:eastAsia="zh-CN"/>
        </w:rPr>
        <w:t>69.94</w:t>
      </w:r>
      <w:r>
        <w:rPr>
          <w:rFonts w:hint="eastAsia" w:ascii="仿宋_GB2312" w:hAnsi="仿宋_GB2312" w:eastAsia="仿宋_GB2312" w:cs="仿宋_GB2312"/>
          <w:kern w:val="0"/>
          <w:sz w:val="32"/>
          <w:szCs w:val="32"/>
        </w:rPr>
        <w:t>亿元、专项债券对应专项收入</w:t>
      </w:r>
      <w:r>
        <w:rPr>
          <w:rFonts w:hint="eastAsia" w:ascii="仿宋_GB2312" w:hAnsi="仿宋_GB2312" w:eastAsia="仿宋_GB2312" w:cs="仿宋_GB2312"/>
          <w:kern w:val="0"/>
          <w:sz w:val="32"/>
          <w:szCs w:val="32"/>
          <w:lang w:val="en-US" w:eastAsia="zh-CN"/>
        </w:rPr>
        <w:t>1.75</w:t>
      </w:r>
      <w:r>
        <w:rPr>
          <w:rFonts w:hint="eastAsia" w:ascii="仿宋_GB2312" w:hAnsi="仿宋_GB2312" w:eastAsia="仿宋_GB2312" w:cs="仿宋_GB2312"/>
          <w:kern w:val="0"/>
          <w:sz w:val="32"/>
          <w:szCs w:val="32"/>
        </w:rPr>
        <w:t>亿元。各项收入预计如下：</w:t>
      </w:r>
    </w:p>
    <w:p>
      <w:pPr>
        <w:shd w:val="clear" w:color="auto" w:fill="FFFFFF"/>
        <w:adjustRightInd w:val="0"/>
        <w:snapToGrid w:val="0"/>
        <w:spacing w:line="560" w:lineRule="exact"/>
        <w:ind w:left="-57" w:firstLine="640" w:firstLineChars="200"/>
        <w:rPr>
          <w:rFonts w:hint="eastAsia" w:ascii="CESI楷体-GB13000" w:hAnsi="CESI楷体-GB13000" w:eastAsia="CESI楷体-GB13000" w:cs="CESI楷体-GB13000"/>
          <w:kern w:val="0"/>
          <w:sz w:val="32"/>
          <w:szCs w:val="32"/>
        </w:rPr>
      </w:pPr>
      <w:r>
        <w:rPr>
          <w:rFonts w:hint="eastAsia" w:ascii="CESI楷体-GB13000" w:hAnsi="CESI楷体-GB13000" w:eastAsia="CESI楷体-GB13000" w:cs="CESI楷体-GB13000"/>
          <w:kern w:val="0"/>
          <w:sz w:val="32"/>
          <w:szCs w:val="32"/>
          <w:lang w:eastAsia="zh-CN"/>
        </w:rPr>
        <w:t>（一）</w:t>
      </w:r>
      <w:r>
        <w:rPr>
          <w:rFonts w:hint="eastAsia" w:ascii="CESI楷体-GB13000" w:hAnsi="CESI楷体-GB13000" w:eastAsia="CESI楷体-GB13000" w:cs="CESI楷体-GB13000"/>
          <w:kern w:val="0"/>
          <w:sz w:val="32"/>
          <w:szCs w:val="32"/>
        </w:rPr>
        <w:t>转移性收入</w:t>
      </w:r>
      <w:r>
        <w:rPr>
          <w:rFonts w:hint="eastAsia" w:ascii="CESI楷体-GB13000" w:hAnsi="CESI楷体-GB13000" w:eastAsia="CESI楷体-GB13000" w:cs="CESI楷体-GB13000"/>
          <w:kern w:val="0"/>
          <w:sz w:val="32"/>
          <w:szCs w:val="32"/>
          <w:lang w:val="en-US" w:eastAsia="zh-CN"/>
        </w:rPr>
        <w:t>69.94</w:t>
      </w:r>
      <w:r>
        <w:rPr>
          <w:rFonts w:hint="eastAsia" w:ascii="CESI楷体-GB13000" w:hAnsi="CESI楷体-GB13000" w:eastAsia="CESI楷体-GB13000" w:cs="CESI楷体-GB13000"/>
          <w:kern w:val="0"/>
          <w:sz w:val="32"/>
          <w:szCs w:val="32"/>
        </w:rPr>
        <w:t>亿元</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政府性基金补助收入</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比</w:t>
      </w:r>
      <w:r>
        <w:rPr>
          <w:rFonts w:hint="eastAsia" w:ascii="仿宋_GB2312" w:hAnsi="仿宋_GB2312" w:eastAsia="仿宋_GB2312" w:cs="仿宋_GB2312"/>
          <w:kern w:val="0"/>
          <w:sz w:val="32"/>
          <w:szCs w:val="32"/>
          <w:lang w:val="en-US" w:eastAsia="zh-CN"/>
        </w:rPr>
        <w:t>2023年预计执行数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31.29</w:t>
      </w:r>
      <w:r>
        <w:rPr>
          <w:rFonts w:hint="eastAsia" w:ascii="仿宋_GB2312" w:hAnsi="仿宋_GB2312" w:eastAsia="仿宋_GB2312" w:cs="仿宋_GB2312"/>
          <w:kern w:val="0"/>
          <w:sz w:val="32"/>
          <w:szCs w:val="32"/>
        </w:rPr>
        <w:t>亿元，主要是根据土地出让计划，预计国有土地使用权出让分成收入减少。</w:t>
      </w:r>
    </w:p>
    <w:p>
      <w:pPr>
        <w:shd w:val="clear" w:color="auto" w:fill="FFFFFF"/>
        <w:adjustRightInd w:val="0"/>
        <w:snapToGrid w:val="0"/>
        <w:spacing w:line="560" w:lineRule="exact"/>
        <w:ind w:left="-57"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上年结余收入</w:t>
      </w:r>
      <w:r>
        <w:rPr>
          <w:rFonts w:hint="eastAsia" w:ascii="仿宋_GB2312" w:hAnsi="仿宋_GB2312" w:eastAsia="仿宋_GB2312" w:cs="仿宋_GB2312"/>
          <w:kern w:val="0"/>
          <w:sz w:val="32"/>
          <w:szCs w:val="32"/>
          <w:lang w:val="en-US" w:eastAsia="zh-CN"/>
        </w:rPr>
        <w:t>37.29</w:t>
      </w:r>
      <w:r>
        <w:rPr>
          <w:rFonts w:hint="eastAsia" w:ascii="仿宋_GB2312" w:hAnsi="仿宋_GB2312" w:eastAsia="仿宋_GB2312" w:cs="仿宋_GB2312"/>
          <w:kern w:val="0"/>
          <w:sz w:val="32"/>
          <w:szCs w:val="32"/>
        </w:rPr>
        <w:t>亿元。</w:t>
      </w:r>
    </w:p>
    <w:p>
      <w:pPr>
        <w:shd w:val="clear" w:color="auto" w:fill="FFFFFF"/>
        <w:adjustRightInd w:val="0"/>
        <w:snapToGrid w:val="0"/>
        <w:spacing w:line="560" w:lineRule="exact"/>
        <w:ind w:left="-57" w:firstLine="640" w:firstLineChars="200"/>
        <w:rPr>
          <w:rFonts w:hint="default"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地方政府专项债务转贷收入</w:t>
      </w:r>
      <w:r>
        <w:rPr>
          <w:rFonts w:hint="eastAsia" w:ascii="仿宋_GB2312" w:hAnsi="仿宋_GB2312" w:eastAsia="仿宋_GB2312" w:cs="仿宋_GB2312"/>
          <w:kern w:val="0"/>
          <w:sz w:val="32"/>
          <w:szCs w:val="32"/>
          <w:lang w:val="en-US" w:eastAsia="zh-CN"/>
        </w:rPr>
        <w:t>2.65亿元。</w:t>
      </w:r>
    </w:p>
    <w:p>
      <w:pPr>
        <w:shd w:val="clear" w:color="auto" w:fill="FFFFFF"/>
        <w:adjustRightInd w:val="0"/>
        <w:snapToGrid w:val="0"/>
        <w:spacing w:line="560" w:lineRule="exact"/>
        <w:ind w:left="-57" w:firstLine="640" w:firstLineChars="200"/>
        <w:rPr>
          <w:rFonts w:hint="eastAsia" w:ascii="CESI楷体-GB13000" w:hAnsi="CESI楷体-GB13000" w:eastAsia="CESI楷体-GB13000" w:cs="CESI楷体-GB13000"/>
          <w:kern w:val="0"/>
          <w:sz w:val="32"/>
          <w:szCs w:val="32"/>
        </w:rPr>
      </w:pPr>
      <w:r>
        <w:rPr>
          <w:rFonts w:hint="eastAsia" w:ascii="CESI楷体-GB13000" w:hAnsi="CESI楷体-GB13000" w:eastAsia="CESI楷体-GB13000" w:cs="CESI楷体-GB13000"/>
          <w:kern w:val="0"/>
          <w:sz w:val="32"/>
          <w:szCs w:val="32"/>
          <w:lang w:eastAsia="zh-CN"/>
        </w:rPr>
        <w:t>（二）</w:t>
      </w:r>
      <w:r>
        <w:rPr>
          <w:rFonts w:hint="eastAsia" w:ascii="CESI楷体-GB13000" w:hAnsi="CESI楷体-GB13000" w:eastAsia="CESI楷体-GB13000" w:cs="CESI楷体-GB13000"/>
          <w:kern w:val="0"/>
          <w:sz w:val="32"/>
          <w:szCs w:val="32"/>
        </w:rPr>
        <w:t>专项债券对应项目专项收入</w:t>
      </w:r>
      <w:r>
        <w:rPr>
          <w:rFonts w:hint="eastAsia" w:ascii="CESI楷体-GB13000" w:hAnsi="CESI楷体-GB13000" w:eastAsia="CESI楷体-GB13000" w:cs="CESI楷体-GB13000"/>
          <w:kern w:val="0"/>
          <w:sz w:val="32"/>
          <w:szCs w:val="32"/>
          <w:lang w:val="en-US" w:eastAsia="zh-CN"/>
        </w:rPr>
        <w:t>1.75</w:t>
      </w:r>
      <w:r>
        <w:rPr>
          <w:rFonts w:hint="eastAsia" w:ascii="CESI楷体-GB13000" w:hAnsi="CESI楷体-GB13000" w:eastAsia="CESI楷体-GB13000" w:cs="CESI楷体-GB13000"/>
          <w:kern w:val="0"/>
          <w:sz w:val="32"/>
          <w:szCs w:val="32"/>
        </w:rPr>
        <w:t>亿元</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专项债对应项目专项收入</w:t>
      </w:r>
      <w:r>
        <w:rPr>
          <w:rFonts w:hint="eastAsia" w:ascii="仿宋_GB2312" w:hAnsi="仿宋_GB2312" w:eastAsia="仿宋_GB2312" w:cs="仿宋_GB2312"/>
          <w:kern w:val="0"/>
          <w:sz w:val="32"/>
          <w:szCs w:val="32"/>
          <w:lang w:val="en-US" w:eastAsia="zh-CN"/>
        </w:rPr>
        <w:t>1.75亿元，比2023年预计执行数</w:t>
      </w:r>
      <w:r>
        <w:rPr>
          <w:rFonts w:hint="eastAsia" w:ascii="仿宋_GB2312" w:hAnsi="仿宋_GB2312" w:eastAsia="仿宋_GB2312" w:cs="仿宋_GB2312"/>
          <w:kern w:val="0"/>
          <w:sz w:val="32"/>
          <w:szCs w:val="32"/>
        </w:rPr>
        <w:t>增加0.7</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亿元，主要是从项目收取的专项债还本付息</w:t>
      </w:r>
      <w:r>
        <w:rPr>
          <w:rFonts w:hint="eastAsia" w:ascii="仿宋_GB2312" w:hAnsi="仿宋_GB2312" w:eastAsia="仿宋_GB2312" w:cs="仿宋_GB2312"/>
          <w:kern w:val="0"/>
          <w:sz w:val="32"/>
          <w:szCs w:val="32"/>
          <w:lang w:eastAsia="zh-CN"/>
        </w:rPr>
        <w:t>金额</w:t>
      </w:r>
      <w:r>
        <w:rPr>
          <w:rFonts w:hint="eastAsia" w:ascii="仿宋_GB2312" w:hAnsi="仿宋_GB2312" w:eastAsia="仿宋_GB2312" w:cs="仿宋_GB2312"/>
          <w:kern w:val="0"/>
          <w:sz w:val="32"/>
          <w:szCs w:val="32"/>
        </w:rPr>
        <w:t>增加。</w:t>
      </w:r>
    </w:p>
    <w:p>
      <w:pPr>
        <w:shd w:val="clear" w:color="auto" w:fill="FFFFFF"/>
        <w:adjustRightInd w:val="0"/>
        <w:snapToGrid w:val="0"/>
        <w:spacing w:line="56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2024</w:t>
      </w:r>
      <w:r>
        <w:rPr>
          <w:rFonts w:hint="eastAsia" w:ascii="黑体" w:hAnsi="黑体" w:eastAsia="黑体" w:cs="黑体"/>
          <w:kern w:val="0"/>
          <w:sz w:val="32"/>
          <w:szCs w:val="32"/>
        </w:rPr>
        <w:t>年政府性基金</w:t>
      </w:r>
      <w:r>
        <w:rPr>
          <w:rFonts w:hint="eastAsia" w:ascii="黑体" w:hAnsi="黑体" w:eastAsia="黑体" w:cs="黑体"/>
          <w:kern w:val="0"/>
          <w:sz w:val="32"/>
          <w:szCs w:val="32"/>
          <w:lang w:val="en-US" w:eastAsia="zh-CN"/>
        </w:rPr>
        <w:t>预算</w:t>
      </w:r>
      <w:r>
        <w:rPr>
          <w:rFonts w:hint="eastAsia" w:ascii="黑体" w:hAnsi="黑体" w:eastAsia="黑体" w:cs="黑体"/>
          <w:kern w:val="0"/>
          <w:sz w:val="32"/>
          <w:szCs w:val="32"/>
        </w:rPr>
        <w:t>支出预算</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val="en-US" w:eastAsia="zh-CN"/>
        </w:rPr>
        <w:t>收支平衡</w:t>
      </w:r>
      <w:r>
        <w:rPr>
          <w:rFonts w:hint="eastAsia" w:ascii="仿宋_GB2312" w:hAnsi="仿宋_GB2312" w:eastAsia="仿宋_GB2312" w:cs="仿宋_GB2312"/>
          <w:kern w:val="0"/>
          <w:sz w:val="32"/>
          <w:szCs w:val="32"/>
        </w:rPr>
        <w:t>原则，相应安排</w:t>
      </w:r>
      <w:r>
        <w:rPr>
          <w:rFonts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rPr>
        <w:t>年前海合作区政府性基金预算总支出</w:t>
      </w:r>
      <w:r>
        <w:rPr>
          <w:rFonts w:hint="eastAsia" w:ascii="仿宋_GB2312" w:hAnsi="仿宋_GB2312" w:eastAsia="仿宋_GB2312" w:cs="仿宋_GB2312"/>
          <w:kern w:val="0"/>
          <w:sz w:val="32"/>
          <w:szCs w:val="32"/>
          <w:lang w:val="en-US" w:eastAsia="zh-CN"/>
        </w:rPr>
        <w:t>71.69</w:t>
      </w:r>
      <w:r>
        <w:rPr>
          <w:rFonts w:hint="eastAsia" w:ascii="仿宋_GB2312" w:hAnsi="仿宋_GB2312" w:eastAsia="仿宋_GB2312" w:cs="仿宋_GB2312"/>
          <w:kern w:val="0"/>
          <w:sz w:val="32"/>
          <w:szCs w:val="32"/>
        </w:rPr>
        <w:t>亿元。主要包括：</w:t>
      </w:r>
    </w:p>
    <w:p>
      <w:pPr>
        <w:numPr>
          <w:ilvl w:val="0"/>
          <w:numId w:val="3"/>
        </w:numPr>
        <w:shd w:val="clear" w:color="auto" w:fill="FFFFFF"/>
        <w:adjustRightInd w:val="0"/>
        <w:snapToGrid w:val="0"/>
        <w:spacing w:line="560" w:lineRule="exact"/>
        <w:ind w:left="-57" w:firstLine="640" w:firstLineChars="200"/>
        <w:rPr>
          <w:rFonts w:hint="eastAsia"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城乡社区支出4</w:t>
      </w:r>
      <w:r>
        <w:rPr>
          <w:rFonts w:ascii="楷体_GB2312" w:hAnsi="仿宋_GB2312" w:eastAsia="楷体_GB2312" w:cs="仿宋_GB2312"/>
          <w:kern w:val="0"/>
          <w:sz w:val="32"/>
          <w:szCs w:val="32"/>
        </w:rPr>
        <w:t>6</w:t>
      </w:r>
      <w:r>
        <w:rPr>
          <w:rFonts w:hint="eastAsia" w:ascii="楷体_GB2312" w:hAnsi="仿宋_GB2312" w:eastAsia="楷体_GB2312" w:cs="仿宋_GB2312"/>
          <w:kern w:val="0"/>
          <w:sz w:val="32"/>
          <w:szCs w:val="32"/>
        </w:rPr>
        <w:t>.28亿元。</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征地和拆迁补偿支出</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.6亿元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城市建设支出</w:t>
      </w:r>
      <w:r>
        <w:rPr>
          <w:rFonts w:ascii="仿宋_GB2312" w:hAnsi="仿宋_GB2312" w:eastAsia="仿宋_GB2312" w:cs="仿宋_GB2312"/>
          <w:kern w:val="0"/>
          <w:sz w:val="32"/>
          <w:szCs w:val="32"/>
        </w:rPr>
        <w:t>33.</w:t>
      </w:r>
      <w:r>
        <w:rPr>
          <w:rFonts w:hint="eastAsia" w:ascii="仿宋_GB2312" w:hAnsi="仿宋_GB2312" w:eastAsia="仿宋_GB2312" w:cs="仿宋_GB2312"/>
          <w:kern w:val="0"/>
          <w:sz w:val="32"/>
          <w:szCs w:val="32"/>
        </w:rPr>
        <w:t>26</w:t>
      </w:r>
      <w:r>
        <w:rPr>
          <w:rFonts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土地出让业务支出</w:t>
      </w:r>
      <w:r>
        <w:rPr>
          <w:rFonts w:ascii="仿宋_GB2312" w:hAnsi="仿宋_GB2312" w:eastAsia="仿宋_GB2312" w:cs="仿宋_GB2312"/>
          <w:kern w:val="0"/>
          <w:sz w:val="32"/>
          <w:szCs w:val="32"/>
        </w:rPr>
        <w:t>0.5</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其他国有土地使用权出让收入安排的支出2.91亿元。</w:t>
      </w:r>
    </w:p>
    <w:p>
      <w:pPr>
        <w:numPr>
          <w:ilvl w:val="0"/>
          <w:numId w:val="3"/>
        </w:numPr>
        <w:shd w:val="clear" w:color="auto" w:fill="FFFFFF"/>
        <w:adjustRightInd w:val="0"/>
        <w:snapToGrid w:val="0"/>
        <w:spacing w:line="560" w:lineRule="exact"/>
        <w:ind w:left="-57" w:firstLine="640" w:firstLineChars="200"/>
        <w:rPr>
          <w:rFonts w:hint="eastAsia"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转移性支出</w:t>
      </w:r>
      <w:r>
        <w:rPr>
          <w:rFonts w:hint="eastAsia" w:ascii="楷体_GB2312" w:hAnsi="仿宋_GB2312" w:eastAsia="楷体_GB2312" w:cs="仿宋_GB2312"/>
          <w:kern w:val="0"/>
          <w:sz w:val="32"/>
          <w:szCs w:val="32"/>
          <w:lang w:val="en-US" w:eastAsia="zh-CN"/>
        </w:rPr>
        <w:t>8</w:t>
      </w:r>
      <w:r>
        <w:rPr>
          <w:rFonts w:ascii="楷体_GB2312" w:hAnsi="仿宋_GB2312" w:eastAsia="楷体_GB2312" w:cs="仿宋_GB2312"/>
          <w:kern w:val="0"/>
          <w:sz w:val="32"/>
          <w:szCs w:val="32"/>
        </w:rPr>
        <w:t>.45</w:t>
      </w:r>
      <w:r>
        <w:rPr>
          <w:rFonts w:hint="eastAsia" w:ascii="楷体_GB2312" w:hAnsi="仿宋_GB2312" w:eastAsia="楷体_GB2312" w:cs="仿宋_GB2312"/>
          <w:kern w:val="0"/>
          <w:sz w:val="32"/>
          <w:szCs w:val="32"/>
        </w:rPr>
        <w:t>亿元。</w:t>
      </w:r>
      <w:r>
        <w:rPr>
          <w:rFonts w:hint="eastAsia" w:ascii="仿宋_GB2312" w:hAnsi="仿宋_GB2312" w:eastAsia="仿宋_GB2312" w:cs="仿宋_GB2312"/>
          <w:kern w:val="0"/>
          <w:sz w:val="32"/>
          <w:szCs w:val="32"/>
        </w:rPr>
        <w:t>调出至一般公共预算统筹使用。</w:t>
      </w:r>
    </w:p>
    <w:p>
      <w:pPr>
        <w:numPr>
          <w:ilvl w:val="0"/>
          <w:numId w:val="3"/>
        </w:numPr>
        <w:shd w:val="clear" w:color="auto" w:fill="FFFFFF"/>
        <w:adjustRightInd w:val="0"/>
        <w:snapToGrid w:val="0"/>
        <w:spacing w:line="560" w:lineRule="exact"/>
        <w:ind w:left="-57" w:firstLine="640" w:firstLineChars="200"/>
        <w:rPr>
          <w:rFonts w:hint="eastAsia" w:ascii="仿宋_GB2312" w:hAnsi="仿宋_GB2312" w:eastAsia="仿宋_GB2312" w:cs="仿宋_GB2312"/>
          <w:kern w:val="0"/>
          <w:sz w:val="32"/>
          <w:szCs w:val="32"/>
          <w:lang w:eastAsia="zh-CN"/>
        </w:rPr>
      </w:pPr>
      <w:r>
        <w:rPr>
          <w:rFonts w:hint="eastAsia" w:ascii="楷体_GB2312" w:hAnsi="仿宋_GB2312" w:eastAsia="楷体_GB2312" w:cs="仿宋_GB2312"/>
          <w:kern w:val="0"/>
          <w:sz w:val="32"/>
          <w:szCs w:val="32"/>
          <w:lang w:eastAsia="zh-CN"/>
        </w:rPr>
        <w:t>专项债收入安排的支出</w:t>
      </w:r>
      <w:r>
        <w:rPr>
          <w:rFonts w:hint="eastAsia" w:ascii="楷体_GB2312" w:hAnsi="仿宋_GB2312" w:eastAsia="楷体_GB2312" w:cs="仿宋_GB2312"/>
          <w:kern w:val="0"/>
          <w:sz w:val="32"/>
          <w:szCs w:val="32"/>
          <w:lang w:val="en-US" w:eastAsia="zh-CN"/>
        </w:rPr>
        <w:t>2.65</w:t>
      </w:r>
      <w:r>
        <w:rPr>
          <w:rFonts w:hint="eastAsia" w:ascii="楷体_GB2312" w:hAnsi="仿宋_GB2312" w:eastAsia="楷体_GB2312" w:cs="仿宋_GB2312"/>
          <w:kern w:val="0"/>
          <w:sz w:val="32"/>
          <w:szCs w:val="32"/>
          <w:lang w:eastAsia="zh-CN"/>
        </w:rPr>
        <w:t>亿元。</w:t>
      </w:r>
      <w:r>
        <w:rPr>
          <w:rFonts w:hint="eastAsia" w:ascii="仿宋_GB2312" w:hAnsi="仿宋_GB2312" w:eastAsia="仿宋_GB2312" w:cs="仿宋_GB2312"/>
          <w:kern w:val="0"/>
          <w:sz w:val="32"/>
          <w:szCs w:val="32"/>
          <w:lang w:val="en-US" w:eastAsia="zh-CN"/>
        </w:rPr>
        <w:t>主要用于产业园区基础设施、保障性住房建设等领域。</w:t>
      </w:r>
    </w:p>
    <w:p>
      <w:pPr>
        <w:numPr>
          <w:ilvl w:val="0"/>
          <w:numId w:val="3"/>
        </w:num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专项债发行费用及还本付息支出</w:t>
      </w:r>
      <w:r>
        <w:rPr>
          <w:rFonts w:ascii="楷体_GB2312" w:hAnsi="仿宋_GB2312" w:eastAsia="楷体_GB2312" w:cs="仿宋_GB2312"/>
          <w:kern w:val="0"/>
          <w:sz w:val="32"/>
          <w:szCs w:val="32"/>
        </w:rPr>
        <w:t>1.</w:t>
      </w:r>
      <w:r>
        <w:rPr>
          <w:rFonts w:hint="eastAsia" w:ascii="楷体_GB2312" w:hAnsi="仿宋_GB2312" w:eastAsia="楷体_GB2312" w:cs="仿宋_GB2312"/>
          <w:kern w:val="0"/>
          <w:sz w:val="32"/>
          <w:szCs w:val="32"/>
        </w:rPr>
        <w:t>7</w:t>
      </w:r>
      <w:r>
        <w:rPr>
          <w:rFonts w:hint="eastAsia" w:ascii="楷体_GB2312" w:hAnsi="仿宋_GB2312" w:eastAsia="楷体_GB2312" w:cs="仿宋_GB2312"/>
          <w:kern w:val="0"/>
          <w:sz w:val="32"/>
          <w:szCs w:val="32"/>
          <w:lang w:val="en-US" w:eastAsia="zh-CN"/>
        </w:rPr>
        <w:t>5</w:t>
      </w:r>
      <w:r>
        <w:rPr>
          <w:rFonts w:hint="eastAsia" w:ascii="楷体_GB2312" w:hAnsi="仿宋_GB2312" w:eastAsia="楷体_GB2312" w:cs="仿宋_GB2312"/>
          <w:kern w:val="0"/>
          <w:sz w:val="32"/>
          <w:szCs w:val="32"/>
        </w:rPr>
        <w:t>亿元。</w:t>
      </w:r>
      <w:r>
        <w:rPr>
          <w:rFonts w:hint="eastAsia" w:ascii="仿宋_GB2312" w:hAnsi="仿宋_GB2312" w:eastAsia="仿宋_GB2312" w:cs="仿宋_GB2312"/>
          <w:kern w:val="0"/>
          <w:sz w:val="32"/>
          <w:szCs w:val="32"/>
        </w:rPr>
        <w:t>其中：还本</w:t>
      </w:r>
      <w:r>
        <w:rPr>
          <w:rFonts w:ascii="仿宋_GB2312" w:hAnsi="仿宋_GB2312" w:eastAsia="仿宋_GB2312" w:cs="仿宋_GB2312"/>
          <w:kern w:val="0"/>
          <w:sz w:val="32"/>
          <w:szCs w:val="32"/>
        </w:rPr>
        <w:t>1.13</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付息0.</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亿元。</w:t>
      </w:r>
    </w:p>
    <w:p>
      <w:pPr>
        <w:numPr>
          <w:ilvl w:val="0"/>
          <w:numId w:val="3"/>
        </w:num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年终结余</w:t>
      </w:r>
      <w:r>
        <w:rPr>
          <w:rFonts w:hint="eastAsia" w:ascii="楷体_GB2312" w:hAnsi="仿宋_GB2312" w:eastAsia="楷体_GB2312" w:cs="仿宋_GB2312"/>
          <w:kern w:val="0"/>
          <w:sz w:val="32"/>
          <w:szCs w:val="32"/>
          <w:lang w:val="en-US" w:eastAsia="zh-CN"/>
        </w:rPr>
        <w:t>12.57</w:t>
      </w:r>
      <w:r>
        <w:rPr>
          <w:rFonts w:hint="eastAsia" w:ascii="楷体_GB2312" w:hAnsi="仿宋_GB2312" w:eastAsia="楷体_GB2312" w:cs="仿宋_GB2312"/>
          <w:kern w:val="0"/>
          <w:sz w:val="32"/>
          <w:szCs w:val="32"/>
        </w:rPr>
        <w:t>亿元。</w:t>
      </w:r>
    </w:p>
    <w:p>
      <w:pPr>
        <w:numPr>
          <w:ilvl w:val="255"/>
          <w:numId w:val="0"/>
        </w:numPr>
        <w:adjustRightInd w:val="0"/>
        <w:snapToGrid w:val="0"/>
        <w:spacing w:line="560" w:lineRule="exact"/>
        <w:outlineLvl w:val="0"/>
        <w:rPr>
          <w:rFonts w:ascii="仿宋_GB2312" w:hAnsi="Times New Roman" w:eastAsia="仿宋_GB2312"/>
          <w:spacing w:val="-3"/>
          <w:kern w:val="21"/>
          <w:sz w:val="32"/>
          <w:szCs w:val="20"/>
        </w:rPr>
      </w:pPr>
    </w:p>
    <w:p>
      <w:pPr>
        <w:numPr>
          <w:ilvl w:val="0"/>
          <w:numId w:val="4"/>
        </w:numPr>
        <w:adjustRightInd w:val="0"/>
        <w:snapToGrid w:val="0"/>
        <w:spacing w:line="560" w:lineRule="exact"/>
        <w:jc w:val="center"/>
        <w:outlineLvl w:val="0"/>
        <w:rPr>
          <w:rFonts w:ascii="仿宋_GB2312" w:hAnsi="Times New Roman" w:eastAsia="仿宋_GB2312"/>
          <w:spacing w:val="-3"/>
          <w:kern w:val="21"/>
          <w:sz w:val="32"/>
          <w:szCs w:val="20"/>
        </w:rPr>
      </w:pPr>
      <w:r>
        <w:rPr>
          <w:rFonts w:hint="eastAsia" w:ascii="黑体" w:hAnsi="黑体" w:eastAsia="黑体" w:cs="黑体"/>
          <w:bCs/>
          <w:spacing w:val="-6"/>
          <w:kern w:val="21"/>
          <w:sz w:val="32"/>
          <w:szCs w:val="32"/>
        </w:rPr>
        <w:t xml:space="preserve"> 前海合作区国有资本经营预算（草案）</w:t>
      </w:r>
    </w:p>
    <w:p>
      <w:pPr>
        <w:numPr>
          <w:ilvl w:val="255"/>
          <w:numId w:val="0"/>
        </w:numPr>
        <w:adjustRightInd w:val="0"/>
        <w:snapToGrid w:val="0"/>
        <w:spacing w:line="560" w:lineRule="exact"/>
        <w:outlineLvl w:val="0"/>
        <w:rPr>
          <w:rFonts w:ascii="仿宋_GB2312" w:hAnsi="Times New Roman" w:eastAsia="仿宋_GB2312"/>
          <w:spacing w:val="-3"/>
          <w:kern w:val="21"/>
          <w:sz w:val="32"/>
          <w:szCs w:val="20"/>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eastAsia="楷体_GB2312" w:cs="楷体_GB2312"/>
          <w:bCs/>
          <w:sz w:val="32"/>
          <w:szCs w:val="32"/>
          <w:highlight w:val="none"/>
          <w:u w:val="none"/>
          <w:lang w:bidi="ar-SA"/>
        </w:rPr>
      </w:pPr>
      <w:r>
        <w:rPr>
          <w:rFonts w:hint="eastAsia" w:ascii="黑体" w:eastAsia="黑体" w:cs="黑体"/>
          <w:sz w:val="32"/>
          <w:szCs w:val="32"/>
          <w:highlight w:val="none"/>
          <w:u w:val="none"/>
          <w:lang w:bidi="ar-SA"/>
        </w:rPr>
        <w:t>一、编制说明</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bCs/>
          <w:sz w:val="32"/>
          <w:highlight w:val="none"/>
          <w:u w:val="none"/>
          <w:lang w:bidi="ar-SA"/>
        </w:rPr>
      </w:pPr>
      <w:r>
        <w:rPr>
          <w:rFonts w:hint="eastAsia" w:ascii="楷体_GB2312" w:eastAsia="楷体_GB2312" w:cs="楷体_GB2312"/>
          <w:bCs/>
          <w:sz w:val="32"/>
          <w:szCs w:val="32"/>
          <w:highlight w:val="none"/>
          <w:u w:val="none"/>
          <w:lang w:bidi="ar-SA"/>
        </w:rPr>
        <w:t>（一）编制范围</w:t>
      </w:r>
    </w:p>
    <w:p>
      <w:pPr>
        <w:shd w:val="clear" w:color="auto" w:fill="FFFFFF"/>
        <w:adjustRightInd w:val="0"/>
        <w:snapToGrid w:val="0"/>
        <w:spacing w:line="560" w:lineRule="exact"/>
        <w:ind w:firstLine="640" w:firstLineChars="200"/>
        <w:outlineLvl w:val="1"/>
        <w:rPr>
          <w:rFonts w:hint="eastAsia" w:ascii="仿宋_GB2312" w:eastAsia="仿宋_GB2312" w:cs="Times New Roman"/>
          <w:sz w:val="32"/>
          <w:szCs w:val="32"/>
          <w:highlight w:val="none"/>
          <w:u w:val="none"/>
          <w:lang w:eastAsia="zh-CN" w:bidi="ar-SA"/>
        </w:rPr>
      </w:pPr>
      <w:r>
        <w:rPr>
          <w:rFonts w:hint="eastAsia" w:ascii="仿宋_GB2312" w:eastAsia="仿宋_GB2312" w:cs="仿宋_GB2312"/>
          <w:sz w:val="32"/>
          <w:szCs w:val="22"/>
          <w:highlight w:val="none"/>
          <w:u w:val="none"/>
          <w:lang w:eastAsia="zh-CN" w:bidi="ar-SA"/>
        </w:rPr>
        <w:t>前海管理局</w:t>
      </w:r>
      <w:r>
        <w:rPr>
          <w:rFonts w:hint="eastAsia" w:ascii="仿宋_GB2312" w:eastAsia="仿宋_GB2312" w:cs="仿宋_GB2312"/>
          <w:sz w:val="32"/>
          <w:szCs w:val="22"/>
          <w:highlight w:val="none"/>
          <w:u w:val="none"/>
          <w:lang w:bidi="ar-SA"/>
        </w:rPr>
        <w:t>直接持股的</w:t>
      </w:r>
      <w:r>
        <w:rPr>
          <w:rFonts w:hint="eastAsia" w:ascii="仿宋_GB2312" w:eastAsia="仿宋_GB2312" w:cs="仿宋_GB2312"/>
          <w:sz w:val="32"/>
          <w:szCs w:val="22"/>
          <w:highlight w:val="none"/>
          <w:u w:val="none"/>
          <w:lang w:val="en-US" w:eastAsia="zh-CN" w:bidi="ar-SA"/>
        </w:rPr>
        <w:t>4家局属企业（均为国有独资</w:t>
      </w:r>
      <w:r>
        <w:rPr>
          <w:rFonts w:hint="eastAsia" w:ascii="仿宋_GB2312" w:eastAsia="仿宋_GB2312" w:cs="仿宋_GB2312"/>
          <w:sz w:val="32"/>
          <w:szCs w:val="22"/>
          <w:highlight w:val="none"/>
          <w:u w:val="none"/>
          <w:lang w:bidi="ar-SA"/>
        </w:rPr>
        <w:t>企业</w:t>
      </w:r>
      <w:r>
        <w:rPr>
          <w:rFonts w:hint="eastAsia" w:ascii="仿宋_GB2312" w:eastAsia="仿宋_GB2312" w:cs="仿宋_GB2312"/>
          <w:sz w:val="32"/>
          <w:szCs w:val="22"/>
          <w:highlight w:val="none"/>
          <w:u w:val="none"/>
          <w:lang w:val="en-US" w:eastAsia="zh-CN" w:bidi="ar-SA"/>
        </w:rPr>
        <w:t>）</w:t>
      </w:r>
      <w:r>
        <w:rPr>
          <w:rFonts w:hint="eastAsia" w:ascii="仿宋_GB2312" w:eastAsia="仿宋_GB2312" w:cs="仿宋_GB2312"/>
          <w:sz w:val="32"/>
          <w:szCs w:val="22"/>
          <w:highlight w:val="none"/>
          <w:u w:val="none"/>
          <w:lang w:bidi="ar-SA"/>
        </w:rPr>
        <w:t>全部纳入202</w:t>
      </w:r>
      <w:r>
        <w:rPr>
          <w:rFonts w:hint="eastAsia" w:ascii="仿宋_GB2312" w:eastAsia="仿宋_GB2312" w:cs="仿宋_GB2312"/>
          <w:sz w:val="32"/>
          <w:szCs w:val="22"/>
          <w:highlight w:val="none"/>
          <w:u w:val="none"/>
          <w:lang w:val="en-US" w:eastAsia="zh-CN" w:bidi="ar-SA"/>
        </w:rPr>
        <w:t>4</w:t>
      </w:r>
      <w:r>
        <w:rPr>
          <w:rFonts w:hint="eastAsia" w:ascii="仿宋_GB2312" w:eastAsia="仿宋_GB2312" w:cs="仿宋_GB2312"/>
          <w:sz w:val="32"/>
          <w:szCs w:val="22"/>
          <w:highlight w:val="none"/>
          <w:u w:val="none"/>
          <w:lang w:bidi="ar-SA"/>
        </w:rPr>
        <w:t>年国有资本经营预算收缴范围</w:t>
      </w:r>
      <w:r>
        <w:rPr>
          <w:rFonts w:hint="eastAsia" w:ascii="仿宋_GB2312" w:eastAsia="仿宋_GB2312" w:cs="仿宋_GB2312"/>
          <w:sz w:val="32"/>
          <w:szCs w:val="22"/>
          <w:highlight w:val="none"/>
          <w:u w:val="none"/>
          <w:lang w:eastAsia="zh-CN" w:bidi="ar-SA"/>
        </w:rPr>
        <w:t>，</w:t>
      </w:r>
      <w:r>
        <w:rPr>
          <w:rFonts w:hint="eastAsia" w:ascii="仿宋_GB2312" w:eastAsia="仿宋_GB2312" w:cs="Times New Roman"/>
          <w:sz w:val="32"/>
          <w:szCs w:val="32"/>
          <w:highlight w:val="none"/>
          <w:u w:val="none"/>
          <w:lang w:bidi="ar-SA"/>
        </w:rPr>
        <w:t>分别为深圳市前海建设投资控股集团有限公司、前海金融控股有限公司</w:t>
      </w:r>
      <w:r>
        <w:rPr>
          <w:rFonts w:hint="eastAsia" w:ascii="仿宋_GB2312" w:eastAsia="仿宋_GB2312" w:cs="Times New Roman"/>
          <w:sz w:val="32"/>
          <w:szCs w:val="32"/>
          <w:highlight w:val="none"/>
          <w:u w:val="none"/>
          <w:lang w:eastAsia="zh-CN" w:bidi="ar-SA"/>
        </w:rPr>
        <w:t>、</w:t>
      </w:r>
      <w:r>
        <w:rPr>
          <w:rFonts w:hint="eastAsia" w:ascii="仿宋_GB2312" w:eastAsia="仿宋_GB2312" w:cs="Times New Roman"/>
          <w:sz w:val="32"/>
          <w:szCs w:val="32"/>
          <w:highlight w:val="none"/>
          <w:u w:val="none"/>
          <w:lang w:bidi="ar-SA"/>
        </w:rPr>
        <w:t>深圳市前海服务集团有限公司</w:t>
      </w:r>
      <w:r>
        <w:rPr>
          <w:rFonts w:hint="eastAsia" w:ascii="仿宋_GB2312" w:eastAsia="仿宋_GB2312" w:cs="Times New Roman"/>
          <w:sz w:val="32"/>
          <w:szCs w:val="32"/>
          <w:highlight w:val="none"/>
          <w:u w:val="none"/>
          <w:lang w:eastAsia="zh-CN" w:bidi="ar-SA"/>
        </w:rPr>
        <w:t>和前海科技创新集团有限公司。</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楷体_GB2312" w:eastAsia="楷体_GB2312" w:cs="楷体_GB2312"/>
          <w:bCs/>
          <w:sz w:val="32"/>
          <w:szCs w:val="32"/>
          <w:highlight w:val="none"/>
          <w:u w:val="none"/>
          <w:lang w:bidi="ar-SA"/>
        </w:rPr>
      </w:pPr>
      <w:r>
        <w:rPr>
          <w:rFonts w:hint="eastAsia" w:ascii="楷体_GB2312" w:eastAsia="楷体_GB2312" w:cs="楷体_GB2312"/>
          <w:bCs/>
          <w:sz w:val="32"/>
          <w:szCs w:val="32"/>
          <w:highlight w:val="none"/>
          <w:u w:val="none"/>
          <w:lang w:bidi="ar-SA"/>
        </w:rPr>
        <w:t>（二）分配比例</w:t>
      </w:r>
    </w:p>
    <w:p>
      <w:pPr>
        <w:shd w:val="clear" w:color="auto" w:fill="FFFFFF"/>
        <w:adjustRightInd w:val="0"/>
        <w:snapToGrid w:val="0"/>
        <w:spacing w:line="560" w:lineRule="exact"/>
        <w:ind w:firstLine="640" w:firstLineChars="200"/>
        <w:outlineLvl w:val="1"/>
        <w:rPr>
          <w:rFonts w:hint="default" w:ascii="仿宋_GB2312" w:eastAsia="仿宋_GB2312" w:cs="仿宋_GB2312"/>
          <w:sz w:val="32"/>
          <w:szCs w:val="22"/>
          <w:highlight w:val="none"/>
          <w:u w:val="none"/>
          <w:lang w:val="en-US" w:eastAsia="zh-CN" w:bidi="ar-SA"/>
        </w:rPr>
      </w:pPr>
      <w:r>
        <w:rPr>
          <w:rFonts w:hint="eastAsia" w:ascii="仿宋_GB2312" w:eastAsia="仿宋_GB2312" w:cs="仿宋_GB2312"/>
          <w:sz w:val="32"/>
          <w:szCs w:val="22"/>
          <w:highlight w:val="none"/>
          <w:u w:val="none"/>
          <w:lang w:val="en-US" w:eastAsia="zh-CN" w:bidi="ar-SA"/>
        </w:rPr>
        <w:t>前海管理局局属企业</w:t>
      </w:r>
      <w:r>
        <w:rPr>
          <w:rFonts w:hint="default" w:ascii="仿宋_GB2312" w:eastAsia="仿宋_GB2312" w:cs="仿宋_GB2312"/>
          <w:sz w:val="32"/>
          <w:szCs w:val="22"/>
          <w:highlight w:val="none"/>
          <w:u w:val="none"/>
          <w:lang w:val="en-US" w:eastAsia="zh-CN" w:bidi="ar-SA"/>
        </w:rPr>
        <w:t>现阶段承担了较多</w:t>
      </w:r>
      <w:r>
        <w:rPr>
          <w:rFonts w:hint="eastAsia" w:ascii="仿宋_GB2312" w:eastAsia="仿宋_GB2312" w:cs="仿宋_GB2312"/>
          <w:sz w:val="32"/>
          <w:szCs w:val="22"/>
          <w:highlight w:val="none"/>
          <w:u w:val="none"/>
          <w:lang w:val="en-US" w:eastAsia="zh-CN" w:bidi="ar-SA"/>
        </w:rPr>
        <w:t>前海开发建设、</w:t>
      </w:r>
      <w:r>
        <w:rPr>
          <w:rFonts w:hint="default" w:ascii="仿宋_GB2312" w:eastAsia="仿宋_GB2312" w:cs="仿宋_GB2312"/>
          <w:sz w:val="32"/>
          <w:szCs w:val="22"/>
          <w:highlight w:val="none"/>
          <w:u w:val="none"/>
          <w:lang w:val="en-US" w:eastAsia="zh-CN" w:bidi="ar-SA"/>
        </w:rPr>
        <w:t>深港合作、“双招双引”等功能任务，</w:t>
      </w:r>
      <w:r>
        <w:rPr>
          <w:rFonts w:hint="eastAsia" w:ascii="仿宋_GB2312" w:eastAsia="仿宋_GB2312" w:cs="Times New Roman"/>
          <w:sz w:val="32"/>
          <w:szCs w:val="32"/>
          <w:highlight w:val="none"/>
          <w:u w:val="none"/>
          <w:lang w:bidi="ar-SA"/>
        </w:rPr>
        <w:t>深圳市前海建设投资控股集团有限公司</w:t>
      </w:r>
      <w:r>
        <w:rPr>
          <w:rFonts w:hint="eastAsia" w:ascii="仿宋_GB2312" w:eastAsia="仿宋_GB2312" w:cs="仿宋_GB2312"/>
          <w:sz w:val="32"/>
          <w:szCs w:val="22"/>
          <w:highlight w:val="none"/>
          <w:u w:val="none"/>
          <w:lang w:val="en-US" w:eastAsia="zh-CN" w:bidi="ar-SA"/>
        </w:rPr>
        <w:t>、</w:t>
      </w:r>
      <w:r>
        <w:rPr>
          <w:rFonts w:hint="eastAsia" w:ascii="仿宋_GB2312" w:eastAsia="仿宋_GB2312" w:cs="Times New Roman"/>
          <w:sz w:val="32"/>
          <w:szCs w:val="32"/>
          <w:highlight w:val="none"/>
          <w:u w:val="none"/>
          <w:lang w:bidi="ar-SA"/>
        </w:rPr>
        <w:t>深圳市前海服务集团有限公司</w:t>
      </w:r>
      <w:r>
        <w:rPr>
          <w:rFonts w:hint="eastAsia" w:ascii="仿宋_GB2312" w:eastAsia="仿宋_GB2312" w:cs="仿宋_GB2312"/>
          <w:sz w:val="32"/>
          <w:szCs w:val="22"/>
          <w:highlight w:val="none"/>
          <w:u w:val="none"/>
          <w:lang w:val="en-US" w:eastAsia="zh-CN" w:bidi="ar-SA"/>
        </w:rPr>
        <w:t>、</w:t>
      </w:r>
      <w:r>
        <w:rPr>
          <w:rFonts w:hint="eastAsia" w:ascii="仿宋_GB2312" w:eastAsia="仿宋_GB2312" w:cs="Times New Roman"/>
          <w:sz w:val="32"/>
          <w:szCs w:val="32"/>
          <w:highlight w:val="none"/>
          <w:u w:val="none"/>
          <w:lang w:eastAsia="zh-CN" w:bidi="ar-SA"/>
        </w:rPr>
        <w:t>前海科技创新集团有限公司</w:t>
      </w:r>
      <w:r>
        <w:rPr>
          <w:rFonts w:hint="eastAsia" w:ascii="仿宋_GB2312" w:eastAsia="仿宋_GB2312" w:cs="仿宋_GB2312"/>
          <w:sz w:val="32"/>
          <w:szCs w:val="22"/>
          <w:highlight w:val="none"/>
          <w:u w:val="none"/>
          <w:lang w:val="en-US" w:eastAsia="zh-CN" w:bidi="ar-SA"/>
        </w:rPr>
        <w:t>参照功能保障类企业，利润分配比例不低于15%，</w:t>
      </w:r>
      <w:r>
        <w:rPr>
          <w:rFonts w:hint="eastAsia" w:ascii="仿宋_GB2312" w:eastAsia="仿宋_GB2312" w:cs="Times New Roman"/>
          <w:sz w:val="32"/>
          <w:szCs w:val="32"/>
          <w:highlight w:val="none"/>
          <w:u w:val="none"/>
          <w:lang w:bidi="ar-SA"/>
        </w:rPr>
        <w:t>前海金融控股有限公司</w:t>
      </w:r>
      <w:r>
        <w:rPr>
          <w:rFonts w:hint="eastAsia" w:ascii="仿宋_GB2312" w:eastAsia="仿宋_GB2312" w:cs="仿宋_GB2312"/>
          <w:sz w:val="32"/>
          <w:szCs w:val="22"/>
          <w:highlight w:val="none"/>
          <w:u w:val="none"/>
          <w:lang w:val="en-US" w:eastAsia="zh-CN" w:bidi="ar-SA"/>
        </w:rPr>
        <w:t>参照市场竞争类企业，利润分配比例不低于30%</w:t>
      </w:r>
      <w:r>
        <w:rPr>
          <w:rFonts w:hint="default" w:ascii="仿宋_GB2312" w:eastAsia="仿宋_GB2312" w:cs="仿宋_GB2312"/>
          <w:sz w:val="32"/>
          <w:szCs w:val="22"/>
          <w:highlight w:val="none"/>
          <w:u w:val="none"/>
          <w:lang w:val="en-US" w:eastAsia="zh-CN" w:bidi="ar-SA"/>
        </w:rPr>
        <w:t>。</w:t>
      </w:r>
    </w:p>
    <w:p>
      <w:pPr>
        <w:shd w:val="clear" w:color="auto" w:fill="FFFFFF"/>
        <w:adjustRightInd w:val="0"/>
        <w:snapToGrid w:val="0"/>
        <w:spacing w:line="56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w:t>
      </w:r>
      <w:r>
        <w:rPr>
          <w:rFonts w:ascii="黑体" w:hAnsi="黑体" w:eastAsia="黑体" w:cs="黑体"/>
          <w:kern w:val="0"/>
          <w:sz w:val="32"/>
          <w:szCs w:val="32"/>
        </w:rPr>
        <w:t>2024</w:t>
      </w:r>
      <w:r>
        <w:rPr>
          <w:rFonts w:hint="eastAsia" w:ascii="黑体" w:hAnsi="黑体" w:eastAsia="黑体" w:cs="黑体"/>
          <w:kern w:val="0"/>
          <w:sz w:val="32"/>
          <w:szCs w:val="32"/>
        </w:rPr>
        <w:t>年国有资本经营</w:t>
      </w:r>
      <w:r>
        <w:rPr>
          <w:rFonts w:hint="eastAsia" w:ascii="黑体" w:hAnsi="黑体" w:eastAsia="黑体" w:cs="黑体"/>
          <w:kern w:val="0"/>
          <w:sz w:val="32"/>
          <w:szCs w:val="32"/>
          <w:lang w:val="en-US" w:eastAsia="zh-CN"/>
        </w:rPr>
        <w:t>预算</w:t>
      </w:r>
      <w:r>
        <w:rPr>
          <w:rFonts w:hint="eastAsia" w:ascii="黑体" w:hAnsi="黑体" w:eastAsia="黑体" w:cs="黑体"/>
          <w:kern w:val="0"/>
          <w:sz w:val="32"/>
          <w:szCs w:val="32"/>
        </w:rPr>
        <w:t>收入预算</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rPr>
        <w:t>公司法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等相关规定，</w:t>
      </w:r>
      <w:r>
        <w:rPr>
          <w:rFonts w:hint="eastAsia" w:ascii="仿宋_GB2312" w:hAnsi="仿宋_GB2312" w:eastAsia="仿宋_GB2312" w:cs="仿宋_GB2312"/>
          <w:kern w:val="0"/>
          <w:sz w:val="32"/>
          <w:szCs w:val="32"/>
          <w:lang w:eastAsia="zh-CN"/>
        </w:rPr>
        <w:t>根据局属企业</w:t>
      </w:r>
      <w:r>
        <w:rPr>
          <w:rFonts w:hint="eastAsia" w:ascii="仿宋_GB2312" w:hAnsi="仿宋_GB2312" w:eastAsia="仿宋_GB2312" w:cs="仿宋_GB2312"/>
          <w:kern w:val="0"/>
          <w:sz w:val="32"/>
          <w:szCs w:val="32"/>
          <w:lang w:val="en-US" w:eastAsia="zh-CN"/>
        </w:rPr>
        <w:t>2023年度利润实现情况测算，</w:t>
      </w:r>
      <w:r>
        <w:rPr>
          <w:rFonts w:hint="eastAsia" w:ascii="仿宋_GB2312" w:hAnsi="仿宋_GB2312" w:eastAsia="仿宋_GB2312" w:cs="仿宋_GB2312"/>
          <w:kern w:val="0"/>
          <w:sz w:val="32"/>
          <w:szCs w:val="32"/>
        </w:rPr>
        <w:t>预计202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年可组织国有资本经营预算收入0.</w:t>
      </w:r>
      <w:r>
        <w:rPr>
          <w:rFonts w:hint="eastAsia" w:ascii="仿宋_GB2312" w:hAnsi="仿宋_GB2312" w:eastAsia="仿宋_GB2312" w:cs="仿宋_GB2312"/>
          <w:kern w:val="0"/>
          <w:sz w:val="32"/>
          <w:szCs w:val="32"/>
          <w:lang w:val="en-US" w:eastAsia="zh-CN"/>
        </w:rPr>
        <w:t>45亿元</w:t>
      </w:r>
      <w:r>
        <w:rPr>
          <w:rFonts w:hint="eastAsia" w:ascii="仿宋_GB2312" w:hAnsi="仿宋_GB2312" w:eastAsia="仿宋_GB2312" w:cs="仿宋_GB2312"/>
          <w:kern w:val="0"/>
          <w:sz w:val="32"/>
          <w:szCs w:val="32"/>
        </w:rPr>
        <w:t>，加上结转收入</w:t>
      </w:r>
      <w:r>
        <w:rPr>
          <w:rFonts w:hint="eastAsia" w:ascii="仿宋_GB2312" w:hAnsi="仿宋_GB2312" w:eastAsia="仿宋_GB2312" w:cs="仿宋_GB2312"/>
          <w:kern w:val="0"/>
          <w:sz w:val="32"/>
          <w:szCs w:val="32"/>
          <w:lang w:val="en-US" w:eastAsia="zh-CN"/>
        </w:rPr>
        <w:t>0.09</w:t>
      </w:r>
      <w:r>
        <w:rPr>
          <w:rFonts w:hint="eastAsia" w:ascii="仿宋_GB2312" w:hAnsi="仿宋_GB2312" w:eastAsia="仿宋_GB2312" w:cs="仿宋_GB2312"/>
          <w:kern w:val="0"/>
          <w:sz w:val="32"/>
          <w:szCs w:val="32"/>
        </w:rPr>
        <w:t>亿元，总收入</w:t>
      </w:r>
      <w:r>
        <w:rPr>
          <w:rFonts w:hint="eastAsia" w:ascii="仿宋_GB2312" w:hAnsi="仿宋_GB2312" w:eastAsia="仿宋_GB2312" w:cs="仿宋_GB2312"/>
          <w:kern w:val="0"/>
          <w:sz w:val="32"/>
          <w:szCs w:val="32"/>
          <w:lang w:val="en-US" w:eastAsia="zh-CN"/>
        </w:rPr>
        <w:t>0.55</w:t>
      </w:r>
      <w:r>
        <w:rPr>
          <w:rFonts w:hint="eastAsia" w:ascii="仿宋_GB2312" w:hAnsi="仿宋_GB2312" w:eastAsia="仿宋_GB2312" w:cs="仿宋_GB2312"/>
          <w:kern w:val="0"/>
          <w:sz w:val="32"/>
          <w:szCs w:val="32"/>
        </w:rPr>
        <w:t>亿元。</w:t>
      </w:r>
    </w:p>
    <w:p>
      <w:pPr>
        <w:shd w:val="clear" w:color="auto" w:fill="FFFFFF"/>
        <w:adjustRightInd w:val="0"/>
        <w:snapToGrid w:val="0"/>
        <w:spacing w:line="56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w:t>
      </w:r>
      <w:r>
        <w:rPr>
          <w:rFonts w:ascii="黑体" w:hAnsi="黑体" w:eastAsia="黑体" w:cs="黑体"/>
          <w:kern w:val="0"/>
          <w:sz w:val="32"/>
          <w:szCs w:val="32"/>
        </w:rPr>
        <w:t>2024</w:t>
      </w:r>
      <w:r>
        <w:rPr>
          <w:rFonts w:hint="eastAsia" w:ascii="黑体" w:hAnsi="黑体" w:eastAsia="黑体" w:cs="黑体"/>
          <w:kern w:val="0"/>
          <w:sz w:val="32"/>
          <w:szCs w:val="32"/>
        </w:rPr>
        <w:t>年国有资本经营</w:t>
      </w:r>
      <w:r>
        <w:rPr>
          <w:rFonts w:hint="eastAsia" w:ascii="黑体" w:hAnsi="黑体" w:eastAsia="黑体" w:cs="黑体"/>
          <w:kern w:val="0"/>
          <w:sz w:val="32"/>
          <w:szCs w:val="32"/>
          <w:lang w:val="en-US" w:eastAsia="zh-CN"/>
        </w:rPr>
        <w:t>预算</w:t>
      </w:r>
      <w:r>
        <w:rPr>
          <w:rFonts w:hint="eastAsia" w:ascii="黑体" w:hAnsi="黑体" w:eastAsia="黑体" w:cs="黑体"/>
          <w:kern w:val="0"/>
          <w:sz w:val="32"/>
          <w:szCs w:val="32"/>
        </w:rPr>
        <w:t>支出预算</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eastAsia="仿宋_GB2312" w:cs="仿宋_GB2312"/>
          <w:sz w:val="32"/>
          <w:szCs w:val="32"/>
          <w:highlight w:val="none"/>
          <w:u w:val="none"/>
          <w:lang w:bidi="ar-SA"/>
        </w:rPr>
        <w:t>根据收支平衡原则，</w:t>
      </w: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年国有资本经营预算支出为</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55亿元。主要包括：</w:t>
      </w:r>
    </w:p>
    <w:p>
      <w:pPr>
        <w:numPr>
          <w:ilvl w:val="0"/>
          <w:numId w:val="5"/>
        </w:numPr>
        <w:shd w:val="clear" w:color="auto" w:fill="FFFFFF"/>
        <w:adjustRightInd w:val="0"/>
        <w:snapToGrid w:val="0"/>
        <w:spacing w:line="560" w:lineRule="exact"/>
        <w:ind w:left="-57" w:firstLine="640" w:firstLineChars="200"/>
        <w:rPr>
          <w:rFonts w:hint="eastAsia"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国有资本经营预算支出</w:t>
      </w:r>
      <w:r>
        <w:rPr>
          <w:rFonts w:ascii="楷体_GB2312" w:hAnsi="仿宋_GB2312" w:eastAsia="楷体_GB2312" w:cs="仿宋_GB2312"/>
          <w:kern w:val="0"/>
          <w:sz w:val="32"/>
          <w:szCs w:val="32"/>
        </w:rPr>
        <w:t>0.3</w:t>
      </w:r>
      <w:r>
        <w:rPr>
          <w:rFonts w:hint="eastAsia" w:ascii="楷体_GB2312" w:hAnsi="仿宋_GB2312" w:eastAsia="楷体_GB2312" w:cs="仿宋_GB2312"/>
          <w:kern w:val="0"/>
          <w:sz w:val="32"/>
          <w:szCs w:val="32"/>
        </w:rPr>
        <w:t>2亿元。</w:t>
      </w:r>
      <w:r>
        <w:rPr>
          <w:rFonts w:hint="eastAsia" w:ascii="仿宋_GB2312" w:hAnsi="仿宋_GB2312" w:eastAsia="仿宋_GB2312" w:cs="仿宋_GB2312"/>
          <w:kern w:val="0"/>
          <w:sz w:val="32"/>
          <w:szCs w:val="32"/>
          <w:lang w:eastAsia="zh-CN"/>
        </w:rPr>
        <w:t>为落实《前海方案》和《前海规划》，</w:t>
      </w:r>
      <w:r>
        <w:rPr>
          <w:rFonts w:hint="eastAsia" w:ascii="仿宋_GB2312" w:hAnsi="仿宋_GB2312" w:eastAsia="仿宋_GB2312" w:cs="仿宋_GB2312"/>
          <w:kern w:val="0"/>
          <w:sz w:val="32"/>
          <w:szCs w:val="32"/>
        </w:rPr>
        <w:t>加快国有资本运营公司改革试点，</w:t>
      </w:r>
      <w:r>
        <w:rPr>
          <w:rFonts w:hint="eastAsia" w:ascii="仿宋_GB2312" w:hAnsi="仿宋_GB2312" w:eastAsia="仿宋_GB2312" w:cs="仿宋_GB2312"/>
          <w:kern w:val="0"/>
          <w:sz w:val="32"/>
          <w:szCs w:val="32"/>
          <w:lang w:eastAsia="zh-CN"/>
        </w:rPr>
        <w:t>提升</w:t>
      </w:r>
      <w:r>
        <w:rPr>
          <w:rFonts w:hint="eastAsia" w:ascii="仿宋_GB2312" w:hAnsi="仿宋_GB2312" w:eastAsia="仿宋_GB2312" w:cs="仿宋_GB2312"/>
          <w:kern w:val="0"/>
          <w:sz w:val="32"/>
          <w:szCs w:val="32"/>
        </w:rPr>
        <w:t>国有资本市场化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专业化运作能力，增强前海合作区国有经济竞争力</w:t>
      </w:r>
      <w:r>
        <w:rPr>
          <w:rFonts w:hint="eastAsia" w:ascii="仿宋_GB2312" w:hAnsi="仿宋_GB2312" w:eastAsia="仿宋_GB2312" w:cs="仿宋_GB2312"/>
          <w:kern w:val="0"/>
          <w:sz w:val="32"/>
          <w:szCs w:val="32"/>
          <w:lang w:eastAsia="zh-CN"/>
        </w:rPr>
        <w:t>，安排国有资本经营预算支出</w:t>
      </w:r>
      <w:r>
        <w:rPr>
          <w:rFonts w:hint="eastAsia" w:ascii="仿宋_GB2312" w:hAnsi="仿宋_GB2312" w:eastAsia="仿宋_GB2312" w:cs="仿宋_GB2312"/>
          <w:kern w:val="0"/>
          <w:sz w:val="32"/>
          <w:szCs w:val="32"/>
          <w:lang w:val="en-US" w:eastAsia="zh-CN"/>
        </w:rPr>
        <w:t>0.32亿元。</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拟向局属企业</w:t>
      </w:r>
      <w:r>
        <w:rPr>
          <w:rFonts w:hint="eastAsia" w:ascii="仿宋_GB2312" w:eastAsia="仿宋_GB2312" w:cs="Times New Roman"/>
          <w:sz w:val="32"/>
          <w:szCs w:val="32"/>
          <w:highlight w:val="none"/>
          <w:u w:val="none"/>
          <w:lang w:bidi="ar-SA"/>
        </w:rPr>
        <w:t>深圳市前海建设投资控股集团有限公司</w:t>
      </w:r>
      <w:r>
        <w:rPr>
          <w:rFonts w:hint="eastAsia" w:ascii="仿宋_GB2312" w:hAnsi="仿宋_GB2312" w:eastAsia="仿宋_GB2312" w:cs="仿宋_GB2312"/>
          <w:kern w:val="0"/>
          <w:sz w:val="32"/>
          <w:szCs w:val="32"/>
        </w:rPr>
        <w:t>注入资本金0.30亿元，用于前海前湾会展</w:t>
      </w:r>
      <w:r>
        <w:rPr>
          <w:rFonts w:hint="eastAsia" w:ascii="仿宋_GB2312" w:hAnsi="仿宋_GB2312" w:eastAsia="仿宋_GB2312" w:cs="仿宋_GB2312"/>
          <w:kern w:val="0"/>
          <w:sz w:val="32"/>
          <w:szCs w:val="32"/>
          <w:lang w:eastAsia="zh-CN"/>
        </w:rPr>
        <w:t>建设运营有限公司</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；安排</w:t>
      </w:r>
      <w:r>
        <w:rPr>
          <w:rFonts w:hint="eastAsia" w:ascii="仿宋_GB2312" w:hAnsi="仿宋_GB2312" w:eastAsia="仿宋_GB2312" w:cs="仿宋_GB2312"/>
          <w:kern w:val="0"/>
          <w:sz w:val="32"/>
          <w:szCs w:val="32"/>
        </w:rPr>
        <w:t>其他国有资本经营预算支出0.02亿元</w:t>
      </w:r>
      <w:r>
        <w:rPr>
          <w:rFonts w:hint="eastAsia" w:ascii="仿宋_GB2312" w:hAnsi="仿宋_GB2312" w:eastAsia="仿宋_GB2312" w:cs="仿宋_GB2312"/>
          <w:kern w:val="0"/>
          <w:sz w:val="32"/>
          <w:szCs w:val="32"/>
          <w:lang w:eastAsia="zh-CN"/>
        </w:rPr>
        <w:t>，用于</w:t>
      </w:r>
      <w:r>
        <w:rPr>
          <w:rFonts w:hint="eastAsia" w:ascii="仿宋_GB2312" w:hAnsi="仿宋_GB2312" w:eastAsia="仿宋_GB2312" w:cs="仿宋_GB2312"/>
          <w:kern w:val="0"/>
          <w:sz w:val="32"/>
          <w:szCs w:val="32"/>
        </w:rPr>
        <w:t>国资国企改革深化提升项目</w:t>
      </w:r>
      <w:r>
        <w:rPr>
          <w:rFonts w:hint="eastAsia" w:ascii="仿宋_GB2312" w:hAnsi="仿宋_GB2312" w:eastAsia="仿宋_GB2312" w:cs="仿宋_GB2312"/>
          <w:kern w:val="0"/>
          <w:sz w:val="32"/>
          <w:szCs w:val="32"/>
          <w:lang w:eastAsia="zh-CN"/>
        </w:rPr>
        <w:t>。</w:t>
      </w:r>
    </w:p>
    <w:p>
      <w:pPr>
        <w:numPr>
          <w:ilvl w:val="0"/>
          <w:numId w:val="5"/>
        </w:numPr>
        <w:shd w:val="clear" w:color="auto" w:fill="FFFFFF"/>
        <w:adjustRightInd w:val="0"/>
        <w:snapToGrid w:val="0"/>
        <w:spacing w:line="560" w:lineRule="exact"/>
        <w:ind w:left="-57" w:firstLine="640" w:firstLineChars="200"/>
        <w:outlineLvl w:val="9"/>
        <w:rPr>
          <w:rFonts w:ascii="黑体" w:hAnsi="黑体" w:eastAsia="黑体" w:cs="黑体"/>
          <w:kern w:val="0"/>
          <w:sz w:val="32"/>
          <w:szCs w:val="32"/>
        </w:rPr>
      </w:pPr>
      <w:r>
        <w:rPr>
          <w:rFonts w:hint="eastAsia" w:ascii="楷体_GB2312" w:hAnsi="仿宋_GB2312" w:eastAsia="楷体_GB2312" w:cs="仿宋_GB2312"/>
          <w:kern w:val="0"/>
          <w:sz w:val="32"/>
          <w:szCs w:val="32"/>
        </w:rPr>
        <w:t>转移性支出</w:t>
      </w:r>
      <w:r>
        <w:rPr>
          <w:rFonts w:ascii="楷体_GB2312" w:hAnsi="仿宋_GB2312" w:eastAsia="楷体_GB2312" w:cs="仿宋_GB2312"/>
          <w:kern w:val="0"/>
          <w:sz w:val="32"/>
          <w:szCs w:val="32"/>
        </w:rPr>
        <w:t>0.</w:t>
      </w:r>
      <w:r>
        <w:rPr>
          <w:rFonts w:hint="eastAsia" w:ascii="楷体_GB2312" w:hAnsi="仿宋_GB2312" w:eastAsia="楷体_GB2312" w:cs="仿宋_GB2312"/>
          <w:kern w:val="0"/>
          <w:sz w:val="32"/>
          <w:szCs w:val="32"/>
        </w:rPr>
        <w:t>23亿元</w:t>
      </w:r>
      <w:r>
        <w:rPr>
          <w:rFonts w:hint="eastAsia" w:ascii="仿宋_GB2312" w:hAnsi="仿宋_GB2312" w:eastAsia="仿宋_GB2312" w:cs="仿宋_GB2312"/>
          <w:kern w:val="0"/>
          <w:sz w:val="32"/>
          <w:szCs w:val="32"/>
        </w:rPr>
        <w:t>。助力打造优质均衡的公共服务体系，安排</w:t>
      </w:r>
      <w:r>
        <w:rPr>
          <w:rFonts w:hint="eastAsia" w:ascii="仿宋_GB2312" w:hAnsi="仿宋_GB2312" w:eastAsia="仿宋_GB2312" w:cs="仿宋_GB2312"/>
          <w:kern w:val="0"/>
          <w:sz w:val="32"/>
          <w:szCs w:val="32"/>
          <w:lang w:val="en-US" w:eastAsia="zh-CN"/>
        </w:rPr>
        <w:t>0.23</w:t>
      </w:r>
      <w:r>
        <w:rPr>
          <w:rFonts w:hint="eastAsia" w:ascii="仿宋_GB2312" w:hAnsi="仿宋_GB2312" w:eastAsia="仿宋_GB2312" w:cs="仿宋_GB2312"/>
          <w:kern w:val="0"/>
          <w:sz w:val="32"/>
          <w:szCs w:val="32"/>
        </w:rPr>
        <w:t>亿元调出至一般公共预算</w:t>
      </w:r>
      <w:r>
        <w:rPr>
          <w:rFonts w:hint="eastAsia" w:ascii="仿宋_GB2312" w:hAnsi="仿宋_GB2312" w:eastAsia="仿宋_GB2312" w:cs="仿宋_GB2312"/>
          <w:kern w:val="0"/>
          <w:sz w:val="32"/>
          <w:szCs w:val="32"/>
          <w:lang w:eastAsia="zh-CN"/>
        </w:rPr>
        <w:t>统筹使用</w:t>
      </w:r>
      <w:r>
        <w:rPr>
          <w:rFonts w:hint="eastAsia" w:ascii="仿宋_GB2312" w:hAnsi="仿宋_GB2312" w:eastAsia="仿宋_GB2312" w:cs="仿宋_GB2312"/>
          <w:kern w:val="0"/>
          <w:sz w:val="32"/>
          <w:szCs w:val="32"/>
        </w:rPr>
        <w:t>，调出比例</w:t>
      </w:r>
      <w:r>
        <w:rPr>
          <w:rFonts w:hint="eastAsia" w:ascii="仿宋_GB2312" w:hAnsi="仿宋_GB2312" w:eastAsia="仿宋_GB2312" w:cs="仿宋_GB2312"/>
          <w:kern w:val="0"/>
          <w:sz w:val="32"/>
          <w:szCs w:val="32"/>
          <w:lang w:val="en-US" w:eastAsia="zh-CN"/>
        </w:rPr>
        <w:t>42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符合</w:t>
      </w:r>
      <w:r>
        <w:rPr>
          <w:rFonts w:hint="eastAsia" w:ascii="仿宋_GB2312" w:hAnsi="仿宋_GB2312" w:eastAsia="仿宋_GB2312" w:cs="仿宋_GB2312"/>
          <w:kern w:val="0"/>
          <w:sz w:val="32"/>
          <w:szCs w:val="32"/>
        </w:rPr>
        <w:t>国有资本经营预算调</w:t>
      </w:r>
      <w:r>
        <w:rPr>
          <w:rFonts w:hint="eastAsia" w:ascii="仿宋_GB2312" w:hAnsi="仿宋_GB2312" w:eastAsia="仿宋_GB2312" w:cs="仿宋_GB2312"/>
          <w:kern w:val="0"/>
          <w:sz w:val="32"/>
          <w:szCs w:val="32"/>
          <w:lang w:eastAsia="zh-CN"/>
        </w:rPr>
        <w:t>入</w:t>
      </w:r>
      <w:r>
        <w:rPr>
          <w:rFonts w:hint="eastAsia" w:ascii="仿宋_GB2312" w:hAnsi="仿宋_GB2312" w:eastAsia="仿宋_GB2312" w:cs="仿宋_GB2312"/>
          <w:kern w:val="0"/>
          <w:sz w:val="32"/>
          <w:szCs w:val="32"/>
        </w:rPr>
        <w:t>至一般公共预算的比例</w:t>
      </w:r>
      <w:r>
        <w:rPr>
          <w:rFonts w:hint="eastAsia" w:ascii="仿宋_GB2312" w:hAnsi="仿宋_GB2312" w:eastAsia="仿宋_GB2312" w:cs="仿宋_GB2312"/>
          <w:kern w:val="0"/>
          <w:sz w:val="32"/>
          <w:szCs w:val="32"/>
          <w:lang w:eastAsia="zh-CN"/>
        </w:rPr>
        <w:t>不低于</w:t>
      </w:r>
      <w:r>
        <w:rPr>
          <w:rFonts w:hint="eastAsia" w:ascii="仿宋_GB2312" w:hAnsi="仿宋_GB2312" w:eastAsia="仿宋_GB2312" w:cs="仿宋_GB2312"/>
          <w:kern w:val="0"/>
          <w:sz w:val="32"/>
          <w:szCs w:val="32"/>
        </w:rPr>
        <w:t>30%的要求。</w:t>
      </w:r>
    </w:p>
    <w:p>
      <w:pPr>
        <w:numPr>
          <w:ilvl w:val="-1"/>
          <w:numId w:val="0"/>
        </w:numPr>
        <w:shd w:val="clear" w:color="auto" w:fill="FFFFFF"/>
        <w:adjustRightInd w:val="0"/>
        <w:snapToGrid w:val="0"/>
        <w:spacing w:line="560" w:lineRule="exact"/>
        <w:ind w:left="420" w:leftChars="200" w:firstLine="0" w:firstLineChars="0"/>
        <w:outlineLvl w:val="9"/>
        <w:rPr>
          <w:rFonts w:ascii="黑体" w:hAnsi="黑体" w:eastAsia="黑体" w:cs="黑体"/>
          <w:kern w:val="0"/>
          <w:sz w:val="32"/>
          <w:szCs w:val="32"/>
        </w:rPr>
      </w:pPr>
    </w:p>
    <w:p>
      <w:pPr>
        <w:numPr>
          <w:ilvl w:val="0"/>
          <w:numId w:val="4"/>
        </w:numPr>
        <w:adjustRightInd w:val="0"/>
        <w:snapToGrid w:val="0"/>
        <w:spacing w:line="560" w:lineRule="exact"/>
        <w:jc w:val="center"/>
        <w:outlineLvl w:val="0"/>
        <w:rPr>
          <w:rFonts w:ascii="黑体" w:hAnsi="黑体" w:eastAsia="黑体" w:cs="黑体"/>
          <w:bCs/>
          <w:spacing w:val="-6"/>
          <w:kern w:val="21"/>
          <w:sz w:val="32"/>
          <w:szCs w:val="32"/>
        </w:rPr>
      </w:pPr>
      <w:r>
        <w:rPr>
          <w:rFonts w:hint="eastAsia" w:ascii="黑体" w:hAnsi="黑体" w:eastAsia="黑体" w:cs="黑体"/>
          <w:bCs/>
          <w:spacing w:val="-6"/>
          <w:kern w:val="21"/>
          <w:sz w:val="32"/>
          <w:szCs w:val="32"/>
        </w:rPr>
        <w:t xml:space="preserve"> 说明事项</w:t>
      </w:r>
    </w:p>
    <w:p>
      <w:pPr>
        <w:numPr>
          <w:ilvl w:val="255"/>
          <w:numId w:val="0"/>
        </w:numPr>
        <w:adjustRightInd w:val="0"/>
        <w:snapToGrid w:val="0"/>
        <w:spacing w:line="560" w:lineRule="exact"/>
        <w:outlineLvl w:val="0"/>
        <w:rPr>
          <w:rFonts w:ascii="黑体" w:hAnsi="黑体" w:eastAsia="黑体" w:cs="黑体"/>
          <w:bCs/>
          <w:spacing w:val="-6"/>
          <w:kern w:val="21"/>
          <w:sz w:val="32"/>
          <w:szCs w:val="32"/>
        </w:rPr>
      </w:pP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一、财政管理体制情况</w:t>
      </w:r>
    </w:p>
    <w:p>
      <w:pPr>
        <w:shd w:val="clear" w:color="auto" w:fill="FFFFFF"/>
        <w:adjustRightInd w:val="0"/>
        <w:snapToGrid w:val="0"/>
        <w:spacing w:line="560" w:lineRule="exact"/>
        <w:ind w:left="-57" w:firstLine="640" w:firstLineChars="200"/>
      </w:pPr>
      <w:r>
        <w:rPr>
          <w:rFonts w:hint="eastAsia" w:ascii="仿宋_GB2312" w:hAnsi="仿宋_GB2312" w:eastAsia="仿宋_GB2312" w:cs="仿宋_GB2312"/>
          <w:kern w:val="0"/>
          <w:sz w:val="32"/>
          <w:szCs w:val="32"/>
        </w:rPr>
        <w:t>经市委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市政府审议通过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前海深港现代服务业合作区财政管理体制方案》赋予前海合作区一级财政管理权限。通过统筹税收分成、国土收入返还、国有资本经营收入、设立专项发展资金、财政专项转移支付等方式，为前海合作区全面深化改革开放提供充足财力支持。按照财权与事权相统一的原则，前海合作区承担前海管理局运行支出，前海合作区</w:t>
      </w:r>
      <w:r>
        <w:rPr>
          <w:rFonts w:hint="eastAsia" w:ascii="仿宋_GB2312" w:hAnsi="仿宋_GB2312" w:eastAsia="仿宋_GB2312" w:cs="仿宋_GB2312"/>
          <w:kern w:val="0"/>
          <w:sz w:val="32"/>
          <w:szCs w:val="32"/>
          <w:lang w:eastAsia="zh-CN"/>
        </w:rPr>
        <w:t>事权范围内的</w:t>
      </w:r>
      <w:r>
        <w:rPr>
          <w:rFonts w:ascii="仿宋_GB2312" w:hAnsi="仿宋_GB2312" w:eastAsia="仿宋_GB2312" w:cs="仿宋_GB2312"/>
          <w:kern w:val="0"/>
          <w:sz w:val="32"/>
          <w:szCs w:val="32"/>
        </w:rPr>
        <w:t>固定资产投资</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土地整备</w:t>
      </w:r>
      <w:r>
        <w:rPr>
          <w:rFonts w:hint="eastAsia" w:ascii="仿宋_GB2312" w:hAnsi="仿宋_GB2312" w:eastAsia="仿宋_GB2312" w:cs="仿宋_GB2312"/>
          <w:kern w:val="0"/>
          <w:sz w:val="32"/>
          <w:szCs w:val="32"/>
        </w:rPr>
        <w:t>、招商引资和产业发展、债务偿还本息、港人港企和重点人才的住房保障</w:t>
      </w:r>
      <w:r>
        <w:rPr>
          <w:rFonts w:hint="eastAsia" w:ascii="仿宋_GB2312" w:hAnsi="仿宋_GB2312" w:eastAsia="仿宋_GB2312" w:cs="仿宋_GB2312"/>
          <w:kern w:val="0"/>
          <w:sz w:val="32"/>
          <w:szCs w:val="32"/>
          <w:lang w:eastAsia="zh-CN"/>
        </w:rPr>
        <w:t>等支出</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二、财政转移支付安排情况</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年转移性收入主要是</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lang w:val="en-US" w:eastAsia="zh-CN"/>
        </w:rPr>
        <w:t>一般性转移支付收入4.33亿元；</w:t>
      </w:r>
      <w:r>
        <w:rPr>
          <w:rFonts w:hint="eastAsia" w:ascii="仿宋_GB2312" w:hAnsi="仿宋_GB2312" w:eastAsia="仿宋_GB2312" w:cs="仿宋_GB2312"/>
          <w:kern w:val="0"/>
          <w:sz w:val="32"/>
          <w:szCs w:val="32"/>
        </w:rPr>
        <w:t>政府性基金转移支付收入</w:t>
      </w:r>
      <w:r>
        <w:rPr>
          <w:rFonts w:hint="eastAsia" w:ascii="仿宋_GB2312" w:hAnsi="仿宋_GB2312" w:eastAsia="仿宋_GB2312" w:cs="仿宋_GB2312"/>
          <w:kern w:val="0"/>
          <w:sz w:val="32"/>
          <w:szCs w:val="32"/>
          <w:lang w:val="en-US" w:eastAsia="zh-CN"/>
        </w:rPr>
        <w:t>69.94</w:t>
      </w:r>
      <w:r>
        <w:rPr>
          <w:rFonts w:hint="eastAsia" w:ascii="仿宋_GB2312" w:hAnsi="仿宋_GB2312" w:eastAsia="仿宋_GB2312" w:cs="仿宋_GB2312"/>
          <w:kern w:val="0"/>
          <w:sz w:val="32"/>
          <w:szCs w:val="32"/>
        </w:rPr>
        <w:t>亿元，其中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国有土地出让分成</w:t>
      </w:r>
      <w:r>
        <w:rPr>
          <w:rFonts w:hint="eastAsia" w:ascii="仿宋_GB2312" w:hAnsi="仿宋_GB2312" w:eastAsia="仿宋_GB2312" w:cs="仿宋_GB2312"/>
          <w:kern w:val="0"/>
          <w:sz w:val="32"/>
          <w:szCs w:val="32"/>
          <w:lang w:val="en-US" w:eastAsia="zh-CN"/>
        </w:rPr>
        <w:t>收入</w:t>
      </w:r>
      <w:r>
        <w:rPr>
          <w:rFonts w:ascii="仿宋_GB2312" w:hAnsi="仿宋_GB2312" w:eastAsia="仿宋_GB2312" w:cs="仿宋_GB2312"/>
          <w:kern w:val="0"/>
          <w:sz w:val="32"/>
          <w:szCs w:val="32"/>
        </w:rPr>
        <w:t>30.00</w:t>
      </w:r>
      <w:r>
        <w:rPr>
          <w:rFonts w:hint="eastAsia" w:ascii="仿宋_GB2312" w:hAnsi="仿宋_GB2312" w:eastAsia="仿宋_GB2312" w:cs="仿宋_GB2312"/>
          <w:kern w:val="0"/>
          <w:sz w:val="32"/>
          <w:szCs w:val="32"/>
        </w:rPr>
        <w:t>亿元、上年结余</w:t>
      </w:r>
      <w:r>
        <w:rPr>
          <w:rFonts w:hint="eastAsia" w:ascii="仿宋_GB2312" w:hAnsi="仿宋_GB2312" w:eastAsia="仿宋_GB2312" w:cs="仿宋_GB2312"/>
          <w:kern w:val="0"/>
          <w:sz w:val="32"/>
          <w:szCs w:val="32"/>
          <w:lang w:val="en-US" w:eastAsia="zh-CN"/>
        </w:rPr>
        <w:t>37.29</w:t>
      </w:r>
      <w:r>
        <w:rPr>
          <w:rFonts w:hint="eastAsia"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lang w:eastAsia="zh-CN"/>
        </w:rPr>
        <w:t>、地方政府专项债务转贷收入</w:t>
      </w:r>
      <w:r>
        <w:rPr>
          <w:rFonts w:hint="eastAsia" w:ascii="仿宋_GB2312" w:hAnsi="仿宋_GB2312" w:eastAsia="仿宋_GB2312" w:cs="仿宋_GB2312"/>
          <w:kern w:val="0"/>
          <w:sz w:val="32"/>
          <w:szCs w:val="32"/>
          <w:lang w:val="en-US" w:eastAsia="zh-CN"/>
        </w:rPr>
        <w:t>2.65亿元</w:t>
      </w:r>
      <w:r>
        <w:rPr>
          <w:rFonts w:hint="eastAsia" w:ascii="仿宋_GB2312" w:hAnsi="仿宋_GB2312" w:eastAsia="仿宋_GB2312" w:cs="仿宋_GB2312"/>
          <w:kern w:val="0"/>
          <w:sz w:val="32"/>
          <w:szCs w:val="32"/>
          <w:lang w:eastAsia="zh-CN"/>
        </w:rPr>
        <w:t>；国有</w:t>
      </w:r>
      <w:r>
        <w:rPr>
          <w:rFonts w:hint="eastAsia" w:ascii="仿宋_GB2312" w:hAnsi="仿宋_GB2312" w:eastAsia="仿宋_GB2312" w:cs="仿宋_GB2312"/>
          <w:kern w:val="0"/>
          <w:sz w:val="32"/>
          <w:szCs w:val="32"/>
          <w:lang w:val="en-US" w:eastAsia="zh-CN"/>
        </w:rPr>
        <w:t>资本</w:t>
      </w:r>
      <w:r>
        <w:rPr>
          <w:rFonts w:hint="eastAsia" w:ascii="仿宋_GB2312" w:hAnsi="仿宋_GB2312" w:eastAsia="仿宋_GB2312" w:cs="仿宋_GB2312"/>
          <w:kern w:val="0"/>
          <w:sz w:val="32"/>
          <w:szCs w:val="32"/>
          <w:lang w:eastAsia="zh-CN"/>
        </w:rPr>
        <w:t>经营预算转移支付收入</w:t>
      </w:r>
      <w:r>
        <w:rPr>
          <w:rFonts w:hint="eastAsia" w:ascii="仿宋_GB2312" w:hAnsi="仿宋_GB2312" w:eastAsia="仿宋_GB2312" w:cs="仿宋_GB2312"/>
          <w:kern w:val="0"/>
          <w:sz w:val="32"/>
          <w:szCs w:val="32"/>
          <w:lang w:val="en-US" w:eastAsia="zh-CN"/>
        </w:rPr>
        <w:t>0.09亿元，为上年结转收入。</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年转移性</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主要是</w:t>
      </w:r>
      <w:r>
        <w:rPr>
          <w:rFonts w:hint="eastAsia" w:ascii="仿宋_GB2312" w:hAnsi="仿宋_GB2312" w:eastAsia="仿宋_GB2312" w:cs="仿宋_GB2312"/>
          <w:kern w:val="0"/>
          <w:sz w:val="32"/>
          <w:szCs w:val="32"/>
          <w:lang w:eastAsia="zh-CN"/>
        </w:rPr>
        <w:t>：体制</w:t>
      </w:r>
      <w:r>
        <w:rPr>
          <w:rFonts w:hint="eastAsia" w:ascii="仿宋_GB2312" w:hAnsi="仿宋_GB2312" w:eastAsia="仿宋_GB2312" w:cs="仿宋_GB2312"/>
          <w:kern w:val="0"/>
          <w:sz w:val="32"/>
          <w:szCs w:val="32"/>
        </w:rPr>
        <w:t>上解支出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亿元；预算稳定调节资金</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亿元，用于跨年度的预算平衡。</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前海合作区无向下级安排</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财政转移支付资金。</w:t>
      </w: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三、关于“三公”经费预算控制情况</w:t>
      </w:r>
    </w:p>
    <w:p>
      <w:pPr>
        <w:spacing w:line="560" w:lineRule="exact"/>
        <w:ind w:firstLine="640" w:firstLineChars="200"/>
        <w:outlineLvl w:val="1"/>
        <w:rPr>
          <w:rFonts w:ascii="黑体" w:hAnsi="黑体" w:eastAsia="黑体" w:cs="黑体"/>
          <w:color w:val="000000"/>
          <w:sz w:val="32"/>
          <w:szCs w:val="32"/>
        </w:rPr>
      </w:pPr>
      <w:r>
        <w:rPr>
          <w:rFonts w:hint="eastAsia" w:ascii="仿宋_GB2312" w:hAnsi="仿宋_GB2312" w:eastAsia="仿宋_GB2312" w:cs="仿宋_GB2312"/>
          <w:kern w:val="0"/>
          <w:sz w:val="32"/>
          <w:szCs w:val="32"/>
          <w:highlight w:val="none"/>
        </w:rPr>
        <w:t>前海合作区</w:t>
      </w:r>
      <w:r>
        <w:rPr>
          <w:rFonts w:ascii="仿宋_GB2312" w:hAnsi="仿宋_GB2312" w:eastAsia="仿宋_GB2312" w:cs="仿宋_GB2312"/>
          <w:kern w:val="0"/>
          <w:sz w:val="32"/>
          <w:szCs w:val="32"/>
          <w:highlight w:val="none"/>
        </w:rPr>
        <w:t>2024年“三公”经费预算数为226万元，比2023年预算调整数202万元增加24万元。其中：因公出国（境）</w:t>
      </w:r>
      <w:r>
        <w:rPr>
          <w:rFonts w:hint="eastAsia" w:ascii="仿宋_GB2312" w:hAnsi="仿宋_GB2312" w:eastAsia="仿宋_GB2312" w:cs="仿宋_GB2312"/>
          <w:kern w:val="0"/>
          <w:sz w:val="32"/>
          <w:szCs w:val="32"/>
          <w:highlight w:val="none"/>
          <w:lang w:eastAsia="zh-CN"/>
        </w:rPr>
        <w:t>费用</w:t>
      </w:r>
      <w:r>
        <w:rPr>
          <w:rFonts w:ascii="仿宋_GB2312" w:hAnsi="仿宋_GB2312" w:eastAsia="仿宋_GB2312" w:cs="仿宋_GB2312"/>
          <w:kern w:val="0"/>
          <w:sz w:val="32"/>
          <w:szCs w:val="32"/>
          <w:highlight w:val="none"/>
        </w:rPr>
        <w:t>162万元，比2023年预算调整数减少18万元，主要原因是厉行节约，压减相关费用；公务接待费</w:t>
      </w:r>
      <w:r>
        <w:rPr>
          <w:rFonts w:hint="eastAsia" w:ascii="仿宋_GB2312" w:hAnsi="仿宋_GB2312" w:eastAsia="仿宋_GB2312" w:cs="仿宋_GB2312"/>
          <w:kern w:val="0"/>
          <w:sz w:val="32"/>
          <w:szCs w:val="32"/>
          <w:highlight w:val="none"/>
          <w:lang w:val="en-US" w:eastAsia="zh-CN"/>
        </w:rPr>
        <w:t>5</w:t>
      </w:r>
      <w:r>
        <w:rPr>
          <w:rFonts w:ascii="仿宋_GB2312" w:hAnsi="仿宋_GB2312" w:eastAsia="仿宋_GB2312" w:cs="仿宋_GB2312"/>
          <w:kern w:val="0"/>
          <w:sz w:val="32"/>
          <w:szCs w:val="32"/>
          <w:highlight w:val="none"/>
        </w:rPr>
        <w:t>万元，与2023年预算调整数持</w:t>
      </w:r>
      <w:r>
        <w:rPr>
          <w:rFonts w:hint="eastAsia" w:ascii="仿宋_GB2312" w:hAnsi="仿宋_GB2312" w:eastAsia="仿宋_GB2312" w:cs="仿宋_GB2312"/>
          <w:kern w:val="0"/>
          <w:sz w:val="32"/>
          <w:szCs w:val="32"/>
          <w:highlight w:val="none"/>
        </w:rPr>
        <w:t>平；公务用车购置及运行维护费</w:t>
      </w:r>
      <w:r>
        <w:rPr>
          <w:rFonts w:hint="eastAsia" w:ascii="仿宋_GB2312" w:hAnsi="仿宋_GB2312" w:eastAsia="仿宋_GB2312" w:cs="仿宋_GB2312"/>
          <w:kern w:val="0"/>
          <w:sz w:val="32"/>
          <w:szCs w:val="32"/>
          <w:highlight w:val="none"/>
          <w:lang w:val="en-US" w:eastAsia="zh-CN"/>
        </w:rPr>
        <w:t>60</w:t>
      </w:r>
      <w:r>
        <w:rPr>
          <w:rFonts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包括</w:t>
      </w:r>
      <w:r>
        <w:rPr>
          <w:rFonts w:ascii="仿宋_GB2312" w:hAnsi="仿宋_GB2312" w:eastAsia="仿宋_GB2312" w:cs="仿宋_GB2312"/>
          <w:kern w:val="0"/>
          <w:sz w:val="32"/>
          <w:szCs w:val="32"/>
          <w:highlight w:val="none"/>
        </w:rPr>
        <w:t>公务用车运行维护费</w:t>
      </w:r>
      <w:r>
        <w:rPr>
          <w:rFonts w:hint="eastAsia" w:ascii="仿宋_GB2312" w:hAnsi="仿宋_GB2312" w:eastAsia="仿宋_GB2312" w:cs="仿宋_GB2312"/>
          <w:kern w:val="0"/>
          <w:sz w:val="32"/>
          <w:szCs w:val="32"/>
          <w:highlight w:val="none"/>
          <w:lang w:val="en-US" w:eastAsia="zh-CN"/>
        </w:rPr>
        <w:t>18</w:t>
      </w:r>
      <w:r>
        <w:rPr>
          <w:rFonts w:ascii="仿宋_GB2312" w:hAnsi="仿宋_GB2312" w:eastAsia="仿宋_GB2312" w:cs="仿宋_GB2312"/>
          <w:kern w:val="0"/>
          <w:sz w:val="32"/>
          <w:szCs w:val="32"/>
          <w:highlight w:val="none"/>
        </w:rPr>
        <w:t>万元和公务用车购置费42万元，比2023年预算调整数增加42万元，主要原因是</w:t>
      </w:r>
      <w:r>
        <w:rPr>
          <w:rFonts w:hint="eastAsia" w:ascii="仿宋_GB2312" w:hAnsi="仿宋_GB2312" w:eastAsia="仿宋_GB2312" w:cs="仿宋_GB2312"/>
          <w:kern w:val="0"/>
          <w:sz w:val="32"/>
          <w:szCs w:val="32"/>
          <w:highlight w:val="none"/>
          <w:lang w:val="en-US" w:eastAsia="zh-CN"/>
        </w:rPr>
        <w:t>2台</w:t>
      </w:r>
      <w:r>
        <w:rPr>
          <w:rFonts w:ascii="仿宋_GB2312" w:hAnsi="仿宋_GB2312" w:eastAsia="仿宋_GB2312" w:cs="仿宋_GB2312"/>
          <w:kern w:val="0"/>
          <w:sz w:val="32"/>
          <w:szCs w:val="32"/>
          <w:highlight w:val="none"/>
        </w:rPr>
        <w:t>公务用车达到报废年限，</w:t>
      </w:r>
      <w:r>
        <w:rPr>
          <w:rFonts w:hint="eastAsia" w:ascii="仿宋_GB2312" w:hAnsi="仿宋_GB2312" w:eastAsia="仿宋_GB2312" w:cs="仿宋_GB2312"/>
          <w:kern w:val="0"/>
          <w:sz w:val="32"/>
          <w:szCs w:val="32"/>
          <w:highlight w:val="none"/>
          <w:lang w:eastAsia="zh-CN"/>
        </w:rPr>
        <w:t>拟在</w:t>
      </w:r>
      <w:r>
        <w:rPr>
          <w:rFonts w:hint="eastAsia" w:ascii="仿宋_GB2312" w:hAnsi="仿宋_GB2312" w:eastAsia="仿宋_GB2312" w:cs="仿宋_GB2312"/>
          <w:kern w:val="0"/>
          <w:sz w:val="32"/>
          <w:szCs w:val="32"/>
          <w:highlight w:val="none"/>
          <w:lang w:val="en-US" w:eastAsia="zh-CN"/>
        </w:rPr>
        <w:t>2024年按标准</w:t>
      </w:r>
      <w:r>
        <w:rPr>
          <w:rFonts w:ascii="仿宋_GB2312" w:hAnsi="仿宋_GB2312" w:eastAsia="仿宋_GB2312" w:cs="仿宋_GB2312"/>
          <w:kern w:val="0"/>
          <w:sz w:val="32"/>
          <w:szCs w:val="32"/>
          <w:highlight w:val="none"/>
        </w:rPr>
        <w:t>更新。</w:t>
      </w:r>
    </w:p>
    <w:p>
      <w:pPr>
        <w:spacing w:line="560" w:lineRule="exact"/>
        <w:ind w:firstLine="640" w:firstLineChars="200"/>
        <w:outlineLvl w:val="1"/>
        <w:rPr>
          <w:rFonts w:ascii="黑体" w:hAnsi="黑体" w:eastAsia="黑体" w:cs="黑体"/>
          <w:szCs w:val="32"/>
        </w:rPr>
      </w:pPr>
      <w:r>
        <w:rPr>
          <w:rFonts w:hint="eastAsia" w:ascii="黑体" w:hAnsi="黑体" w:eastAsia="黑体" w:cs="黑体"/>
          <w:color w:val="000000"/>
          <w:sz w:val="32"/>
          <w:szCs w:val="32"/>
        </w:rPr>
        <w:t>四、</w:t>
      </w:r>
      <w:r>
        <w:rPr>
          <w:rFonts w:hint="eastAsia" w:ascii="黑体" w:hAnsi="黑体" w:eastAsia="黑体"/>
          <w:sz w:val="32"/>
          <w:szCs w:val="32"/>
        </w:rPr>
        <w:t>关于社会保险基金预算的说明</w:t>
      </w:r>
    </w:p>
    <w:p>
      <w:pPr>
        <w:spacing w:line="560" w:lineRule="exact"/>
        <w:ind w:firstLine="628"/>
        <w:rPr>
          <w:rFonts w:ascii="仿宋_GB2312" w:hAnsi="仿宋_GB2312" w:eastAsia="仿宋_GB2312" w:cs="仿宋_GB2312"/>
          <w:kern w:val="0"/>
          <w:szCs w:val="32"/>
        </w:rPr>
      </w:pPr>
      <w:r>
        <w:rPr>
          <w:rFonts w:hint="eastAsia" w:ascii="仿宋_GB2312" w:hAnsi="仿宋_GB2312" w:eastAsia="仿宋_GB2312" w:cs="仿宋_GB2312"/>
          <w:kern w:val="0"/>
          <w:sz w:val="32"/>
          <w:szCs w:val="32"/>
        </w:rPr>
        <w:t>社会保险基金预算由</w:t>
      </w:r>
      <w:r>
        <w:rPr>
          <w:rFonts w:hint="eastAsia" w:ascii="仿宋_GB2312" w:hAnsi="仿宋_GB2312" w:eastAsia="仿宋_GB2312" w:cs="仿宋_GB2312"/>
          <w:kern w:val="0"/>
          <w:sz w:val="32"/>
          <w:szCs w:val="32"/>
          <w:lang w:val="en-US" w:eastAsia="zh-CN"/>
        </w:rPr>
        <w:t>市本级</w:t>
      </w:r>
      <w:r>
        <w:rPr>
          <w:rFonts w:hint="eastAsia" w:ascii="仿宋_GB2312" w:hAnsi="仿宋_GB2312" w:eastAsia="仿宋_GB2312" w:cs="仿宋_GB2312"/>
          <w:kern w:val="0"/>
          <w:sz w:val="32"/>
          <w:szCs w:val="32"/>
        </w:rPr>
        <w:t>统一编制，前海合作区按规定</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需另行编制社会保险基金预算。</w:t>
      </w: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五、关于举借债务情况的说明</w:t>
      </w:r>
    </w:p>
    <w:p>
      <w:pPr>
        <w:shd w:val="clear" w:color="auto" w:fill="FFFFFF"/>
        <w:adjustRightInd w:val="0"/>
        <w:snapToGrid w:val="0"/>
        <w:spacing w:line="560" w:lineRule="exact"/>
        <w:ind w:left="-57" w:firstLine="640" w:firstLineChars="200"/>
      </w:pPr>
      <w:r>
        <w:rPr>
          <w:rFonts w:hint="eastAsia" w:ascii="仿宋_GB2312" w:hAnsi="仿宋_GB2312" w:eastAsia="仿宋_GB2312" w:cs="仿宋_GB2312"/>
          <w:kern w:val="0"/>
          <w:sz w:val="32"/>
          <w:szCs w:val="32"/>
        </w:rPr>
        <w:t>前海合作区</w:t>
      </w:r>
      <w:r>
        <w:rPr>
          <w:rFonts w:hint="eastAsia" w:ascii="仿宋_GB2312" w:hAnsi="仿宋_GB2312" w:eastAsia="仿宋_GB2312" w:cs="仿宋_GB2312"/>
          <w:kern w:val="0"/>
          <w:sz w:val="32"/>
          <w:szCs w:val="32"/>
          <w:lang w:val="en-US" w:eastAsia="zh-CN"/>
        </w:rPr>
        <w:t>于</w:t>
      </w:r>
      <w:r>
        <w:rPr>
          <w:rFonts w:hint="eastAsia" w:ascii="仿宋_GB2312" w:hAnsi="仿宋_GB2312" w:eastAsia="仿宋_GB2312" w:cs="仿宋_GB2312"/>
          <w:kern w:val="0"/>
          <w:sz w:val="32"/>
          <w:szCs w:val="32"/>
        </w:rPr>
        <w:t>2020年首次发行地方政府专项债券，2020</w:t>
      </w:r>
      <w:r>
        <w:rPr>
          <w:rFonts w:hint="eastAsia" w:ascii="宋体" w:hAnsi="宋体" w:eastAsia="宋体" w:cs="宋体"/>
          <w:kern w:val="0"/>
          <w:sz w:val="32"/>
          <w:szCs w:val="32"/>
          <w:lang w:val="en-US" w:eastAsia="zh-CN"/>
        </w:rPr>
        <w:t>–</w:t>
      </w:r>
      <w:r>
        <w:rPr>
          <w:rFonts w:hint="eastAsia" w:ascii="仿宋_GB2312" w:hAnsi="仿宋_GB2312" w:eastAsia="仿宋_GB2312" w:cs="仿宋_GB2312"/>
          <w:kern w:val="0"/>
          <w:sz w:val="32"/>
          <w:szCs w:val="32"/>
        </w:rPr>
        <w:t>2023年累计发行20.66亿元，其中投向产业园区基础设施领域15.56亿元、保障性住房建设领域5.1亿元。截至2023年底，专项债券本金余额为18.92亿元。2024年</w:t>
      </w:r>
      <w:r>
        <w:rPr>
          <w:rFonts w:hint="eastAsia" w:ascii="仿宋_GB2312" w:hAnsi="仿宋_GB2312" w:eastAsia="仿宋_GB2312" w:cs="仿宋_GB2312"/>
          <w:kern w:val="0"/>
          <w:sz w:val="32"/>
          <w:szCs w:val="32"/>
          <w:lang w:val="en-US" w:eastAsia="zh-CN"/>
        </w:rPr>
        <w:t>市财政初步安排前海合作区专项债规模2.65亿元，拟投向产业园区基础设施、保障性住房建设等领域。后续</w:t>
      </w:r>
      <w:r>
        <w:rPr>
          <w:rFonts w:hint="eastAsia" w:ascii="仿宋_GB2312" w:hAnsi="仿宋_GB2312" w:eastAsia="仿宋_GB2312" w:cs="仿宋_GB2312"/>
          <w:kern w:val="0"/>
          <w:sz w:val="32"/>
          <w:szCs w:val="32"/>
        </w:rPr>
        <w:t>专项债券资金需求将通过公共财政先行保障，并根据实际下达情况据实安排。</w:t>
      </w: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六、预算绩效工作开展情况说明</w:t>
      </w:r>
    </w:p>
    <w:p>
      <w:pPr>
        <w:adjustRightInd w:val="0"/>
        <w:snapToGrid w:val="0"/>
        <w:spacing w:line="56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前海合作区扎实推进预算绩效管理工作，不断建立健全预算绩效管理工作流程。一是开展绩效目标编报工作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组织各</w:t>
      </w:r>
      <w:r>
        <w:rPr>
          <w:rFonts w:hint="eastAsia" w:ascii="仿宋_GB2312" w:hAnsi="仿宋_GB2312" w:eastAsia="仿宋_GB2312" w:cs="仿宋_GB2312"/>
          <w:kern w:val="0"/>
          <w:sz w:val="32"/>
          <w:szCs w:val="32"/>
          <w:highlight w:val="none"/>
        </w:rPr>
        <w:t>部门</w:t>
      </w:r>
      <w:r>
        <w:rPr>
          <w:rFonts w:hint="eastAsia" w:ascii="仿宋_GB2312" w:hAnsi="仿宋_GB2312" w:eastAsia="仿宋_GB2312" w:cs="仿宋_GB2312"/>
          <w:kern w:val="0"/>
          <w:sz w:val="32"/>
          <w:szCs w:val="32"/>
        </w:rPr>
        <w:t>开展</w:t>
      </w:r>
      <w:r>
        <w:rPr>
          <w:rFonts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rPr>
        <w:t>年绩效目标编报，根据预算申报情况，项目支出均纳入绩效目标管理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二是开展绩效运行监控工作，要求项目单位对偏离绩效目标、预期无效目标和预算执行进度较差项目及时</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整改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三是开展绩效自评工作，实现绩效自评全覆盖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四是开展重点项目绩效评价工作。</w:t>
      </w:r>
    </w:p>
    <w:p>
      <w:pPr>
        <w:adjustRightInd w:val="0"/>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七、其他事项说明</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根据《预算法》第五十四条规定，预算年度开始后，预算草案在人</w:t>
      </w:r>
      <w:bookmarkStart w:id="3" w:name="_GoBack"/>
      <w:bookmarkEnd w:id="3"/>
      <w:r>
        <w:rPr>
          <w:rFonts w:hint="eastAsia" w:ascii="仿宋_GB2312" w:hAnsi="仿宋_GB2312" w:eastAsia="仿宋_GB2312" w:cs="仿宋_GB2312"/>
          <w:kern w:val="0"/>
          <w:sz w:val="32"/>
          <w:szCs w:val="32"/>
        </w:rPr>
        <w:t>民代表大会批准前，可以安排下列支出：</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（一）上一年度结转的支出；</w:t>
      </w:r>
    </w:p>
    <w:p>
      <w:pPr>
        <w:shd w:val="clear" w:color="auto" w:fill="FFFFFF"/>
        <w:adjustRightInd w:val="0"/>
        <w:snapToGrid w:val="0"/>
        <w:spacing w:line="560" w:lineRule="exact"/>
        <w:ind w:left="-57"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（二）参照上一年同期的预算支出数额安排必须支付的本年度</w:t>
      </w:r>
      <w:r>
        <w:rPr>
          <w:rFonts w:hint="eastAsia" w:ascii="仿宋_GB2312" w:hAnsi="仿宋_GB2312" w:eastAsia="仿宋_GB2312" w:cs="仿宋_GB2312"/>
          <w:kern w:val="0"/>
          <w:sz w:val="32"/>
          <w:szCs w:val="32"/>
          <w:highlight w:val="none"/>
        </w:rPr>
        <w:t>部门</w:t>
      </w:r>
      <w:r>
        <w:rPr>
          <w:rFonts w:hint="eastAsia" w:ascii="仿宋_GB2312" w:hAnsi="仿宋_GB2312" w:eastAsia="仿宋_GB2312" w:cs="仿宋_GB2312"/>
          <w:kern w:val="0"/>
          <w:sz w:val="32"/>
          <w:szCs w:val="32"/>
        </w:rPr>
        <w:t>基本支出、项目支出；</w:t>
      </w:r>
    </w:p>
    <w:p>
      <w:pPr>
        <w:shd w:val="clear" w:color="auto" w:fill="FFFFFF"/>
        <w:adjustRightInd w:val="0"/>
        <w:snapToGrid w:val="0"/>
        <w:spacing w:line="560" w:lineRule="exact"/>
        <w:ind w:left="-57" w:firstLine="640" w:firstLineChars="200"/>
        <w:jc w:val="left"/>
      </w:pPr>
      <w:r>
        <w:rPr>
          <w:rFonts w:hint="eastAsia" w:ascii="仿宋_GB2312" w:hAnsi="仿宋_GB2312" w:eastAsia="仿宋_GB2312" w:cs="仿宋_GB2312"/>
          <w:kern w:val="0"/>
          <w:sz w:val="32"/>
          <w:szCs w:val="32"/>
        </w:rPr>
        <w:t>（三）法律规定必须履行支付义务的支出，以及用于自然灾害等突发事件处理的支出。</w:t>
      </w:r>
    </w:p>
    <w:sectPr>
      <w:headerReference r:id="rId4" w:type="first"/>
      <w:footerReference r:id="rId5" w:type="default"/>
      <w:headerReference r:id="rId3"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0BD0A2-FA8A-4C05-B4F3-EE3A606A2B3C}"/>
  </w:font>
  <w:font w:name="黑体">
    <w:panose1 w:val="02010609060101010101"/>
    <w:charset w:val="86"/>
    <w:family w:val="auto"/>
    <w:pitch w:val="default"/>
    <w:sig w:usb0="800002BF" w:usb1="38CF7CFA" w:usb2="00000016" w:usb3="00000000" w:csb0="00040001" w:csb1="00000000"/>
    <w:embedRegular r:id="rId2" w:fontKey="{86D7A09A-5C8B-489F-A43C-E6E536587D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CF7A386-D6F3-4B89-96D6-B89EB7B8D913}"/>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4" w:fontKey="{40A17F8A-AD30-41F3-8D8A-808AB09AAE2E}"/>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C69ACECA-07D6-44C5-965C-8F183BC36E59}"/>
  </w:font>
  <w:font w:name="微软雅黑">
    <w:panose1 w:val="020B0503020204020204"/>
    <w:charset w:val="86"/>
    <w:family w:val="swiss"/>
    <w:pitch w:val="default"/>
    <w:sig w:usb0="80000287" w:usb1="2ACF3C50" w:usb2="00000016" w:usb3="00000000" w:csb0="0004001F" w:csb1="00000000"/>
    <w:embedRegular r:id="rId6" w:fontKey="{6BEBDAA5-3738-498E-AC5C-36B0898ED63F}"/>
  </w:font>
  <w:font w:name="CESI楷体-GB13000">
    <w:altName w:val="宋体"/>
    <w:panose1 w:val="02000500000000000000"/>
    <w:charset w:val="86"/>
    <w:family w:val="auto"/>
    <w:pitch w:val="default"/>
    <w:sig w:usb0="00000000" w:usb1="00000000" w:usb2="00000016" w:usb3="00000000" w:csb0="0004000F" w:csb1="00000000"/>
    <w:embedRegular r:id="rId7" w:fontKey="{2796FC85-B8FC-48BE-89EB-D56F37B385DF}"/>
  </w:font>
  <w:font w:name="方正楷体_GB2312">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吴婵琼20231228" style="font-family:&amp;quot;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吴婵琼20231228"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DAF96"/>
    <w:multiLevelType w:val="singleLevel"/>
    <w:tmpl w:val="BF2DAF96"/>
    <w:lvl w:ilvl="0" w:tentative="0">
      <w:start w:val="1"/>
      <w:numFmt w:val="chineseCounting"/>
      <w:suff w:val="nothing"/>
      <w:lvlText w:val="%1、"/>
      <w:lvlJc w:val="left"/>
      <w:pPr>
        <w:ind w:left="-10"/>
      </w:pPr>
      <w:rPr>
        <w:rFonts w:hint="eastAsia" w:cs="Times New Roman"/>
      </w:rPr>
    </w:lvl>
  </w:abstractNum>
  <w:abstractNum w:abstractNumId="1">
    <w:nsid w:val="C311A746"/>
    <w:multiLevelType w:val="singleLevel"/>
    <w:tmpl w:val="C311A746"/>
    <w:lvl w:ilvl="0" w:tentative="0">
      <w:start w:val="2"/>
      <w:numFmt w:val="chineseCounting"/>
      <w:suff w:val="space"/>
      <w:lvlText w:val="第%1部分"/>
      <w:lvlJc w:val="left"/>
      <w:rPr>
        <w:rFonts w:hint="eastAsia"/>
      </w:rPr>
    </w:lvl>
  </w:abstractNum>
  <w:abstractNum w:abstractNumId="2">
    <w:nsid w:val="FB7611A1"/>
    <w:multiLevelType w:val="singleLevel"/>
    <w:tmpl w:val="FB7611A1"/>
    <w:lvl w:ilvl="0" w:tentative="0">
      <w:start w:val="1"/>
      <w:numFmt w:val="chineseCountingThousand"/>
      <w:suff w:val="nothing"/>
      <w:lvlText w:val="（%1）"/>
      <w:lvlJc w:val="left"/>
      <w:pPr>
        <w:ind w:left="0" w:firstLine="0"/>
      </w:pPr>
      <w:rPr>
        <w:rFonts w:hint="eastAsia" w:ascii="方正楷体_GB2312" w:hAnsi="方正楷体_GB2312" w:eastAsia="方正楷体_GB2312" w:cs="方正楷体_GB2312"/>
      </w:rPr>
    </w:lvl>
  </w:abstractNum>
  <w:abstractNum w:abstractNumId="3">
    <w:nsid w:val="05C44F41"/>
    <w:multiLevelType w:val="multilevel"/>
    <w:tmpl w:val="05C44F41"/>
    <w:lvl w:ilvl="0" w:tentative="0">
      <w:start w:val="1"/>
      <w:numFmt w:val="chineseCountingThousand"/>
      <w:suff w:val="nothing"/>
      <w:lvlText w:val="（%1）"/>
      <w:lvlJc w:val="left"/>
      <w:pPr>
        <w:ind w:left="0" w:firstLine="0"/>
      </w:pPr>
      <w:rPr>
        <w:rFonts w:hint="eastAsia" w:ascii="方正楷体_GB2312" w:hAnsi="方正楷体_GB2312" w:eastAsia="方正楷体_GB2312" w:cs="方正楷体_GB231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874D1AC"/>
    <w:multiLevelType w:val="singleLevel"/>
    <w:tmpl w:val="0874D1AC"/>
    <w:lvl w:ilvl="0" w:tentative="0">
      <w:start w:val="4"/>
      <w:numFmt w:val="chineseCounting"/>
      <w:suff w:val="space"/>
      <w:lvlText w:val="第%1部分"/>
      <w:lvlJc w:val="left"/>
      <w:rPr>
        <w:rFonts w:hint="eastAsia" w:ascii="黑体" w:hAnsi="黑体" w:eastAsia="黑体"/>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U4MTMwYzU3ODFkYzQ0Yjk5NTk3NzEzNGY0ODMifQ=="/>
  </w:docVars>
  <w:rsids>
    <w:rsidRoot w:val="2FDF827A"/>
    <w:rsid w:val="00007857"/>
    <w:rsid w:val="00025BDE"/>
    <w:rsid w:val="000326AA"/>
    <w:rsid w:val="00043131"/>
    <w:rsid w:val="000537BA"/>
    <w:rsid w:val="00081E6B"/>
    <w:rsid w:val="000A32F6"/>
    <w:rsid w:val="000B1D30"/>
    <w:rsid w:val="000E0BE5"/>
    <w:rsid w:val="000E0E77"/>
    <w:rsid w:val="00106DB4"/>
    <w:rsid w:val="001134FE"/>
    <w:rsid w:val="00120E4C"/>
    <w:rsid w:val="0014069D"/>
    <w:rsid w:val="00142F5B"/>
    <w:rsid w:val="001564F2"/>
    <w:rsid w:val="00157FF3"/>
    <w:rsid w:val="00177534"/>
    <w:rsid w:val="00193D20"/>
    <w:rsid w:val="001A5739"/>
    <w:rsid w:val="001B1CC8"/>
    <w:rsid w:val="001C3E1E"/>
    <w:rsid w:val="00211D42"/>
    <w:rsid w:val="00222A14"/>
    <w:rsid w:val="002300CB"/>
    <w:rsid w:val="00231499"/>
    <w:rsid w:val="002505BA"/>
    <w:rsid w:val="002776E4"/>
    <w:rsid w:val="00281228"/>
    <w:rsid w:val="00284806"/>
    <w:rsid w:val="0028481A"/>
    <w:rsid w:val="0028700E"/>
    <w:rsid w:val="002B0D3B"/>
    <w:rsid w:val="002B2F3F"/>
    <w:rsid w:val="002B7AB0"/>
    <w:rsid w:val="002C677A"/>
    <w:rsid w:val="002D290D"/>
    <w:rsid w:val="002E20BF"/>
    <w:rsid w:val="002F16AE"/>
    <w:rsid w:val="00315B1F"/>
    <w:rsid w:val="003216F1"/>
    <w:rsid w:val="00322255"/>
    <w:rsid w:val="003351E0"/>
    <w:rsid w:val="00346E1B"/>
    <w:rsid w:val="00353BEE"/>
    <w:rsid w:val="00367C95"/>
    <w:rsid w:val="003D3B04"/>
    <w:rsid w:val="003D7268"/>
    <w:rsid w:val="00422362"/>
    <w:rsid w:val="00445AB5"/>
    <w:rsid w:val="004525F5"/>
    <w:rsid w:val="00476DE1"/>
    <w:rsid w:val="00480679"/>
    <w:rsid w:val="004B1852"/>
    <w:rsid w:val="004C57A7"/>
    <w:rsid w:val="004D7CB8"/>
    <w:rsid w:val="004E1896"/>
    <w:rsid w:val="004E4C8A"/>
    <w:rsid w:val="00501A90"/>
    <w:rsid w:val="00504B66"/>
    <w:rsid w:val="00524153"/>
    <w:rsid w:val="005254E0"/>
    <w:rsid w:val="005333C2"/>
    <w:rsid w:val="005367B4"/>
    <w:rsid w:val="00554508"/>
    <w:rsid w:val="00590AA1"/>
    <w:rsid w:val="005B2A0E"/>
    <w:rsid w:val="005C0FF5"/>
    <w:rsid w:val="005E10F9"/>
    <w:rsid w:val="006014E1"/>
    <w:rsid w:val="00653E7F"/>
    <w:rsid w:val="00677F92"/>
    <w:rsid w:val="00694895"/>
    <w:rsid w:val="006A4760"/>
    <w:rsid w:val="006C0ED3"/>
    <w:rsid w:val="006E4FEA"/>
    <w:rsid w:val="006F4667"/>
    <w:rsid w:val="006F478F"/>
    <w:rsid w:val="006F7D46"/>
    <w:rsid w:val="0071162C"/>
    <w:rsid w:val="00727643"/>
    <w:rsid w:val="00730739"/>
    <w:rsid w:val="00786DA3"/>
    <w:rsid w:val="007A04F2"/>
    <w:rsid w:val="007A39D5"/>
    <w:rsid w:val="007B17CA"/>
    <w:rsid w:val="007B3D70"/>
    <w:rsid w:val="007F3A21"/>
    <w:rsid w:val="00803B89"/>
    <w:rsid w:val="00804098"/>
    <w:rsid w:val="00821D45"/>
    <w:rsid w:val="00824958"/>
    <w:rsid w:val="0083280A"/>
    <w:rsid w:val="00834139"/>
    <w:rsid w:val="00836CAE"/>
    <w:rsid w:val="008524D7"/>
    <w:rsid w:val="00875FD1"/>
    <w:rsid w:val="008878A4"/>
    <w:rsid w:val="008A6945"/>
    <w:rsid w:val="008B7BC3"/>
    <w:rsid w:val="008E2240"/>
    <w:rsid w:val="008E5E76"/>
    <w:rsid w:val="00913ECC"/>
    <w:rsid w:val="0091567E"/>
    <w:rsid w:val="00950357"/>
    <w:rsid w:val="00951E1A"/>
    <w:rsid w:val="00960E7C"/>
    <w:rsid w:val="009938FC"/>
    <w:rsid w:val="009A2719"/>
    <w:rsid w:val="009A7819"/>
    <w:rsid w:val="009C2CED"/>
    <w:rsid w:val="009C6A00"/>
    <w:rsid w:val="00A10E6E"/>
    <w:rsid w:val="00A3000B"/>
    <w:rsid w:val="00A31A80"/>
    <w:rsid w:val="00A441F1"/>
    <w:rsid w:val="00A75314"/>
    <w:rsid w:val="00A85A09"/>
    <w:rsid w:val="00AA0CF4"/>
    <w:rsid w:val="00AB1C93"/>
    <w:rsid w:val="00AF23CB"/>
    <w:rsid w:val="00AF5CF8"/>
    <w:rsid w:val="00B03575"/>
    <w:rsid w:val="00B2383B"/>
    <w:rsid w:val="00B33DF8"/>
    <w:rsid w:val="00B36231"/>
    <w:rsid w:val="00B54A78"/>
    <w:rsid w:val="00B56F2D"/>
    <w:rsid w:val="00B71DD0"/>
    <w:rsid w:val="00B86BC2"/>
    <w:rsid w:val="00B94DE0"/>
    <w:rsid w:val="00BB15C8"/>
    <w:rsid w:val="00BB4A22"/>
    <w:rsid w:val="00BB4CB7"/>
    <w:rsid w:val="00BE4B62"/>
    <w:rsid w:val="00BE53DE"/>
    <w:rsid w:val="00BE5438"/>
    <w:rsid w:val="00BF6243"/>
    <w:rsid w:val="00C0125A"/>
    <w:rsid w:val="00C01815"/>
    <w:rsid w:val="00C049A5"/>
    <w:rsid w:val="00C05590"/>
    <w:rsid w:val="00C10AE0"/>
    <w:rsid w:val="00C12A9D"/>
    <w:rsid w:val="00C2795D"/>
    <w:rsid w:val="00C468BE"/>
    <w:rsid w:val="00C64761"/>
    <w:rsid w:val="00CA5A87"/>
    <w:rsid w:val="00CF6067"/>
    <w:rsid w:val="00D0262A"/>
    <w:rsid w:val="00D50770"/>
    <w:rsid w:val="00D51D7D"/>
    <w:rsid w:val="00D63177"/>
    <w:rsid w:val="00D723CA"/>
    <w:rsid w:val="00D83DEA"/>
    <w:rsid w:val="00D855C7"/>
    <w:rsid w:val="00DB1BE6"/>
    <w:rsid w:val="00DC4C01"/>
    <w:rsid w:val="00DD39A5"/>
    <w:rsid w:val="00DD4810"/>
    <w:rsid w:val="00E13EEE"/>
    <w:rsid w:val="00E15E83"/>
    <w:rsid w:val="00E205AE"/>
    <w:rsid w:val="00E25947"/>
    <w:rsid w:val="00E432CC"/>
    <w:rsid w:val="00EC342C"/>
    <w:rsid w:val="00ED059B"/>
    <w:rsid w:val="00F1308A"/>
    <w:rsid w:val="00F21644"/>
    <w:rsid w:val="00F23E56"/>
    <w:rsid w:val="00F24AEC"/>
    <w:rsid w:val="00F25049"/>
    <w:rsid w:val="00F44FD2"/>
    <w:rsid w:val="00F71DF7"/>
    <w:rsid w:val="00F7780C"/>
    <w:rsid w:val="00FC69EF"/>
    <w:rsid w:val="00FF7FD5"/>
    <w:rsid w:val="018A7CF1"/>
    <w:rsid w:val="01BD616A"/>
    <w:rsid w:val="02144FAE"/>
    <w:rsid w:val="028249AB"/>
    <w:rsid w:val="02BD5231"/>
    <w:rsid w:val="02E20AEF"/>
    <w:rsid w:val="02E8289C"/>
    <w:rsid w:val="0317189E"/>
    <w:rsid w:val="033E071B"/>
    <w:rsid w:val="0370464D"/>
    <w:rsid w:val="045B3D96"/>
    <w:rsid w:val="045E693B"/>
    <w:rsid w:val="04CD34EE"/>
    <w:rsid w:val="055C30DB"/>
    <w:rsid w:val="059D0343"/>
    <w:rsid w:val="05A8241E"/>
    <w:rsid w:val="05B13426"/>
    <w:rsid w:val="06654211"/>
    <w:rsid w:val="06A42F8B"/>
    <w:rsid w:val="06FF01FA"/>
    <w:rsid w:val="073B10E6"/>
    <w:rsid w:val="07806990"/>
    <w:rsid w:val="08127232"/>
    <w:rsid w:val="081C340A"/>
    <w:rsid w:val="086F059A"/>
    <w:rsid w:val="09141BF4"/>
    <w:rsid w:val="095161D6"/>
    <w:rsid w:val="0A527713"/>
    <w:rsid w:val="0A9774AA"/>
    <w:rsid w:val="0AEB412B"/>
    <w:rsid w:val="0B1F2F4E"/>
    <w:rsid w:val="0B6A4090"/>
    <w:rsid w:val="0B894B7C"/>
    <w:rsid w:val="0B920629"/>
    <w:rsid w:val="0BD30473"/>
    <w:rsid w:val="0BE1258C"/>
    <w:rsid w:val="0C09749B"/>
    <w:rsid w:val="0C7C386E"/>
    <w:rsid w:val="0C830617"/>
    <w:rsid w:val="0C9369E6"/>
    <w:rsid w:val="0CBC03F1"/>
    <w:rsid w:val="0D6D5820"/>
    <w:rsid w:val="0D714B34"/>
    <w:rsid w:val="0D8C6527"/>
    <w:rsid w:val="0DA5054A"/>
    <w:rsid w:val="0DAD4F24"/>
    <w:rsid w:val="0DF2046D"/>
    <w:rsid w:val="0E8C2C83"/>
    <w:rsid w:val="0EE15B77"/>
    <w:rsid w:val="0EE63E74"/>
    <w:rsid w:val="0F0A3BA7"/>
    <w:rsid w:val="0F180250"/>
    <w:rsid w:val="0F3C4F8C"/>
    <w:rsid w:val="0FF810FE"/>
    <w:rsid w:val="1018095B"/>
    <w:rsid w:val="101F0E02"/>
    <w:rsid w:val="10404B05"/>
    <w:rsid w:val="106A4B38"/>
    <w:rsid w:val="10E14020"/>
    <w:rsid w:val="117D32B6"/>
    <w:rsid w:val="11B90BA4"/>
    <w:rsid w:val="11C955BB"/>
    <w:rsid w:val="11ED44F6"/>
    <w:rsid w:val="120C4DAA"/>
    <w:rsid w:val="126D60C9"/>
    <w:rsid w:val="12DA0C7B"/>
    <w:rsid w:val="12E62E6A"/>
    <w:rsid w:val="136C3FB0"/>
    <w:rsid w:val="138B02C6"/>
    <w:rsid w:val="13CCE040"/>
    <w:rsid w:val="13FDD1EC"/>
    <w:rsid w:val="13FE4729"/>
    <w:rsid w:val="14154FC1"/>
    <w:rsid w:val="1421717F"/>
    <w:rsid w:val="152230D4"/>
    <w:rsid w:val="153303DF"/>
    <w:rsid w:val="15450835"/>
    <w:rsid w:val="15852AF3"/>
    <w:rsid w:val="15AE2D22"/>
    <w:rsid w:val="163C2586"/>
    <w:rsid w:val="16F27D43"/>
    <w:rsid w:val="18232427"/>
    <w:rsid w:val="183C317B"/>
    <w:rsid w:val="184120DA"/>
    <w:rsid w:val="18D35A75"/>
    <w:rsid w:val="18D4224A"/>
    <w:rsid w:val="191424FF"/>
    <w:rsid w:val="19460FDF"/>
    <w:rsid w:val="194D4493"/>
    <w:rsid w:val="1A0F5222"/>
    <w:rsid w:val="1A770D8B"/>
    <w:rsid w:val="1AB33345"/>
    <w:rsid w:val="1AE03801"/>
    <w:rsid w:val="1B4D72F6"/>
    <w:rsid w:val="1B74037B"/>
    <w:rsid w:val="1BBA200E"/>
    <w:rsid w:val="1C857158"/>
    <w:rsid w:val="1C8C2B4D"/>
    <w:rsid w:val="1C954CD6"/>
    <w:rsid w:val="1CD47E51"/>
    <w:rsid w:val="1CE95744"/>
    <w:rsid w:val="1D19635C"/>
    <w:rsid w:val="1D1E53EE"/>
    <w:rsid w:val="1DEA3951"/>
    <w:rsid w:val="1E1B2A71"/>
    <w:rsid w:val="1E592455"/>
    <w:rsid w:val="1E5C61BD"/>
    <w:rsid w:val="1E890FCD"/>
    <w:rsid w:val="1EED0003"/>
    <w:rsid w:val="1EF40D4B"/>
    <w:rsid w:val="1F456814"/>
    <w:rsid w:val="1F77E3CC"/>
    <w:rsid w:val="1F7C4C25"/>
    <w:rsid w:val="1F832032"/>
    <w:rsid w:val="1F8345C2"/>
    <w:rsid w:val="1FA67FFA"/>
    <w:rsid w:val="1FD75D28"/>
    <w:rsid w:val="1FDF5303"/>
    <w:rsid w:val="1FEE3C71"/>
    <w:rsid w:val="20BD6CCC"/>
    <w:rsid w:val="21331E70"/>
    <w:rsid w:val="21831B09"/>
    <w:rsid w:val="21B55CEC"/>
    <w:rsid w:val="225F366F"/>
    <w:rsid w:val="22BB746A"/>
    <w:rsid w:val="22F50ADD"/>
    <w:rsid w:val="232E2E17"/>
    <w:rsid w:val="2358207D"/>
    <w:rsid w:val="2413693F"/>
    <w:rsid w:val="2432177F"/>
    <w:rsid w:val="24B01CDE"/>
    <w:rsid w:val="253B63A2"/>
    <w:rsid w:val="253F4153"/>
    <w:rsid w:val="25506360"/>
    <w:rsid w:val="255151B7"/>
    <w:rsid w:val="25781413"/>
    <w:rsid w:val="257D488D"/>
    <w:rsid w:val="26143B06"/>
    <w:rsid w:val="262D66A1"/>
    <w:rsid w:val="262F241A"/>
    <w:rsid w:val="269862DE"/>
    <w:rsid w:val="26B77942"/>
    <w:rsid w:val="26ED4775"/>
    <w:rsid w:val="27085698"/>
    <w:rsid w:val="27BF5A87"/>
    <w:rsid w:val="27FA04A4"/>
    <w:rsid w:val="2891683A"/>
    <w:rsid w:val="28F0399B"/>
    <w:rsid w:val="29051210"/>
    <w:rsid w:val="293F67E2"/>
    <w:rsid w:val="295717F8"/>
    <w:rsid w:val="2A0015B6"/>
    <w:rsid w:val="2A4D6A26"/>
    <w:rsid w:val="2A727C33"/>
    <w:rsid w:val="2A952A67"/>
    <w:rsid w:val="2AC81DBC"/>
    <w:rsid w:val="2AD510B6"/>
    <w:rsid w:val="2ADF6663"/>
    <w:rsid w:val="2AF61430"/>
    <w:rsid w:val="2AFC0EAE"/>
    <w:rsid w:val="2BEE4BA1"/>
    <w:rsid w:val="2CCF4D90"/>
    <w:rsid w:val="2CE03230"/>
    <w:rsid w:val="2DA232EE"/>
    <w:rsid w:val="2DAE12FF"/>
    <w:rsid w:val="2DB27D05"/>
    <w:rsid w:val="2DD5078D"/>
    <w:rsid w:val="2DFD01E9"/>
    <w:rsid w:val="2E0A3540"/>
    <w:rsid w:val="2E5F5866"/>
    <w:rsid w:val="2F230642"/>
    <w:rsid w:val="2FBD7021"/>
    <w:rsid w:val="2FCD67FF"/>
    <w:rsid w:val="2FDF827A"/>
    <w:rsid w:val="2FEFAD66"/>
    <w:rsid w:val="2FFF1102"/>
    <w:rsid w:val="313F3759"/>
    <w:rsid w:val="315E1E05"/>
    <w:rsid w:val="31A4347E"/>
    <w:rsid w:val="32124221"/>
    <w:rsid w:val="32134DB6"/>
    <w:rsid w:val="32743B56"/>
    <w:rsid w:val="3393072B"/>
    <w:rsid w:val="33AB32FB"/>
    <w:rsid w:val="33C24BAC"/>
    <w:rsid w:val="340D7B12"/>
    <w:rsid w:val="347B2CCE"/>
    <w:rsid w:val="348E2C09"/>
    <w:rsid w:val="34B61F58"/>
    <w:rsid w:val="34E21EE8"/>
    <w:rsid w:val="34FC7CFD"/>
    <w:rsid w:val="3507280B"/>
    <w:rsid w:val="35254225"/>
    <w:rsid w:val="358675F0"/>
    <w:rsid w:val="35BD319C"/>
    <w:rsid w:val="35D16D6B"/>
    <w:rsid w:val="35D31DEE"/>
    <w:rsid w:val="35E57C7A"/>
    <w:rsid w:val="35E97B9E"/>
    <w:rsid w:val="35EF65E1"/>
    <w:rsid w:val="35F066AD"/>
    <w:rsid w:val="35FA7C22"/>
    <w:rsid w:val="360C1039"/>
    <w:rsid w:val="3616624B"/>
    <w:rsid w:val="367B3630"/>
    <w:rsid w:val="36BD1EDC"/>
    <w:rsid w:val="37203EEC"/>
    <w:rsid w:val="372D30A2"/>
    <w:rsid w:val="375636B0"/>
    <w:rsid w:val="3793A420"/>
    <w:rsid w:val="37A7C9DE"/>
    <w:rsid w:val="37ABCC64"/>
    <w:rsid w:val="37D22BEC"/>
    <w:rsid w:val="383148D1"/>
    <w:rsid w:val="3851621F"/>
    <w:rsid w:val="385357F5"/>
    <w:rsid w:val="38543113"/>
    <w:rsid w:val="387939C8"/>
    <w:rsid w:val="387F1B3D"/>
    <w:rsid w:val="388562D0"/>
    <w:rsid w:val="389030DC"/>
    <w:rsid w:val="38956011"/>
    <w:rsid w:val="38DC4FC6"/>
    <w:rsid w:val="39EA65E3"/>
    <w:rsid w:val="3A476F2A"/>
    <w:rsid w:val="3B0409B4"/>
    <w:rsid w:val="3B4413CB"/>
    <w:rsid w:val="3B761C5C"/>
    <w:rsid w:val="3B9BFC6A"/>
    <w:rsid w:val="3BB75E87"/>
    <w:rsid w:val="3BDA29D0"/>
    <w:rsid w:val="3BDF4D6C"/>
    <w:rsid w:val="3BEA39BC"/>
    <w:rsid w:val="3C063A6B"/>
    <w:rsid w:val="3C221C81"/>
    <w:rsid w:val="3C270B87"/>
    <w:rsid w:val="3CAF706B"/>
    <w:rsid w:val="3CF37E0D"/>
    <w:rsid w:val="3D2C2DB7"/>
    <w:rsid w:val="3D8A3F82"/>
    <w:rsid w:val="3D8B1285"/>
    <w:rsid w:val="3DC02614"/>
    <w:rsid w:val="3DDF6327"/>
    <w:rsid w:val="3DFF7B39"/>
    <w:rsid w:val="3E2B767E"/>
    <w:rsid w:val="3E3254E6"/>
    <w:rsid w:val="3E4505B4"/>
    <w:rsid w:val="3E4956D1"/>
    <w:rsid w:val="3E9F580B"/>
    <w:rsid w:val="3EED47C8"/>
    <w:rsid w:val="3F0264C5"/>
    <w:rsid w:val="3F093F8C"/>
    <w:rsid w:val="3F750F39"/>
    <w:rsid w:val="3F767786"/>
    <w:rsid w:val="3FBFF2E3"/>
    <w:rsid w:val="3FDEE0C8"/>
    <w:rsid w:val="3FEBBD3E"/>
    <w:rsid w:val="41085B30"/>
    <w:rsid w:val="412A332C"/>
    <w:rsid w:val="414A7CB0"/>
    <w:rsid w:val="41635215"/>
    <w:rsid w:val="41692AED"/>
    <w:rsid w:val="41A8552D"/>
    <w:rsid w:val="420163F8"/>
    <w:rsid w:val="4216717B"/>
    <w:rsid w:val="4280439B"/>
    <w:rsid w:val="429960CF"/>
    <w:rsid w:val="42C3413D"/>
    <w:rsid w:val="43380557"/>
    <w:rsid w:val="43803E5D"/>
    <w:rsid w:val="43805C0B"/>
    <w:rsid w:val="43975F72"/>
    <w:rsid w:val="43985FF2"/>
    <w:rsid w:val="43B41D58"/>
    <w:rsid w:val="44EE43A5"/>
    <w:rsid w:val="45192BB0"/>
    <w:rsid w:val="451E56DB"/>
    <w:rsid w:val="454103ED"/>
    <w:rsid w:val="459B57C3"/>
    <w:rsid w:val="45EAE4D7"/>
    <w:rsid w:val="46137E1C"/>
    <w:rsid w:val="46706276"/>
    <w:rsid w:val="46B205E8"/>
    <w:rsid w:val="46FA5CD4"/>
    <w:rsid w:val="47554931"/>
    <w:rsid w:val="479358FE"/>
    <w:rsid w:val="47E61413"/>
    <w:rsid w:val="47EB050B"/>
    <w:rsid w:val="489E7893"/>
    <w:rsid w:val="48F14D18"/>
    <w:rsid w:val="49A77509"/>
    <w:rsid w:val="49FA026B"/>
    <w:rsid w:val="4A0D60DE"/>
    <w:rsid w:val="4A590D1A"/>
    <w:rsid w:val="4AD66954"/>
    <w:rsid w:val="4B095EA9"/>
    <w:rsid w:val="4B296B88"/>
    <w:rsid w:val="4B584A53"/>
    <w:rsid w:val="4B6A6739"/>
    <w:rsid w:val="4B9304A5"/>
    <w:rsid w:val="4BF67801"/>
    <w:rsid w:val="4C997D3D"/>
    <w:rsid w:val="4CE82EBC"/>
    <w:rsid w:val="4D2A239A"/>
    <w:rsid w:val="4D556A25"/>
    <w:rsid w:val="4DAC647D"/>
    <w:rsid w:val="4DCA16D3"/>
    <w:rsid w:val="4DEFDB3A"/>
    <w:rsid w:val="4DF44953"/>
    <w:rsid w:val="4E4B2B03"/>
    <w:rsid w:val="4E726E49"/>
    <w:rsid w:val="4E747787"/>
    <w:rsid w:val="4EA00746"/>
    <w:rsid w:val="4EA87CCA"/>
    <w:rsid w:val="4F6208BA"/>
    <w:rsid w:val="4F9504EE"/>
    <w:rsid w:val="4FC96949"/>
    <w:rsid w:val="50132266"/>
    <w:rsid w:val="503E6D97"/>
    <w:rsid w:val="50617C70"/>
    <w:rsid w:val="506B057F"/>
    <w:rsid w:val="506C7DBD"/>
    <w:rsid w:val="507D3D1D"/>
    <w:rsid w:val="50966E45"/>
    <w:rsid w:val="51271DBC"/>
    <w:rsid w:val="52233583"/>
    <w:rsid w:val="525513A4"/>
    <w:rsid w:val="52DE792F"/>
    <w:rsid w:val="537F5EDF"/>
    <w:rsid w:val="53866EBD"/>
    <w:rsid w:val="538E6122"/>
    <w:rsid w:val="539722A3"/>
    <w:rsid w:val="53E43F94"/>
    <w:rsid w:val="540958F9"/>
    <w:rsid w:val="545072AF"/>
    <w:rsid w:val="545F71FB"/>
    <w:rsid w:val="54850B25"/>
    <w:rsid w:val="54AF247D"/>
    <w:rsid w:val="55582502"/>
    <w:rsid w:val="55902DF0"/>
    <w:rsid w:val="55E0545B"/>
    <w:rsid w:val="55E47E60"/>
    <w:rsid w:val="5638255D"/>
    <w:rsid w:val="56FC58C0"/>
    <w:rsid w:val="573550B1"/>
    <w:rsid w:val="575D0853"/>
    <w:rsid w:val="57BA40FA"/>
    <w:rsid w:val="57FF5F79"/>
    <w:rsid w:val="57FFA7A2"/>
    <w:rsid w:val="582C7CB7"/>
    <w:rsid w:val="58487AE6"/>
    <w:rsid w:val="58494F98"/>
    <w:rsid w:val="59275E6A"/>
    <w:rsid w:val="597D20E1"/>
    <w:rsid w:val="59A203A6"/>
    <w:rsid w:val="5A026F22"/>
    <w:rsid w:val="5AB6695C"/>
    <w:rsid w:val="5AB74158"/>
    <w:rsid w:val="5AFF3A3E"/>
    <w:rsid w:val="5B0B05EE"/>
    <w:rsid w:val="5C212334"/>
    <w:rsid w:val="5C63204D"/>
    <w:rsid w:val="5CA81314"/>
    <w:rsid w:val="5CBB2533"/>
    <w:rsid w:val="5CF02C18"/>
    <w:rsid w:val="5D017424"/>
    <w:rsid w:val="5D0336DD"/>
    <w:rsid w:val="5D233C79"/>
    <w:rsid w:val="5D7C3AA3"/>
    <w:rsid w:val="5D86767D"/>
    <w:rsid w:val="5DA327CA"/>
    <w:rsid w:val="5DA53D3A"/>
    <w:rsid w:val="5DA7F3A6"/>
    <w:rsid w:val="5DB926F2"/>
    <w:rsid w:val="5DCB9404"/>
    <w:rsid w:val="5E317DD6"/>
    <w:rsid w:val="5E567D56"/>
    <w:rsid w:val="5EEA294D"/>
    <w:rsid w:val="5F1165B0"/>
    <w:rsid w:val="5F205220"/>
    <w:rsid w:val="5F260153"/>
    <w:rsid w:val="5F462C0B"/>
    <w:rsid w:val="5F62370B"/>
    <w:rsid w:val="5F6A0B17"/>
    <w:rsid w:val="5F7024FD"/>
    <w:rsid w:val="5F7AB1A7"/>
    <w:rsid w:val="5F844E58"/>
    <w:rsid w:val="5FBC7B73"/>
    <w:rsid w:val="5FBEDE58"/>
    <w:rsid w:val="5FCB2B9B"/>
    <w:rsid w:val="5FFB29D6"/>
    <w:rsid w:val="602816AC"/>
    <w:rsid w:val="60526897"/>
    <w:rsid w:val="60B07765"/>
    <w:rsid w:val="6105554A"/>
    <w:rsid w:val="612575AD"/>
    <w:rsid w:val="61D5318F"/>
    <w:rsid w:val="62372CB1"/>
    <w:rsid w:val="62616D47"/>
    <w:rsid w:val="62630956"/>
    <w:rsid w:val="62AD0C74"/>
    <w:rsid w:val="62D376AD"/>
    <w:rsid w:val="62FDF1FD"/>
    <w:rsid w:val="63A81175"/>
    <w:rsid w:val="63B56DCD"/>
    <w:rsid w:val="63E6B25A"/>
    <w:rsid w:val="64AE3C3D"/>
    <w:rsid w:val="64E84617"/>
    <w:rsid w:val="65B00EE1"/>
    <w:rsid w:val="65C16FBA"/>
    <w:rsid w:val="65C53B4C"/>
    <w:rsid w:val="65F53E98"/>
    <w:rsid w:val="665B6C46"/>
    <w:rsid w:val="66B06886"/>
    <w:rsid w:val="66C0263F"/>
    <w:rsid w:val="673B4EB6"/>
    <w:rsid w:val="67AD273F"/>
    <w:rsid w:val="67E46C83"/>
    <w:rsid w:val="67FA392E"/>
    <w:rsid w:val="6803393C"/>
    <w:rsid w:val="68D15963"/>
    <w:rsid w:val="68F756F8"/>
    <w:rsid w:val="68FB6711"/>
    <w:rsid w:val="692D249D"/>
    <w:rsid w:val="6977F8A0"/>
    <w:rsid w:val="698A47B3"/>
    <w:rsid w:val="69D72936"/>
    <w:rsid w:val="69DC6DBD"/>
    <w:rsid w:val="6A3038AE"/>
    <w:rsid w:val="6A8851FE"/>
    <w:rsid w:val="6AB204F0"/>
    <w:rsid w:val="6B1732C2"/>
    <w:rsid w:val="6B5478A4"/>
    <w:rsid w:val="6B721C95"/>
    <w:rsid w:val="6B7A6AB3"/>
    <w:rsid w:val="6B9B71EE"/>
    <w:rsid w:val="6BEC0BE2"/>
    <w:rsid w:val="6BF608B1"/>
    <w:rsid w:val="6C344993"/>
    <w:rsid w:val="6C465F32"/>
    <w:rsid w:val="6C73B7DF"/>
    <w:rsid w:val="6D1D0FC8"/>
    <w:rsid w:val="6D1D4888"/>
    <w:rsid w:val="6D1F11FA"/>
    <w:rsid w:val="6D342338"/>
    <w:rsid w:val="6D9873DF"/>
    <w:rsid w:val="6DB058AA"/>
    <w:rsid w:val="6DCC3677"/>
    <w:rsid w:val="6DCF6685"/>
    <w:rsid w:val="6DD62748"/>
    <w:rsid w:val="6E3AC119"/>
    <w:rsid w:val="6E4008BB"/>
    <w:rsid w:val="6EC32CCC"/>
    <w:rsid w:val="6EF410D7"/>
    <w:rsid w:val="6EFE824C"/>
    <w:rsid w:val="6F7FAE5B"/>
    <w:rsid w:val="6F8E05BA"/>
    <w:rsid w:val="6FEC0D42"/>
    <w:rsid w:val="6FFF66E6"/>
    <w:rsid w:val="7000585A"/>
    <w:rsid w:val="703F6AB7"/>
    <w:rsid w:val="708B58B2"/>
    <w:rsid w:val="70B25751"/>
    <w:rsid w:val="70EE5D63"/>
    <w:rsid w:val="70EFE97E"/>
    <w:rsid w:val="712FE8E9"/>
    <w:rsid w:val="71633397"/>
    <w:rsid w:val="718D3F98"/>
    <w:rsid w:val="72287471"/>
    <w:rsid w:val="72BD780D"/>
    <w:rsid w:val="72CA7807"/>
    <w:rsid w:val="72D79119"/>
    <w:rsid w:val="737D6EA7"/>
    <w:rsid w:val="73BFFD05"/>
    <w:rsid w:val="74082F2F"/>
    <w:rsid w:val="74196D88"/>
    <w:rsid w:val="743C6530"/>
    <w:rsid w:val="74FE6101"/>
    <w:rsid w:val="751F2136"/>
    <w:rsid w:val="75274832"/>
    <w:rsid w:val="75582E99"/>
    <w:rsid w:val="75B05A3E"/>
    <w:rsid w:val="75DE8776"/>
    <w:rsid w:val="764D5A23"/>
    <w:rsid w:val="76612DCA"/>
    <w:rsid w:val="76F3690E"/>
    <w:rsid w:val="76FA71B1"/>
    <w:rsid w:val="773103C7"/>
    <w:rsid w:val="77571758"/>
    <w:rsid w:val="775E4966"/>
    <w:rsid w:val="775F6EEC"/>
    <w:rsid w:val="776F4468"/>
    <w:rsid w:val="777F7B8D"/>
    <w:rsid w:val="779401F9"/>
    <w:rsid w:val="77985B13"/>
    <w:rsid w:val="779F63F2"/>
    <w:rsid w:val="77B35131"/>
    <w:rsid w:val="77D34C9D"/>
    <w:rsid w:val="77DE16F1"/>
    <w:rsid w:val="77FD0E84"/>
    <w:rsid w:val="77FF6B42"/>
    <w:rsid w:val="781223C7"/>
    <w:rsid w:val="7848461E"/>
    <w:rsid w:val="786077DD"/>
    <w:rsid w:val="788595D0"/>
    <w:rsid w:val="791B0AF0"/>
    <w:rsid w:val="798619ED"/>
    <w:rsid w:val="799F7E92"/>
    <w:rsid w:val="79B77EE9"/>
    <w:rsid w:val="7A1C0C59"/>
    <w:rsid w:val="7A6F592A"/>
    <w:rsid w:val="7A76DBF6"/>
    <w:rsid w:val="7A7FA71F"/>
    <w:rsid w:val="7AC1D0CE"/>
    <w:rsid w:val="7AE4D22C"/>
    <w:rsid w:val="7AF3498F"/>
    <w:rsid w:val="7AF52E8F"/>
    <w:rsid w:val="7B09796A"/>
    <w:rsid w:val="7BBB698E"/>
    <w:rsid w:val="7BDEA401"/>
    <w:rsid w:val="7BFF0392"/>
    <w:rsid w:val="7C38005C"/>
    <w:rsid w:val="7C586C76"/>
    <w:rsid w:val="7C737D1A"/>
    <w:rsid w:val="7CDF667A"/>
    <w:rsid w:val="7CFE6B21"/>
    <w:rsid w:val="7D0DDCB2"/>
    <w:rsid w:val="7D677327"/>
    <w:rsid w:val="7D74C7B2"/>
    <w:rsid w:val="7D76ED56"/>
    <w:rsid w:val="7DB52379"/>
    <w:rsid w:val="7DBF067C"/>
    <w:rsid w:val="7DD76804"/>
    <w:rsid w:val="7DFF8E5A"/>
    <w:rsid w:val="7E0C2878"/>
    <w:rsid w:val="7E3C61A8"/>
    <w:rsid w:val="7E7044F2"/>
    <w:rsid w:val="7E747B3F"/>
    <w:rsid w:val="7EBF3C62"/>
    <w:rsid w:val="7EBFC613"/>
    <w:rsid w:val="7ED528F1"/>
    <w:rsid w:val="7EE63B22"/>
    <w:rsid w:val="7EF47ED5"/>
    <w:rsid w:val="7F0F09F8"/>
    <w:rsid w:val="7F1B4653"/>
    <w:rsid w:val="7F2BA877"/>
    <w:rsid w:val="7F5F8086"/>
    <w:rsid w:val="7F603751"/>
    <w:rsid w:val="7F656032"/>
    <w:rsid w:val="7F664991"/>
    <w:rsid w:val="7F693410"/>
    <w:rsid w:val="7F6C8E86"/>
    <w:rsid w:val="7F7733CE"/>
    <w:rsid w:val="7F7EAB06"/>
    <w:rsid w:val="7FA4032D"/>
    <w:rsid w:val="7FBAC8AA"/>
    <w:rsid w:val="7FCD795A"/>
    <w:rsid w:val="7FD12677"/>
    <w:rsid w:val="7FDEF767"/>
    <w:rsid w:val="7FDF106D"/>
    <w:rsid w:val="7FE7F26E"/>
    <w:rsid w:val="7FED8B65"/>
    <w:rsid w:val="7FEE12D1"/>
    <w:rsid w:val="7FF6D2EB"/>
    <w:rsid w:val="7FFACA0D"/>
    <w:rsid w:val="7FFE639A"/>
    <w:rsid w:val="7FFF1A12"/>
    <w:rsid w:val="7FFF255D"/>
    <w:rsid w:val="7FFFFD89"/>
    <w:rsid w:val="87DCFECE"/>
    <w:rsid w:val="8DFBC438"/>
    <w:rsid w:val="8FF77087"/>
    <w:rsid w:val="95BF687D"/>
    <w:rsid w:val="9AFFD6E7"/>
    <w:rsid w:val="9C4A2E99"/>
    <w:rsid w:val="9FB6394C"/>
    <w:rsid w:val="9FF20FE3"/>
    <w:rsid w:val="A7F2C667"/>
    <w:rsid w:val="A97ADCDB"/>
    <w:rsid w:val="A9ED65F2"/>
    <w:rsid w:val="AAEF73B4"/>
    <w:rsid w:val="AEEFA785"/>
    <w:rsid w:val="AFFF7B13"/>
    <w:rsid w:val="B21FEBED"/>
    <w:rsid w:val="B367B9EC"/>
    <w:rsid w:val="B7A3C9B1"/>
    <w:rsid w:val="B97F078D"/>
    <w:rsid w:val="B9A7F9A3"/>
    <w:rsid w:val="BAFD80EF"/>
    <w:rsid w:val="BB6C8F2C"/>
    <w:rsid w:val="BBDDFD30"/>
    <w:rsid w:val="BD9B3357"/>
    <w:rsid w:val="BF7ED486"/>
    <w:rsid w:val="BFDBD089"/>
    <w:rsid w:val="BFEF51F3"/>
    <w:rsid w:val="C3BFF2D0"/>
    <w:rsid w:val="C5FD160D"/>
    <w:rsid w:val="C74BE98D"/>
    <w:rsid w:val="CADF4344"/>
    <w:rsid w:val="CBFD9EC7"/>
    <w:rsid w:val="CD7FD8B5"/>
    <w:rsid w:val="CE273573"/>
    <w:rsid w:val="D3F2312D"/>
    <w:rsid w:val="D3F7FB5A"/>
    <w:rsid w:val="D72BD462"/>
    <w:rsid w:val="D7A5A736"/>
    <w:rsid w:val="D7FF8E97"/>
    <w:rsid w:val="D9BF5EDD"/>
    <w:rsid w:val="D9BF6374"/>
    <w:rsid w:val="DB7F82BA"/>
    <w:rsid w:val="DBF444EA"/>
    <w:rsid w:val="DBFEBD94"/>
    <w:rsid w:val="DBFF1FDC"/>
    <w:rsid w:val="DCF30014"/>
    <w:rsid w:val="DDA70489"/>
    <w:rsid w:val="DF6F60A6"/>
    <w:rsid w:val="DF7ECD7C"/>
    <w:rsid w:val="DFAF3D89"/>
    <w:rsid w:val="DFBEFC14"/>
    <w:rsid w:val="DFF62125"/>
    <w:rsid w:val="DFFD1973"/>
    <w:rsid w:val="E2D7D3CA"/>
    <w:rsid w:val="E2FEEC75"/>
    <w:rsid w:val="E47F61B0"/>
    <w:rsid w:val="E8F3EDB4"/>
    <w:rsid w:val="EA77DC58"/>
    <w:rsid w:val="EADFF016"/>
    <w:rsid w:val="EB3E5AD9"/>
    <w:rsid w:val="EBFFC8B7"/>
    <w:rsid w:val="ECE7723D"/>
    <w:rsid w:val="EEFEDDF7"/>
    <w:rsid w:val="EFBDDF6E"/>
    <w:rsid w:val="EFBF65AF"/>
    <w:rsid w:val="EFCCBEA9"/>
    <w:rsid w:val="EFF3EE44"/>
    <w:rsid w:val="EFFF585B"/>
    <w:rsid w:val="F1F992E6"/>
    <w:rsid w:val="F2D97E0D"/>
    <w:rsid w:val="F2EA2589"/>
    <w:rsid w:val="F5750486"/>
    <w:rsid w:val="F57F3E82"/>
    <w:rsid w:val="F58F60CE"/>
    <w:rsid w:val="F593457E"/>
    <w:rsid w:val="F5F589CF"/>
    <w:rsid w:val="F73DA9E9"/>
    <w:rsid w:val="F76AA8FA"/>
    <w:rsid w:val="F76F2E54"/>
    <w:rsid w:val="F7F636EE"/>
    <w:rsid w:val="F7FE7D26"/>
    <w:rsid w:val="F7FF40C9"/>
    <w:rsid w:val="F89256BF"/>
    <w:rsid w:val="F8EF38CA"/>
    <w:rsid w:val="F9FBE7BB"/>
    <w:rsid w:val="FB7715E2"/>
    <w:rsid w:val="FB7E0536"/>
    <w:rsid w:val="FB7FEC37"/>
    <w:rsid w:val="FBAF38E8"/>
    <w:rsid w:val="FBBF5345"/>
    <w:rsid w:val="FBEB2A45"/>
    <w:rsid w:val="FBF7C811"/>
    <w:rsid w:val="FBFEEC1E"/>
    <w:rsid w:val="FBFF8985"/>
    <w:rsid w:val="FBFFEC20"/>
    <w:rsid w:val="FC3F1718"/>
    <w:rsid w:val="FCF64B65"/>
    <w:rsid w:val="FCFE99CB"/>
    <w:rsid w:val="FDBE1367"/>
    <w:rsid w:val="FDBFEFF6"/>
    <w:rsid w:val="FDDD2F9B"/>
    <w:rsid w:val="FDF70F9E"/>
    <w:rsid w:val="FDFF1CBD"/>
    <w:rsid w:val="FE7D4AEB"/>
    <w:rsid w:val="FE7F904E"/>
    <w:rsid w:val="FEBE6B40"/>
    <w:rsid w:val="FEDFFA32"/>
    <w:rsid w:val="FEEFE1E2"/>
    <w:rsid w:val="FEFF6C54"/>
    <w:rsid w:val="FEFFEAF1"/>
    <w:rsid w:val="FF07AFAE"/>
    <w:rsid w:val="FF576CB1"/>
    <w:rsid w:val="FF6B8273"/>
    <w:rsid w:val="FF70C493"/>
    <w:rsid w:val="FF7F199B"/>
    <w:rsid w:val="FF7F4A3A"/>
    <w:rsid w:val="FF7FFE38"/>
    <w:rsid w:val="FFD7893A"/>
    <w:rsid w:val="FFDD5099"/>
    <w:rsid w:val="FFFB6BA9"/>
    <w:rsid w:val="FFFDFFE5"/>
    <w:rsid w:val="FFFF7ECC"/>
    <w:rsid w:val="FFFF9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7"/>
    <w:qFormat/>
    <w:uiPriority w:val="0"/>
    <w:pPr>
      <w:spacing w:before="0" w:after="120"/>
      <w:ind w:left="0" w:firstLine="420" w:firstLineChars="100"/>
    </w:pPr>
    <w:rPr>
      <w:rFonts w:ascii="Calibri" w:hAnsi="Calibri" w:eastAsia="宋体"/>
      <w:sz w:val="21"/>
      <w:szCs w:val="24"/>
    </w:rPr>
  </w:style>
  <w:style w:type="paragraph" w:styleId="3">
    <w:name w:val="Body Text"/>
    <w:basedOn w:val="1"/>
    <w:next w:val="1"/>
    <w:link w:val="16"/>
    <w:qFormat/>
    <w:uiPriority w:val="0"/>
    <w:pPr>
      <w:spacing w:before="140"/>
      <w:ind w:left="100"/>
    </w:pPr>
    <w:rPr>
      <w:rFonts w:ascii="仿宋_GB2312" w:hAnsi="仿宋_GB2312" w:eastAsia="仿宋_GB2312"/>
      <w:sz w:val="32"/>
      <w:szCs w:val="32"/>
    </w:rPr>
  </w:style>
  <w:style w:type="paragraph" w:styleId="4">
    <w:name w:val="annotation text"/>
    <w:basedOn w:val="1"/>
    <w:link w:val="27"/>
    <w:semiHidden/>
    <w:unhideWhenUsed/>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qFormat/>
    <w:uiPriority w:val="0"/>
    <w:pPr>
      <w:widowControl w:val="0"/>
      <w:spacing w:before="240"/>
      <w:jc w:val="both"/>
    </w:pPr>
    <w:rPr>
      <w:rFonts w:ascii="Times New Roman" w:hAnsi="Times New Roman" w:eastAsia="宋体" w:cs="Times New Roman"/>
      <w:color w:val="FF0000"/>
      <w:sz w:val="32"/>
      <w:szCs w:val="22"/>
      <w:lang w:val="en-US" w:eastAsia="zh-CN" w:bidi="ar-SA"/>
    </w:rPr>
  </w:style>
  <w:style w:type="paragraph" w:styleId="8">
    <w:name w:val="Normal (Web)"/>
    <w:basedOn w:val="1"/>
    <w:qFormat/>
    <w:uiPriority w:val="0"/>
    <w:pPr>
      <w:spacing w:line="560" w:lineRule="exact"/>
      <w:jc w:val="left"/>
    </w:pPr>
    <w:rPr>
      <w:kern w:val="0"/>
      <w:sz w:val="24"/>
    </w:rPr>
  </w:style>
  <w:style w:type="paragraph" w:styleId="9">
    <w:name w:val="Title"/>
    <w:basedOn w:val="1"/>
    <w:next w:val="1"/>
    <w:qFormat/>
    <w:uiPriority w:val="0"/>
    <w:pPr>
      <w:spacing w:before="240" w:after="60"/>
      <w:jc w:val="center"/>
      <w:outlineLvl w:val="0"/>
    </w:pPr>
    <w:rPr>
      <w:rFonts w:asciiTheme="majorHAnsi" w:hAnsiTheme="majorHAnsi" w:cstheme="majorBidi"/>
      <w:b/>
      <w:bCs/>
      <w:szCs w:val="32"/>
    </w:rPr>
  </w:style>
  <w:style w:type="paragraph" w:styleId="10">
    <w:name w:val="annotation subject"/>
    <w:basedOn w:val="4"/>
    <w:next w:val="4"/>
    <w:link w:val="28"/>
    <w:semiHidden/>
    <w:unhideWhenUsed/>
    <w:qFormat/>
    <w:uiPriority w:val="0"/>
    <w:rPr>
      <w:b/>
      <w:bCs/>
    </w:rPr>
  </w:style>
  <w:style w:type="character" w:styleId="13">
    <w:name w:val="annotation reference"/>
    <w:basedOn w:val="12"/>
    <w:semiHidden/>
    <w:unhideWhenUsed/>
    <w:qFormat/>
    <w:uiPriority w:val="0"/>
    <w:rPr>
      <w:sz w:val="21"/>
      <w:szCs w:val="21"/>
    </w:rPr>
  </w:style>
  <w:style w:type="character" w:customStyle="1" w:styleId="14">
    <w:name w:val="页眉 字符"/>
    <w:basedOn w:val="12"/>
    <w:link w:val="6"/>
    <w:qFormat/>
    <w:uiPriority w:val="0"/>
    <w:rPr>
      <w:rFonts w:ascii="Calibri" w:hAnsi="Calibri" w:eastAsia="宋体" w:cs="Times New Roman"/>
      <w:kern w:val="2"/>
      <w:sz w:val="18"/>
      <w:szCs w:val="18"/>
    </w:rPr>
  </w:style>
  <w:style w:type="character" w:customStyle="1" w:styleId="15">
    <w:name w:val="页脚 字符"/>
    <w:basedOn w:val="12"/>
    <w:link w:val="5"/>
    <w:qFormat/>
    <w:uiPriority w:val="0"/>
    <w:rPr>
      <w:rFonts w:ascii="Calibri" w:hAnsi="Calibri" w:eastAsia="宋体" w:cs="Times New Roman"/>
      <w:kern w:val="2"/>
      <w:sz w:val="18"/>
      <w:szCs w:val="18"/>
    </w:rPr>
  </w:style>
  <w:style w:type="character" w:customStyle="1" w:styleId="16">
    <w:name w:val="正文文本 字符"/>
    <w:basedOn w:val="12"/>
    <w:link w:val="3"/>
    <w:qFormat/>
    <w:uiPriority w:val="0"/>
    <w:rPr>
      <w:rFonts w:ascii="仿宋_GB2312" w:hAnsi="仿宋_GB2312" w:eastAsia="仿宋_GB2312" w:cs="Times New Roman"/>
      <w:kern w:val="2"/>
      <w:sz w:val="32"/>
      <w:szCs w:val="32"/>
    </w:rPr>
  </w:style>
  <w:style w:type="character" w:customStyle="1" w:styleId="17">
    <w:name w:val="正文文本首行缩进 字符"/>
    <w:basedOn w:val="16"/>
    <w:link w:val="2"/>
    <w:qFormat/>
    <w:uiPriority w:val="0"/>
    <w:rPr>
      <w:rFonts w:ascii="仿宋_GB2312" w:hAnsi="仿宋_GB2312" w:eastAsia="仿宋_GB2312" w:cs="Times New Roman"/>
      <w:kern w:val="2"/>
      <w:sz w:val="32"/>
      <w:szCs w:val="32"/>
    </w:rPr>
  </w:style>
  <w:style w:type="paragraph" w:customStyle="1" w:styleId="18">
    <w:name w:val="2级标题"/>
    <w:basedOn w:val="19"/>
    <w:next w:val="19"/>
    <w:qFormat/>
    <w:uiPriority w:val="0"/>
    <w:pPr>
      <w:outlineLvl w:val="1"/>
    </w:pPr>
    <w:rPr>
      <w:rFonts w:ascii="楷体_GB2312" w:hAnsi="楷体" w:eastAsia="楷体_GB2312"/>
      <w:bCs/>
    </w:rPr>
  </w:style>
  <w:style w:type="paragraph" w:customStyle="1" w:styleId="19">
    <w:name w:val="9前海 正文"/>
    <w:basedOn w:val="20"/>
    <w:qFormat/>
    <w:uiPriority w:val="0"/>
    <w:pPr>
      <w:ind w:firstLine="640"/>
    </w:pPr>
    <w:rPr>
      <w:rFonts w:ascii="仿宋_GB2312" w:eastAsia="仿宋_GB2312"/>
    </w:rPr>
  </w:style>
  <w:style w:type="paragraph" w:customStyle="1" w:styleId="2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21">
    <w:name w:val="3级标题"/>
    <w:basedOn w:val="19"/>
    <w:next w:val="19"/>
    <w:qFormat/>
    <w:uiPriority w:val="0"/>
    <w:pPr>
      <w:outlineLvl w:val="2"/>
    </w:pPr>
    <w:rPr>
      <w:bCs/>
    </w:rPr>
  </w:style>
  <w:style w:type="paragraph" w:styleId="22">
    <w:name w:val="List Paragraph"/>
    <w:basedOn w:val="1"/>
    <w:unhideWhenUsed/>
    <w:qFormat/>
    <w:uiPriority w:val="99"/>
    <w:pPr>
      <w:ind w:firstLine="420" w:firstLineChars="200"/>
    </w:pPr>
  </w:style>
  <w:style w:type="paragraph" w:customStyle="1" w:styleId="23">
    <w:name w:val="修订1"/>
    <w:hidden/>
    <w:semiHidden/>
    <w:qFormat/>
    <w:uiPriority w:val="99"/>
    <w:rPr>
      <w:rFonts w:ascii="Calibri" w:hAnsi="Calibri" w:eastAsia="宋体" w:cs="Times New Roman"/>
      <w:kern w:val="2"/>
      <w:sz w:val="21"/>
      <w:szCs w:val="24"/>
      <w:lang w:val="en-US" w:eastAsia="zh-CN" w:bidi="ar-SA"/>
    </w:rPr>
  </w:style>
  <w:style w:type="paragraph" w:customStyle="1" w:styleId="24">
    <w:name w:val="修订2"/>
    <w:hidden/>
    <w:semiHidden/>
    <w:qFormat/>
    <w:uiPriority w:val="99"/>
    <w:rPr>
      <w:rFonts w:ascii="Calibri" w:hAnsi="Calibri" w:eastAsia="宋体" w:cs="Times New Roman"/>
      <w:kern w:val="2"/>
      <w:sz w:val="21"/>
      <w:szCs w:val="24"/>
      <w:lang w:val="en-US" w:eastAsia="zh-CN" w:bidi="ar-SA"/>
    </w:rPr>
  </w:style>
  <w:style w:type="paragraph" w:customStyle="1" w:styleId="25">
    <w:name w:val="修订3"/>
    <w:hidden/>
    <w:semiHidden/>
    <w:qFormat/>
    <w:uiPriority w:val="99"/>
    <w:rPr>
      <w:rFonts w:ascii="Calibri" w:hAnsi="Calibri" w:eastAsia="宋体" w:cs="Times New Roman"/>
      <w:kern w:val="2"/>
      <w:sz w:val="21"/>
      <w:szCs w:val="24"/>
      <w:lang w:val="en-US" w:eastAsia="zh-CN" w:bidi="ar-SA"/>
    </w:rPr>
  </w:style>
  <w:style w:type="paragraph" w:customStyle="1" w:styleId="26">
    <w:name w:val="修订4"/>
    <w:hidden/>
    <w:unhideWhenUsed/>
    <w:qFormat/>
    <w:uiPriority w:val="99"/>
    <w:rPr>
      <w:rFonts w:ascii="Calibri" w:hAnsi="Calibri" w:eastAsia="宋体" w:cs="Times New Roman"/>
      <w:kern w:val="2"/>
      <w:sz w:val="21"/>
      <w:szCs w:val="24"/>
      <w:lang w:val="en-US" w:eastAsia="zh-CN" w:bidi="ar-SA"/>
    </w:rPr>
  </w:style>
  <w:style w:type="character" w:customStyle="1" w:styleId="27">
    <w:name w:val="批注文字 字符"/>
    <w:basedOn w:val="12"/>
    <w:link w:val="4"/>
    <w:semiHidden/>
    <w:qFormat/>
    <w:uiPriority w:val="0"/>
    <w:rPr>
      <w:rFonts w:ascii="Calibri" w:hAnsi="Calibri"/>
      <w:kern w:val="2"/>
      <w:sz w:val="21"/>
      <w:szCs w:val="24"/>
    </w:rPr>
  </w:style>
  <w:style w:type="character" w:customStyle="1" w:styleId="28">
    <w:name w:val="批注主题 字符"/>
    <w:basedOn w:val="27"/>
    <w:link w:val="10"/>
    <w:semiHidden/>
    <w:qFormat/>
    <w:uiPriority w:val="0"/>
    <w:rPr>
      <w:rFonts w:ascii="Calibri" w:hAnsi="Calibri"/>
      <w:b/>
      <w:bCs/>
      <w:kern w:val="2"/>
      <w:sz w:val="21"/>
      <w:szCs w:val="24"/>
    </w:rPr>
  </w:style>
  <w:style w:type="paragraph" w:customStyle="1" w:styleId="2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13</Pages>
  <Words>1001</Words>
  <Characters>5711</Characters>
  <Lines>47</Lines>
  <Paragraphs>13</Paragraphs>
  <TotalTime>0</TotalTime>
  <ScaleCrop>false</ScaleCrop>
  <LinksUpToDate>false</LinksUpToDate>
  <CharactersWithSpaces>6699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2022-12-16T19:13:00Z</dcterms:created>
  <dc:creator>johnsonlongus</dc:creator>
  <cp:lastModifiedBy>黎俊</cp:lastModifiedBy>
  <cp:lastPrinted>2024-01-24T01:51:00Z</cp:lastPrinted>
  <dcterms:modified xsi:type="dcterms:W3CDTF">2024-02-20T09:07:34Z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E67E9B9D6E9F4CE79EB022F84DD6B006</vt:lpwstr>
  </property>
</Properties>
</file>