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both"/>
        <w:textAlignment w:val="auto"/>
        <w:outlineLvl w:val="1"/>
        <w:rPr>
          <w:rFonts w:hint="default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val="zh-CN"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highlight w:val="none"/>
          <w:lang w:val="zh-CN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2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highlight w:val="none"/>
          <w:lang w:val="zh-CN" w:eastAsia="zh-CN"/>
        </w:rPr>
        <w:t>市工业和信息化局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2"/>
          <w:sz w:val="44"/>
          <w:szCs w:val="44"/>
          <w:highlight w:val="none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2"/>
          <w:sz w:val="44"/>
          <w:szCs w:val="44"/>
          <w:highlight w:val="none"/>
          <w:lang w:val="zh-CN" w:eastAsia="zh-CN"/>
        </w:rPr>
        <w:t>首台（套）重大技术装备扶持计划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2"/>
          <w:sz w:val="44"/>
          <w:szCs w:val="44"/>
          <w:highlight w:val="none"/>
          <w:lang w:val="en-US" w:eastAsia="zh-CN"/>
        </w:rPr>
        <w:t>申报指南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textAlignment w:val="auto"/>
        <w:rPr>
          <w:rFonts w:ascii="Times New Roman" w:hAnsi="Times New Roman" w:eastAsia="宋体" w:cs="Times New Roman"/>
          <w:color w:val="000000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000000"/>
          <w:szCs w:val="24"/>
          <w:highlight w:val="non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left="0" w:firstLine="640" w:firstLineChars="200"/>
        <w:textAlignment w:val="auto"/>
        <w:rPr>
          <w:rFonts w:ascii="黑体" w:hAnsi="黑体" w:eastAsia="黑体" w:cs="Times New Roman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  <w:highlight w:val="none"/>
        </w:rPr>
        <w:t>一</w:t>
      </w:r>
      <w:r>
        <w:rPr>
          <w:rFonts w:ascii="黑体" w:hAnsi="黑体" w:eastAsia="黑体" w:cs="Times New Roman"/>
          <w:color w:val="000000"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Times New Roman"/>
          <w:color w:val="000000"/>
          <w:sz w:val="32"/>
          <w:szCs w:val="32"/>
          <w:highlight w:val="none"/>
          <w:lang w:eastAsia="zh-CN"/>
        </w:rPr>
        <w:t>资助的</w:t>
      </w:r>
      <w:r>
        <w:rPr>
          <w:rFonts w:hint="eastAsia" w:ascii="黑体" w:hAnsi="黑体" w:eastAsia="黑体" w:cs="Times New Roman"/>
          <w:color w:val="000000"/>
          <w:sz w:val="32"/>
          <w:szCs w:val="32"/>
          <w:highlight w:val="none"/>
        </w:rPr>
        <w:t>领域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 w:val="0"/>
        <w:spacing w:line="560" w:lineRule="exact"/>
        <w:ind w:firstLine="625"/>
        <w:jc w:val="left"/>
        <w:textAlignment w:val="auto"/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重点支持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深圳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市装备制造企业提升重点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技术装备的创新水平，进一步推进首台（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套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重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大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技术装备的推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广应用。具体支持符合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工业和信息化部发布的《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首台（套）重大技术装备推广应用指导目录（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年版）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》、深圳市工业和信息化局发布的《深圳市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首台（套）重大技术装备推广应用指导目录（20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年版）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》（以下统称“首台（套）目录”）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val="en-US" w:eastAsia="zh-CN"/>
        </w:rPr>
        <w:t>（“首台（套）目录以申报指南通知附件为准）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的首台（套）产品。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首台（套）装备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是指企业实现重大技术突破、拥有自主知识产权、尚未取得重大市场业绩的装备产品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val="en-US" w:eastAsia="zh-CN"/>
        </w:rPr>
        <w:t>。纳入扶持计划的首台（套）装备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指用户首次使用的前三台（套）装备产品，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首批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次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装备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是指用户首次使用的同品种、同技术规格参数、同批签订合同、同批生产的装备产品。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left="0" w:firstLine="640" w:firstLineChars="200"/>
        <w:textAlignment w:val="auto"/>
        <w:rPr>
          <w:rFonts w:hint="eastAsia" w:ascii="黑体" w:hAnsi="黑体" w:eastAsia="黑体" w:cs="Times New Roman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  <w:highlight w:val="none"/>
        </w:rPr>
        <w:t>二、设定依据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（一）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《深圳市人民政府印发关于推动制造业高质量发展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坚定不移打造制造强市的若干措施的通知》（深府规〔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〕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1号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（二）《深圳市工业和信息化局“三首”工程扶持计划操作规程》（深工信规〔2021〕2号）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  <w:highlight w:val="none"/>
          <w:lang w:eastAsia="zh-CN"/>
        </w:rPr>
        <w:t>三</w:t>
      </w:r>
      <w:r>
        <w:rPr>
          <w:rFonts w:hint="eastAsia" w:ascii="黑体" w:hAnsi="黑体" w:eastAsia="黑体" w:cs="Times New Roman"/>
          <w:color w:val="000000"/>
          <w:sz w:val="32"/>
          <w:szCs w:val="32"/>
          <w:highlight w:val="none"/>
        </w:rPr>
        <w:t>、支持方式</w:t>
      </w:r>
      <w:r>
        <w:rPr>
          <w:rFonts w:hint="eastAsia" w:ascii="黑体" w:hAnsi="黑体" w:eastAsia="黑体" w:cs="Times New Roman"/>
          <w:color w:val="000000"/>
          <w:sz w:val="32"/>
          <w:szCs w:val="32"/>
          <w:highlight w:val="none"/>
          <w:lang w:eastAsia="zh-CN"/>
        </w:rPr>
        <w:t>和标准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事后资助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资助金额不超过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规定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期限内首台（套）重大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技术装备产品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销售额（不含税）的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30%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，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单个企业可申报资助金额不超过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1000万元。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套、台、件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、批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分类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严格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按照首台（套）目录中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产品单位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的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分类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要求。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ascii="黑体" w:hAnsi="黑体" w:eastAsia="黑体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四、项目申报条件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（一）申报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应是在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深圳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市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内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（含深汕特别合作区，下同）依法登记注册的工业企业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,项目实施地在深圳市内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装备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val="en-US" w:eastAsia="zh-CN"/>
        </w:rPr>
        <w:t>产品的研发、生产）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（二）20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年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月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日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至申报指南发布之日止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实现销售和量产，符合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首台（套）目录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的装备产品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（三）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实现销售是指能提供装备产品的销售合同、销售发票、银行到账凭证且到款额须占售价的60%（含）以上、用户收货凭证、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验收证明、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用户使用报告等完整销售行为的佐证材料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，其中销售合同、销售发票、银行到账凭证需相互印证（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如相关材料不对应，经审计确认后视为提供虚假申报材料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量产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是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指该装备产品已形成规模化生产能力，同类型系列装备产品已经签订第二台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及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以上的订单或销售合同。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（四）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申报单位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具有实授的相关装备产品关键核心技术发明专利，并具有清晰的所有权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五）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申报单位守法经营，最近3年内没有重大违法、违规行为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（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）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  <w:t>成套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t>装备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  <w:t>产品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t>的主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  <w:t>要设备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t>、关键零部件及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  <w:t>系统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t>的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  <w:t>自主化率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成套装备产品中拥有自主知识产权或采购国产化的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关键设备、零部件、系统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价值量占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关键设备、零部件、系统价值量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的比例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  <w:t>）必须达到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70%以上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（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）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装备产品的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申报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单位与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销售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客户之间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不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存在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关联交易；申报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多个项目的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（包括往年获得资助的首台（套）项目）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，所用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核心发明</w:t>
      </w:r>
      <w:r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  <w:t>专利不存在重复使用情况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（核心发明专利只能使用一次）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）同一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装备产品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不得在市政府多个部门申请；已获得市级政府财政资金资助的同一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装备产品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不得再重复申请资助。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  <w:highlight w:val="none"/>
          <w:lang w:eastAsia="zh-CN"/>
        </w:rPr>
        <w:t>五</w:t>
      </w:r>
      <w:r>
        <w:rPr>
          <w:rFonts w:hint="eastAsia" w:ascii="黑体" w:hAnsi="黑体" w:eastAsia="黑体" w:cs="Times New Roman"/>
          <w:color w:val="000000"/>
          <w:sz w:val="32"/>
          <w:szCs w:val="32"/>
          <w:highlight w:val="none"/>
        </w:rPr>
        <w:t>、项目申报材料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申报项目按产品类别及名称划分（每个项目包含一类产品，对应一个首台套目录编号及名称），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申报项目的材料须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  <w:t>按以下顺序排列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，不同材料间用红色纸张相隔，编写目录及页码，材料一式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，正反面打印/复印，非空白页（含封面）需连续编写页码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并装订成册（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统一使用白色纸质封皮，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书脊须打印年份、专题、项目名称、单位名称）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。申报材料均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需加盖申报单位公章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在材料封面、封底加盖公章及在材料侧面加盖骑缝公章。材料清单如下：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《深圳市首台（套）重大技术装备扶持计划申请书》（登录广东政务服务网，选择“深圳市--市工业和信息化局”，搜索申报事项名称“首台套重大技术装备扶持计划”，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在线填报（http://wb.gxj.sz.gov.cn/indprom/sfm/#/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apply?itemCode=4403000000005907069931000303728001）。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提供通过系统打印的《申请书》纸质版原件（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申报承诺书须有法人代表签字并加盖公章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（二）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申报单位营业执照、统一社会信用代码（组织机构代码证）、税务登记证（“三证合一”的仅提供营业执照）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（三）经会计师事务所审计的近三年财务报告复印件。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（四）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法定代表人身份证复印件（注明与原件相符，加盖公章）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 xml:space="preserve">。 </w:t>
      </w:r>
    </w:p>
    <w:p>
      <w:pPr>
        <w:widowControl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（五）税务部门提供的单位上年度完税证明。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（六）装备研制企业和用户在规定期限内（2022年2月19日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至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申报指南发布之日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签订的销售合同（合同内容应包含申报装备产品的主要技术参数，且符合对应目录主要参数指标。如销售合同未包含技术参数，则应提供与销售合同同时签订的技术合同等）复印件（如合同为外文的，须翻译成中文，否则视为无效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）增值税专用发票复印件（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发票开具人必须与申报主体一致；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企业为小规模纳税人的，可提供增值税普通发票；发票中所列装备产品名称必须与申报装备产品名称一致，如发票为外文的，需翻译成中文，否则视为无效；如有多张发票，应提供相应的发票汇总表格）。</w:t>
      </w:r>
    </w:p>
    <w:p>
      <w:pPr>
        <w:pStyle w:val="2"/>
        <w:spacing w:line="560" w:lineRule="exact"/>
        <w:ind w:firstLine="640" w:firstLineChars="200"/>
        <w:rPr>
          <w:rFonts w:hint="default" w:eastAsia="仿宋_GB2312"/>
          <w:color w:val="auto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（八）规定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期限内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银行到账凭证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及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到款额须占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合同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highlight w:val="none"/>
        </w:rPr>
        <w:t>售价的60%（含）以上</w:t>
      </w:r>
      <w:r>
        <w:rPr>
          <w:rFonts w:hint="eastAsia" w:ascii="仿宋_GB2312" w:eastAsia="仿宋_GB2312" w:cs="Times New Roman"/>
          <w:color w:val="000000"/>
          <w:sz w:val="32"/>
          <w:szCs w:val="32"/>
          <w:highlight w:val="none"/>
          <w:lang w:eastAsia="zh-CN"/>
        </w:rPr>
        <w:t>的清单。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国产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设备/零部件/系统的合同、发票等证明材料。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）用户收货凭证或竣工验收报告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用户使用报告复印件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、装备产品现场安装调试或使用照片等相关证明材料。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）发明专利与申报装备产品关联性的说明，并提供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相关已授权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发明专利证书复印件；涉及专利转让的，需提供发明专利变更申报书、专利转让合同等相关证明材料。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十二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省级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资质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</w:rPr>
        <w:t>以上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第三方检测机构出具的装备产品检测报告复印件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（应加盖“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CMA”、“CAL”或“CNAS”等省级以上资质的第三方检测机构检测标识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）。检测报告需包含目录要求的全部技术参数的检测结果。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如检测报告为外文的，须翻译成中文，否则视为无效。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如装备产品型号不同则需分别提供对应的产品检查报告。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十三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）申报装备产品的保险合同复印件、保险费发票及支付保险费对应的支出凭证复印件，保险合同签订日期应在20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日至申报截止日期前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（如有）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十四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）申报装备产品由承保保险公司出具的实地查勘报告及彩色照片（含装备产品全貌和铭牌）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，其中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 xml:space="preserve">出口装备产品提供报检报关完整资料凭证。 </w:t>
      </w:r>
    </w:p>
    <w:p>
      <w:pPr>
        <w:autoSpaceDE w:val="0"/>
        <w:spacing w:line="540" w:lineRule="exact"/>
        <w:ind w:firstLine="640" w:firstLineChars="200"/>
        <w:contextualSpacing/>
        <w:outlineLvl w:val="0"/>
        <w:rPr>
          <w:rFonts w:ascii="黑体" w:hAnsi="黑体" w:eastAsia="黑体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lang w:eastAsia="zh-CN"/>
        </w:rPr>
        <w:t>六、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项目申报系统登录路径</w:t>
      </w:r>
    </w:p>
    <w:p>
      <w:pPr>
        <w:widowControl/>
        <w:autoSpaceDE w:val="0"/>
        <w:spacing w:line="54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1.登录广东政务服务网——深圳市——市工业和信息化局——搜索申报事项名称“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首台（套）重大技术装备扶持计划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”，选择“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首台（套）重大技术装备扶持计划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”事项办理申请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七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、项目申请受理机关与时间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（一）受理机关：深圳市工业和信息化局。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（二）受理时间：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1.网络填报受理时间：202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日至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2024年3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日1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:00时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在线提交项目申请书及配套申报材料，并经过材料齐全性和内容合规性的形式预审。（注：网络填报受理截止后，不再受理新提交项目的申请，网络填报截止前已提交后又被退回修改的，可继续提交在线预审，但提交时间最迟不能超过书面材料受理的截止时间。所有项目均需在线预审通过后，方可向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递交纸质申请材料。）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2.书面材料受理时间：202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日至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2024年3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日1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: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0时（工作日），到市民中心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窗口递交项目申请的纸质材料。（注：网上预审通过后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(申报状态：已预审）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请及时预约到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窗口递交纸质材料，递交了纸质材料的项目才算申报成功）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业务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咨询电话：0755-881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02095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技术支持电话：0755-88101744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88127031。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（三）受理地点：深圳市福田区莲花街道福中三路1号市民中心B区一楼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西厅综合受理窗口5-42号窗口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(注：预约指南：“i深圳”APP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操作流程：【办事预约】—【深圳市】—【深圳市政务服务中心-西厅】—【在线预约】。请按照预约时段提交材料。）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八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、资助核准机关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市工业和信息化局。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九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、办理流程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市工业和信息化局发布指南――申请人网上申报――申请人向市工业和信息化局收文窗口提交申请材料―市工业和信息化局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项目审核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――市工业和信息化局审核拟定资助金额――社会公示――市工业和信息化局下达项目资金资助计划――市工业和信息化局拨付资助经费。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核准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时限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集中申报，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自受理之日起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180个工作日（不包括特殊程序时限，其中专项审计30个工作日，专家评审30个工作日）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一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文件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及有效期限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核准结果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：市工业和信息化局关于下达财政专项资金资助计划的通知。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有效期限：申报单位应当在收到核准文件之日起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0日内，按通知规定，携带相关资料到深圳市工业和信息化局办理资金拨付手续。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二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核准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文件的行政效力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申报单位凭核准文件获得财政专项资金资助。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三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、收费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四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、年审或年检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五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、注意事项</w:t>
      </w:r>
    </w:p>
    <w:p>
      <w:pPr>
        <w:wordWrap w:val="0"/>
        <w:autoSpaceDE w:val="0"/>
        <w:spacing w:line="54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1、我局从未委托任何机构或个人代理本扶持计划的项目申报事宜，请申报单位自主申报，并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zh-CN" w:eastAsia="zh-CN"/>
        </w:rPr>
        <w:t>承诺在资助项目申报及审核过程中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不与第三方机构以实际获得财政专项资金资助为条件签订合同；不通过向参与资金审核工作人员输送利益，违规违法提前获取审核信息。我局将严格按照标准和程序受理申请，不收取任何费用。如有任何机构或个人假借我局工作人员名义向企业收取费用的，请知情者向我局举报。</w:t>
      </w:r>
    </w:p>
    <w:p>
      <w:pPr>
        <w:spacing w:before="0" w:beforeAutospacing="0" w:after="0" w:afterAutospacing="0" w:line="560" w:lineRule="exact"/>
        <w:ind w:firstLine="640" w:firstLineChars="200"/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政策法规处投诉监督“二维码”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instrText xml:space="preserve">INCLUDEPICTURE \d "http://gxj.sz.gov.cn/img/4/4018/4018819/10834482.png"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drawing>
          <wp:inline distT="0" distB="0" distL="114300" distR="114300">
            <wp:extent cx="2828925" cy="1047750"/>
            <wp:effectExtent l="0" t="0" r="9525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end"/>
      </w:r>
    </w:p>
    <w:p>
      <w:pPr>
        <w:spacing w:before="0" w:beforeAutospacing="0" w:after="0" w:afterAutospacing="0" w:line="560" w:lineRule="exact"/>
        <w:ind w:firstLine="640" w:firstLineChars="200"/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机关纪委投诉监督“二维码”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instrText xml:space="preserve">INCLUDEPICTURE \d "http://gxj.sz.gov.cn/img/4/4018/4018820/10834482.jpg"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drawing>
          <wp:inline distT="0" distB="0" distL="114300" distR="114300">
            <wp:extent cx="2828925" cy="1047115"/>
            <wp:effectExtent l="0" t="0" r="9525" b="635"/>
            <wp:docPr id="4" name="图片 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end"/>
      </w:r>
    </w:p>
    <w:p>
      <w:pPr>
        <w:widowControl w:val="0"/>
        <w:jc w:val="both"/>
        <w:rPr>
          <w:rFonts w:hint="default" w:ascii="Times New Roman" w:hAnsi="Times New Roman" w:eastAsia="宋体" w:cs="Times New Roman"/>
          <w:color w:val="auto"/>
          <w:kern w:val="0"/>
          <w:sz w:val="18"/>
          <w:szCs w:val="20"/>
          <w:highlight w:val="none"/>
          <w:lang w:val="en-US" w:eastAsia="zh-CN" w:bidi="ar-SA"/>
        </w:rPr>
      </w:pPr>
    </w:p>
    <w:p>
      <w:pPr>
        <w:wordWrap w:val="0"/>
        <w:autoSpaceDE w:val="0"/>
        <w:spacing w:line="540" w:lineRule="exact"/>
        <w:ind w:firstLine="640" w:firstLineChars="200"/>
        <w:contextualSpacing/>
        <w:rPr>
          <w:rFonts w:hint="default" w:ascii="Calibri" w:hAnsi="Calibri" w:eastAsia="仿宋_GB2312" w:cs="Times New Roman"/>
          <w:color w:val="auto"/>
          <w:szCs w:val="24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2、在项目审核过程中，如发现同一年度内不同单位使用同一联系人、同一联系电话，或企业违反自主申报承诺其他情形的，将不予受理项目申报。</w:t>
      </w:r>
    </w:p>
    <w:p>
      <w:pPr>
        <w:wordWrap w:val="0"/>
        <w:autoSpaceDE w:val="0"/>
        <w:spacing w:line="54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3、本扶持计划项目严格执行《市工业和信息化局专项资金项目专项审计通用原则和标准（2022版）》，请各申请单位高度重视，特别关注“经审计核减的项目支出占项目申报支出超过20%的，视为虚报项目投资额，项目不予资助”条款。</w:t>
      </w:r>
    </w:p>
    <w:p>
      <w:pPr>
        <w:widowControl w:val="0"/>
        <w:jc w:val="both"/>
        <w:rPr>
          <w:rFonts w:hint="eastAsia" w:ascii="仿宋_GB2312" w:hAnsi="仿宋" w:eastAsia="仿宋_GB2312" w:cs="宋体"/>
          <w:color w:val="auto"/>
          <w:kern w:val="0"/>
          <w:sz w:val="32"/>
          <w:szCs w:val="32"/>
          <w:highlight w:val="none"/>
          <w:lang w:val="en-US" w:eastAsia="zh-CN" w:bidi="ar-SA"/>
        </w:rPr>
      </w:pPr>
    </w:p>
    <w:p>
      <w:pPr>
        <w:spacing w:line="560" w:lineRule="exact"/>
        <w:ind w:firstLine="420" w:firstLineChars="200"/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46651"/>
    <w:rsid w:val="03610792"/>
    <w:rsid w:val="03E04D48"/>
    <w:rsid w:val="06D22C4C"/>
    <w:rsid w:val="0A481E3D"/>
    <w:rsid w:val="0D307835"/>
    <w:rsid w:val="103864FE"/>
    <w:rsid w:val="13195CB3"/>
    <w:rsid w:val="15D35E4A"/>
    <w:rsid w:val="16AB1066"/>
    <w:rsid w:val="171F5C77"/>
    <w:rsid w:val="1CFC407B"/>
    <w:rsid w:val="1FD80EE4"/>
    <w:rsid w:val="20675100"/>
    <w:rsid w:val="22397890"/>
    <w:rsid w:val="24EF5DE4"/>
    <w:rsid w:val="2512147F"/>
    <w:rsid w:val="2623278D"/>
    <w:rsid w:val="29CB2F4D"/>
    <w:rsid w:val="2BDF70A2"/>
    <w:rsid w:val="351C7EF1"/>
    <w:rsid w:val="42E567AE"/>
    <w:rsid w:val="43C73B0B"/>
    <w:rsid w:val="444529E1"/>
    <w:rsid w:val="460240FA"/>
    <w:rsid w:val="467D6BE2"/>
    <w:rsid w:val="498C13CD"/>
    <w:rsid w:val="4C9275EE"/>
    <w:rsid w:val="4C9A7889"/>
    <w:rsid w:val="503E71EB"/>
    <w:rsid w:val="51521E8B"/>
    <w:rsid w:val="51C705EC"/>
    <w:rsid w:val="5311302B"/>
    <w:rsid w:val="55914C10"/>
    <w:rsid w:val="55EE2CD5"/>
    <w:rsid w:val="56274977"/>
    <w:rsid w:val="573314AA"/>
    <w:rsid w:val="5C2A1AE7"/>
    <w:rsid w:val="5D0E49B4"/>
    <w:rsid w:val="63E51E1A"/>
    <w:rsid w:val="6C2073FB"/>
    <w:rsid w:val="6CED72E9"/>
    <w:rsid w:val="6D42022A"/>
    <w:rsid w:val="6FDA7721"/>
    <w:rsid w:val="70C95AA3"/>
    <w:rsid w:val="712763BC"/>
    <w:rsid w:val="722E03F5"/>
    <w:rsid w:val="727E44E2"/>
    <w:rsid w:val="75FE5A2B"/>
    <w:rsid w:val="77C126FE"/>
    <w:rsid w:val="782678C3"/>
    <w:rsid w:val="7A787A69"/>
    <w:rsid w:val="7A9E561D"/>
    <w:rsid w:val="7B16251C"/>
    <w:rsid w:val="7D55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3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3"/>
    <w:pPr>
      <w:ind w:firstLine="0" w:firstLineChars="0"/>
      <w:jc w:val="left"/>
    </w:pPr>
    <w:rPr>
      <w:rFonts w:ascii="楷体_GB2312" w:eastAsia="楷体_GB2312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color w:val="4A148C"/>
      <w:u w:val="single"/>
    </w:rPr>
  </w:style>
  <w:style w:type="character" w:styleId="8">
    <w:name w:val="Hyperlink"/>
    <w:basedOn w:val="5"/>
    <w:qFormat/>
    <w:uiPriority w:val="0"/>
    <w:rPr>
      <w:color w:val="001BA0"/>
      <w:u w:val="single"/>
    </w:rPr>
  </w:style>
  <w:style w:type="character" w:styleId="9">
    <w:name w:val="HTML Cite"/>
    <w:basedOn w:val="5"/>
    <w:qFormat/>
    <w:uiPriority w:val="0"/>
    <w:rPr>
      <w:color w:val="006D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芦娉婷（非）</cp:lastModifiedBy>
  <cp:lastPrinted>2024-02-19T06:51:00Z</cp:lastPrinted>
  <dcterms:modified xsi:type="dcterms:W3CDTF">2024-05-24T09:24:09Z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9E99C9DC61184410AAB51B3FECA36480</vt:lpwstr>
  </property>
</Properties>
</file>