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80"/>
        <w:ind w:firstLine="160" w:firstLineChars="50"/>
        <w:rPr>
          <w:rFonts w:hint="eastAsia" w:ascii="黑体" w:hAnsi="微软雅黑" w:eastAsia="黑体"/>
          <w:color w:val="auto"/>
          <w:sz w:val="32"/>
          <w:szCs w:val="32"/>
        </w:rPr>
      </w:pPr>
      <w:bookmarkStart w:id="0" w:name="_GoBack"/>
      <w:r>
        <w:rPr>
          <w:rFonts w:hint="eastAsia" w:ascii="黑体" w:hAnsi="微软雅黑" w:eastAsia="黑体"/>
          <w:color w:val="auto"/>
          <w:sz w:val="32"/>
          <w:szCs w:val="32"/>
        </w:rPr>
        <w:t>附件5：历史用地处置意见书</w:t>
      </w:r>
    </w:p>
    <w:bookmarkEnd w:id="0"/>
    <w:p>
      <w:pPr>
        <w:jc w:val="center"/>
        <w:rPr>
          <w:rFonts w:hint="eastAsia" w:ascii="宋体" w:hAnsi="宋体"/>
          <w:b/>
          <w:color w:val="auto"/>
          <w:sz w:val="44"/>
          <w:szCs w:val="44"/>
        </w:rPr>
      </w:pPr>
      <w:r>
        <w:rPr>
          <w:rFonts w:hint="eastAsia" w:ascii="宋体" w:hAnsi="宋体"/>
          <w:b/>
          <w:color w:val="auto"/>
          <w:sz w:val="44"/>
          <w:szCs w:val="44"/>
        </w:rPr>
        <w:t>关于</w:t>
      </w:r>
      <w:r>
        <w:rPr>
          <w:rFonts w:hint="eastAsia" w:ascii="宋体" w:hAnsi="宋体"/>
          <w:color w:val="auto"/>
          <w:kern w:val="0"/>
          <w:sz w:val="44"/>
          <w:szCs w:val="44"/>
          <w:u w:val="single"/>
        </w:rPr>
        <w:t>__________</w:t>
      </w:r>
      <w:r>
        <w:rPr>
          <w:rFonts w:hint="eastAsia" w:ascii="宋体" w:hAnsi="宋体"/>
          <w:b/>
          <w:color w:val="auto"/>
          <w:sz w:val="44"/>
          <w:szCs w:val="44"/>
        </w:rPr>
        <w:t>城市更新单元拆除范围内历史用地处置意见书</w:t>
      </w:r>
    </w:p>
    <w:p>
      <w:pPr>
        <w:spacing w:line="360" w:lineRule="auto"/>
        <w:ind w:firstLine="640" w:firstLineChars="200"/>
        <w:rPr>
          <w:rFonts w:hint="eastAsia" w:ascii="仿宋_GB2312" w:eastAsia="仿宋_GB2312"/>
          <w:color w:val="auto"/>
          <w:sz w:val="32"/>
          <w:szCs w:val="32"/>
        </w:rPr>
      </w:pP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根据《深圳市城市更新办法》（深府令第290号）、《深圳市城市更新办法实施细则》（深府〔2012〕1号）及《关于加强和改进城市更新实施工作的暂行措施》（深府办〔2016〕38号）等相关政策的规定，依据</w:t>
      </w:r>
      <w:r>
        <w:rPr>
          <w:rFonts w:hint="eastAsia" w:ascii="仿宋_GB2312" w:hAnsi="宋体" w:eastAsia="仿宋_GB2312" w:cs="宋体"/>
          <w:color w:val="auto"/>
          <w:kern w:val="0"/>
          <w:sz w:val="32"/>
          <w:szCs w:val="32"/>
          <w:u w:val="single"/>
        </w:rPr>
        <w:t xml:space="preserve">          </w:t>
      </w:r>
      <w:r>
        <w:rPr>
          <w:rFonts w:hint="eastAsia" w:ascii="仿宋_GB2312" w:eastAsia="仿宋_GB2312"/>
          <w:color w:val="auto"/>
          <w:sz w:val="32"/>
          <w:szCs w:val="32"/>
        </w:rPr>
        <w:t>的申请及其提供的申请材料，现对</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olor w:val="auto"/>
          <w:kern w:val="0"/>
          <w:sz w:val="32"/>
          <w:szCs w:val="32"/>
        </w:rPr>
        <w:t>城市更新单元拆除范围内的</w:t>
      </w:r>
      <w:r>
        <w:rPr>
          <w:rFonts w:hint="eastAsia" w:ascii="仿宋_GB2312" w:eastAsia="仿宋_GB2312"/>
          <w:color w:val="auto"/>
          <w:sz w:val="32"/>
          <w:szCs w:val="32"/>
        </w:rPr>
        <w:t>历史用地进行如下处置：</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一、处置土地范围及面积</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hAnsi="宋体" w:eastAsia="仿宋_GB2312" w:cs="宋体"/>
          <w:color w:val="auto"/>
          <w:kern w:val="0"/>
          <w:sz w:val="32"/>
          <w:szCs w:val="32"/>
          <w:u w:val="single"/>
        </w:rPr>
        <w:t xml:space="preserve">            </w:t>
      </w:r>
      <w:r>
        <w:rPr>
          <w:rFonts w:hint="eastAsia" w:ascii="仿宋_GB2312" w:eastAsia="仿宋_GB2312"/>
          <w:color w:val="auto"/>
          <w:sz w:val="32"/>
          <w:szCs w:val="32"/>
        </w:rPr>
        <w:t>城市更新单元</w:t>
      </w:r>
      <w:r>
        <w:rPr>
          <w:rFonts w:hint="eastAsia" w:ascii="仿宋_GB2312" w:hAnsi="宋体" w:eastAsia="仿宋_GB2312"/>
          <w:color w:val="auto"/>
          <w:kern w:val="0"/>
          <w:sz w:val="32"/>
          <w:szCs w:val="32"/>
        </w:rPr>
        <w:t>拆除范围</w:t>
      </w:r>
      <w:r>
        <w:rPr>
          <w:rFonts w:hint="eastAsia" w:ascii="仿宋_GB2312" w:eastAsia="仿宋_GB2312"/>
          <w:color w:val="auto"/>
          <w:sz w:val="32"/>
          <w:szCs w:val="32"/>
        </w:rPr>
        <w:t>用地</w:t>
      </w:r>
      <w:r>
        <w:rPr>
          <w:rFonts w:hint="eastAsia" w:ascii="仿宋_GB2312" w:hAnsi="宋体" w:eastAsia="仿宋_GB2312" w:cs="宋体"/>
          <w:color w:val="auto"/>
          <w:kern w:val="0"/>
          <w:sz w:val="32"/>
          <w:szCs w:val="32"/>
          <w:u w:val="single"/>
        </w:rPr>
        <w:t xml:space="preserve">         </w:t>
      </w:r>
      <w:r>
        <w:rPr>
          <w:rFonts w:hint="eastAsia" w:ascii="仿宋_GB2312" w:eastAsia="仿宋_GB2312"/>
          <w:color w:val="auto"/>
          <w:sz w:val="32"/>
          <w:szCs w:val="32"/>
        </w:rPr>
        <w:t>平方米，其中符合处置条件的用地</w:t>
      </w:r>
      <w:r>
        <w:rPr>
          <w:rFonts w:hint="eastAsia" w:ascii="仿宋_GB2312" w:hAnsi="宋体" w:eastAsia="仿宋_GB2312" w:cs="宋体"/>
          <w:color w:val="auto"/>
          <w:kern w:val="0"/>
          <w:sz w:val="32"/>
          <w:szCs w:val="32"/>
          <w:u w:val="single"/>
        </w:rPr>
        <w:t xml:space="preserve">        </w:t>
      </w:r>
      <w:r>
        <w:rPr>
          <w:rFonts w:hint="eastAsia" w:ascii="仿宋_GB2312" w:eastAsia="仿宋_GB2312"/>
          <w:color w:val="auto"/>
          <w:sz w:val="32"/>
          <w:szCs w:val="32"/>
        </w:rPr>
        <w:t>平方米。</w:t>
      </w:r>
    </w:p>
    <w:p>
      <w:pPr>
        <w:spacing w:line="360" w:lineRule="auto"/>
        <w:ind w:firstLine="640" w:firstLineChars="200"/>
        <w:jc w:val="left"/>
        <w:rPr>
          <w:rFonts w:hint="eastAsia" w:ascii="仿宋_GB2312" w:hAnsi="宋体" w:eastAsia="仿宋_GB2312" w:cs="宋体"/>
          <w:color w:val="auto"/>
          <w:kern w:val="0"/>
          <w:sz w:val="32"/>
          <w:szCs w:val="32"/>
        </w:rPr>
      </w:pPr>
      <w:r>
        <w:rPr>
          <w:rFonts w:hint="eastAsia" w:ascii="仿宋_GB2312" w:eastAsia="仿宋_GB2312"/>
          <w:color w:val="auto"/>
          <w:sz w:val="32"/>
          <w:szCs w:val="32"/>
        </w:rPr>
        <w:t>二、</w:t>
      </w:r>
      <w:r>
        <w:rPr>
          <w:rFonts w:hint="eastAsia" w:ascii="仿宋_GB2312" w:hAnsi="宋体" w:eastAsia="仿宋_GB2312" w:cs="宋体"/>
          <w:color w:val="auto"/>
          <w:kern w:val="0"/>
          <w:sz w:val="32"/>
          <w:szCs w:val="32"/>
        </w:rPr>
        <w:t>土地处置方案</w:t>
      </w:r>
    </w:p>
    <w:p>
      <w:pPr>
        <w:spacing w:line="360" w:lineRule="auto"/>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1.土地分配。经处置后，政府交由申请人进行城市更新的土地</w:t>
      </w:r>
      <w:r>
        <w:rPr>
          <w:rFonts w:hint="eastAsia" w:ascii="仿宋_GB2312" w:hAnsi="宋体" w:eastAsia="仿宋_GB2312" w:cs="宋体"/>
          <w:color w:val="auto"/>
          <w:kern w:val="0"/>
          <w:sz w:val="32"/>
          <w:szCs w:val="32"/>
          <w:u w:val="single"/>
        </w:rPr>
        <w:t xml:space="preserve">        </w:t>
      </w:r>
      <w:r>
        <w:rPr>
          <w:rFonts w:hint="eastAsia" w:ascii="仿宋_GB2312" w:eastAsia="仿宋_GB2312"/>
          <w:color w:val="auto"/>
          <w:sz w:val="32"/>
          <w:szCs w:val="32"/>
        </w:rPr>
        <w:t>平方米，纳入政府土地储备的土地</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平方米。</w:t>
      </w:r>
    </w:p>
    <w:p>
      <w:pPr>
        <w:spacing w:line="360" w:lineRule="auto"/>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2.土地贡献。在交由申请人进行城市更新的土地中，应当按照《深圳市城市更新办法》和《深圳市城市更新办法实施细则》等政策文件的要求将不少于15%的土地无偿移交政府。</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三、申请人应当履行的相关义务</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1.申请人应当自行理清处置土地范围内的经济关系，拆除、清理地上建筑物、构筑物及附着物等。</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2.申请人应当与政府部门签订完善处置土地征（转）用手续的协议，且政府不再向申请人另行支付任何补偿。</w:t>
      </w:r>
    </w:p>
    <w:p>
      <w:pPr>
        <w:spacing w:line="360" w:lineRule="auto"/>
        <w:ind w:firstLine="640" w:firstLineChars="200"/>
        <w:jc w:val="left"/>
        <w:rPr>
          <w:rFonts w:hint="eastAsia" w:ascii="仿宋_GB2312" w:hAnsi="宋体" w:eastAsia="仿宋_GB2312" w:cs="宋体"/>
          <w:color w:val="auto"/>
          <w:kern w:val="0"/>
          <w:sz w:val="32"/>
          <w:szCs w:val="32"/>
        </w:rPr>
      </w:pPr>
      <w:r>
        <w:rPr>
          <w:rFonts w:hint="eastAsia" w:ascii="仿宋_GB2312" w:eastAsia="仿宋_GB2312"/>
          <w:color w:val="auto"/>
          <w:sz w:val="32"/>
          <w:szCs w:val="32"/>
        </w:rPr>
        <w:t>3.申请人应当将城市更新单元规划确定无偿移交政府的用地移交政府部门。</w:t>
      </w:r>
    </w:p>
    <w:p>
      <w:pPr>
        <w:spacing w:line="360"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四、其他</w:t>
      </w:r>
    </w:p>
    <w:p>
      <w:pPr>
        <w:spacing w:line="360" w:lineRule="auto"/>
        <w:ind w:firstLine="640" w:firstLineChars="200"/>
        <w:jc w:val="left"/>
        <w:rPr>
          <w:rFonts w:hint="eastAsia" w:ascii="仿宋_GB2312" w:hAnsi="宋体" w:eastAsia="仿宋_GB2312" w:cs="宋体"/>
          <w:color w:val="auto"/>
          <w:kern w:val="0"/>
          <w:sz w:val="32"/>
          <w:szCs w:val="32"/>
        </w:rPr>
      </w:pPr>
      <w:r>
        <w:rPr>
          <w:rFonts w:hint="eastAsia" w:ascii="仿宋_GB2312" w:eastAsia="仿宋_GB2312"/>
          <w:color w:val="auto"/>
          <w:sz w:val="32"/>
          <w:szCs w:val="32"/>
        </w:rPr>
        <w:t>如城市更新单元调出更新单元计划，本处置意见书自动失效</w:t>
      </w:r>
      <w:r>
        <w:rPr>
          <w:rFonts w:hint="eastAsia" w:ascii="仿宋_GB2312" w:hAnsi="宋体" w:eastAsia="仿宋_GB2312" w:cs="宋体"/>
          <w:color w:val="auto"/>
          <w:kern w:val="0"/>
          <w:sz w:val="32"/>
          <w:szCs w:val="32"/>
        </w:rPr>
        <w:t>。</w:t>
      </w:r>
    </w:p>
    <w:p>
      <w:pPr>
        <w:ind w:firstLine="640" w:firstLineChars="200"/>
        <w:jc w:val="left"/>
        <w:rPr>
          <w:rFonts w:hint="eastAsia" w:ascii="仿宋_GB2312" w:eastAsia="仿宋_GB2312"/>
          <w:color w:val="auto"/>
          <w:sz w:val="32"/>
          <w:szCs w:val="32"/>
        </w:rPr>
      </w:pPr>
    </w:p>
    <w:p>
      <w:pPr>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rPr>
      </w:pPr>
    </w:p>
    <w:p>
      <w:pPr>
        <w:widowControl/>
        <w:wordWrap w:val="0"/>
        <w:snapToGrid w:val="0"/>
        <w:ind w:firstLine="640" w:firstLineChars="200"/>
        <w:jc w:val="right"/>
        <w:rPr>
          <w:rFonts w:ascii="仿宋_GB2312" w:hAnsi="宋体" w:eastAsia="仿宋_GB2312"/>
          <w:color w:val="auto"/>
          <w:kern w:val="0"/>
          <w:sz w:val="32"/>
          <w:szCs w:val="32"/>
        </w:rPr>
      </w:pPr>
      <w:r>
        <w:rPr>
          <w:rFonts w:hint="eastAsia" w:ascii="仿宋_GB2312" w:hAnsi="宋体" w:eastAsia="仿宋_GB2312"/>
          <w:color w:val="auto"/>
          <w:kern w:val="0"/>
          <w:sz w:val="32"/>
          <w:szCs w:val="32"/>
        </w:rPr>
        <w:t>**区城市更新职能部门</w:t>
      </w:r>
    </w:p>
    <w:p>
      <w:pPr>
        <w:wordWrap w:val="0"/>
        <w:spacing w:line="360" w:lineRule="auto"/>
        <w:ind w:firstLine="640" w:firstLineChars="200"/>
        <w:jc w:val="right"/>
        <w:rPr>
          <w:rFonts w:ascii="仿宋_GB2312" w:hAnsi="宋体" w:eastAsia="仿宋_GB2312" w:cs="宋体"/>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月</w:t>
      </w:r>
      <w:r>
        <w:rPr>
          <w:rFonts w:hint="eastAsia"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 xml:space="preserve">日 </w:t>
      </w:r>
    </w:p>
    <w:p>
      <w:pPr>
        <w:rPr>
          <w:color w:val="auto"/>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1" w:hanging="311"/>
      <w:jc w:val="center"/>
    </w:pPr>
    <w:r>
      <w:fldChar w:fldCharType="begin"/>
    </w:r>
    <w:r>
      <w:instrText xml:space="preserve">PAGE   \* MERGEFORMAT</w:instrText>
    </w:r>
    <w:r>
      <w:fldChar w:fldCharType="separate"/>
    </w:r>
    <w:r>
      <w:rPr>
        <w:lang w:val="zh-CN"/>
      </w:rPr>
      <w:t>21</w:t>
    </w:r>
    <w:r>
      <w:fldChar w:fldCharType="end"/>
    </w:r>
  </w:p>
  <w:p>
    <w:pPr>
      <w:pStyle w:val="2"/>
      <w:ind w:left="311" w:hanging="3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1" w:hanging="3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1" w:hanging="3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1" w:hanging="3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1" w:hanging="3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0C8D0F8C"/>
    <w:rsid w:val="0C8D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2024-01-03T07:41:00Z</dcterms:created>
  <dc:creator>龙瑶</dc:creator>
  <cp:lastModifiedBy>龙瑶</cp:lastModifiedBy>
  <dcterms:modified xsi:type="dcterms:W3CDTF">2024-01-03T07:42:16Z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7B25C400E4F94F5F8E0CF0D958B3D6D8_11</vt:lpwstr>
  </property>
</Properties>
</file>