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/>
          <w:lang w:val="en-US" w:eastAsia="zh-CN"/>
        </w:rPr>
      </w:pPr>
      <w:bookmarkStart w:id="0" w:name="_Hlk39925065"/>
      <w:r>
        <w:rPr>
          <w:rFonts w:hint="eastAsia" w:ascii="宋体" w:hAnsi="宋体" w:eastAsia="宋体"/>
          <w:b/>
          <w:lang w:eastAsia="zh-CN"/>
        </w:rPr>
        <w:t>《</w:t>
      </w:r>
      <w:r>
        <w:rPr>
          <w:rFonts w:hint="eastAsia" w:ascii="宋体" w:hAnsi="宋体" w:eastAsia="宋体"/>
          <w:b/>
        </w:rPr>
        <w:t>深圳</w:t>
      </w:r>
      <w:r>
        <w:rPr>
          <w:rFonts w:hint="eastAsia" w:ascii="宋体" w:hAnsi="宋体" w:eastAsia="宋体"/>
          <w:b/>
          <w:lang w:val="en-US" w:eastAsia="zh-CN"/>
        </w:rPr>
        <w:t>海域第二批禁渔区划定范围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（征求意见稿）》</w:t>
      </w:r>
      <w:bookmarkEnd w:id="0"/>
      <w:r>
        <w:rPr>
          <w:rFonts w:hint="eastAsia" w:ascii="宋体" w:hAnsi="宋体" w:eastAsia="宋体"/>
          <w:b/>
        </w:rPr>
        <w:t>起草说明</w:t>
      </w: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/>
        </w:rPr>
      </w:pPr>
    </w:p>
    <w:p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为进一步加强我市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渔业资源和生态环境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保护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维护海洋生物多样性，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消除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渔业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安全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生产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隐患，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促进我市渔业高质量发展，我局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调查研究，拟在2014年设立深圳湾禁渔区的基础上，申报设立第二批禁渔区。为此，我局</w:t>
      </w:r>
      <w:r>
        <w:rPr>
          <w:rFonts w:hint="eastAsia"/>
        </w:rPr>
        <w:t>起草了《</w:t>
      </w:r>
      <w:r>
        <w:rPr>
          <w:rFonts w:hint="eastAsia" w:ascii="仿宋_GB2312" w:eastAsia="仿宋_GB2312" w:hAnsiTheme="majorEastAsia"/>
          <w:sz w:val="32"/>
          <w:szCs w:val="32"/>
        </w:rPr>
        <w:t>深圳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海域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第二批禁渔区划定范围</w:t>
      </w:r>
      <w:r>
        <w:rPr>
          <w:rFonts w:hint="eastAsia"/>
        </w:rPr>
        <w:t>（征求意见稿）》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有关情况说明如下：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一、设立</w:t>
      </w:r>
      <w:r>
        <w:rPr>
          <w:rFonts w:hint="eastAsia" w:ascii="Times New Roman" w:hAnsi="Times New Roman" w:cs="Times New Roman"/>
          <w:lang w:val="en-US" w:eastAsia="zh-CN"/>
        </w:rPr>
        <w:t>第二批禁渔区</w:t>
      </w:r>
      <w:r>
        <w:rPr>
          <w:rFonts w:hint="eastAsia" w:ascii="Times New Roman" w:hAnsi="Times New Roman" w:cs="Times New Roman"/>
        </w:rPr>
        <w:t>的必要性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9"/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深圳市东部大鹏半岛沿岸海域，是许多鱼虾蟹贝类的产卵场、索饵场、越冬场和洄游通道，是红树林、珊瑚礁和海龟、鲎等多种珍稀濒危物种的栖息地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深圳市西部珠江口沿岸海域，是许多珠江口咸淡水渔业资源种类的产卵场、索饵场、越冬场和洄游通道，是红树林和黄唇鱼、鲥鱼、中华鲟、中华白海豚、江豚、海龟、鲎等多种珍稀濒危物种的栖息地。当前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，我市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东部大亚湾、大鹏湾和西部珠江口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管辖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海域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海洋生态恶化现象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渔业资源衰退趋势未根本扭转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。为此，我局加大执法力度，严厉打击各类破坏渔业资源及环境行为，但仍存在部分违法人员及船只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擅自下海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使用禁用网具或禁用方法非法捕捞，甚至实施电炸毒鱼行为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，严重影响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市生态文明城市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形象，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同时存在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较大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安全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生产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隐患。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设立第二批禁渔区，将为整治各类非法捕捞行为，保护我市渔业资源和生态环境提供重要的执法依据。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Times New Roman" w:hAnsi="Times New Roman" w:cs="Times New Roman"/>
        </w:rPr>
      </w:pPr>
      <w:r>
        <w:rPr>
          <w:rFonts w:hint="eastAsia" w:cs="Times New Roman"/>
          <w:lang w:val="en-US" w:eastAsia="zh-CN"/>
        </w:rPr>
        <w:t>二、设立第二批禁渔区</w:t>
      </w:r>
      <w:r>
        <w:rPr>
          <w:rFonts w:hint="eastAsia" w:ascii="Times New Roman" w:hAnsi="Times New Roman" w:cs="Times New Roman"/>
        </w:rPr>
        <w:t>的</w:t>
      </w:r>
      <w:r>
        <w:rPr>
          <w:rFonts w:hint="eastAsia" w:ascii="Times New Roman" w:hAnsi="Times New Roman" w:cs="Times New Roman"/>
          <w:lang w:val="en-US" w:eastAsia="zh-CN"/>
        </w:rPr>
        <w:t>可行性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截至目前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，我国广东、广西、福建、香港沿海地区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在海域内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设立常年禁渔区有 </w:t>
      </w:r>
      <w:r>
        <w:rPr>
          <w:rStyle w:val="9"/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4 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我国北京、山东、江苏、浙江、广东、黑龙江、内蒙古、新疆、四川、河南、湖南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等省市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，在江河、湖泊设立的常年禁渔区约</w:t>
      </w:r>
      <w:r>
        <w:rPr>
          <w:rStyle w:val="9"/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380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个。国内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大批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常年禁渔区的设立，为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我市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第二批禁渔区的设立提供了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成熟的管理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经验借鉴。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</w:pP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我市在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加强海洋生态文明建设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、促进渔业高质量发展方面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积极探索实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践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先行先试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 xml:space="preserve">2014 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年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设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立的深圳湾禁渔区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是我国第一个实行常年禁渔的海湾禁渔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区。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自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该禁渔区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设立以来，区域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内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渔业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执法管理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秩序有效改善，生物资源数量明显增多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，深圳湾内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受损的海洋生态系统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得到逐步修复，禁渔取得明显成效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。深圳湾禁渔区的设立，让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深圳湾公园成为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我市一道靓丽的城市名片，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深受广大市民好评，也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为我市设立第二批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禁渔区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积累了</w:t>
      </w:r>
      <w:r>
        <w:rPr>
          <w:rFonts w:hint="eastAsia" w:eastAsia="仿宋" w:cs="Times New Roman"/>
          <w:kern w:val="2"/>
          <w:sz w:val="32"/>
          <w:szCs w:val="40"/>
          <w:lang w:val="en-US" w:eastAsia="zh-CN" w:bidi="ar-SA"/>
        </w:rPr>
        <w:t>宝贵</w:t>
      </w: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>经验。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40"/>
          <w:lang w:val="en-US" w:eastAsia="zh-CN" w:bidi="ar-SA"/>
        </w:rPr>
        <w:t xml:space="preserve">  </w:t>
      </w:r>
      <w:r>
        <w:rPr>
          <w:rFonts w:hint="eastAsia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 xml:space="preserve"> 三、第二批禁渔区选划海域说明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拟设立的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第二批禁渔区，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选划前海湾、深圳湾禁渔区-赤湾口（含南山区人才公园人工湖）、沙头角-盐田正角咀港口航运区、下沙-大澳湾海域、桔钓沙-杨梅坑-大水坑湾等5处海域，共计38.14平方公里，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均为沿岸水深小于</w:t>
      </w:r>
      <w:r>
        <w:rPr>
          <w:rStyle w:val="9"/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米的浅水海域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，是南海区幼鱼、幼虾重要的繁育场、索饵场。同时，选划的上述5处海域均为我市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高度开发与发展区、珊瑚保育区以及重要的航道、港池锚地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等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，不适宜开展渔业生产作业。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此外，经初步研究表明，选划的上述海域如实施禁渔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对我市渔民正常的渔业生产作业影响较小</w:t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Style w:val="9"/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但在保障海上航行安全，促进珊瑚保育，维护海洋生物多样性等方面具有重大意义。</w:t>
      </w:r>
      <w:bookmarkStart w:id="1" w:name="_GoBack"/>
      <w:bookmarkEnd w:id="1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741848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F1E1F"/>
    <w:multiLevelType w:val="multilevel"/>
    <w:tmpl w:val="316F1E1F"/>
    <w:lvl w:ilvl="0" w:tentative="0">
      <w:start w:val="1"/>
      <w:numFmt w:val="decimal"/>
      <w:pStyle w:val="14"/>
      <w:suff w:val="nothing"/>
      <w:lvlText w:val="%1．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6536A"/>
    <w:multiLevelType w:val="multilevel"/>
    <w:tmpl w:val="6566536A"/>
    <w:lvl w:ilvl="0" w:tentative="0">
      <w:start w:val="1"/>
      <w:numFmt w:val="chineseCountingThousand"/>
      <w:pStyle w:val="16"/>
      <w:suff w:val="nothing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A40ECF"/>
    <w:multiLevelType w:val="multilevel"/>
    <w:tmpl w:val="74A40ECF"/>
    <w:lvl w:ilvl="0" w:tentative="0">
      <w:start w:val="1"/>
      <w:numFmt w:val="chineseCountingThousand"/>
      <w:pStyle w:val="25"/>
      <w:suff w:val="nothing"/>
      <w:lvlText w:val="第%1条　"/>
      <w:lvlJc w:val="left"/>
      <w:pPr>
        <w:ind w:left="420" w:hanging="420"/>
      </w:pPr>
      <w:rPr>
        <w:rFonts w:hint="eastAsia" w:ascii="黑体" w:hAnsi="黑体" w:eastAsia="黑体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7E5E2405"/>
    <w:multiLevelType w:val="multilevel"/>
    <w:tmpl w:val="7E5E2405"/>
    <w:lvl w:ilvl="0" w:tentative="0">
      <w:start w:val="1"/>
      <w:numFmt w:val="decimal"/>
      <w:pStyle w:val="12"/>
      <w:suff w:val="nothing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483297"/>
    <w:multiLevelType w:val="multilevel"/>
    <w:tmpl w:val="7F483297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7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DF"/>
    <w:rsid w:val="000326D2"/>
    <w:rsid w:val="00060EAA"/>
    <w:rsid w:val="000A4736"/>
    <w:rsid w:val="000C48F5"/>
    <w:rsid w:val="000C72C1"/>
    <w:rsid w:val="000E17EA"/>
    <w:rsid w:val="000F587E"/>
    <w:rsid w:val="000F5E03"/>
    <w:rsid w:val="00104EA8"/>
    <w:rsid w:val="00115CAA"/>
    <w:rsid w:val="001420BC"/>
    <w:rsid w:val="0014759C"/>
    <w:rsid w:val="0014776B"/>
    <w:rsid w:val="00186B70"/>
    <w:rsid w:val="00193BAB"/>
    <w:rsid w:val="001B7B9F"/>
    <w:rsid w:val="001E13AC"/>
    <w:rsid w:val="0023305F"/>
    <w:rsid w:val="002533EB"/>
    <w:rsid w:val="00254FB3"/>
    <w:rsid w:val="00257060"/>
    <w:rsid w:val="00265275"/>
    <w:rsid w:val="00281087"/>
    <w:rsid w:val="002A3342"/>
    <w:rsid w:val="002B7764"/>
    <w:rsid w:val="002D1001"/>
    <w:rsid w:val="002D1DB7"/>
    <w:rsid w:val="002F6918"/>
    <w:rsid w:val="00316AD3"/>
    <w:rsid w:val="00333FCF"/>
    <w:rsid w:val="003362B4"/>
    <w:rsid w:val="00392DCA"/>
    <w:rsid w:val="0039732F"/>
    <w:rsid w:val="003B1138"/>
    <w:rsid w:val="0040554E"/>
    <w:rsid w:val="0043074D"/>
    <w:rsid w:val="00443C6A"/>
    <w:rsid w:val="00454528"/>
    <w:rsid w:val="004611BF"/>
    <w:rsid w:val="0048547C"/>
    <w:rsid w:val="00485A94"/>
    <w:rsid w:val="004864D5"/>
    <w:rsid w:val="00491154"/>
    <w:rsid w:val="004A0AA5"/>
    <w:rsid w:val="004E05FB"/>
    <w:rsid w:val="00500A99"/>
    <w:rsid w:val="00501392"/>
    <w:rsid w:val="005053FE"/>
    <w:rsid w:val="005073BD"/>
    <w:rsid w:val="005101E2"/>
    <w:rsid w:val="00511050"/>
    <w:rsid w:val="0051567F"/>
    <w:rsid w:val="00534ACB"/>
    <w:rsid w:val="00542D18"/>
    <w:rsid w:val="005476D9"/>
    <w:rsid w:val="00573569"/>
    <w:rsid w:val="005A5089"/>
    <w:rsid w:val="005B3EB4"/>
    <w:rsid w:val="00601102"/>
    <w:rsid w:val="006076FF"/>
    <w:rsid w:val="00612031"/>
    <w:rsid w:val="00621FA5"/>
    <w:rsid w:val="00664ED2"/>
    <w:rsid w:val="00664ED5"/>
    <w:rsid w:val="006919E4"/>
    <w:rsid w:val="006A1ADF"/>
    <w:rsid w:val="006A474E"/>
    <w:rsid w:val="006C296A"/>
    <w:rsid w:val="006C6305"/>
    <w:rsid w:val="006E29AC"/>
    <w:rsid w:val="006E62B6"/>
    <w:rsid w:val="006F77F2"/>
    <w:rsid w:val="00700EF7"/>
    <w:rsid w:val="00726739"/>
    <w:rsid w:val="00745A32"/>
    <w:rsid w:val="0074602E"/>
    <w:rsid w:val="007529F2"/>
    <w:rsid w:val="007641D5"/>
    <w:rsid w:val="00784045"/>
    <w:rsid w:val="00797427"/>
    <w:rsid w:val="007C320F"/>
    <w:rsid w:val="007E5063"/>
    <w:rsid w:val="0083755E"/>
    <w:rsid w:val="008774B5"/>
    <w:rsid w:val="008D64D1"/>
    <w:rsid w:val="008E0AA3"/>
    <w:rsid w:val="00941A52"/>
    <w:rsid w:val="0094524E"/>
    <w:rsid w:val="009A421D"/>
    <w:rsid w:val="009C02A2"/>
    <w:rsid w:val="00A526D3"/>
    <w:rsid w:val="00A765C4"/>
    <w:rsid w:val="00AA45A9"/>
    <w:rsid w:val="00AB4083"/>
    <w:rsid w:val="00AC0BFB"/>
    <w:rsid w:val="00AE4BC4"/>
    <w:rsid w:val="00B2026E"/>
    <w:rsid w:val="00B24155"/>
    <w:rsid w:val="00B51F25"/>
    <w:rsid w:val="00B56D0E"/>
    <w:rsid w:val="00B62075"/>
    <w:rsid w:val="00B662EF"/>
    <w:rsid w:val="00B70F3C"/>
    <w:rsid w:val="00B765A0"/>
    <w:rsid w:val="00BA6FA3"/>
    <w:rsid w:val="00BB364E"/>
    <w:rsid w:val="00BB6649"/>
    <w:rsid w:val="00BC3742"/>
    <w:rsid w:val="00BE1123"/>
    <w:rsid w:val="00C3437B"/>
    <w:rsid w:val="00C34A1C"/>
    <w:rsid w:val="00C5471C"/>
    <w:rsid w:val="00CB5553"/>
    <w:rsid w:val="00CE57B5"/>
    <w:rsid w:val="00D01621"/>
    <w:rsid w:val="00D11437"/>
    <w:rsid w:val="00D464D5"/>
    <w:rsid w:val="00D47DE8"/>
    <w:rsid w:val="00D73FD9"/>
    <w:rsid w:val="00D740AB"/>
    <w:rsid w:val="00D95CCF"/>
    <w:rsid w:val="00DB768F"/>
    <w:rsid w:val="00E31811"/>
    <w:rsid w:val="00E42682"/>
    <w:rsid w:val="00E44310"/>
    <w:rsid w:val="00E72110"/>
    <w:rsid w:val="00E72D96"/>
    <w:rsid w:val="00E80378"/>
    <w:rsid w:val="00E8355F"/>
    <w:rsid w:val="00E907E1"/>
    <w:rsid w:val="00EA6583"/>
    <w:rsid w:val="00EC435F"/>
    <w:rsid w:val="00EC7F5A"/>
    <w:rsid w:val="00EE298E"/>
    <w:rsid w:val="00EE4916"/>
    <w:rsid w:val="00F1432C"/>
    <w:rsid w:val="00F217BA"/>
    <w:rsid w:val="00F23354"/>
    <w:rsid w:val="00F23742"/>
    <w:rsid w:val="00F244B4"/>
    <w:rsid w:val="00F31358"/>
    <w:rsid w:val="00F4103C"/>
    <w:rsid w:val="00F82DB3"/>
    <w:rsid w:val="00F842E4"/>
    <w:rsid w:val="00F87058"/>
    <w:rsid w:val="00F93A76"/>
    <w:rsid w:val="00FA114D"/>
    <w:rsid w:val="00FB37ED"/>
    <w:rsid w:val="00FB4FEA"/>
    <w:rsid w:val="00FB5A7C"/>
    <w:rsid w:val="00FD3052"/>
    <w:rsid w:val="00FF0EE5"/>
    <w:rsid w:val="04466408"/>
    <w:rsid w:val="06591C1A"/>
    <w:rsid w:val="0A1B4BD9"/>
    <w:rsid w:val="0B2C62B1"/>
    <w:rsid w:val="1B7E37A1"/>
    <w:rsid w:val="1C6B037E"/>
    <w:rsid w:val="1E7603AC"/>
    <w:rsid w:val="21857EC7"/>
    <w:rsid w:val="2BB82701"/>
    <w:rsid w:val="2D907F86"/>
    <w:rsid w:val="33BE16A0"/>
    <w:rsid w:val="348D3FE3"/>
    <w:rsid w:val="3DEA35BB"/>
    <w:rsid w:val="413E75FD"/>
    <w:rsid w:val="46D5245F"/>
    <w:rsid w:val="47C35453"/>
    <w:rsid w:val="49B81199"/>
    <w:rsid w:val="647855EC"/>
    <w:rsid w:val="786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方正小标宋简体" w:hAnsi="黑体" w:eastAsia="方正小标宋简体"/>
      <w:kern w:val="44"/>
      <w:sz w:val="44"/>
      <w:szCs w:val="56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黑体" w:hAnsi="黑体" w:eastAsia="黑体" w:cstheme="majorBidi"/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7"/>
    <w:next w:val="1"/>
    <w:link w:val="27"/>
    <w:qFormat/>
    <w:uiPriority w:val="10"/>
  </w:style>
  <w:style w:type="paragraph" w:customStyle="1" w:styleId="7">
    <w:name w:val="公文:标题"/>
    <w:basedOn w:val="1"/>
    <w:link w:val="24"/>
    <w:qFormat/>
    <w:uiPriority w:val="0"/>
    <w:pPr>
      <w:jc w:val="center"/>
    </w:pPr>
    <w:rPr>
      <w:rFonts w:ascii="黑体" w:hAnsi="黑体" w:eastAsia="黑体"/>
      <w:sz w:val="44"/>
    </w:rPr>
  </w:style>
  <w:style w:type="character" w:customStyle="1" w:styleId="10">
    <w:name w:val="标题 1 Char"/>
    <w:basedOn w:val="9"/>
    <w:link w:val="2"/>
    <w:qFormat/>
    <w:uiPriority w:val="9"/>
    <w:rPr>
      <w:rFonts w:ascii="方正小标宋简体" w:hAnsi="黑体" w:eastAsia="方正小标宋简体" w:cs="Times New Roman"/>
      <w:kern w:val="44"/>
      <w:sz w:val="44"/>
      <w:szCs w:val="56"/>
      <w:lang w:bidi="ar-SA"/>
    </w:rPr>
  </w:style>
  <w:style w:type="character" w:customStyle="1" w:styleId="11">
    <w:name w:val="标题 2 Char"/>
    <w:basedOn w:val="9"/>
    <w:link w:val="3"/>
    <w:qFormat/>
    <w:uiPriority w:val="9"/>
    <w:rPr>
      <w:rFonts w:ascii="黑体" w:hAnsi="黑体" w:eastAsia="黑体" w:cstheme="majorBidi"/>
      <w:b/>
      <w:bCs/>
      <w:sz w:val="32"/>
      <w:szCs w:val="40"/>
    </w:rPr>
  </w:style>
  <w:style w:type="paragraph" w:customStyle="1" w:styleId="12">
    <w:name w:val="公文:4级标题"/>
    <w:link w:val="13"/>
    <w:qFormat/>
    <w:uiPriority w:val="0"/>
    <w:pPr>
      <w:numPr>
        <w:ilvl w:val="0"/>
        <w:numId w:val="1"/>
      </w:numPr>
      <w:outlineLvl w:val="3"/>
    </w:pPr>
    <w:rPr>
      <w:rFonts w:ascii="Times New Roman" w:hAnsi="Times New Roman" w:eastAsia="仿宋" w:cs="Times New Roman"/>
      <w:kern w:val="2"/>
      <w:sz w:val="32"/>
      <w:szCs w:val="40"/>
      <w:lang w:val="en-US" w:eastAsia="zh-CN" w:bidi="ar-SA"/>
    </w:rPr>
  </w:style>
  <w:style w:type="character" w:customStyle="1" w:styleId="13">
    <w:name w:val="公文:4级标题 字符"/>
    <w:basedOn w:val="9"/>
    <w:link w:val="12"/>
    <w:qFormat/>
    <w:uiPriority w:val="0"/>
    <w:rPr>
      <w:rFonts w:ascii="Times New Roman" w:hAnsi="Times New Roman" w:eastAsia="仿宋" w:cs="Times New Roman"/>
      <w:sz w:val="32"/>
      <w:szCs w:val="40"/>
      <w:lang w:bidi="ar-SA"/>
    </w:rPr>
  </w:style>
  <w:style w:type="paragraph" w:customStyle="1" w:styleId="14">
    <w:name w:val="公文:3级标题"/>
    <w:link w:val="15"/>
    <w:qFormat/>
    <w:uiPriority w:val="0"/>
    <w:pPr>
      <w:numPr>
        <w:ilvl w:val="0"/>
        <w:numId w:val="2"/>
      </w:numPr>
      <w:outlineLvl w:val="2"/>
    </w:pPr>
    <w:rPr>
      <w:rFonts w:ascii="Times New Roman" w:hAnsi="Times New Roman" w:eastAsia="仿宋" w:cs="Times New Roman"/>
      <w:kern w:val="2"/>
      <w:sz w:val="32"/>
      <w:szCs w:val="40"/>
      <w:lang w:val="en-US" w:eastAsia="zh-CN" w:bidi="ar-SA"/>
    </w:rPr>
  </w:style>
  <w:style w:type="character" w:customStyle="1" w:styleId="15">
    <w:name w:val="公文:3级标题 字符"/>
    <w:basedOn w:val="9"/>
    <w:link w:val="14"/>
    <w:qFormat/>
    <w:uiPriority w:val="0"/>
    <w:rPr>
      <w:rFonts w:ascii="Times New Roman" w:hAnsi="Times New Roman" w:eastAsia="仿宋" w:cs="Times New Roman"/>
      <w:sz w:val="32"/>
      <w:szCs w:val="40"/>
      <w:lang w:bidi="ar-SA"/>
    </w:rPr>
  </w:style>
  <w:style w:type="paragraph" w:customStyle="1" w:styleId="16">
    <w:name w:val="公文:2级标题"/>
    <w:link w:val="17"/>
    <w:qFormat/>
    <w:uiPriority w:val="0"/>
    <w:pPr>
      <w:numPr>
        <w:ilvl w:val="0"/>
        <w:numId w:val="3"/>
      </w:numPr>
      <w:outlineLvl w:val="1"/>
    </w:pPr>
    <w:rPr>
      <w:rFonts w:ascii="Times New Roman" w:hAnsi="Times New Roman" w:eastAsia="楷体" w:cs="Times New Roman"/>
      <w:kern w:val="2"/>
      <w:sz w:val="32"/>
      <w:szCs w:val="40"/>
      <w:lang w:val="en-US" w:eastAsia="zh-CN" w:bidi="ar-SA"/>
    </w:rPr>
  </w:style>
  <w:style w:type="character" w:customStyle="1" w:styleId="17">
    <w:name w:val="公文:2级标题 字符"/>
    <w:basedOn w:val="9"/>
    <w:link w:val="16"/>
    <w:qFormat/>
    <w:uiPriority w:val="0"/>
    <w:rPr>
      <w:rFonts w:ascii="Times New Roman" w:hAnsi="Times New Roman" w:eastAsia="楷体" w:cs="Times New Roman"/>
      <w:sz w:val="32"/>
      <w:szCs w:val="40"/>
      <w:lang w:bidi="ar-SA"/>
    </w:rPr>
  </w:style>
  <w:style w:type="paragraph" w:customStyle="1" w:styleId="18">
    <w:name w:val="公文:1级标题"/>
    <w:link w:val="19"/>
    <w:qFormat/>
    <w:uiPriority w:val="0"/>
    <w:pPr>
      <w:numPr>
        <w:ilvl w:val="0"/>
        <w:numId w:val="4"/>
      </w:numPr>
      <w:ind w:firstLine="640" w:firstLineChars="200"/>
      <w:outlineLvl w:val="0"/>
    </w:pPr>
    <w:rPr>
      <w:rFonts w:ascii="Times New Roman" w:hAnsi="Times New Roman" w:eastAsia="黑体" w:cs="Times New Roman"/>
      <w:kern w:val="2"/>
      <w:sz w:val="32"/>
      <w:szCs w:val="40"/>
      <w:lang w:val="en-US" w:eastAsia="zh-CN" w:bidi="ar-SA"/>
    </w:rPr>
  </w:style>
  <w:style w:type="character" w:customStyle="1" w:styleId="19">
    <w:name w:val="公文:1级标题 字符"/>
    <w:basedOn w:val="9"/>
    <w:link w:val="18"/>
    <w:qFormat/>
    <w:uiPriority w:val="0"/>
    <w:rPr>
      <w:rFonts w:ascii="Times New Roman" w:hAnsi="Times New Roman" w:eastAsia="黑体" w:cs="Times New Roman"/>
      <w:sz w:val="32"/>
      <w:szCs w:val="40"/>
      <w:lang w:bidi="ar-SA"/>
    </w:rPr>
  </w:style>
  <w:style w:type="paragraph" w:customStyle="1" w:styleId="20">
    <w:name w:val="公文:正文"/>
    <w:basedOn w:val="1"/>
    <w:link w:val="21"/>
    <w:qFormat/>
    <w:uiPriority w:val="0"/>
    <w:rPr>
      <w:rFonts w:eastAsia="仿宋"/>
    </w:rPr>
  </w:style>
  <w:style w:type="character" w:customStyle="1" w:styleId="21">
    <w:name w:val="公文:正文 字符"/>
    <w:basedOn w:val="9"/>
    <w:link w:val="20"/>
    <w:qFormat/>
    <w:uiPriority w:val="0"/>
    <w:rPr>
      <w:rFonts w:ascii="Times New Roman" w:hAnsi="Times New Roman" w:eastAsia="仿宋" w:cs="Times New Roman"/>
      <w:sz w:val="32"/>
      <w:szCs w:val="40"/>
      <w:lang w:bidi="ar-SA"/>
    </w:rPr>
  </w:style>
  <w:style w:type="paragraph" w:customStyle="1" w:styleId="22">
    <w:name w:val="公文:正文(缩进)"/>
    <w:basedOn w:val="1"/>
    <w:link w:val="23"/>
    <w:qFormat/>
    <w:uiPriority w:val="0"/>
    <w:pPr>
      <w:ind w:firstLine="200" w:firstLineChars="200"/>
    </w:pPr>
    <w:rPr>
      <w:rFonts w:eastAsia="仿宋"/>
    </w:rPr>
  </w:style>
  <w:style w:type="character" w:customStyle="1" w:styleId="23">
    <w:name w:val="公文:正文(缩进) 字符"/>
    <w:basedOn w:val="9"/>
    <w:link w:val="22"/>
    <w:qFormat/>
    <w:uiPriority w:val="0"/>
    <w:rPr>
      <w:rFonts w:ascii="Times New Roman" w:hAnsi="Times New Roman" w:eastAsia="仿宋" w:cs="Times New Roman"/>
      <w:sz w:val="32"/>
      <w:szCs w:val="40"/>
      <w:lang w:bidi="ar-SA"/>
    </w:rPr>
  </w:style>
  <w:style w:type="character" w:customStyle="1" w:styleId="24">
    <w:name w:val="公文:标题 字符"/>
    <w:basedOn w:val="9"/>
    <w:link w:val="7"/>
    <w:qFormat/>
    <w:uiPriority w:val="0"/>
    <w:rPr>
      <w:rFonts w:ascii="黑体" w:hAnsi="黑体" w:eastAsia="黑体" w:cs="Times New Roman"/>
      <w:sz w:val="44"/>
      <w:szCs w:val="40"/>
      <w:lang w:bidi="ar-SA"/>
    </w:rPr>
  </w:style>
  <w:style w:type="paragraph" w:customStyle="1" w:styleId="25">
    <w:name w:val="条款项"/>
    <w:basedOn w:val="20"/>
    <w:link w:val="26"/>
    <w:qFormat/>
    <w:uiPriority w:val="0"/>
    <w:pPr>
      <w:numPr>
        <w:ilvl w:val="0"/>
        <w:numId w:val="5"/>
      </w:numPr>
      <w:ind w:left="0" w:firstLine="640" w:firstLineChars="200"/>
    </w:pPr>
  </w:style>
  <w:style w:type="character" w:customStyle="1" w:styleId="26">
    <w:name w:val="条款项 字符"/>
    <w:basedOn w:val="21"/>
    <w:link w:val="25"/>
    <w:qFormat/>
    <w:uiPriority w:val="0"/>
    <w:rPr>
      <w:rFonts w:ascii="Times New Roman" w:hAnsi="Times New Roman" w:eastAsia="仿宋" w:cs="Times New Roman"/>
      <w:sz w:val="32"/>
      <w:szCs w:val="40"/>
      <w:lang w:bidi="ar-SA"/>
    </w:rPr>
  </w:style>
  <w:style w:type="character" w:customStyle="1" w:styleId="27">
    <w:name w:val="标题 Char"/>
    <w:basedOn w:val="9"/>
    <w:link w:val="6"/>
    <w:qFormat/>
    <w:uiPriority w:val="10"/>
    <w:rPr>
      <w:rFonts w:ascii="黑体" w:hAnsi="黑体" w:eastAsia="黑体" w:cs="Times New Roman"/>
      <w:sz w:val="44"/>
      <w:szCs w:val="40"/>
      <w:lang w:bidi="ar-SA"/>
    </w:rPr>
  </w:style>
  <w:style w:type="character" w:customStyle="1" w:styleId="28">
    <w:name w:val="页眉 Char"/>
    <w:basedOn w:val="9"/>
    <w:link w:val="5"/>
    <w:qFormat/>
    <w:uiPriority w:val="99"/>
    <w:rPr>
      <w:rFonts w:ascii="Times New Roman" w:hAnsi="Times New Roman" w:eastAsia="仿宋_GB2312" w:cs="Times New Roman"/>
      <w:sz w:val="18"/>
      <w:szCs w:val="18"/>
      <w:lang w:bidi="ar-SA"/>
    </w:rPr>
  </w:style>
  <w:style w:type="character" w:customStyle="1" w:styleId="29">
    <w:name w:val="页脚 Char"/>
    <w:basedOn w:val="9"/>
    <w:link w:val="4"/>
    <w:qFormat/>
    <w:uiPriority w:val="99"/>
    <w:rPr>
      <w:rFonts w:ascii="Times New Roman" w:hAnsi="Times New Roman" w:eastAsia="仿宋_GB2312" w:cs="Times New Roman"/>
      <w:sz w:val="18"/>
      <w:szCs w:val="18"/>
      <w:lang w:bidi="ar-SA"/>
    </w:rPr>
  </w:style>
  <w:style w:type="paragraph" w:customStyle="1" w:styleId="30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1208</Characters>
  <Lines>10</Lines>
  <Paragraphs>2</Paragraphs>
  <TotalTime>217</TotalTime>
  <ScaleCrop>false</ScaleCrop>
  <LinksUpToDate>false</LinksUpToDate>
  <CharactersWithSpaces>1417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2020-05-10T09:56:00Z</dcterms:created>
  <dc:creator>万 宇</dc:creator>
  <cp:lastModifiedBy>wang</cp:lastModifiedBy>
  <cp:lastPrinted>2023-12-05T08:38:29Z</cp:lastPrinted>
  <dcterms:modified xsi:type="dcterms:W3CDTF">2023-12-05T08:38:36Z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698D8DE33DB148C4BCD34030602B2013</vt:lpwstr>
  </property>
</Properties>
</file>