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textAlignment w:val="center"/>
        <w:rPr>
          <w:rFonts w:ascii="方正小标宋简体" w:hAnsi="微软雅黑" w:eastAsia="方正小标宋简体" w:cs="微软雅黑"/>
          <w:color w:val="000000"/>
          <w:kern w:val="0"/>
          <w:sz w:val="32"/>
          <w:szCs w:val="32"/>
          <w:lang w:eastAsia="zh-Hans" w:bidi="ar"/>
        </w:rPr>
      </w:pPr>
      <w:r>
        <w:rPr>
          <w:rFonts w:hint="eastAsia" w:ascii="方正小标宋简体" w:hAnsi="微软雅黑" w:eastAsia="方正小标宋简体" w:cs="微软雅黑"/>
          <w:color w:val="000000"/>
          <w:kern w:val="0"/>
          <w:sz w:val="32"/>
          <w:szCs w:val="32"/>
          <w:lang w:bidi="ar"/>
        </w:rPr>
        <w:t>《深圳市农业发展专项资金（渔业类）扶持操作规程（征求意见稿）》公开征求意见反馈表</w:t>
      </w:r>
    </w:p>
    <w:p>
      <w:pPr>
        <w:spacing w:line="400" w:lineRule="exact"/>
        <w:ind w:firstLine="480" w:firstLineChars="200"/>
        <w:rPr>
          <w:rFonts w:ascii="仿宋_GB2312" w:hAnsi="方正仿宋_GB2312" w:eastAsia="仿宋_GB2312" w:cs="方正仿宋_GB2312"/>
          <w:sz w:val="24"/>
          <w:lang w:eastAsia="zh-Hans"/>
        </w:rPr>
      </w:pPr>
      <w:r>
        <w:rPr>
          <w:rFonts w:hint="eastAsia" w:ascii="仿宋_GB2312" w:hAnsi="方正仿宋_GB2312" w:eastAsia="仿宋_GB2312" w:cs="方正仿宋_GB2312"/>
          <w:sz w:val="24"/>
        </w:rPr>
        <w:t>2023年10月25日至11月26日，《深圳市农业发展专项资金（渔业类）扶持操作规程（征求意见稿）》向社会公众征求意见，</w:t>
      </w:r>
      <w:r>
        <w:rPr>
          <w:rFonts w:hint="eastAsia" w:ascii="仿宋_GB2312" w:hAnsi="方正仿宋_GB2312" w:eastAsia="仿宋_GB2312" w:cs="方正仿宋_GB2312"/>
          <w:sz w:val="24"/>
          <w:lang w:eastAsia="zh-Hans"/>
        </w:rPr>
        <w:t>共收到</w:t>
      </w:r>
      <w:r>
        <w:rPr>
          <w:rFonts w:ascii="仿宋_GB2312" w:hAnsi="方正仿宋_GB2312" w:eastAsia="仿宋_GB2312" w:cs="方正仿宋_GB2312"/>
          <w:sz w:val="24"/>
          <w:lang w:eastAsia="zh-Hans"/>
        </w:rPr>
        <w:t>5</w:t>
      </w:r>
      <w:r>
        <w:rPr>
          <w:rFonts w:hint="eastAsia" w:ascii="仿宋_GB2312" w:hAnsi="方正仿宋_GB2312" w:eastAsia="仿宋_GB2312" w:cs="方正仿宋_GB2312"/>
          <w:sz w:val="24"/>
          <w:lang w:eastAsia="zh-Hans"/>
        </w:rPr>
        <w:t>家企业，</w:t>
      </w:r>
      <w:r>
        <w:rPr>
          <w:rFonts w:hint="eastAsia" w:ascii="仿宋_GB2312" w:hAnsi="方正仿宋_GB2312" w:eastAsia="仿宋_GB2312" w:cs="方正仿宋_GB2312"/>
          <w:sz w:val="24"/>
        </w:rPr>
        <w:t>1</w:t>
      </w:r>
      <w:r>
        <w:rPr>
          <w:rFonts w:ascii="仿宋_GB2312" w:hAnsi="方正仿宋_GB2312" w:eastAsia="仿宋_GB2312" w:cs="方正仿宋_GB2312"/>
          <w:sz w:val="24"/>
        </w:rPr>
        <w:t>9</w:t>
      </w:r>
      <w:r>
        <w:rPr>
          <w:rFonts w:hint="eastAsia" w:ascii="仿宋_GB2312" w:hAnsi="方正仿宋_GB2312" w:eastAsia="仿宋_GB2312" w:cs="方正仿宋_GB2312"/>
          <w:sz w:val="24"/>
          <w:lang w:eastAsia="zh-Hans"/>
        </w:rPr>
        <w:t>条意见，</w:t>
      </w:r>
      <w:r>
        <w:rPr>
          <w:rFonts w:hint="eastAsia" w:ascii="仿宋_GB2312" w:hAnsi="方正仿宋_GB2312" w:eastAsia="仿宋_GB2312" w:cs="方正仿宋_GB2312"/>
          <w:sz w:val="24"/>
        </w:rPr>
        <w:t>经研究论证后，</w:t>
      </w:r>
      <w:r>
        <w:rPr>
          <w:rFonts w:hint="eastAsia" w:ascii="仿宋_GB2312" w:hAnsi="方正仿宋_GB2312" w:eastAsia="仿宋_GB2312" w:cs="方正仿宋_GB2312"/>
          <w:sz w:val="24"/>
          <w:lang w:eastAsia="zh-Hans"/>
        </w:rPr>
        <w:t>采纳</w:t>
      </w:r>
      <w:r>
        <w:rPr>
          <w:rFonts w:ascii="仿宋_GB2312" w:hAnsi="方正仿宋_GB2312" w:eastAsia="仿宋_GB2312" w:cs="方正仿宋_GB2312"/>
          <w:sz w:val="24"/>
        </w:rPr>
        <w:t>7</w:t>
      </w:r>
      <w:r>
        <w:rPr>
          <w:rFonts w:hint="eastAsia" w:ascii="仿宋_GB2312" w:hAnsi="方正仿宋_GB2312" w:eastAsia="仿宋_GB2312" w:cs="方正仿宋_GB2312"/>
          <w:sz w:val="24"/>
          <w:lang w:eastAsia="zh-Hans"/>
        </w:rPr>
        <w:t>条，解释</w:t>
      </w:r>
      <w:r>
        <w:rPr>
          <w:rFonts w:hint="eastAsia" w:ascii="仿宋_GB2312" w:hAnsi="方正仿宋_GB2312" w:eastAsia="仿宋_GB2312" w:cs="方正仿宋_GB2312"/>
          <w:sz w:val="24"/>
        </w:rPr>
        <w:t>1</w:t>
      </w:r>
      <w:r>
        <w:rPr>
          <w:rFonts w:ascii="仿宋_GB2312" w:hAnsi="方正仿宋_GB2312" w:eastAsia="仿宋_GB2312" w:cs="方正仿宋_GB2312"/>
          <w:sz w:val="24"/>
        </w:rPr>
        <w:t>2</w:t>
      </w:r>
      <w:r>
        <w:rPr>
          <w:rFonts w:hint="eastAsia" w:ascii="仿宋_GB2312" w:hAnsi="方正仿宋_GB2312" w:eastAsia="仿宋_GB2312" w:cs="方正仿宋_GB2312"/>
          <w:sz w:val="24"/>
          <w:lang w:eastAsia="zh-Hans"/>
        </w:rPr>
        <w:t>条</w:t>
      </w:r>
      <w:r>
        <w:rPr>
          <w:rFonts w:hint="eastAsia" w:ascii="仿宋_GB2312" w:hAnsi="方正仿宋_GB2312" w:eastAsia="仿宋_GB2312" w:cs="方正仿宋_GB2312"/>
          <w:sz w:val="24"/>
        </w:rPr>
        <w:t>。具体处理情况详见下表：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721"/>
        <w:gridCol w:w="5321"/>
        <w:gridCol w:w="862"/>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Align w:val="center"/>
          </w:tcPr>
          <w:p>
            <w:pPr>
              <w:spacing w:line="400" w:lineRule="exact"/>
              <w:jc w:val="center"/>
              <w:rPr>
                <w:rFonts w:ascii="仿宋_GB2312" w:hAnsi="宋体" w:eastAsia="仿宋_GB2312" w:cs="宋体"/>
                <w:b/>
                <w:bCs/>
                <w:kern w:val="0"/>
                <w:sz w:val="24"/>
                <w:lang w:eastAsia="zh-Hans" w:bidi="ar"/>
              </w:rPr>
            </w:pPr>
            <w:r>
              <w:rPr>
                <w:rFonts w:hint="eastAsia" w:ascii="仿宋_GB2312" w:hAnsi="宋体" w:eastAsia="仿宋_GB2312" w:cs="宋体"/>
                <w:b/>
                <w:bCs/>
                <w:kern w:val="0"/>
                <w:sz w:val="24"/>
                <w:lang w:bidi="ar"/>
              </w:rPr>
              <w:t>反馈主体</w:t>
            </w:r>
          </w:p>
        </w:tc>
        <w:tc>
          <w:tcPr>
            <w:tcW w:w="231" w:type="pct"/>
            <w:vAlign w:val="center"/>
          </w:tcPr>
          <w:p>
            <w:pPr>
              <w:spacing w:line="400" w:lineRule="exact"/>
              <w:jc w:val="center"/>
              <w:rPr>
                <w:rFonts w:ascii="仿宋_GB2312" w:hAnsi="宋体" w:eastAsia="仿宋_GB2312" w:cs="宋体"/>
                <w:b/>
                <w:bCs/>
                <w:kern w:val="0"/>
                <w:sz w:val="24"/>
                <w:lang w:eastAsia="zh-Hans" w:bidi="ar"/>
              </w:rPr>
            </w:pPr>
            <w:r>
              <w:rPr>
                <w:rFonts w:hint="eastAsia" w:ascii="仿宋_GB2312" w:hAnsi="宋体" w:eastAsia="仿宋_GB2312" w:cs="宋体"/>
                <w:b/>
                <w:bCs/>
                <w:kern w:val="0"/>
                <w:sz w:val="24"/>
                <w:lang w:bidi="ar"/>
              </w:rPr>
              <w:t>序号</w:t>
            </w:r>
          </w:p>
        </w:tc>
        <w:tc>
          <w:tcPr>
            <w:tcW w:w="1704" w:type="pct"/>
            <w:vAlign w:val="center"/>
          </w:tcPr>
          <w:p>
            <w:pPr>
              <w:spacing w:line="400" w:lineRule="exact"/>
              <w:jc w:val="center"/>
              <w:rPr>
                <w:rFonts w:ascii="仿宋_GB2312" w:hAnsi="宋体" w:eastAsia="仿宋_GB2312" w:cs="宋体"/>
                <w:b/>
                <w:bCs/>
                <w:kern w:val="0"/>
                <w:sz w:val="24"/>
                <w:lang w:eastAsia="zh-Hans" w:bidi="ar"/>
              </w:rPr>
            </w:pPr>
            <w:r>
              <w:rPr>
                <w:rFonts w:hint="eastAsia" w:ascii="仿宋_GB2312" w:hAnsi="宋体" w:eastAsia="仿宋_GB2312" w:cs="宋体"/>
                <w:b/>
                <w:bCs/>
                <w:kern w:val="0"/>
                <w:sz w:val="24"/>
                <w:lang w:bidi="ar"/>
              </w:rPr>
              <w:t>意见及建议</w:t>
            </w:r>
          </w:p>
        </w:tc>
        <w:tc>
          <w:tcPr>
            <w:tcW w:w="276" w:type="pct"/>
          </w:tcPr>
          <w:p>
            <w:pPr>
              <w:spacing w:line="400" w:lineRule="exact"/>
              <w:jc w:val="center"/>
              <w:rPr>
                <w:rFonts w:hint="eastAsia" w:ascii="仿宋_GB2312" w:hAnsi="宋体" w:eastAsia="仿宋_GB2312" w:cs="宋体"/>
                <w:b/>
                <w:bCs/>
                <w:kern w:val="0"/>
                <w:sz w:val="24"/>
                <w:lang w:bidi="ar"/>
              </w:rPr>
            </w:pPr>
            <w:r>
              <w:rPr>
                <w:rFonts w:hint="eastAsia" w:ascii="仿宋_GB2312" w:hAnsi="宋体" w:eastAsia="仿宋_GB2312" w:cs="宋体"/>
                <w:b/>
                <w:bCs/>
                <w:kern w:val="0"/>
                <w:sz w:val="24"/>
                <w:lang w:bidi="ar"/>
              </w:rPr>
              <w:t>采纳情况</w:t>
            </w:r>
          </w:p>
        </w:tc>
        <w:tc>
          <w:tcPr>
            <w:tcW w:w="2054" w:type="pct"/>
            <w:vAlign w:val="center"/>
          </w:tcPr>
          <w:p>
            <w:pPr>
              <w:spacing w:line="400" w:lineRule="exact"/>
              <w:jc w:val="center"/>
              <w:rPr>
                <w:rFonts w:ascii="仿宋_GB2312" w:hAnsi="宋体" w:eastAsia="仿宋_GB2312" w:cs="宋体"/>
                <w:b/>
                <w:bCs/>
                <w:kern w:val="0"/>
                <w:sz w:val="24"/>
                <w:lang w:eastAsia="zh-Hans" w:bidi="ar"/>
              </w:rPr>
            </w:pPr>
            <w:r>
              <w:rPr>
                <w:rFonts w:hint="eastAsia" w:ascii="仿宋_GB2312" w:hAnsi="宋体" w:eastAsia="仿宋_GB2312" w:cs="宋体"/>
                <w:b/>
                <w:bCs/>
                <w:kern w:val="0"/>
                <w:sz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735"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深圳市大鱼水产供应链有限公司</w:t>
            </w: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为了做好扶持政策的有效衔接，使更多符合条件的中小渔业企业享受到政府的支持，建议新的申报政策时间将2020年包含在内。</w:t>
            </w:r>
          </w:p>
        </w:tc>
        <w:tc>
          <w:tcPr>
            <w:tcW w:w="276" w:type="pct"/>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解释</w:t>
            </w:r>
          </w:p>
        </w:tc>
        <w:tc>
          <w:tcPr>
            <w:tcW w:w="205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上位政策《深圳市农业发展专项资金（渔业类）扶持措施》（深规划资源规〔2023〕3号，以下简称“《扶持措施》”）于2023年5月10日印发实施，对以往项目不具备溯及效力。为做好新旧政策衔接，</w:t>
            </w:r>
            <w:r>
              <w:rPr>
                <w:rFonts w:hint="eastAsia" w:ascii="仿宋_GB2312" w:hAnsi="方正仿宋_GB2312" w:eastAsia="仿宋_GB2312" w:cs="方正仿宋_GB2312"/>
                <w:sz w:val="24"/>
              </w:rPr>
              <w:t>《操作规程》</w:t>
            </w:r>
            <w:r>
              <w:rPr>
                <w:rFonts w:hint="eastAsia" w:ascii="仿宋_GB2312" w:hAnsi="宋体" w:eastAsia="仿宋_GB2312" w:cs="宋体"/>
                <w:kern w:val="0"/>
                <w:sz w:val="24"/>
                <w:lang w:bidi="ar"/>
              </w:rPr>
              <w:t>规定，对2023年5月10日前符合《深圳市农业发展专项资金管理办法》（深经贸信息规〔2018〕2号）资助条件但未资助的项目，按原办法及其规程执行。具体申报项目的时间范围，以后续申报指南为准。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35" w:type="pct"/>
            <w:vMerge w:val="restar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深圳市海聚源水产科技有限公司</w:t>
            </w: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2</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建议将菜篮子基地的检验费用、水电费用、人员工资、市外菜篮子基地运往深圳产品的运输费用纳入资助范围。</w:t>
            </w:r>
          </w:p>
        </w:tc>
        <w:tc>
          <w:tcPr>
            <w:tcW w:w="276" w:type="pct"/>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解释</w:t>
            </w:r>
          </w:p>
        </w:tc>
        <w:tc>
          <w:tcPr>
            <w:tcW w:w="205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检验费用、水电费用、人员工资属于企业日常经营所必需的费用支出，而上位政策《扶持措施》对于菜篮子基地主要支持方向为“水产品供应基地建设”，因此本政策主要资助菜篮子基地涉及的建设投资，主要包括设备及工器具的购置、安装工程费，生产运营场地基础设施建设和形成固定资产的其他建设投资，其中“设备及工器具的购置”包括水产品运输设备的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735" w:type="pct"/>
            <w:vMerge w:val="continue"/>
            <w:vAlign w:val="center"/>
          </w:tcPr>
          <w:p>
            <w:pPr>
              <w:spacing w:line="400" w:lineRule="exact"/>
              <w:rPr>
                <w:rFonts w:ascii="仿宋_GB2312" w:hAnsi="宋体" w:eastAsia="仿宋_GB2312" w:cs="宋体"/>
                <w:kern w:val="0"/>
                <w:sz w:val="24"/>
                <w:lang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3</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建议在指南中确定对口帮扶地区。</w:t>
            </w:r>
          </w:p>
        </w:tc>
        <w:tc>
          <w:tcPr>
            <w:tcW w:w="276" w:type="pct"/>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采纳</w:t>
            </w:r>
          </w:p>
        </w:tc>
        <w:tc>
          <w:tcPr>
            <w:tcW w:w="205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对口帮扶地区以市乡村振兴和协作交流部门发布为准；后续将在申报指南中进一步明确。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continue"/>
            <w:vAlign w:val="center"/>
          </w:tcPr>
          <w:p>
            <w:pPr>
              <w:spacing w:line="400" w:lineRule="exact"/>
              <w:rPr>
                <w:rFonts w:ascii="仿宋_GB2312" w:hAnsi="宋体" w:eastAsia="仿宋_GB2312" w:cs="宋体"/>
                <w:kern w:val="0"/>
                <w:sz w:val="24"/>
                <w:lang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4</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建议渔业水产的菜篮子基地奖励比例增加。</w:t>
            </w:r>
          </w:p>
        </w:tc>
        <w:tc>
          <w:tcPr>
            <w:tcW w:w="276" w:type="pct"/>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解释</w:t>
            </w:r>
          </w:p>
        </w:tc>
        <w:tc>
          <w:tcPr>
            <w:tcW w:w="205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首先，根据《深圳市农业发展专项资金管理办法》（深经贸信息规〔2018〕2号），对基地规模、产品质量、回运量等指标综合考评前20名的深圳市“菜篮子”基地给予 50-80万元的奖励。深圳市菜篮子基地综合考评每年由市市场监管局评定后直接发布考评结果，我局直接根据市市场监管局认定结果拟定水产类菜篮子综合考评奖励计划。</w:t>
            </w:r>
          </w:p>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其次，为惠及更多水产类菜篮子基地，《扶持措施》相较于原管理办法，新增 “对新认定的水产类菜篮子基地给予30万元奖励”条款。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continue"/>
            <w:vAlign w:val="center"/>
          </w:tcPr>
          <w:p>
            <w:pPr>
              <w:spacing w:line="400" w:lineRule="exact"/>
              <w:rPr>
                <w:rFonts w:ascii="仿宋_GB2312" w:hAnsi="宋体" w:eastAsia="仿宋_GB2312" w:cs="宋体"/>
                <w:kern w:val="0"/>
                <w:sz w:val="24"/>
                <w:lang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5</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关于“工厂化循环水养殖项目车间不少于8000平方米且循环水养殖水体不少于6000立方米；工厂化循环水育苗项目循环水养殖水体不少于1000立方米”，建议以上循环水养殖水体申报条件降低。</w:t>
            </w:r>
          </w:p>
        </w:tc>
        <w:tc>
          <w:tcPr>
            <w:tcW w:w="276" w:type="pct"/>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解释</w:t>
            </w:r>
          </w:p>
        </w:tc>
        <w:tc>
          <w:tcPr>
            <w:tcW w:w="205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循环水养殖水体规模条件为上位政策《扶持措施》规定，不在《操作规程》征求意见范围中。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continue"/>
            <w:vAlign w:val="center"/>
          </w:tcPr>
          <w:p>
            <w:pPr>
              <w:spacing w:line="400" w:lineRule="exact"/>
              <w:rPr>
                <w:rFonts w:ascii="仿宋_GB2312" w:hAnsi="宋体" w:eastAsia="仿宋_GB2312" w:cs="宋体"/>
                <w:kern w:val="0"/>
                <w:sz w:val="24"/>
                <w:lang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6</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建议对于池塘标准化改造和养殖尾水处理设施建设等要有明确的标准指南，否则企业无依据无从进行项目申请。</w:t>
            </w:r>
          </w:p>
        </w:tc>
        <w:tc>
          <w:tcPr>
            <w:tcW w:w="276" w:type="pct"/>
            <w:shd w:val="clear" w:color="auto" w:fill="auto"/>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采纳</w:t>
            </w:r>
          </w:p>
        </w:tc>
        <w:tc>
          <w:tcPr>
            <w:tcW w:w="2054" w:type="pct"/>
            <w:vAlign w:val="center"/>
          </w:tcPr>
          <w:p>
            <w:pPr>
              <w:spacing w:line="400" w:lineRule="exac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由相关部门另行制定。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restar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深圳市龙岐庄实业发展有限公司</w:t>
            </w: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7</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水生生物种质资源建设是有一定技术难度的，建议原有给予不超过项目总投资40%配套提升至50%，如无法提升资助比例则建议评审时将评分A配套40%，评分B配套35%，评分C配套30%以防止种业配套资助力度不足问题。</w:t>
            </w:r>
          </w:p>
        </w:tc>
        <w:tc>
          <w:tcPr>
            <w:tcW w:w="276" w:type="pct"/>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采纳</w:t>
            </w:r>
          </w:p>
        </w:tc>
        <w:tc>
          <w:tcPr>
            <w:tcW w:w="205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该资助比例为上位政策《扶持措施》规定，不在《操作规程》征求意见范围中。后续将把评审等级资助比例建议纳入研究范围。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735" w:type="pct"/>
            <w:vMerge w:val="continue"/>
            <w:vAlign w:val="center"/>
          </w:tcPr>
          <w:p>
            <w:pPr>
              <w:spacing w:line="400" w:lineRule="exact"/>
              <w:rPr>
                <w:rFonts w:ascii="仿宋_GB2312" w:hAnsi="宋体" w:eastAsia="仿宋_GB2312" w:cs="宋体"/>
                <w:kern w:val="0"/>
                <w:sz w:val="24"/>
                <w:lang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8</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关于项目建设期，上一期的渔业项目时间为2018年1月31日至2022年1月31日期间，建议延续上期模式，把今期渔业项目时间定为2019年1月至2024年1月。</w:t>
            </w:r>
          </w:p>
        </w:tc>
        <w:tc>
          <w:tcPr>
            <w:tcW w:w="276" w:type="pct"/>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解释</w:t>
            </w:r>
          </w:p>
        </w:tc>
        <w:tc>
          <w:tcPr>
            <w:tcW w:w="205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同第一条。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35" w:type="pct"/>
            <w:vMerge w:val="restar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深圳市联成远洋渔业有限公司</w:t>
            </w: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9</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bidi="ar"/>
              </w:rPr>
              <w:t>将“区级以上渔业主管部门每年按类型、分批次组织开展专项资金扶持具体相关工作”修改为“区级以上渔业主管部门每年按类型、分批次组织开展专项资金扶持具体相关工作,远洋渔业企业的专项资金扶持具体相关工作由市渔业主管部门组织开展”。</w:t>
            </w:r>
          </w:p>
        </w:tc>
        <w:tc>
          <w:tcPr>
            <w:tcW w:w="276" w:type="pct"/>
            <w:vAlign w:val="center"/>
          </w:tcPr>
          <w:p>
            <w:pPr>
              <w:spacing w:line="400"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解释</w:t>
            </w:r>
          </w:p>
        </w:tc>
        <w:tc>
          <w:tcPr>
            <w:tcW w:w="2054" w:type="pct"/>
            <w:vAlign w:val="center"/>
          </w:tcPr>
          <w:p>
            <w:pPr>
              <w:pStyle w:val="2"/>
              <w:spacing w:line="400" w:lineRule="exact"/>
              <w:ind w:firstLine="0" w:firstLineChars="0"/>
              <w:rPr>
                <w:rFonts w:ascii="仿宋_GB2312" w:eastAsia="仿宋_GB2312"/>
                <w:lang w:bidi="ar"/>
              </w:rPr>
            </w:pPr>
            <w:r>
              <w:rPr>
                <w:rFonts w:hint="eastAsia" w:ascii="仿宋_GB2312" w:hAnsi="宋体" w:eastAsia="仿宋_GB2312" w:cs="宋体"/>
                <w:kern w:val="0"/>
                <w:sz w:val="24"/>
                <w:lang w:bidi="ar"/>
              </w:rPr>
              <w:t>区级以上渔业主管部门包含市渔业主管部门，近期专项资金扶持具体相关工作依然由市渔业主管部门组织开展。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0</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删除渔博会交易补贴申报条件</w:t>
            </w:r>
            <w:r>
              <w:rPr>
                <w:rFonts w:hint="eastAsia" w:ascii="仿宋_GB2312" w:hAnsi="宋体" w:eastAsia="仿宋_GB2312" w:cs="宋体"/>
                <w:kern w:val="0"/>
                <w:sz w:val="24"/>
                <w:lang w:bidi="ar"/>
              </w:rPr>
              <w:t>“(4)买卖双方企业不存在关联关系”。</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bidi="ar"/>
              </w:rPr>
              <w:t>解释</w:t>
            </w:r>
          </w:p>
        </w:tc>
        <w:tc>
          <w:tcPr>
            <w:tcW w:w="205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为保障专项资金安全，提高专项资金使用效率，因此要求买卖双方企业不存在关联关系。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1</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删除深圳国际金枪鱼交易中心申报条件“（</w:t>
            </w:r>
            <w:r>
              <w:rPr>
                <w:rFonts w:hint="eastAsia" w:ascii="仿宋_GB2312" w:hAnsi="宋体" w:eastAsia="仿宋_GB2312" w:cs="宋体"/>
                <w:kern w:val="0"/>
                <w:sz w:val="24"/>
                <w:lang w:bidi="ar"/>
              </w:rPr>
              <w:t>2</w:t>
            </w:r>
            <w:r>
              <w:rPr>
                <w:rFonts w:hint="eastAsia" w:ascii="仿宋_GB2312" w:hAnsi="宋体" w:eastAsia="仿宋_GB2312" w:cs="宋体"/>
                <w:kern w:val="0"/>
                <w:sz w:val="24"/>
                <w:lang w:eastAsia="zh-Hans" w:bidi="ar"/>
              </w:rPr>
              <w:t>）买卖双方企业不存在关联关系”，修改为“（</w:t>
            </w:r>
            <w:r>
              <w:rPr>
                <w:rFonts w:hint="eastAsia" w:ascii="仿宋_GB2312" w:hAnsi="宋体" w:eastAsia="仿宋_GB2312" w:cs="宋体"/>
                <w:kern w:val="0"/>
                <w:sz w:val="24"/>
                <w:lang w:bidi="ar"/>
              </w:rPr>
              <w:t>3</w:t>
            </w:r>
            <w:r>
              <w:rPr>
                <w:rFonts w:hint="eastAsia" w:ascii="仿宋_GB2312" w:hAnsi="宋体" w:eastAsia="仿宋_GB2312" w:cs="宋体"/>
                <w:kern w:val="0"/>
                <w:sz w:val="24"/>
                <w:lang w:eastAsia="zh-Hans" w:bidi="ar"/>
              </w:rPr>
              <w:t>）在深圳国际渔业博览会达成交易意向的买卖双方企业(或法定代表人)其中一方对另一方控股50% 以上的则同一单水产品(即相同交易品种和数量) 在深圳国际金枪鱼交易中心挂牌交易的销售金额在测算交易量排名时需从卖方交易总额中扣除”。</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bidi="ar"/>
              </w:rPr>
              <w:t>解释</w:t>
            </w:r>
          </w:p>
        </w:tc>
        <w:tc>
          <w:tcPr>
            <w:tcW w:w="205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同第十条。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2</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增加海运超低温金枪鱼释义：舱储温度为-55℃至-60℃，不含长鳍金枪鱼、鲣鱼。</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bidi="ar"/>
              </w:rPr>
              <w:t>解释</w:t>
            </w:r>
          </w:p>
        </w:tc>
        <w:tc>
          <w:tcPr>
            <w:tcW w:w="2054" w:type="pct"/>
            <w:vAlign w:val="center"/>
          </w:tcPr>
          <w:p>
            <w:pPr>
              <w:pStyle w:val="2"/>
              <w:spacing w:line="400" w:lineRule="exact"/>
              <w:ind w:firstLine="0" w:firstLineChars="0"/>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本规程名词解释中，金枪鱼包含北方蓝鳍金枪鱼、南方蓝鳍金枪鱼（马苏金枪鱼）、大眼金枪鱼、黄鳍金枪鱼、长鳍金枪鱼、鲣鱼等六类。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3</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删除远洋渔业基地申报专项条件“(4)上级部门对项目中期评估结果或项目验收结果已完成复核或抽查”。</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采纳</w:t>
            </w:r>
          </w:p>
        </w:tc>
        <w:tc>
          <w:tcPr>
            <w:tcW w:w="2054" w:type="pct"/>
            <w:vAlign w:val="center"/>
          </w:tcPr>
          <w:p>
            <w:pPr>
              <w:pStyle w:val="2"/>
              <w:ind w:firstLine="0" w:firstLineChars="0"/>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已删除该表述。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4</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建议渔业产业贷款贴息范围增加“远洋渔船生产物资补给”。</w:t>
            </w:r>
            <w:bookmarkStart w:id="2" w:name="_GoBack"/>
            <w:bookmarkEnd w:id="2"/>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解释</w:t>
            </w:r>
          </w:p>
        </w:tc>
        <w:tc>
          <w:tcPr>
            <w:tcW w:w="2054" w:type="pct"/>
            <w:vAlign w:val="center"/>
          </w:tcPr>
          <w:p>
            <w:pPr>
              <w:pStyle w:val="2"/>
              <w:spacing w:line="400" w:lineRule="exact"/>
              <w:ind w:firstLine="0" w:firstLineChars="0"/>
              <w:rPr>
                <w:rFonts w:ascii="仿宋_GB2312" w:hAnsi="宋体" w:eastAsia="仿宋_GB2312" w:cs="宋体"/>
                <w:kern w:val="0"/>
                <w:sz w:val="24"/>
                <w:lang w:eastAsia="zh-Hans" w:bidi="ar"/>
              </w:rPr>
            </w:pPr>
            <w:r>
              <w:rPr>
                <w:rFonts w:hint="eastAsia" w:ascii="仿宋_GB2312" w:hAnsi="方正仿宋_GB2312" w:eastAsia="仿宋_GB2312" w:cs="方正仿宋_GB2312"/>
                <w:sz w:val="24"/>
              </w:rPr>
              <w:t>《操作规程》明确规定</w:t>
            </w:r>
            <w:r>
              <w:rPr>
                <w:rFonts w:hint="eastAsia" w:ascii="仿宋_GB2312" w:hAnsi="宋体" w:eastAsia="仿宋_GB2312" w:cs="宋体"/>
                <w:kern w:val="0"/>
                <w:sz w:val="24"/>
                <w:lang w:eastAsia="zh-Hans" w:bidi="ar"/>
              </w:rPr>
              <w:t>以流动性资金贷款申报贴息的，贷款协议书上须注明相应的贷款用途，不在资助范围内的流动性资金贷款不予贴息。“远洋渔船生产物资补给”属于流动性资金，因此不纳入贴息资助范围内。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5</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建议对励远洋自捕水产品回运中的“深圳水产品交易市场进行交易并取得交易凭证”的定义和操作进一步明确解释。</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采纳</w:t>
            </w:r>
          </w:p>
        </w:tc>
        <w:tc>
          <w:tcPr>
            <w:tcW w:w="205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将在后续申报指南中进一步明确。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restar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深圳市华南渔业有限公司</w:t>
            </w: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6</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关于不予资助情形。</w:t>
            </w:r>
          </w:p>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原文“5.申报单位发生安全生产责任事故或因食品安全问题被有关部门予以行政处罚的，当年度项目不予资助;6.申报项目发生过安全生产责任事故的”。</w:t>
            </w:r>
          </w:p>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修改建议:5.申报项目发生安全生产责任事故或因食品安全问题被有关部门予以行政处罚的，当年度项目不予资助;6.申报单位发生过安全生产责任事故的。</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采纳</w:t>
            </w:r>
          </w:p>
        </w:tc>
        <w:tc>
          <w:tcPr>
            <w:tcW w:w="205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修改为：</w:t>
            </w:r>
            <w:bookmarkStart w:id="0" w:name="_Hlk151976032"/>
            <w:r>
              <w:rPr>
                <w:rFonts w:hint="eastAsia" w:ascii="仿宋_GB2312" w:hAnsi="宋体" w:eastAsia="仿宋_GB2312" w:cs="宋体"/>
                <w:kern w:val="0"/>
                <w:sz w:val="24"/>
                <w:lang w:eastAsia="zh-Hans" w:bidi="ar"/>
              </w:rPr>
              <w:t>5.截至申报之日前三年内，申报单位因食品安全问题被有关部门予以行政处罚的；</w:t>
            </w:r>
          </w:p>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6.申报项目发生安全生产责任事故的，则该申报项目不予资助。对于申请境外渔业资源费和国际履约能力提升补助的远洋渔业项目，若远洋渔船发生安全生产责任事故的，则扣减发生事故该渔船的相应补助部分。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7</w:t>
            </w:r>
          </w:p>
        </w:tc>
        <w:tc>
          <w:tcPr>
            <w:tcW w:w="1704" w:type="pct"/>
            <w:vAlign w:val="center"/>
          </w:tcPr>
          <w:p>
            <w:pPr>
              <w:spacing w:line="400" w:lineRule="exact"/>
              <w:rPr>
                <w:rFonts w:ascii="仿宋_GB2312" w:hAnsi="宋体" w:eastAsia="仿宋_GB2312" w:cs="宋体"/>
                <w:kern w:val="0"/>
                <w:sz w:val="24"/>
                <w:lang w:bidi="ar"/>
              </w:rPr>
            </w:pPr>
            <w:r>
              <w:rPr>
                <w:rFonts w:hint="eastAsia" w:ascii="仿宋_GB2312" w:hAnsi="宋体" w:eastAsia="仿宋_GB2312" w:cs="宋体"/>
                <w:kern w:val="0"/>
                <w:sz w:val="24"/>
                <w:lang w:eastAsia="zh-Hans" w:bidi="ar"/>
              </w:rPr>
              <w:t>第十条“</w:t>
            </w:r>
            <w:bookmarkStart w:id="1" w:name="_Hlk152063608"/>
            <w:r>
              <w:rPr>
                <w:rFonts w:hint="eastAsia" w:ascii="仿宋_GB2312" w:hAnsi="宋体" w:eastAsia="仿宋_GB2312" w:cs="宋体"/>
                <w:kern w:val="0"/>
                <w:sz w:val="24"/>
                <w:lang w:eastAsia="zh-Hans" w:bidi="ar"/>
              </w:rPr>
              <w:t>加快发展远洋渔业</w:t>
            </w:r>
            <w:bookmarkEnd w:id="1"/>
            <w:r>
              <w:rPr>
                <w:rFonts w:hint="eastAsia" w:ascii="仿宋_GB2312" w:hAnsi="宋体" w:eastAsia="仿宋_GB2312" w:cs="宋体"/>
                <w:kern w:val="0"/>
                <w:sz w:val="24"/>
                <w:lang w:eastAsia="zh-Hans" w:bidi="ar"/>
              </w:rPr>
              <w:t>”建议修改为“推动远洋渔业高质量发展”</w:t>
            </w:r>
            <w:r>
              <w:rPr>
                <w:rFonts w:hint="eastAsia" w:ascii="仿宋_GB2312" w:hAnsi="宋体" w:eastAsia="仿宋_GB2312" w:cs="宋体"/>
                <w:kern w:val="0"/>
                <w:sz w:val="24"/>
                <w:lang w:bidi="ar"/>
              </w:rPr>
              <w:t>。</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解释</w:t>
            </w:r>
          </w:p>
        </w:tc>
        <w:tc>
          <w:tcPr>
            <w:tcW w:w="2054"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lang w:eastAsia="zh-Hans" w:bidi="ar"/>
              </w:rPr>
            </w:pPr>
            <w:r>
              <w:rPr>
                <w:rFonts w:hint="eastAsia" w:ascii="仿宋_GB2312" w:hAnsi="宋体" w:eastAsia="仿宋_GB2312" w:cs="宋体"/>
                <w:kern w:val="0"/>
                <w:sz w:val="24"/>
                <w:lang w:bidi="ar"/>
              </w:rPr>
              <w:t>上位政策《扶持措施》第二章（一）“加快发展远洋渔业”，为与上位政策保持一致，因此《操作规程》中继续沿用此说法。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8</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建议智慧渔业建设项目资助范围增加“项目建设单位项目有关软件硬件的自行研发经费”。</w:t>
            </w:r>
          </w:p>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智慧渔业建设(改造) 项目一般根据项目特点开展专项研发设计，市场上没有成套的软件和硬件产品，需要由第三方或自行研发设计软件和硬件，自行研发经费中人工投入成本较大，建议增加自行研发经费。</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解释</w:t>
            </w:r>
          </w:p>
        </w:tc>
        <w:tc>
          <w:tcPr>
            <w:tcW w:w="205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本项目资助范围包括“软件费用、硬件费用、专网费用、外部评测费用、适配测试费用以及与项目相关的建设投资（包括设备及工器具的购置、安装工程费，生产运营场地基础设施建设和形成固定资产的其他建设投资）”，其中的软硬件费用、评测费用等包含委托第三方研发设计产生的费用。而自行研发经费中人工成本较难核定，因此不纳入自行研发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continue"/>
            <w:vAlign w:val="center"/>
          </w:tcPr>
          <w:p>
            <w:pPr>
              <w:spacing w:line="400" w:lineRule="exact"/>
              <w:rPr>
                <w:rFonts w:ascii="仿宋_GB2312" w:hAnsi="宋体" w:eastAsia="仿宋_GB2312" w:cs="宋体"/>
                <w:kern w:val="0"/>
                <w:sz w:val="24"/>
                <w:lang w:eastAsia="zh-Hans" w:bidi="ar"/>
              </w:rPr>
            </w:pPr>
          </w:p>
        </w:tc>
        <w:tc>
          <w:tcPr>
            <w:tcW w:w="231" w:type="pct"/>
            <w:vAlign w:val="center"/>
          </w:tcPr>
          <w:p>
            <w:pPr>
              <w:spacing w:line="400" w:lineRule="exact"/>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w:t>
            </w:r>
            <w:r>
              <w:rPr>
                <w:rFonts w:ascii="仿宋_GB2312" w:hAnsi="宋体" w:eastAsia="仿宋_GB2312" w:cs="宋体"/>
                <w:kern w:val="0"/>
                <w:sz w:val="24"/>
                <w:lang w:bidi="ar"/>
              </w:rPr>
              <w:t>9</w:t>
            </w:r>
          </w:p>
        </w:tc>
        <w:tc>
          <w:tcPr>
            <w:tcW w:w="170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关于支持开展水产品质量认证。</w:t>
            </w:r>
          </w:p>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将“3.资助范围：开展海洋管理委员会（MSC）、水产养殖管理委员会（ASC）、危害分析及关键控制点（HACCP）</w:t>
            </w:r>
            <w:r>
              <w:rPr>
                <w:rFonts w:hint="eastAsia" w:ascii="仿宋_GB2312" w:hAnsi="宋体" w:eastAsia="仿宋_GB2312" w:cs="宋体"/>
                <w:b/>
                <w:bCs/>
                <w:kern w:val="0"/>
                <w:sz w:val="24"/>
                <w:lang w:eastAsia="zh-Hans" w:bidi="ar"/>
              </w:rPr>
              <w:t>首次认证</w:t>
            </w:r>
            <w:r>
              <w:rPr>
                <w:rFonts w:hint="eastAsia" w:ascii="仿宋_GB2312" w:hAnsi="宋体" w:eastAsia="仿宋_GB2312" w:cs="宋体"/>
                <w:kern w:val="0"/>
                <w:sz w:val="24"/>
                <w:lang w:eastAsia="zh-Hans" w:bidi="ar"/>
              </w:rPr>
              <w:t>的费用，包括申请受理费、审核费、审定与注册费、证书标志使用费以及审核组来往申请认证组织的差旅费。4.资助标准：（1）对海洋管理委员会（MSC）、水产养殖管理委员会（ASC）、危害分析及关键控制点（HACCP）</w:t>
            </w:r>
            <w:r>
              <w:rPr>
                <w:rFonts w:hint="eastAsia" w:ascii="仿宋_GB2312" w:hAnsi="宋体" w:eastAsia="仿宋_GB2312" w:cs="宋体"/>
                <w:b/>
                <w:bCs/>
                <w:kern w:val="0"/>
                <w:sz w:val="24"/>
                <w:lang w:eastAsia="zh-Hans" w:bidi="ar"/>
              </w:rPr>
              <w:t>首次认证费用</w:t>
            </w:r>
            <w:r>
              <w:rPr>
                <w:rFonts w:hint="eastAsia" w:ascii="仿宋_GB2312" w:hAnsi="宋体" w:eastAsia="仿宋_GB2312" w:cs="宋体"/>
                <w:kern w:val="0"/>
                <w:sz w:val="24"/>
                <w:lang w:eastAsia="zh-Hans" w:bidi="ar"/>
              </w:rPr>
              <w:t>给予不超过实际发生金额50%的补贴，每家企业每年最高50万元”修改为“3.资助范围:开展海洋管理委员会(MSC)、水产养殖管理委员会(ASC)、危害分析及关键控制点(HACCP)</w:t>
            </w:r>
            <w:r>
              <w:rPr>
                <w:rFonts w:hint="eastAsia" w:ascii="仿宋_GB2312" w:hAnsi="宋体" w:eastAsia="仿宋_GB2312" w:cs="宋体"/>
                <w:b/>
                <w:bCs/>
                <w:kern w:val="0"/>
                <w:sz w:val="24"/>
                <w:lang w:eastAsia="zh-Hans" w:bidi="ar"/>
              </w:rPr>
              <w:t>认证的费用、年度审计费用及再评估换证费用</w:t>
            </w:r>
            <w:r>
              <w:rPr>
                <w:rFonts w:hint="eastAsia" w:ascii="仿宋_GB2312" w:hAnsi="宋体" w:eastAsia="仿宋_GB2312" w:cs="宋体"/>
                <w:kern w:val="0"/>
                <w:sz w:val="24"/>
                <w:lang w:eastAsia="zh-Hans" w:bidi="ar"/>
              </w:rPr>
              <w:t>，包括申请受理费、审核费审定与注册费、证书标志使用费以及审核组来往申请认证组织的差旅费。4.资助标准:(1)对海洋管理委员会 (MSC)、水产养殖管理委员会 (ASC)、危害分析及关键控制点 (HACCP)</w:t>
            </w:r>
            <w:r>
              <w:rPr>
                <w:rFonts w:hint="eastAsia" w:ascii="仿宋_GB2312" w:hAnsi="宋体" w:eastAsia="仿宋_GB2312" w:cs="宋体"/>
                <w:b/>
                <w:bCs/>
                <w:kern w:val="0"/>
                <w:sz w:val="24"/>
                <w:lang w:eastAsia="zh-Hans" w:bidi="ar"/>
              </w:rPr>
              <w:t>认证费用、年度审计费用及再评估换证费用</w:t>
            </w:r>
            <w:r>
              <w:rPr>
                <w:rFonts w:hint="eastAsia" w:ascii="仿宋_GB2312" w:hAnsi="宋体" w:eastAsia="仿宋_GB2312" w:cs="宋体"/>
                <w:kern w:val="0"/>
                <w:sz w:val="24"/>
                <w:lang w:eastAsia="zh-Hans" w:bidi="ar"/>
              </w:rPr>
              <w:t>给予不超过实际发生金额50%的补贴，每家企业每年最高50万元。</w:t>
            </w:r>
          </w:p>
        </w:tc>
        <w:tc>
          <w:tcPr>
            <w:tcW w:w="276" w:type="pct"/>
            <w:vAlign w:val="center"/>
          </w:tcPr>
          <w:p>
            <w:pPr>
              <w:spacing w:line="400" w:lineRule="exact"/>
              <w:jc w:val="center"/>
              <w:rPr>
                <w:rFonts w:hint="eastAsia"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采纳</w:t>
            </w:r>
          </w:p>
        </w:tc>
        <w:tc>
          <w:tcPr>
            <w:tcW w:w="2054" w:type="pct"/>
            <w:vAlign w:val="center"/>
          </w:tcPr>
          <w:p>
            <w:pPr>
              <w:spacing w:line="400" w:lineRule="exact"/>
              <w:rPr>
                <w:rFonts w:ascii="仿宋_GB2312" w:hAnsi="宋体" w:eastAsia="仿宋_GB2312" w:cs="宋体"/>
                <w:kern w:val="0"/>
                <w:sz w:val="24"/>
                <w:lang w:eastAsia="zh-Hans" w:bidi="ar"/>
              </w:rPr>
            </w:pPr>
            <w:r>
              <w:rPr>
                <w:rFonts w:hint="eastAsia" w:ascii="仿宋_GB2312" w:hAnsi="宋体" w:eastAsia="仿宋_GB2312" w:cs="宋体"/>
                <w:kern w:val="0"/>
                <w:sz w:val="24"/>
                <w:lang w:eastAsia="zh-Hans" w:bidi="ar"/>
              </w:rPr>
              <w:t>修改为“3.资助范围：开展海洋管理委员会（MSC）、水产养殖管理委员会（ASC）、危害分析及关键控制点（HACCP）</w:t>
            </w:r>
            <w:r>
              <w:rPr>
                <w:rFonts w:hint="eastAsia" w:ascii="仿宋_GB2312" w:hAnsi="宋体" w:eastAsia="仿宋_GB2312" w:cs="宋体"/>
                <w:b/>
                <w:bCs/>
                <w:kern w:val="0"/>
                <w:sz w:val="24"/>
                <w:lang w:eastAsia="zh-Hans" w:bidi="ar"/>
              </w:rPr>
              <w:t>认证及再评估换证费用</w:t>
            </w:r>
            <w:r>
              <w:rPr>
                <w:rFonts w:hint="eastAsia" w:ascii="仿宋_GB2312" w:hAnsi="宋体" w:eastAsia="仿宋_GB2312" w:cs="宋体"/>
                <w:kern w:val="0"/>
                <w:sz w:val="24"/>
                <w:lang w:eastAsia="zh-Hans" w:bidi="ar"/>
              </w:rPr>
              <w:t>，包括申请受理费、审核费、审定与注册费、证书标志使用费等”。</w:t>
            </w:r>
          </w:p>
          <w:p>
            <w:pPr>
              <w:spacing w:line="400" w:lineRule="exact"/>
              <w:rPr>
                <w:lang w:eastAsia="zh-Hans" w:bidi="ar"/>
              </w:rPr>
            </w:pPr>
            <w:r>
              <w:rPr>
                <w:rFonts w:hint="eastAsia" w:ascii="仿宋_GB2312" w:hAnsi="宋体" w:eastAsia="仿宋_GB2312" w:cs="宋体"/>
                <w:kern w:val="0"/>
                <w:sz w:val="24"/>
                <w:lang w:eastAsia="zh-Hans" w:bidi="ar"/>
              </w:rPr>
              <w:t>“4.资助标准：（1）对海洋管理委员会（MSC）、水产养殖管理委员会（ASC）、危害分析及关键控制点（HACCP）</w:t>
            </w:r>
            <w:r>
              <w:rPr>
                <w:rFonts w:hint="eastAsia" w:ascii="仿宋_GB2312" w:hAnsi="宋体" w:eastAsia="仿宋_GB2312" w:cs="宋体"/>
                <w:b/>
                <w:bCs/>
                <w:kern w:val="0"/>
                <w:sz w:val="24"/>
                <w:lang w:eastAsia="zh-Hans" w:bidi="ar"/>
              </w:rPr>
              <w:t>认证及再评估换证费用</w:t>
            </w:r>
            <w:r>
              <w:rPr>
                <w:rFonts w:hint="eastAsia" w:ascii="仿宋_GB2312" w:hAnsi="宋体" w:eastAsia="仿宋_GB2312" w:cs="宋体"/>
                <w:kern w:val="0"/>
                <w:sz w:val="24"/>
                <w:lang w:eastAsia="zh-Hans" w:bidi="ar"/>
              </w:rPr>
              <w:t>给予不超过实际发生金额50%的补贴，每家企业每年最高50万元”。</w:t>
            </w:r>
          </w:p>
        </w:tc>
      </w:tr>
    </w:tbl>
    <w:p>
      <w:pPr>
        <w:spacing w:line="400" w:lineRule="exact"/>
        <w:rPr>
          <w:rFonts w:ascii="仿宋_GB2312" w:hAnsi="宋体" w:eastAsia="仿宋_GB2312" w:cs="宋体"/>
          <w:kern w:val="0"/>
          <w:sz w:val="24"/>
          <w:lang w:eastAsia="zh-Hans" w:bidi="ar"/>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3C"/>
    <w:rsid w:val="0000117D"/>
    <w:rsid w:val="00002E4F"/>
    <w:rsid w:val="00005CCA"/>
    <w:rsid w:val="0000725C"/>
    <w:rsid w:val="000211BD"/>
    <w:rsid w:val="00025CBA"/>
    <w:rsid w:val="0002794B"/>
    <w:rsid w:val="00032DDD"/>
    <w:rsid w:val="000365F6"/>
    <w:rsid w:val="00042A18"/>
    <w:rsid w:val="00043A93"/>
    <w:rsid w:val="00046B9F"/>
    <w:rsid w:val="00063781"/>
    <w:rsid w:val="00071C38"/>
    <w:rsid w:val="000755CD"/>
    <w:rsid w:val="0009070A"/>
    <w:rsid w:val="000A07B0"/>
    <w:rsid w:val="000A2AE3"/>
    <w:rsid w:val="000A2DED"/>
    <w:rsid w:val="000B4777"/>
    <w:rsid w:val="000B7229"/>
    <w:rsid w:val="000C0810"/>
    <w:rsid w:val="000C2D1A"/>
    <w:rsid w:val="000C4D6F"/>
    <w:rsid w:val="000C6F8B"/>
    <w:rsid w:val="000E2455"/>
    <w:rsid w:val="000F0B8E"/>
    <w:rsid w:val="000F16DE"/>
    <w:rsid w:val="000F687B"/>
    <w:rsid w:val="00124FEC"/>
    <w:rsid w:val="00127FC6"/>
    <w:rsid w:val="0013021F"/>
    <w:rsid w:val="00132E59"/>
    <w:rsid w:val="00132FD5"/>
    <w:rsid w:val="00151DEF"/>
    <w:rsid w:val="00154BB6"/>
    <w:rsid w:val="00166A4B"/>
    <w:rsid w:val="00174466"/>
    <w:rsid w:val="00174535"/>
    <w:rsid w:val="00175C87"/>
    <w:rsid w:val="00180647"/>
    <w:rsid w:val="0018510D"/>
    <w:rsid w:val="001A44DB"/>
    <w:rsid w:val="001B296B"/>
    <w:rsid w:val="001C2CDC"/>
    <w:rsid w:val="001C5713"/>
    <w:rsid w:val="001D510E"/>
    <w:rsid w:val="001E45DC"/>
    <w:rsid w:val="001E57E6"/>
    <w:rsid w:val="002053B6"/>
    <w:rsid w:val="00206DF6"/>
    <w:rsid w:val="002328C0"/>
    <w:rsid w:val="0023441D"/>
    <w:rsid w:val="00235616"/>
    <w:rsid w:val="00250B05"/>
    <w:rsid w:val="00250B82"/>
    <w:rsid w:val="002519A5"/>
    <w:rsid w:val="0026165C"/>
    <w:rsid w:val="00264007"/>
    <w:rsid w:val="002657EB"/>
    <w:rsid w:val="002761DC"/>
    <w:rsid w:val="00277377"/>
    <w:rsid w:val="00280548"/>
    <w:rsid w:val="002816C9"/>
    <w:rsid w:val="00294CEB"/>
    <w:rsid w:val="002B741F"/>
    <w:rsid w:val="002D44B1"/>
    <w:rsid w:val="002E31A6"/>
    <w:rsid w:val="002E7560"/>
    <w:rsid w:val="002F0DB7"/>
    <w:rsid w:val="002F523F"/>
    <w:rsid w:val="002F6503"/>
    <w:rsid w:val="002F6905"/>
    <w:rsid w:val="002F70D0"/>
    <w:rsid w:val="003205B8"/>
    <w:rsid w:val="003257E5"/>
    <w:rsid w:val="00331C6F"/>
    <w:rsid w:val="003407E2"/>
    <w:rsid w:val="003454A7"/>
    <w:rsid w:val="00360BAC"/>
    <w:rsid w:val="00364795"/>
    <w:rsid w:val="003716EA"/>
    <w:rsid w:val="00396394"/>
    <w:rsid w:val="003A2B3A"/>
    <w:rsid w:val="003A684E"/>
    <w:rsid w:val="003A776D"/>
    <w:rsid w:val="003D63C8"/>
    <w:rsid w:val="003D65EA"/>
    <w:rsid w:val="003E2D91"/>
    <w:rsid w:val="003E7975"/>
    <w:rsid w:val="003F13BC"/>
    <w:rsid w:val="003F21D4"/>
    <w:rsid w:val="0040135E"/>
    <w:rsid w:val="00404E89"/>
    <w:rsid w:val="00410B86"/>
    <w:rsid w:val="00412BF7"/>
    <w:rsid w:val="00412E21"/>
    <w:rsid w:val="00433681"/>
    <w:rsid w:val="00450937"/>
    <w:rsid w:val="004609F2"/>
    <w:rsid w:val="00464527"/>
    <w:rsid w:val="00465E90"/>
    <w:rsid w:val="004709CC"/>
    <w:rsid w:val="004815C3"/>
    <w:rsid w:val="0048167E"/>
    <w:rsid w:val="00491B45"/>
    <w:rsid w:val="004B4EB5"/>
    <w:rsid w:val="004C0C28"/>
    <w:rsid w:val="004D6743"/>
    <w:rsid w:val="004D7664"/>
    <w:rsid w:val="004E0297"/>
    <w:rsid w:val="004E27B0"/>
    <w:rsid w:val="004E7DE8"/>
    <w:rsid w:val="004F2AEC"/>
    <w:rsid w:val="004F4B3E"/>
    <w:rsid w:val="004F557C"/>
    <w:rsid w:val="00505DE8"/>
    <w:rsid w:val="005145D6"/>
    <w:rsid w:val="005153D1"/>
    <w:rsid w:val="0052126E"/>
    <w:rsid w:val="00530D8E"/>
    <w:rsid w:val="005347D8"/>
    <w:rsid w:val="00536ABC"/>
    <w:rsid w:val="00555262"/>
    <w:rsid w:val="00562445"/>
    <w:rsid w:val="00581048"/>
    <w:rsid w:val="00586775"/>
    <w:rsid w:val="00587E0F"/>
    <w:rsid w:val="005A3835"/>
    <w:rsid w:val="005B2FE2"/>
    <w:rsid w:val="005B6C6A"/>
    <w:rsid w:val="005D0658"/>
    <w:rsid w:val="005D7176"/>
    <w:rsid w:val="005D7EAB"/>
    <w:rsid w:val="005E4D6B"/>
    <w:rsid w:val="005F4EA0"/>
    <w:rsid w:val="00612BAE"/>
    <w:rsid w:val="006137F2"/>
    <w:rsid w:val="00624DC9"/>
    <w:rsid w:val="006319E0"/>
    <w:rsid w:val="00635BC7"/>
    <w:rsid w:val="0064134D"/>
    <w:rsid w:val="00652F5E"/>
    <w:rsid w:val="006540C0"/>
    <w:rsid w:val="00661323"/>
    <w:rsid w:val="00684E4B"/>
    <w:rsid w:val="00692E81"/>
    <w:rsid w:val="006A330B"/>
    <w:rsid w:val="006B3047"/>
    <w:rsid w:val="006B41C4"/>
    <w:rsid w:val="006C0E99"/>
    <w:rsid w:val="006C1AE7"/>
    <w:rsid w:val="006C38F4"/>
    <w:rsid w:val="006C4168"/>
    <w:rsid w:val="006E0133"/>
    <w:rsid w:val="006E1032"/>
    <w:rsid w:val="007048C3"/>
    <w:rsid w:val="00704D2A"/>
    <w:rsid w:val="0071256F"/>
    <w:rsid w:val="007328CE"/>
    <w:rsid w:val="00735D21"/>
    <w:rsid w:val="007478E1"/>
    <w:rsid w:val="00754BA1"/>
    <w:rsid w:val="00756B2B"/>
    <w:rsid w:val="00760C7D"/>
    <w:rsid w:val="00766613"/>
    <w:rsid w:val="00773EBC"/>
    <w:rsid w:val="00775B10"/>
    <w:rsid w:val="00781B10"/>
    <w:rsid w:val="007958E0"/>
    <w:rsid w:val="00796E21"/>
    <w:rsid w:val="007B45DD"/>
    <w:rsid w:val="007B4FF9"/>
    <w:rsid w:val="007B6C38"/>
    <w:rsid w:val="007C4062"/>
    <w:rsid w:val="007D20F3"/>
    <w:rsid w:val="007D7C81"/>
    <w:rsid w:val="007E5E14"/>
    <w:rsid w:val="007F47DF"/>
    <w:rsid w:val="007F4DED"/>
    <w:rsid w:val="00804D92"/>
    <w:rsid w:val="00806BFF"/>
    <w:rsid w:val="00807507"/>
    <w:rsid w:val="008103AE"/>
    <w:rsid w:val="00813004"/>
    <w:rsid w:val="0081396D"/>
    <w:rsid w:val="008270B6"/>
    <w:rsid w:val="00830CF0"/>
    <w:rsid w:val="00834A4D"/>
    <w:rsid w:val="00836F7D"/>
    <w:rsid w:val="008603B2"/>
    <w:rsid w:val="00864E17"/>
    <w:rsid w:val="008749CC"/>
    <w:rsid w:val="00877130"/>
    <w:rsid w:val="00883814"/>
    <w:rsid w:val="00886FE6"/>
    <w:rsid w:val="00892E9A"/>
    <w:rsid w:val="008B1259"/>
    <w:rsid w:val="008C6845"/>
    <w:rsid w:val="008C756B"/>
    <w:rsid w:val="008E10F5"/>
    <w:rsid w:val="008E2DF9"/>
    <w:rsid w:val="008F0798"/>
    <w:rsid w:val="008F0B35"/>
    <w:rsid w:val="008F33D6"/>
    <w:rsid w:val="008F603C"/>
    <w:rsid w:val="008F6F0F"/>
    <w:rsid w:val="00906654"/>
    <w:rsid w:val="00906F57"/>
    <w:rsid w:val="00907278"/>
    <w:rsid w:val="0090773B"/>
    <w:rsid w:val="00915B49"/>
    <w:rsid w:val="00915B80"/>
    <w:rsid w:val="00926D56"/>
    <w:rsid w:val="009270DF"/>
    <w:rsid w:val="00927F88"/>
    <w:rsid w:val="00931512"/>
    <w:rsid w:val="0093674B"/>
    <w:rsid w:val="00944D47"/>
    <w:rsid w:val="00950EE4"/>
    <w:rsid w:val="009532D7"/>
    <w:rsid w:val="00953D1E"/>
    <w:rsid w:val="009558EF"/>
    <w:rsid w:val="0095705B"/>
    <w:rsid w:val="009573D2"/>
    <w:rsid w:val="00957849"/>
    <w:rsid w:val="00965DC9"/>
    <w:rsid w:val="00967C75"/>
    <w:rsid w:val="0097388B"/>
    <w:rsid w:val="009779F1"/>
    <w:rsid w:val="00977CAB"/>
    <w:rsid w:val="009858B6"/>
    <w:rsid w:val="009A1E3C"/>
    <w:rsid w:val="009A35CA"/>
    <w:rsid w:val="009A47F3"/>
    <w:rsid w:val="009A781C"/>
    <w:rsid w:val="009B0EE7"/>
    <w:rsid w:val="009B21D5"/>
    <w:rsid w:val="009B3AC4"/>
    <w:rsid w:val="009B540B"/>
    <w:rsid w:val="009B5B1B"/>
    <w:rsid w:val="009C5B8C"/>
    <w:rsid w:val="009D31E9"/>
    <w:rsid w:val="009D7AC6"/>
    <w:rsid w:val="009E093E"/>
    <w:rsid w:val="009E162D"/>
    <w:rsid w:val="009E2447"/>
    <w:rsid w:val="009E5B19"/>
    <w:rsid w:val="009F1077"/>
    <w:rsid w:val="009F1A11"/>
    <w:rsid w:val="00A00695"/>
    <w:rsid w:val="00A05905"/>
    <w:rsid w:val="00A12ED7"/>
    <w:rsid w:val="00A17B54"/>
    <w:rsid w:val="00A17EC9"/>
    <w:rsid w:val="00A27CCB"/>
    <w:rsid w:val="00A30E53"/>
    <w:rsid w:val="00A3402C"/>
    <w:rsid w:val="00A345D8"/>
    <w:rsid w:val="00A36748"/>
    <w:rsid w:val="00A42511"/>
    <w:rsid w:val="00A63153"/>
    <w:rsid w:val="00A658DF"/>
    <w:rsid w:val="00A65BE0"/>
    <w:rsid w:val="00A71F97"/>
    <w:rsid w:val="00A869E7"/>
    <w:rsid w:val="00A90AB7"/>
    <w:rsid w:val="00A978D5"/>
    <w:rsid w:val="00AA660F"/>
    <w:rsid w:val="00AA78FE"/>
    <w:rsid w:val="00AA7CD8"/>
    <w:rsid w:val="00AB36E4"/>
    <w:rsid w:val="00AB5CE3"/>
    <w:rsid w:val="00AD6DED"/>
    <w:rsid w:val="00AD6F98"/>
    <w:rsid w:val="00AF1762"/>
    <w:rsid w:val="00AF7D08"/>
    <w:rsid w:val="00B00932"/>
    <w:rsid w:val="00B00B56"/>
    <w:rsid w:val="00B11580"/>
    <w:rsid w:val="00B2685D"/>
    <w:rsid w:val="00B271C5"/>
    <w:rsid w:val="00B3230D"/>
    <w:rsid w:val="00B34B35"/>
    <w:rsid w:val="00B42066"/>
    <w:rsid w:val="00B43FC8"/>
    <w:rsid w:val="00B4443D"/>
    <w:rsid w:val="00B5581B"/>
    <w:rsid w:val="00B561D6"/>
    <w:rsid w:val="00B6233F"/>
    <w:rsid w:val="00B644F4"/>
    <w:rsid w:val="00B65BC3"/>
    <w:rsid w:val="00B712A3"/>
    <w:rsid w:val="00B7659F"/>
    <w:rsid w:val="00B90F0C"/>
    <w:rsid w:val="00B96307"/>
    <w:rsid w:val="00BA7DBF"/>
    <w:rsid w:val="00BB1497"/>
    <w:rsid w:val="00BB5D33"/>
    <w:rsid w:val="00BB619F"/>
    <w:rsid w:val="00BD5F7C"/>
    <w:rsid w:val="00BE3DC4"/>
    <w:rsid w:val="00BF0CF8"/>
    <w:rsid w:val="00C02BBA"/>
    <w:rsid w:val="00C05D34"/>
    <w:rsid w:val="00C07FAB"/>
    <w:rsid w:val="00C16846"/>
    <w:rsid w:val="00C26EEE"/>
    <w:rsid w:val="00C76192"/>
    <w:rsid w:val="00C85984"/>
    <w:rsid w:val="00C8717E"/>
    <w:rsid w:val="00CA3A4D"/>
    <w:rsid w:val="00CB2793"/>
    <w:rsid w:val="00CB667E"/>
    <w:rsid w:val="00CD19ED"/>
    <w:rsid w:val="00CD2FA0"/>
    <w:rsid w:val="00CE0642"/>
    <w:rsid w:val="00CE29E6"/>
    <w:rsid w:val="00CE5998"/>
    <w:rsid w:val="00CE6D83"/>
    <w:rsid w:val="00CE7955"/>
    <w:rsid w:val="00CF07AD"/>
    <w:rsid w:val="00CF4417"/>
    <w:rsid w:val="00CF6484"/>
    <w:rsid w:val="00D1733D"/>
    <w:rsid w:val="00D23A1C"/>
    <w:rsid w:val="00D303B4"/>
    <w:rsid w:val="00D33B1D"/>
    <w:rsid w:val="00D37548"/>
    <w:rsid w:val="00D43471"/>
    <w:rsid w:val="00D447DC"/>
    <w:rsid w:val="00D50F76"/>
    <w:rsid w:val="00D550A9"/>
    <w:rsid w:val="00D5675F"/>
    <w:rsid w:val="00D62FC7"/>
    <w:rsid w:val="00D71EE8"/>
    <w:rsid w:val="00D72DC6"/>
    <w:rsid w:val="00D76013"/>
    <w:rsid w:val="00D87E46"/>
    <w:rsid w:val="00D915ED"/>
    <w:rsid w:val="00D94933"/>
    <w:rsid w:val="00D94DF2"/>
    <w:rsid w:val="00DA241E"/>
    <w:rsid w:val="00DA32CB"/>
    <w:rsid w:val="00DA427F"/>
    <w:rsid w:val="00DA6CA6"/>
    <w:rsid w:val="00DB05B0"/>
    <w:rsid w:val="00DC2A5F"/>
    <w:rsid w:val="00DE0713"/>
    <w:rsid w:val="00DF5B3B"/>
    <w:rsid w:val="00DF5DEC"/>
    <w:rsid w:val="00E24CAE"/>
    <w:rsid w:val="00E32AAD"/>
    <w:rsid w:val="00E32E9B"/>
    <w:rsid w:val="00E37E31"/>
    <w:rsid w:val="00E4052C"/>
    <w:rsid w:val="00E41C1D"/>
    <w:rsid w:val="00E60868"/>
    <w:rsid w:val="00E62A15"/>
    <w:rsid w:val="00E676BD"/>
    <w:rsid w:val="00E7040D"/>
    <w:rsid w:val="00E704B0"/>
    <w:rsid w:val="00E716F7"/>
    <w:rsid w:val="00E72597"/>
    <w:rsid w:val="00E728D2"/>
    <w:rsid w:val="00E74B4A"/>
    <w:rsid w:val="00E80938"/>
    <w:rsid w:val="00E81F11"/>
    <w:rsid w:val="00E81F2B"/>
    <w:rsid w:val="00EA01AD"/>
    <w:rsid w:val="00EA4193"/>
    <w:rsid w:val="00EA5546"/>
    <w:rsid w:val="00EA62C4"/>
    <w:rsid w:val="00EC2C4A"/>
    <w:rsid w:val="00EC66A0"/>
    <w:rsid w:val="00EC6F12"/>
    <w:rsid w:val="00EC7C12"/>
    <w:rsid w:val="00ED493B"/>
    <w:rsid w:val="00ED6396"/>
    <w:rsid w:val="00EE44A5"/>
    <w:rsid w:val="00F0083E"/>
    <w:rsid w:val="00F1143A"/>
    <w:rsid w:val="00F130FD"/>
    <w:rsid w:val="00F31806"/>
    <w:rsid w:val="00F36314"/>
    <w:rsid w:val="00F4054D"/>
    <w:rsid w:val="00F53D85"/>
    <w:rsid w:val="00F5403C"/>
    <w:rsid w:val="00F62754"/>
    <w:rsid w:val="00F64B4B"/>
    <w:rsid w:val="00F66940"/>
    <w:rsid w:val="00F674F6"/>
    <w:rsid w:val="00F7203E"/>
    <w:rsid w:val="00F72AFF"/>
    <w:rsid w:val="00F80F76"/>
    <w:rsid w:val="00FB55C7"/>
    <w:rsid w:val="00FC0887"/>
    <w:rsid w:val="00FC274D"/>
    <w:rsid w:val="00FC53AA"/>
    <w:rsid w:val="00FD49C7"/>
    <w:rsid w:val="00FE4678"/>
    <w:rsid w:val="00FE55C4"/>
    <w:rsid w:val="00FF1341"/>
    <w:rsid w:val="00FF2EC1"/>
    <w:rsid w:val="00FF36EE"/>
    <w:rsid w:val="00FF4414"/>
    <w:rsid w:val="00FF47FA"/>
    <w:rsid w:val="5AFDF673"/>
    <w:rsid w:val="6FF36072"/>
    <w:rsid w:val="7FBE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600" w:lineRule="exact"/>
      <w:ind w:firstLine="883" w:firstLineChars="200"/>
      <w:outlineLvl w:val="0"/>
    </w:pPr>
    <w:rPr>
      <w:rFonts w:ascii="Calibri" w:hAnsi="Calibri" w:eastAsia="黑体" w:cs="Times New Roman"/>
      <w:kern w:val="44"/>
    </w:rPr>
  </w:style>
  <w:style w:type="paragraph" w:styleId="5">
    <w:name w:val="heading 2"/>
    <w:basedOn w:val="1"/>
    <w:next w:val="1"/>
    <w:link w:val="1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0"/>
    <w:pPr>
      <w:spacing w:after="120"/>
    </w:p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basedOn w:val="11"/>
    <w:link w:val="5"/>
    <w:qFormat/>
    <w:uiPriority w:val="0"/>
    <w:rPr>
      <w:rFonts w:asciiTheme="majorHAnsi" w:hAnsiTheme="majorHAnsi" w:eastAsiaTheme="majorEastAsia" w:cstheme="majorBidi"/>
      <w:b/>
      <w:bCs/>
      <w:kern w:val="2"/>
      <w:sz w:val="32"/>
      <w:szCs w:val="32"/>
    </w:rPr>
  </w:style>
  <w:style w:type="paragraph" w:styleId="13">
    <w:name w:val="List Paragraph"/>
    <w:basedOn w:val="1"/>
    <w:unhideWhenUsed/>
    <w:qFormat/>
    <w:uiPriority w:val="99"/>
    <w:pPr>
      <w:ind w:firstLine="420" w:firstLineChars="200"/>
    </w:pPr>
  </w:style>
  <w:style w:type="character" w:customStyle="1" w:styleId="14">
    <w:name w:val="页脚 字符"/>
    <w:basedOn w:val="11"/>
    <w:link w:val="6"/>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544</Words>
  <Characters>3107</Characters>
  <Lines>25</Lines>
  <Paragraphs>7</Paragraphs>
  <TotalTime>1635</TotalTime>
  <ScaleCrop>false</ScaleCrop>
  <LinksUpToDate>false</LinksUpToDate>
  <CharactersWithSpaces>3644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2023-11-20T18:47:00Z</dcterms:created>
  <dc:creator>黄文秋</dc:creator>
  <cp:lastModifiedBy>zhangrj</cp:lastModifiedBy>
  <cp:lastPrinted>2022-12-01T18:50:00Z</cp:lastPrinted>
  <dcterms:modified xsi:type="dcterms:W3CDTF">2023-12-04T14:50:55Z</dcterms:modified>
  <cp:revision>2628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4C980CF8313362C5B0A2E56311221CAB</vt:lpwstr>
  </property>
</Properties>
</file>