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sz w:val="32"/>
          <w:szCs w:val="32"/>
          <w:lang w:val="en-US" w:eastAsia="zh-CN"/>
        </w:rPr>
      </w:pPr>
    </w:p>
    <w:p>
      <w:pPr>
        <w:pStyle w:val="9"/>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56"/>
        <w:ind w:firstLine="420"/>
        <w:rPr>
          <w:rFonts w:hint="default" w:ascii="宋体" w:hAnsi="宋体" w:eastAsia="宋体" w:cs="宋体"/>
          <w:color w:val="auto"/>
          <w:lang w:val="en-US" w:eastAsia="zh-CN"/>
        </w:rPr>
      </w:pPr>
    </w:p>
    <w:p>
      <w:pPr>
        <w:pStyle w:val="56"/>
        <w:ind w:firstLine="420"/>
        <w:rPr>
          <w:rFonts w:hint="eastAsia" w:ascii="宋体" w:hAnsi="宋体" w:cs="宋体"/>
          <w:color w:val="auto"/>
        </w:rPr>
      </w:pPr>
    </w:p>
    <w:p>
      <w:pPr>
        <w:rPr>
          <w:rFonts w:hint="eastAsia" w:ascii="宋体" w:hAnsi="宋体" w:eastAsia="宋体" w:cs="宋体"/>
          <w:b/>
          <w:color w:val="auto"/>
          <w:sz w:val="44"/>
          <w:lang w:val="en-US" w:eastAsia="zh-CN"/>
        </w:rPr>
      </w:pPr>
      <w:r>
        <w:rPr>
          <w:rFonts w:hint="eastAsia" w:ascii="宋体" w:hAnsi="宋体" w:cs="宋体"/>
          <w:b/>
          <w:color w:val="auto"/>
          <w:sz w:val="44"/>
          <w:lang w:val="en-US" w:eastAsia="zh-CN"/>
        </w:rPr>
        <w:t xml:space="preserve"> </w:t>
      </w:r>
    </w:p>
    <w:p>
      <w:pPr>
        <w:ind w:left="2326" w:leftChars="247" w:right="-319" w:rightChars="-152" w:hanging="1807" w:hangingChars="5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QH2023</w:t>
      </w:r>
      <w:r>
        <w:rPr>
          <w:rFonts w:hint="eastAsia" w:ascii="宋体" w:hAnsi="宋体" w:cs="宋体"/>
          <w:b/>
          <w:color w:val="auto"/>
          <w:sz w:val="36"/>
          <w:szCs w:val="36"/>
          <w:highlight w:val="none"/>
          <w:lang w:val="en-US" w:eastAsia="zh-CN"/>
        </w:rPr>
        <w:t>125</w:t>
      </w:r>
    </w:p>
    <w:p>
      <w:pPr>
        <w:pStyle w:val="56"/>
        <w:ind w:firstLine="420"/>
        <w:rPr>
          <w:rFonts w:hint="eastAsia" w:ascii="宋体" w:hAnsi="宋体" w:eastAsia="宋体" w:cs="宋体"/>
          <w:color w:val="auto"/>
          <w:lang w:val="en-US" w:eastAsia="zh-CN"/>
        </w:rPr>
      </w:pPr>
    </w:p>
    <w:p>
      <w:pPr>
        <w:pStyle w:val="56"/>
        <w:ind w:firstLine="420"/>
        <w:rPr>
          <w:rFonts w:hint="eastAsia" w:ascii="宋体" w:hAnsi="宋体" w:cs="宋体"/>
          <w:color w:val="auto"/>
        </w:rPr>
      </w:pPr>
    </w:p>
    <w:p>
      <w:pPr>
        <w:pStyle w:val="56"/>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前海公共服务综合信息系统驻场运维服务</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10</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9"/>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6"/>
        <w:tabs>
          <w:tab w:val="right" w:leader="dot" w:pos="8306"/>
        </w:tabs>
        <w:spacing w:line="480" w:lineRule="auto"/>
        <w:rPr>
          <w:b/>
          <w:bCs/>
          <w:color w:val="auto"/>
          <w:sz w:val="24"/>
          <w:szCs w:val="32"/>
        </w:rPr>
      </w:pP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begin"/>
      </w:r>
      <w:r>
        <w:rPr>
          <w:b/>
          <w:bCs/>
          <w:color w:val="auto"/>
          <w:sz w:val="24"/>
        </w:rPr>
        <w:instrText xml:space="preserve"> PAGEREF _Toc25518 \h </w:instrText>
      </w:r>
      <w:r>
        <w:rPr>
          <w:b/>
          <w:bCs/>
          <w:color w:val="auto"/>
          <w:sz w:val="24"/>
        </w:rPr>
        <w:fldChar w:fldCharType="separate"/>
      </w:r>
      <w:r>
        <w:rPr>
          <w:b/>
          <w:bCs/>
          <w:color w:val="auto"/>
          <w:sz w:val="24"/>
        </w:rPr>
        <w:t>29</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begin"/>
      </w:r>
      <w:r>
        <w:rPr>
          <w:b/>
          <w:bCs/>
          <w:color w:val="auto"/>
          <w:sz w:val="24"/>
        </w:rPr>
        <w:instrText xml:space="preserve"> PAGEREF _Toc23822 \h </w:instrText>
      </w:r>
      <w:r>
        <w:rPr>
          <w:b/>
          <w:bCs/>
          <w:color w:val="auto"/>
          <w:sz w:val="24"/>
        </w:rPr>
        <w:fldChar w:fldCharType="separate"/>
      </w:r>
      <w:r>
        <w:rPr>
          <w:b/>
          <w:bCs/>
          <w:color w:val="auto"/>
          <w:sz w:val="24"/>
        </w:rPr>
        <w:t>36</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begin"/>
      </w:r>
      <w:r>
        <w:rPr>
          <w:b/>
          <w:bCs/>
          <w:color w:val="auto"/>
          <w:sz w:val="24"/>
        </w:rPr>
        <w:instrText xml:space="preserve"> PAGEREF _Toc9548 \h </w:instrText>
      </w:r>
      <w:r>
        <w:rPr>
          <w:b/>
          <w:bCs/>
          <w:color w:val="auto"/>
          <w:sz w:val="24"/>
        </w:rPr>
        <w:fldChar w:fldCharType="separate"/>
      </w:r>
      <w:r>
        <w:rPr>
          <w:b/>
          <w:bCs/>
          <w:color w:val="auto"/>
          <w:sz w:val="24"/>
        </w:rPr>
        <w:t>42</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begin"/>
      </w:r>
      <w:r>
        <w:rPr>
          <w:b/>
          <w:bCs/>
          <w:color w:val="auto"/>
          <w:sz w:val="24"/>
        </w:rPr>
        <w:instrText xml:space="preserve"> PAGEREF _Toc742 \h </w:instrText>
      </w:r>
      <w:r>
        <w:rPr>
          <w:b/>
          <w:bCs/>
          <w:color w:val="auto"/>
          <w:sz w:val="24"/>
        </w:rPr>
        <w:fldChar w:fldCharType="separate"/>
      </w:r>
      <w:r>
        <w:rPr>
          <w:b/>
          <w:bCs/>
          <w:color w:val="auto"/>
          <w:sz w:val="24"/>
        </w:rPr>
        <w:t>61</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bookmarkStart w:id="32" w:name="_GoBack"/>
      <w:bookmarkEnd w:id="32"/>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eastAsia" w:ascii="宋体" w:hAnsi="宋体" w:cs="宋体"/>
          <w:color w:val="auto"/>
          <w:sz w:val="24"/>
          <w:highlight w:val="yellow"/>
        </w:rPr>
      </w:pPr>
      <w:r>
        <w:rPr>
          <w:rFonts w:hint="eastAsia" w:ascii="宋体" w:hAnsi="宋体" w:cs="宋体"/>
          <w:color w:val="auto"/>
          <w:sz w:val="24"/>
        </w:rPr>
        <w:t>文</w:t>
      </w:r>
      <w:r>
        <w:rPr>
          <w:rFonts w:hint="eastAsia" w:ascii="宋体" w:hAnsi="宋体" w:cs="宋体"/>
          <w:color w:val="auto"/>
          <w:sz w:val="24"/>
          <w:highlight w:val="none"/>
        </w:rPr>
        <w:t>件编码:0722-2023FE52</w:t>
      </w:r>
      <w:r>
        <w:rPr>
          <w:rFonts w:hint="eastAsia" w:ascii="宋体" w:hAnsi="宋体" w:cs="宋体"/>
          <w:color w:val="auto"/>
          <w:sz w:val="24"/>
          <w:highlight w:val="none"/>
          <w:lang w:val="en-US" w:eastAsia="zh-CN"/>
        </w:rPr>
        <w:t>73</w:t>
      </w:r>
      <w:r>
        <w:rPr>
          <w:rFonts w:hint="eastAsia" w:ascii="宋体" w:hAnsi="宋体" w:cs="宋体"/>
          <w:color w:val="auto"/>
          <w:sz w:val="24"/>
          <w:highlight w:val="none"/>
        </w:rPr>
        <w:t>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前海公共服务综合信息系统驻场运维服务</w:t>
      </w:r>
      <w:r>
        <w:rPr>
          <w:rFonts w:hint="eastAsia" w:ascii="宋体" w:hAnsi="宋体" w:cs="宋体"/>
          <w:color w:val="auto"/>
          <w:sz w:val="24"/>
        </w:rPr>
        <w:t>（招标编号：</w:t>
      </w:r>
      <w:r>
        <w:rPr>
          <w:rFonts w:hint="eastAsia" w:ascii="宋体" w:hAnsi="宋体" w:cs="宋体"/>
          <w:color w:val="auto"/>
          <w:sz w:val="24"/>
          <w:lang w:eastAsia="zh-CN"/>
        </w:rPr>
        <w:t>QH2023</w:t>
      </w:r>
      <w:r>
        <w:rPr>
          <w:rFonts w:hint="eastAsia" w:ascii="宋体" w:hAnsi="宋体" w:cs="宋体"/>
          <w:color w:val="auto"/>
          <w:sz w:val="24"/>
          <w:lang w:val="en-US" w:eastAsia="zh-CN"/>
        </w:rPr>
        <w:t>125</w:t>
      </w:r>
      <w:r>
        <w:rPr>
          <w:rFonts w:hint="eastAsia" w:ascii="宋体" w:hAnsi="宋体" w:cs="宋体"/>
          <w:color w:val="auto"/>
          <w:sz w:val="24"/>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招标编号</w:t>
            </w:r>
          </w:p>
        </w:tc>
        <w:tc>
          <w:tcPr>
            <w:tcW w:w="7015" w:type="dxa"/>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QH2023125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前海公共服务综合信息系统驻场运维服务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lang w:val="en-US" w:eastAsia="zh-CN"/>
              </w:rPr>
              <w:t>为贯彻落实全省政务服务一体化、集约化战略部署，根据《深圳市人民政府办公厅关于印发&lt;深圳市加快推进一体化在线政务服务平台建设工作实施方案&gt;的通知》要求，按照“机构人员统一、场所标识统一、流程内容统一、信息系统统一、经费保障统一”的要求，我局政务服务事项需纳入省市统一平台提供服务，事项管理、申办、受理、审批各环节使用深圳市公共服务综合信息系统、深圳市权责清单系统、深圳市统一申办系统、深圳市一窗受理系统和深圳市公共审批平台。为支持政务服务事项的管理以及业务运行，保障政务服务事项同源管理、统一申办、一窗受理，支持前海e站通政务服务中心窗口业务以及各处室审批业务。</w:t>
            </w:r>
            <w:r>
              <w:rPr>
                <w:rFonts w:hint="eastAsia" w:ascii="宋体" w:hAnsi="宋体" w:cs="宋体"/>
                <w:color w:val="auto"/>
                <w:sz w:val="24"/>
              </w:rPr>
              <w:t>具体详见用户需求书</w:t>
            </w:r>
            <w:r>
              <w:rPr>
                <w:rFonts w:hint="eastAsia" w:ascii="宋体" w:hAnsi="宋体" w:cs="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¥5</w:t>
            </w:r>
            <w:r>
              <w:rPr>
                <w:rFonts w:hint="eastAsia" w:ascii="宋体" w:hAnsi="宋体" w:eastAsia="宋体" w:cs="宋体"/>
                <w:color w:val="auto"/>
                <w:sz w:val="24"/>
                <w:lang w:val="en-US" w:eastAsia="zh-CN"/>
              </w:rPr>
              <w:t>52</w:t>
            </w:r>
            <w:r>
              <w:rPr>
                <w:rFonts w:hint="eastAsia" w:ascii="宋体" w:hAnsi="宋体" w:eastAsia="宋体" w:cs="宋体"/>
                <w:color w:val="auto"/>
                <w:sz w:val="24"/>
                <w:lang w:eastAsia="zh-CN"/>
              </w:rPr>
              <w:t>,000.00（人民币</w:t>
            </w:r>
            <w:r>
              <w:rPr>
                <w:rFonts w:hint="eastAsia" w:ascii="宋体" w:hAnsi="宋体" w:eastAsia="宋体" w:cs="宋体"/>
                <w:color w:val="auto"/>
                <w:sz w:val="24"/>
                <w:lang w:val="en-US" w:eastAsia="zh-CN"/>
              </w:rPr>
              <w:t>伍拾伍万贰仟</w:t>
            </w:r>
            <w:r>
              <w:rPr>
                <w:rFonts w:hint="eastAsia" w:ascii="宋体" w:hAnsi="宋体" w:eastAsia="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本项目所属行业</w:t>
            </w:r>
          </w:p>
        </w:tc>
        <w:tc>
          <w:tcPr>
            <w:tcW w:w="7015" w:type="dxa"/>
            <w:noWrap w:val="0"/>
            <w:vAlign w:val="center"/>
          </w:tcPr>
          <w:p>
            <w:pPr>
              <w:spacing w:line="360" w:lineRule="auto"/>
              <w:rPr>
                <w:rFonts w:hint="eastAsia" w:ascii="宋体" w:hAnsi="宋体" w:eastAsia="宋体" w:cs="宋体"/>
                <w:color w:val="auto"/>
                <w:kern w:val="0"/>
                <w:sz w:val="24"/>
                <w:u w:val="none"/>
                <w:lang w:val="en-US" w:eastAsia="zh-CN"/>
              </w:rPr>
            </w:pPr>
            <w:r>
              <w:rPr>
                <w:rFonts w:hint="eastAsia" w:ascii="宋体" w:hAnsi="宋体" w:cs="宋体"/>
                <w:color w:val="auto"/>
                <w:sz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11</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上</w:t>
            </w:r>
            <w:r>
              <w:rPr>
                <w:rFonts w:hint="eastAsia" w:ascii="宋体" w:hAnsi="宋体" w:cs="宋体"/>
                <w:b/>
                <w:bCs/>
                <w:color w:val="auto"/>
                <w:kern w:val="0"/>
                <w:sz w:val="24"/>
              </w:rPr>
              <w:t>午</w:t>
            </w:r>
            <w:r>
              <w:rPr>
                <w:rFonts w:hint="eastAsia" w:ascii="宋体" w:hAnsi="宋体" w:cs="宋体"/>
                <w:b/>
                <w:bCs/>
                <w:color w:val="auto"/>
                <w:kern w:val="0"/>
                <w:sz w:val="24"/>
                <w:lang w:val="en-US" w:eastAsia="zh-CN"/>
              </w:rPr>
              <w:t>10:00</w:t>
            </w:r>
            <w:r>
              <w:rPr>
                <w:rFonts w:hint="eastAsia" w:ascii="宋体" w:hAnsi="宋体" w:cs="宋体"/>
                <w:b/>
                <w:bCs/>
                <w:color w:val="auto"/>
                <w:kern w:val="0"/>
                <w:sz w:val="24"/>
              </w:rPr>
              <w:t>时（北京时间）</w:t>
            </w:r>
            <w:r>
              <w:rPr>
                <w:rFonts w:hint="eastAsia" w:ascii="宋体" w:hAnsi="宋体" w:eastAsia="宋体" w:cs="宋体"/>
                <w:b w:val="0"/>
                <w:bCs w:val="0"/>
                <w:color w:val="auto"/>
                <w:kern w:val="0"/>
                <w:sz w:val="24"/>
              </w:rPr>
              <w:t>前</w:t>
            </w:r>
            <w:r>
              <w:rPr>
                <w:rFonts w:hint="eastAsia" w:ascii="宋体" w:hAnsi="宋体" w:cs="宋体"/>
                <w:color w:val="auto"/>
                <w:kern w:val="0"/>
                <w:sz w:val="24"/>
              </w:rPr>
              <w:t>送达（现</w:t>
            </w:r>
            <w:r>
              <w:rPr>
                <w:rFonts w:hint="eastAsia" w:ascii="宋体" w:hAnsi="宋体" w:cs="宋体"/>
                <w:color w:val="auto"/>
                <w:kern w:val="0"/>
                <w:sz w:val="24"/>
                <w:highlight w:val="none"/>
              </w:rPr>
              <w:t>场递交或邮寄）至</w:t>
            </w:r>
            <w:r>
              <w:rPr>
                <w:rFonts w:hint="eastAsia" w:ascii="宋体" w:hAnsi="宋体" w:cs="宋体"/>
                <w:color w:val="auto"/>
                <w:kern w:val="0"/>
                <w:sz w:val="24"/>
                <w:highlight w:val="none"/>
                <w:u w:val="single"/>
              </w:rPr>
              <w:t xml:space="preserve">  深圳市南山区前海深港合作区桂湾五路123号前海管理局前海大厦T1</w:t>
            </w:r>
            <w:r>
              <w:rPr>
                <w:rFonts w:hint="eastAsia" w:ascii="宋体" w:hAnsi="宋体" w:eastAsia="宋体" w:cs="宋体"/>
                <w:color w:val="auto"/>
                <w:kern w:val="0"/>
                <w:sz w:val="24"/>
                <w:highlight w:val="none"/>
                <w:u w:val="single"/>
              </w:rPr>
              <w:t>栋</w:t>
            </w:r>
            <w:r>
              <w:rPr>
                <w:rFonts w:hint="eastAsia" w:ascii="宋体" w:hAnsi="宋体" w:cs="宋体"/>
                <w:color w:val="auto"/>
                <w:kern w:val="0"/>
                <w:sz w:val="24"/>
                <w:highlight w:val="none"/>
                <w:u w:val="single"/>
                <w:lang w:val="en-US" w:eastAsia="zh-CN"/>
              </w:rPr>
              <w:t>2316</w:t>
            </w:r>
            <w:r>
              <w:rPr>
                <w:rFonts w:hint="eastAsia" w:ascii="宋体" w:hAnsi="宋体" w:eastAsia="宋体" w:cs="宋体"/>
                <w:color w:val="auto"/>
                <w:kern w:val="0"/>
                <w:sz w:val="24"/>
                <w:highlight w:val="none"/>
                <w:u w:val="single"/>
                <w:lang w:val="en-US" w:eastAsia="zh-CN"/>
              </w:rPr>
              <w:t>室</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周女士</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0755-</w:t>
            </w:r>
            <w:r>
              <w:rPr>
                <w:rFonts w:hint="eastAsia" w:ascii="宋体" w:hAnsi="宋体" w:cs="宋体"/>
                <w:color w:val="auto"/>
                <w:kern w:val="0"/>
                <w:sz w:val="24"/>
                <w:highlight w:val="none"/>
                <w:lang w:val="en-US" w:eastAsia="zh-CN"/>
              </w:rPr>
              <w:t>88105337</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在中华人民共和国境内注册的具有独立法人资格或具有独立承担民事责任的能力的其它组织</w:t>
            </w:r>
            <w:r>
              <w:rPr>
                <w:rFonts w:hint="eastAsia" w:ascii="宋体" w:hAnsi="宋体" w:cs="宋体"/>
                <w:b/>
                <w:bCs/>
                <w:color w:val="auto"/>
                <w:kern w:val="0"/>
                <w:sz w:val="24"/>
              </w:rPr>
              <w:t>（提供营业执照或事业单位法人证等法人证明复印件加盖投标人公章）</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w:t>
            </w:r>
            <w:r>
              <w:rPr>
                <w:rFonts w:hint="eastAsia" w:ascii="宋体" w:hAnsi="宋体" w:cs="宋体"/>
                <w:color w:val="auto"/>
                <w:kern w:val="0"/>
                <w:sz w:val="24"/>
                <w:lang w:eastAsia="zh-CN"/>
              </w:rPr>
              <w:t>（投标人成立不足三年的可从成立之日起算）</w:t>
            </w:r>
            <w:r>
              <w:rPr>
                <w:rFonts w:hint="eastAsia" w:ascii="宋体" w:hAnsi="宋体" w:cs="宋体"/>
                <w:color w:val="auto"/>
                <w:kern w:val="0"/>
                <w:sz w:val="24"/>
              </w:rPr>
              <w:t>无行贿犯罪记录</w:t>
            </w:r>
            <w:r>
              <w:rPr>
                <w:rFonts w:hint="eastAsia" w:ascii="宋体" w:hAnsi="宋体" w:cs="宋体"/>
                <w:b/>
                <w:bCs/>
                <w:color w:val="auto"/>
                <w:kern w:val="0"/>
                <w:sz w:val="24"/>
              </w:rPr>
              <w:t>（由投标人在《</w:t>
            </w:r>
            <w:r>
              <w:rPr>
                <w:rFonts w:hint="eastAsia" w:ascii="宋体" w:hAnsi="宋体" w:cs="宋体"/>
                <w:b/>
                <w:bCs/>
                <w:color w:val="auto"/>
                <w:kern w:val="0"/>
                <w:sz w:val="24"/>
                <w:lang w:eastAsia="zh-CN"/>
              </w:rPr>
              <w:t>政府采购投标及履约承诺函</w:t>
            </w:r>
            <w:r>
              <w:rPr>
                <w:rFonts w:hint="eastAsia" w:ascii="宋体" w:hAnsi="宋体" w:cs="宋体"/>
                <w:b/>
                <w:bCs/>
                <w:color w:val="auto"/>
                <w:kern w:val="0"/>
                <w:sz w:val="24"/>
              </w:rPr>
              <w:t>》中作出声明）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w:t>
            </w:r>
            <w:r>
              <w:rPr>
                <w:rFonts w:hint="eastAsia" w:ascii="宋体" w:hAnsi="宋体" w:cs="宋体"/>
                <w:color w:val="auto"/>
                <w:kern w:val="0"/>
                <w:sz w:val="24"/>
                <w:lang w:eastAsia="zh-CN"/>
              </w:rPr>
              <w:t>（投标人成立不足三年的可从成立之日起算）</w:t>
            </w:r>
            <w:r>
              <w:rPr>
                <w:rFonts w:hint="eastAsia" w:ascii="宋体" w:hAnsi="宋体" w:cs="宋体"/>
                <w:color w:val="auto"/>
                <w:kern w:val="0"/>
                <w:sz w:val="24"/>
              </w:rPr>
              <w:t>，在经营活动中没有重大违法记录以及不存在被有关部门禁止参与政府采购活动且在有效期内的情况</w:t>
            </w:r>
            <w:r>
              <w:rPr>
                <w:rFonts w:hint="eastAsia" w:ascii="宋体" w:hAnsi="宋体" w:cs="宋体"/>
                <w:b/>
                <w:bCs/>
                <w:color w:val="auto"/>
                <w:kern w:val="0"/>
                <w:sz w:val="24"/>
              </w:rPr>
              <w:t>（由投标人在《</w:t>
            </w:r>
            <w:r>
              <w:rPr>
                <w:rFonts w:hint="eastAsia" w:ascii="宋体" w:hAnsi="宋体" w:cs="宋体"/>
                <w:b/>
                <w:bCs/>
                <w:color w:val="auto"/>
                <w:kern w:val="0"/>
                <w:sz w:val="24"/>
                <w:lang w:eastAsia="zh-CN"/>
              </w:rPr>
              <w:t>政府采购投标及履约承诺函</w:t>
            </w:r>
            <w:r>
              <w:rPr>
                <w:rFonts w:hint="eastAsia" w:ascii="宋体" w:hAnsi="宋体" w:cs="宋体"/>
                <w:b/>
                <w:bCs/>
                <w:color w:val="auto"/>
                <w:kern w:val="0"/>
                <w:sz w:val="24"/>
              </w:rPr>
              <w:t>》中作出声明）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【注：采购代理机构将通过“信用中国”中“信用服务”栏的“</w:t>
            </w:r>
            <w:r>
              <w:rPr>
                <w:rFonts w:hint="eastAsia" w:ascii="宋体" w:hAnsi="宋体" w:cs="宋体"/>
                <w:color w:val="auto"/>
                <w:kern w:val="0"/>
                <w:sz w:val="24"/>
                <w:lang w:eastAsia="zh-CN"/>
              </w:rPr>
              <w:t>重大税收违法失信主体</w:t>
            </w:r>
            <w:r>
              <w:rPr>
                <w:rFonts w:hint="eastAsia" w:ascii="宋体" w:hAnsi="宋体" w:cs="宋体"/>
                <w:color w:val="auto"/>
                <w:kern w:val="0"/>
                <w:sz w:val="24"/>
              </w:rPr>
              <w:t>”“失信被执行人”“中国政府采购网”中的“政府采购严重违法失信行为记录名单”“深圳信用网”以及“深圳市政府采购监管网”为供应商信</w:t>
            </w:r>
            <w:r>
              <w:rPr>
                <w:rFonts w:hint="eastAsia" w:ascii="宋体" w:hAnsi="宋体" w:cs="宋体"/>
                <w:color w:val="auto"/>
                <w:kern w:val="0"/>
                <w:sz w:val="24"/>
                <w:highlight w:val="none"/>
              </w:rPr>
              <w:t>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highlight w:val="none"/>
              </w:rPr>
              <w:t>本项目</w:t>
            </w:r>
            <w:r>
              <w:rPr>
                <w:rFonts w:hint="default" w:ascii="宋体" w:hAnsi="宋体" w:cs="宋体"/>
                <w:color w:val="auto"/>
                <w:kern w:val="0"/>
                <w:sz w:val="24"/>
                <w:highlight w:val="none"/>
              </w:rPr>
              <w:t>不</w:t>
            </w:r>
            <w:r>
              <w:rPr>
                <w:rFonts w:hint="eastAsia" w:ascii="宋体" w:hAnsi="宋体" w:cs="宋体"/>
                <w:color w:val="auto"/>
                <w:kern w:val="0"/>
                <w:sz w:val="24"/>
                <w:highlight w:val="none"/>
              </w:rPr>
              <w:t>接受联合体投标，不允许转</w:t>
            </w:r>
            <w:r>
              <w:rPr>
                <w:rFonts w:hint="eastAsia" w:ascii="宋体" w:hAnsi="宋体" w:cs="宋体"/>
                <w:color w:val="auto"/>
                <w:kern w:val="0"/>
                <w:sz w:val="24"/>
              </w:rPr>
              <w:t>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本次投标为总价包干，投标报价总价作为中标人与采购人签定的合同金额。项目预算控</w:t>
            </w:r>
            <w:r>
              <w:rPr>
                <w:rFonts w:hint="eastAsia" w:ascii="宋体" w:hAnsi="宋体" w:cs="宋体"/>
                <w:color w:val="auto"/>
                <w:sz w:val="24"/>
                <w:highlight w:val="none"/>
              </w:rPr>
              <w:t>制</w:t>
            </w:r>
            <w:r>
              <w:rPr>
                <w:rFonts w:hint="eastAsia" w:ascii="宋体" w:hAnsi="宋体" w:cs="宋体"/>
                <w:color w:val="auto"/>
                <w:sz w:val="24"/>
                <w:highlight w:val="none"/>
                <w:lang w:val="en-US" w:eastAsia="zh-CN"/>
              </w:rPr>
              <w:t>55.2万元以内</w:t>
            </w:r>
            <w:r>
              <w:rPr>
                <w:rFonts w:hint="eastAsia" w:ascii="宋体" w:hAnsi="宋体" w:cs="宋体"/>
                <w:color w:val="auto"/>
                <w:sz w:val="24"/>
                <w:highlight w:val="none"/>
              </w:rPr>
              <w:t>，投标</w:t>
            </w:r>
            <w:r>
              <w:rPr>
                <w:rFonts w:hint="eastAsia" w:ascii="宋体" w:hAnsi="宋体" w:cs="宋体"/>
                <w:color w:val="auto"/>
                <w:sz w:val="24"/>
              </w:rPr>
              <w:t>人的报价不可高于</w:t>
            </w:r>
            <w:r>
              <w:rPr>
                <w:rFonts w:hint="eastAsia" w:ascii="宋体" w:hAnsi="宋体" w:eastAsia="宋体" w:cs="宋体"/>
                <w:color w:val="auto"/>
                <w:kern w:val="0"/>
                <w:sz w:val="24"/>
              </w:rPr>
              <w:t>预算（限价），否则投标人的投标文件视同无效。</w:t>
            </w:r>
            <w:r>
              <w:rPr>
                <w:rFonts w:hint="eastAsia" w:ascii="宋体" w:hAnsi="宋体" w:cs="宋体"/>
                <w:color w:val="auto"/>
                <w:kern w:val="0"/>
                <w:sz w:val="24"/>
                <w:lang w:eastAsia="zh-CN"/>
              </w:rPr>
              <w:t>项目服务费包括</w:t>
            </w:r>
            <w:r>
              <w:rPr>
                <w:rFonts w:hint="eastAsia" w:ascii="宋体" w:hAnsi="宋体" w:cs="宋体"/>
                <w:color w:val="auto"/>
                <w:kern w:val="0"/>
                <w:sz w:val="24"/>
                <w:lang w:val="en-US" w:eastAsia="zh-CN"/>
              </w:rPr>
              <w:t>但不限于</w:t>
            </w:r>
            <w:r>
              <w:rPr>
                <w:rFonts w:hint="eastAsia" w:ascii="宋体" w:hAnsi="宋体" w:cs="宋体"/>
                <w:color w:val="auto"/>
                <w:kern w:val="0"/>
                <w:sz w:val="24"/>
                <w:lang w:eastAsia="zh-CN"/>
              </w:rPr>
              <w:t>运维费、中标服务费、资料费、税金、人员费用、差旅费等所有费用，并提供合同要求的有关成果材料，以及其它相关服务的全部费用</w:t>
            </w:r>
            <w:r>
              <w:rPr>
                <w:rFonts w:hint="eastAsia" w:ascii="宋体" w:hAnsi="宋体" w:cs="宋体"/>
                <w:color w:val="auto"/>
                <w:sz w:val="24"/>
              </w:rPr>
              <w:t>。</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名      称</w:t>
            </w:r>
            <w:r>
              <w:rPr>
                <w:rFonts w:hint="eastAsia" w:ascii="宋体" w:hAnsi="宋体" w:cs="宋体"/>
                <w:color w:val="auto"/>
                <w:kern w:val="0"/>
                <w:sz w:val="24"/>
                <w:highlight w:val="none"/>
              </w:rPr>
              <w:t>：深圳市前海深港现代服务业合作区管理局</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周女士</w:t>
            </w:r>
          </w:p>
          <w:p>
            <w:pPr>
              <w:spacing w:line="360" w:lineRule="auto"/>
              <w:rPr>
                <w:rFonts w:hint="default" w:ascii="宋体" w:hAnsi="宋体" w:eastAsia="宋体" w:cs="宋体"/>
                <w:color w:val="FF0000"/>
                <w:kern w:val="0"/>
                <w:sz w:val="24"/>
                <w:highlight w:val="yellow"/>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0755-88105337</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  系  人： 凌女士、伍先生</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w:t>
            </w:r>
            <w:r>
              <w:rPr>
                <w:rFonts w:hint="eastAsia" w:ascii="宋体" w:hAnsi="宋体" w:cs="宋体"/>
                <w:color w:val="auto"/>
                <w:kern w:val="0"/>
                <w:sz w:val="24"/>
                <w:lang w:val="en-US" w:eastAsia="zh-CN"/>
              </w:rPr>
              <w:t>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前海公共服务综合信息系统驻场运维服务</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w:t>
      </w:r>
      <w:r>
        <w:rPr>
          <w:rFonts w:hint="eastAsia" w:ascii="宋体" w:hAnsi="宋体" w:cs="宋体"/>
          <w:b w:val="0"/>
          <w:bCs w:val="0"/>
          <w:color w:val="auto"/>
          <w:sz w:val="24"/>
          <w:highlight w:val="none"/>
        </w:rPr>
        <w:t>，根据《中华人民共和国政府采购法》、《深圳经济特区</w:t>
      </w:r>
      <w:r>
        <w:rPr>
          <w:rFonts w:hint="eastAsia" w:ascii="宋体" w:hAnsi="宋体" w:cs="宋体"/>
          <w:b w:val="0"/>
          <w:bCs w:val="0"/>
          <w:color w:val="auto"/>
          <w:sz w:val="24"/>
          <w:highlight w:val="none"/>
          <w:lang w:eastAsia="zh-CN"/>
        </w:rPr>
        <w:t>政府</w:t>
      </w:r>
      <w:r>
        <w:rPr>
          <w:rFonts w:hint="eastAsia" w:ascii="宋体" w:hAnsi="宋体" w:cs="宋体"/>
          <w:b w:val="0"/>
          <w:bCs w:val="0"/>
          <w:color w:val="auto"/>
          <w:sz w:val="24"/>
          <w:highlight w:val="none"/>
        </w:rPr>
        <w:t>采购条例》</w:t>
      </w:r>
      <w:r>
        <w:rPr>
          <w:rFonts w:hint="eastAsia" w:ascii="宋体" w:hAnsi="宋体" w:cs="宋体"/>
          <w:b w:val="0"/>
          <w:bCs w:val="0"/>
          <w:color w:val="auto"/>
          <w:sz w:val="24"/>
          <w:highlight w:val="none"/>
          <w:lang w:val="en-US" w:eastAsia="zh-CN"/>
        </w:rPr>
        <w:t>及采购单位</w:t>
      </w:r>
      <w:r>
        <w:rPr>
          <w:rFonts w:hint="eastAsia" w:ascii="宋体" w:hAnsi="宋体" w:cs="宋体"/>
          <w:b w:val="0"/>
          <w:bCs w:val="0"/>
          <w:color w:val="auto"/>
          <w:sz w:val="24"/>
          <w:highlight w:val="none"/>
        </w:rPr>
        <w:t>的有关规定，中国远东国际招标有限公司受深圳市前海深港现代服务业合作区管理局委托组织采购，</w:t>
      </w:r>
      <w:r>
        <w:rPr>
          <w:rFonts w:hint="eastAsia" w:ascii="宋体" w:hAnsi="宋体" w:cs="宋体"/>
          <w:b/>
          <w:bCs/>
          <w:color w:val="auto"/>
          <w:sz w:val="24"/>
          <w:highlight w:val="none"/>
        </w:rPr>
        <w:t>本次采购公开征集供应商，采用综合评分法的方式进行，投标截止后，因作出有效投标的供应商不足3家而致招标失败的，按以下流程执行：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a</w:t>
      </w:r>
      <w:r>
        <w:rPr>
          <w:rFonts w:hint="eastAsia" w:ascii="宋体" w:hAnsi="宋体" w:cs="宋体"/>
          <w:b/>
          <w:bCs/>
          <w:color w:val="auto"/>
          <w:sz w:val="24"/>
          <w:highlight w:val="none"/>
        </w:rPr>
        <w:t>.有效投标人为2家的，可在2家有效投标人中取得分最高者为中标供应商；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b</w:t>
      </w:r>
      <w:r>
        <w:rPr>
          <w:rFonts w:hint="eastAsia" w:ascii="宋体" w:hAnsi="宋体" w:cs="宋体"/>
          <w:b/>
          <w:bCs/>
          <w:color w:val="auto"/>
          <w:sz w:val="24"/>
          <w:highlight w:val="none"/>
        </w:rPr>
        <w:t>.如参与投标且符合招标文件要求的供应商仅有</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highlight w:val="none"/>
        </w:rPr>
        <w:t>3、本项目根据项目的实际情况，公开征集符合投标人资格的供应商</w:t>
      </w:r>
      <w:r>
        <w:rPr>
          <w:rFonts w:hint="eastAsia" w:ascii="宋体" w:hAnsi="宋体" w:cs="宋体"/>
          <w:color w:val="auto"/>
          <w:sz w:val="24"/>
        </w:rPr>
        <w:t>。请各供应商根据本文件的要求，准备</w:t>
      </w:r>
      <w:r>
        <w:rPr>
          <w:rFonts w:hint="eastAsia" w:ascii="宋体" w:hAnsi="宋体" w:cs="宋体"/>
          <w:b/>
          <w:bCs/>
          <w:color w:val="auto"/>
          <w:sz w:val="24"/>
        </w:rPr>
        <w:t>5套（1套正本，4套副本</w:t>
      </w:r>
      <w:r>
        <w:rPr>
          <w:rFonts w:hint="eastAsia" w:ascii="宋体" w:hAnsi="宋体" w:cs="宋体"/>
          <w:b/>
          <w:bCs/>
          <w:color w:val="auto"/>
          <w:sz w:val="24"/>
          <w:lang w:eastAsia="zh-CN"/>
        </w:rPr>
        <w:t>，</w:t>
      </w:r>
      <w:r>
        <w:rPr>
          <w:rFonts w:hint="eastAsia" w:ascii="宋体" w:hAnsi="宋体" w:cs="宋体"/>
          <w:b/>
          <w:bCs/>
          <w:color w:val="auto"/>
          <w:sz w:val="24"/>
          <w:lang w:val="en-US" w:eastAsia="zh-CN"/>
        </w:rPr>
        <w:t>1份电子文档</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56"/>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开户名称：中国远东国际招标有限公司</w:t>
      </w:r>
      <w:r>
        <w:rPr>
          <w:rFonts w:hint="eastAsia" w:ascii="宋体" w:hAnsi="宋体" w:cs="宋体"/>
          <w:color w:val="auto"/>
          <w:sz w:val="24"/>
          <w:lang w:val="en-US" w:eastAsia="zh-CN"/>
        </w:rPr>
        <w:t>深圳分公司</w:t>
      </w:r>
    </w:p>
    <w:p>
      <w:pPr>
        <w:spacing w:line="360" w:lineRule="auto"/>
        <w:rPr>
          <w:rFonts w:hint="eastAsia" w:ascii="宋体" w:hAnsi="宋体" w:cs="宋体"/>
          <w:color w:val="auto"/>
          <w:sz w:val="24"/>
        </w:rPr>
      </w:pPr>
      <w:r>
        <w:rPr>
          <w:rFonts w:hint="eastAsia" w:ascii="宋体" w:hAnsi="宋体" w:cs="宋体"/>
          <w:color w:val="auto"/>
          <w:sz w:val="24"/>
        </w:rPr>
        <w:t>银行帐号：11013651025501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w:t>
      </w: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w:t>
      </w:r>
      <w:r>
        <w:rPr>
          <w:rFonts w:hint="eastAsia" w:ascii="宋体" w:hAnsi="宋体" w:cs="宋体"/>
          <w:color w:val="auto"/>
          <w:sz w:val="24"/>
          <w:highlight w:val="none"/>
        </w:rPr>
        <w:t>审委员会在投标截止日前一天组成</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10:00</w:t>
      </w:r>
      <w:r>
        <w:rPr>
          <w:rFonts w:hint="eastAsia" w:ascii="宋体" w:hAnsi="宋体" w:cs="宋体"/>
          <w:color w:val="auto"/>
          <w:sz w:val="24"/>
        </w:rPr>
        <w:t>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10:00</w:t>
      </w:r>
      <w:r>
        <w:rPr>
          <w:rFonts w:hint="eastAsia" w:ascii="宋体" w:hAnsi="宋体" w:cs="宋体"/>
          <w:color w:val="auto"/>
          <w:sz w:val="24"/>
        </w:rPr>
        <w:t>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w:t>
      </w:r>
      <w:r>
        <w:rPr>
          <w:rFonts w:hint="eastAsia" w:ascii="宋体" w:hAnsi="宋体" w:cs="宋体"/>
          <w:color w:val="auto"/>
          <w:sz w:val="24"/>
          <w:lang w:val="en-US" w:eastAsia="zh-CN"/>
        </w:rPr>
        <w:t>有</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rPr>
      </w:pPr>
      <w:r>
        <w:rPr>
          <w:rFonts w:hint="eastAsia" w:ascii="宋体" w:hAnsi="宋体" w:cs="宋体"/>
          <w:color w:val="auto"/>
          <w:sz w:val="24"/>
        </w:rPr>
        <w:t>采用谈判的情况：评审委员会将与投标供应商进行谈判。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9"/>
        <w:rPr>
          <w:rFonts w:hint="eastAsia" w:ascii="宋体" w:hAnsi="宋体" w:cs="宋体"/>
          <w:color w:val="auto"/>
          <w:sz w:val="24"/>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73518163"/>
      <w:bookmarkStart w:id="7" w:name="_Toc101074886"/>
      <w:bookmarkStart w:id="8" w:name="_Toc73521592"/>
      <w:bookmarkStart w:id="9" w:name="_Toc100052414"/>
      <w:bookmarkStart w:id="10" w:name="_Toc73521680"/>
      <w:bookmarkStart w:id="11" w:name="_Toc73517685"/>
      <w:bookmarkStart w:id="12" w:name="_Toc84303603"/>
    </w:p>
    <w:bookmarkEnd w:id="6"/>
    <w:bookmarkEnd w:id="7"/>
    <w:bookmarkEnd w:id="8"/>
    <w:bookmarkEnd w:id="9"/>
    <w:bookmarkEnd w:id="10"/>
    <w:bookmarkEnd w:id="11"/>
    <w:bookmarkEnd w:id="12"/>
    <w:p>
      <w:pPr>
        <w:pStyle w:val="5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5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56"/>
        <w:spacing w:line="360" w:lineRule="auto"/>
        <w:ind w:left="1470" w:right="1470" w:firstLine="482"/>
        <w:jc w:val="center"/>
        <w:rPr>
          <w:rFonts w:hint="eastAsia" w:ascii="宋体" w:hAnsi="宋体" w:cs="宋体"/>
          <w:b/>
          <w:color w:val="auto"/>
          <w:sz w:val="24"/>
          <w:szCs w:val="24"/>
        </w:rPr>
      </w:pPr>
    </w:p>
    <w:p>
      <w:pPr>
        <w:pStyle w:val="5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5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eastAsia="zh-CN"/>
        </w:rPr>
        <w:t>前海公共服务综合信息系统驻场运维服务</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5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5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lang w:eastAsia="zh-CN"/>
        </w:rPr>
        <w:t>前海公共服务综合信息系统驻场运维服务</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三</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spacing w:line="360" w:lineRule="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联系</w:t>
      </w:r>
      <w:r>
        <w:rPr>
          <w:rFonts w:hint="eastAsia" w:ascii="宋体" w:hAnsi="宋体" w:cs="宋体"/>
          <w:b/>
          <w:bCs/>
          <w:color w:val="auto"/>
          <w:sz w:val="24"/>
        </w:rPr>
        <w:t>人：</w:t>
      </w:r>
      <w:r>
        <w:rPr>
          <w:rFonts w:hint="eastAsia" w:ascii="宋体" w:hAnsi="宋体" w:cs="宋体"/>
          <w:b/>
          <w:bCs/>
          <w:color w:val="auto"/>
          <w:sz w:val="24"/>
          <w:lang w:val="en-US" w:eastAsia="zh-CN"/>
        </w:rPr>
        <w:t xml:space="preserve">                            联系方式</w:t>
      </w:r>
      <w:r>
        <w:rPr>
          <w:rFonts w:hint="eastAsia" w:ascii="宋体" w:hAnsi="宋体" w:cs="宋体"/>
          <w:b/>
          <w:bCs/>
          <w:color w:val="auto"/>
          <w:sz w:val="24"/>
        </w:rPr>
        <w:t>：</w:t>
      </w:r>
      <w:r>
        <w:rPr>
          <w:rFonts w:hint="eastAsia" w:ascii="宋体" w:hAnsi="宋体" w:cs="宋体"/>
          <w:b/>
          <w:bCs/>
          <w:color w:val="auto"/>
          <w:sz w:val="24"/>
          <w:lang w:val="en-US" w:eastAsia="zh-CN"/>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联系</w:t>
      </w:r>
      <w:r>
        <w:rPr>
          <w:rFonts w:hint="eastAsia" w:ascii="宋体" w:hAnsi="宋体" w:cs="宋体"/>
          <w:b/>
          <w:bCs/>
          <w:color w:val="auto"/>
          <w:sz w:val="24"/>
        </w:rPr>
        <w:t>人：</w:t>
      </w:r>
      <w:r>
        <w:rPr>
          <w:rFonts w:hint="eastAsia" w:ascii="宋体" w:hAnsi="宋体" w:cs="宋体"/>
          <w:b/>
          <w:bCs/>
          <w:color w:val="auto"/>
          <w:sz w:val="24"/>
          <w:lang w:val="en-US" w:eastAsia="zh-CN"/>
        </w:rPr>
        <w:t xml:space="preserve">                            联系方式</w:t>
      </w:r>
      <w:r>
        <w:rPr>
          <w:rFonts w:hint="eastAsia" w:ascii="宋体" w:hAnsi="宋体" w:cs="宋体"/>
          <w:b/>
          <w:bCs/>
          <w:color w:val="auto"/>
          <w:sz w:val="24"/>
        </w:rPr>
        <w:t>：</w:t>
      </w:r>
      <w:r>
        <w:rPr>
          <w:rFonts w:hint="eastAsia" w:ascii="宋体" w:hAnsi="宋体" w:cs="宋体"/>
          <w:b/>
          <w:bCs/>
          <w:color w:val="auto"/>
          <w:sz w:val="24"/>
          <w:lang w:val="en-US" w:eastAsia="zh-CN"/>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eastAsia="zh-CN"/>
        </w:rPr>
        <w:t>QH2023</w:t>
      </w:r>
      <w:r>
        <w:rPr>
          <w:rFonts w:hint="eastAsia" w:ascii="宋体" w:hAnsi="宋体" w:cs="宋体"/>
          <w:color w:val="auto"/>
          <w:sz w:val="24"/>
          <w:lang w:val="en-US" w:eastAsia="zh-CN"/>
        </w:rPr>
        <w:t>125</w:t>
      </w:r>
      <w:r>
        <w:rPr>
          <w:rFonts w:hint="eastAsia" w:ascii="宋体" w:hAnsi="宋体" w:cs="宋体"/>
          <w:color w:val="auto"/>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color w:val="auto"/>
          <w:sz w:val="24"/>
          <w:u w:val="single"/>
          <w:lang w:eastAsia="zh-CN"/>
        </w:rPr>
        <w:t>前海公共服务综合信息系统驻场运维服务</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根据甲方需求，乙方为甲方提供为期</w:t>
      </w:r>
      <w:r>
        <w:rPr>
          <w:rFonts w:hint="eastAsia" w:ascii="宋体" w:hAnsi="宋体" w:cs="宋体"/>
          <w:color w:val="auto"/>
          <w:sz w:val="24"/>
          <w:szCs w:val="24"/>
          <w:highlight w:val="none"/>
          <w:lang w:val="en-US" w:eastAsia="zh-CN"/>
        </w:rPr>
        <w:t>12个月</w:t>
      </w:r>
      <w:r>
        <w:rPr>
          <w:rFonts w:hint="eastAsia" w:ascii="宋体" w:hAnsi="宋体" w:eastAsia="宋体" w:cs="宋体"/>
          <w:color w:val="auto"/>
          <w:sz w:val="24"/>
          <w:szCs w:val="24"/>
          <w:highlight w:val="none"/>
          <w:lang w:val="en-US" w:eastAsia="zh-CN"/>
        </w:rPr>
        <w:t>的深圳市公共服务综合信息系统驻场运维服务，具体服务内容包括：</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深圳市权责清单系统驻场运维服务。用户信息管理、前海蛇口自贸片区D类事项表单设计维护、e站通服务中心大厅事项配置管理、报表配置、通用需求反馈测试和更新、数据统计、日常问题跟踪及处理、沟通协调工作、相关技术支持和其他辅助性工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深圳市统一申办平台驻场运维服务。为支持使用深圳市统一申办平台进行网上申办的事项业务正常运行，乙方应提供包括以下内容的运维服务：政务服务事项网上申办权限维护、通用需求反馈测试和更新、业务数据统计、日常问题跟踪及处理、沟通协调工作、相关技术支持和其他辅助性工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深圳市一窗综合服务受理平台驻场运维服务。为支持在前海e站通服务中心实现政务服务事项一窗综合受理，乙方应提供包括以下内容的运维服务：市一窗系统用户信息管理、窗口管理、事项属性配置维护、打印模板配置维护、报表配置、短信模版配置、数据统计、日常问题跟踪及处理、沟通协调工作、相关技术支持和其他辅助性工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深圳市公共审批平台驻场运维服务。为支持前海蛇口自贸片区事项使用深圳市公共审批平台进行审批，乙方应提供包括以下内容的运维服务：公共审批平台用户管理、事项审批流程定制维护、事项网办过程数据配置及维护、电子证照联调测试、打印模板配置维护、报表配置、通用需求反馈测试和更新、日常问题跟踪及处理、沟通协调工作、相关技术支持和其他辅助性工作。</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rPr>
        <w:t>第二条  服务期限</w:t>
      </w:r>
      <w:r>
        <w:rPr>
          <w:rFonts w:hint="eastAsia" w:ascii="宋体" w:hAnsi="宋体" w:cs="宋体"/>
          <w:b/>
          <w:bCs/>
          <w:color w:val="auto"/>
          <w:kern w:val="0"/>
          <w:sz w:val="24"/>
          <w:lang w:val="en-US" w:eastAsia="zh-CN"/>
        </w:rPr>
        <w:t>及服务响应要求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服务期限</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本项目服务期限自签订合同之日起</w:t>
      </w:r>
      <w:r>
        <w:rPr>
          <w:rFonts w:hint="eastAsia" w:ascii="宋体" w:hAnsi="宋体" w:cs="宋体"/>
          <w:color w:val="auto"/>
          <w:sz w:val="24"/>
          <w:lang w:val="en-US" w:eastAsia="zh-CN"/>
        </w:rPr>
        <w:t>12个月</w:t>
      </w:r>
      <w:r>
        <w:rPr>
          <w:rFonts w:hint="eastAsia" w:ascii="宋体" w:hAnsi="宋体" w:cs="宋体"/>
          <w:color w:val="auto"/>
          <w:sz w:val="24"/>
        </w:rPr>
        <w:t>。服务期届满前六个月内，</w:t>
      </w:r>
      <w:r>
        <w:rPr>
          <w:rFonts w:hint="eastAsia" w:ascii="宋体" w:hAnsi="宋体" w:cs="宋体"/>
          <w:color w:val="auto"/>
          <w:sz w:val="24"/>
          <w:lang w:val="en-US" w:eastAsia="zh-CN"/>
        </w:rPr>
        <w:t>甲方</w:t>
      </w:r>
      <w:r>
        <w:rPr>
          <w:rFonts w:hint="eastAsia" w:ascii="宋体" w:hAnsi="宋体" w:cs="宋体"/>
          <w:color w:val="auto"/>
          <w:sz w:val="24"/>
        </w:rPr>
        <w:t>对</w:t>
      </w:r>
      <w:r>
        <w:rPr>
          <w:rFonts w:hint="eastAsia" w:ascii="宋体" w:hAnsi="宋体" w:cs="宋体"/>
          <w:color w:val="auto"/>
          <w:sz w:val="24"/>
          <w:lang w:val="en-US" w:eastAsia="zh-CN"/>
        </w:rPr>
        <w:t>乙方</w:t>
      </w:r>
      <w:r>
        <w:rPr>
          <w:rFonts w:hint="eastAsia" w:ascii="宋体" w:hAnsi="宋体" w:cs="宋体"/>
          <w:color w:val="auto"/>
          <w:sz w:val="24"/>
        </w:rPr>
        <w:t>进行履约评价，评价结果为优秀的，经公示后可续期</w:t>
      </w:r>
      <w:r>
        <w:rPr>
          <w:rFonts w:hint="eastAsia" w:ascii="宋体" w:hAnsi="宋体" w:cs="宋体"/>
          <w:color w:val="auto"/>
          <w:sz w:val="24"/>
          <w:lang w:val="en-US" w:eastAsia="zh-CN"/>
        </w:rPr>
        <w:t>12个月</w:t>
      </w:r>
      <w:r>
        <w:rPr>
          <w:rFonts w:hint="eastAsia" w:ascii="宋体" w:hAnsi="宋体" w:cs="宋体"/>
          <w:color w:val="auto"/>
          <w:sz w:val="24"/>
        </w:rPr>
        <w:t>，续期不超过两次</w:t>
      </w:r>
      <w:r>
        <w:rPr>
          <w:rFonts w:hint="eastAsia" w:ascii="宋体" w:hAnsi="宋体" w:cs="宋体"/>
          <w:color w:val="auto"/>
          <w:sz w:val="24"/>
          <w:lang w:eastAsia="zh-CN"/>
        </w:rPr>
        <w:t>。</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2.服务响应要求</w:t>
      </w:r>
    </w:p>
    <w:p>
      <w:pPr>
        <w:widowControl/>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2.1.对于甲方的服务请求，乙方应在工作时间（工作日9:00至18:00之间）1小时内响应，非工作时间1小时内响应，一般问题自响应时间起1个工作日内解决，重大问题3个工作日内解决。</w:t>
      </w:r>
    </w:p>
    <w:p>
      <w:pPr>
        <w:widowControl/>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2.2非工作时间或节假日，乙方应提供7×24小时远程支持服务，如远程支持无法解决问题的，需到现场解决。</w:t>
      </w:r>
    </w:p>
    <w:p>
      <w:pPr>
        <w:widowControl/>
        <w:spacing w:line="360" w:lineRule="auto"/>
        <w:ind w:firstLine="480" w:firstLineChars="200"/>
        <w:rPr>
          <w:rFonts w:hint="default" w:ascii="宋体" w:hAnsi="宋体" w:eastAsia="宋体" w:cs="宋体"/>
          <w:color w:val="FF0000"/>
          <w:sz w:val="24"/>
          <w:szCs w:val="24"/>
          <w:highlight w:val="none"/>
          <w:lang w:val="en-US" w:eastAsia="zh-CN"/>
        </w:rPr>
      </w:pPr>
      <w:r>
        <w:rPr>
          <w:rFonts w:hint="eastAsia" w:ascii="宋体" w:hAnsi="宋体" w:cs="宋体"/>
          <w:color w:val="auto"/>
          <w:kern w:val="0"/>
          <w:sz w:val="24"/>
          <w:highlight w:val="none"/>
          <w:lang w:val="en-US" w:eastAsia="zh-CN"/>
        </w:rPr>
        <w:t>2.3.乙方应按甲方的要求定期提交各种报告，并在每周一提交上周书面问题处理记录。</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所有提交给甲方的</w:t>
      </w:r>
      <w:r>
        <w:rPr>
          <w:rFonts w:hint="eastAsia" w:ascii="宋体" w:hAnsi="宋体" w:cs="宋体"/>
          <w:color w:val="auto"/>
          <w:sz w:val="24"/>
          <w:lang w:eastAsia="zh-CN"/>
        </w:rPr>
        <w:t>项目材料</w:t>
      </w:r>
      <w:r>
        <w:rPr>
          <w:rFonts w:hint="eastAsia" w:ascii="宋体" w:hAnsi="宋体" w:cs="宋体"/>
          <w:color w:val="auto"/>
          <w:sz w:val="24"/>
        </w:rPr>
        <w:t>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（一）甲方的权利义务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1.甲方应为乙方提供驻场运维所需的办公场所。</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2.甲方应按合同约定及时支付乙方相关费用。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3.甲方有权要求乙方按本合同约定提供符合有关标准与要求的服务。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4.如甲方确认乙方服务人员未按照本合同要求履行职责，甲方有权要求乙方限期更换人员，直至终止合同并要求乙方承担相应赔偿责任。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5.甲方有权向乙方询问项目工作进展及相关情况，并要求乙方在指定时间内做出答复。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6.甲方对乙方在委托权限范围内完成委托事项有指导、监督权利。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.甲方指定项目联系人：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乙方应按合同约定的服务内容和服务要求提供并安排服务人员提供相关技术服务。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2、乙方驻场运维人员应服从甲方的管理、监督，负责做好系统运维工作，遵守信息安全等规范。</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在系统运维的过程中，乙方人员的操作如有可能对系统或业务造成任何不良影响的，则该操作需经甲方有关人员事先同意。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乙方服务人员应当严格遵守甲方的劳动纪律，如有服务人员被甲方认定为缺勤或不胜任，乙方应于甲方提出更换的一周内，指派其他合格的服务人员进行服务，务必保证不影响甲方的正常工作。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乙方对其服务人员在合同履行期间的一切行为负责，期间发生的一切安全事故责任、其他人身损害意外及因此发生的人身损害赔偿和其他费用由乙方自行承担，概与甲方无关。若因乙方服务人员的行为导致甲方支付赔偿或其他费用，甲方有权要求乙方全部偿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乙方安排的驻场运维人员应为乙方的员工，并应根据甲方的要求提供与驻场运维人员的劳动合同或社保证明。</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五</w:t>
      </w:r>
      <w:r>
        <w:rPr>
          <w:rFonts w:hint="eastAsia" w:ascii="宋体" w:hAnsi="宋体" w:cs="宋体"/>
          <w:b/>
          <w:bCs/>
          <w:color w:val="auto"/>
          <w:sz w:val="24"/>
        </w:rPr>
        <w:t>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2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参加本项目编制的人员配置若需调整需经甲方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必须以乙方直属人员</w:t>
      </w:r>
      <w:r>
        <w:rPr>
          <w:rFonts w:ascii="宋体" w:hAnsi="宋体" w:cs="宋体"/>
          <w:color w:val="auto"/>
          <w:sz w:val="24"/>
        </w:rPr>
        <w:t>（直属人员指</w:t>
      </w:r>
      <w:r>
        <w:rPr>
          <w:rFonts w:hint="eastAsia" w:ascii="宋体" w:hAnsi="宋体" w:cs="宋体"/>
          <w:color w:val="auto"/>
          <w:sz w:val="24"/>
        </w:rPr>
        <w:t>劳动合同</w:t>
      </w:r>
      <w:r>
        <w:rPr>
          <w:rFonts w:hint="eastAsia" w:ascii="宋体" w:hAnsi="宋体" w:cs="宋体"/>
          <w:color w:val="auto"/>
          <w:sz w:val="24"/>
          <w:lang w:val="en-US" w:eastAsia="zh-CN"/>
        </w:rPr>
        <w:t>及</w:t>
      </w:r>
      <w:r>
        <w:rPr>
          <w:rFonts w:hint="eastAsia" w:ascii="宋体" w:hAnsi="宋体" w:cs="宋体"/>
          <w:color w:val="auto"/>
          <w:sz w:val="24"/>
        </w:rPr>
        <w:t>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3.自合同签订之日起，乙方应安排服务人员提供为期</w:t>
      </w:r>
      <w:r>
        <w:rPr>
          <w:rFonts w:hint="eastAsia" w:ascii="宋体" w:hAnsi="宋体" w:cs="宋体"/>
          <w:color w:val="auto"/>
          <w:sz w:val="24"/>
          <w:lang w:val="en-US" w:eastAsia="zh-CN"/>
        </w:rPr>
        <w:t>12个月</w:t>
      </w:r>
      <w:r>
        <w:rPr>
          <w:rFonts w:hint="eastAsia" w:ascii="宋体" w:hAnsi="宋体" w:eastAsia="宋体" w:cs="宋体"/>
          <w:color w:val="auto"/>
          <w:sz w:val="24"/>
          <w:lang w:val="en-US" w:eastAsia="zh-CN"/>
        </w:rPr>
        <w:t>的专人驻场运维服务（以下简称“服务人员”或“驻场运维人员”），解决服务内容中所列系统运行过程中发现的问题，保证系统有序、健康、稳定运行。驻场运维人员的数量日常不少于1人，如遇业务高峰期、系统重大调整等，乙方需根据甲方需求增加驻场运维人员数量</w:t>
      </w:r>
      <w:r>
        <w:rPr>
          <w:rFonts w:hint="eastAsia" w:ascii="宋体" w:hAnsi="宋体" w:eastAsia="宋体" w:cs="宋体"/>
          <w:color w:val="auto"/>
          <w:sz w:val="24"/>
          <w:lang w:eastAsia="zh-CN"/>
        </w:rPr>
        <w:t>。</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乙方</w:t>
      </w:r>
      <w:r>
        <w:rPr>
          <w:rFonts w:hint="eastAsia" w:ascii="宋体" w:hAnsi="宋体" w:eastAsia="宋体" w:cs="宋体"/>
          <w:color w:val="auto"/>
          <w:sz w:val="24"/>
          <w:szCs w:val="24"/>
          <w:highlight w:val="none"/>
        </w:rPr>
        <w:t>安排的服务人员应具有良好的职业道德和工作责任心，大专及以上学历、2年信息系统相关工作经验，能熟练掌握深圳市公共服务综合信息系统日常服务等工作技能，严格遵守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的各项规章制度和工作规范。</w:t>
      </w:r>
      <w:r>
        <w:rPr>
          <w:rFonts w:hint="eastAsia" w:ascii="宋体" w:hAnsi="宋体" w:eastAsia="宋体" w:cs="宋体"/>
          <w:color w:val="auto"/>
          <w:sz w:val="24"/>
          <w:lang w:val="en-US" w:eastAsia="zh-CN"/>
        </w:rPr>
        <w:t>如果其工作能力和工作方法、工作态度等方面不能满足甲方要求的，乙方应在甲方提出更换服务人员要求的1周内进行更换，安排其他符合甲方要求的服务人员进行服务。未经甲方同意，乙方不得擅自更换服务人员</w:t>
      </w:r>
      <w:r>
        <w:rPr>
          <w:rFonts w:hint="eastAsia" w:ascii="宋体" w:hAnsi="宋体" w:cs="宋体"/>
          <w:color w:val="auto"/>
          <w:sz w:val="24"/>
          <w:lang w:val="en-US"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六</w:t>
      </w:r>
      <w:r>
        <w:rPr>
          <w:rFonts w:hint="eastAsia" w:ascii="宋体" w:hAnsi="宋体" w:cs="宋体"/>
          <w:b/>
          <w:bCs/>
          <w:color w:val="auto"/>
          <w:sz w:val="24"/>
        </w:rPr>
        <w:t>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双方对本合同有关的知识产权以及与之相关的所有权利归属约定如下： 本项目全部阶段性成果和最终成果（包括为后续服务范围所</w:t>
      </w:r>
      <w:r>
        <w:rPr>
          <w:rFonts w:hint="eastAsia" w:ascii="宋体" w:hAnsi="宋体" w:cs="宋体"/>
          <w:color w:val="auto"/>
          <w:sz w:val="24"/>
          <w:lang w:eastAsia="zh-CN"/>
        </w:rPr>
        <w:t>编制的材料</w:t>
      </w:r>
      <w:r>
        <w:rPr>
          <w:rFonts w:hint="eastAsia" w:ascii="宋体" w:hAnsi="宋体" w:cs="宋体"/>
          <w:color w:val="auto"/>
          <w:sz w:val="24"/>
        </w:rPr>
        <w:t>）的知识产权以及与之相关的所有权利归甲方所有；本合同签署前双方已经拥有的知识产权权利，仍归各自所有。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乙方所提交的全部中间成果和最终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及任何数据、资料、软件等不得侵犯任何第三方的知识产权或其他权利，由于该</w:t>
      </w:r>
      <w:r>
        <w:rPr>
          <w:rFonts w:hint="eastAsia" w:ascii="宋体" w:hAnsi="宋体" w:cs="宋体"/>
          <w:color w:val="auto"/>
          <w:sz w:val="24"/>
          <w:lang w:eastAsia="zh-CN"/>
        </w:rPr>
        <w:t>等文件、材料</w:t>
      </w:r>
      <w:r>
        <w:rPr>
          <w:rFonts w:hint="eastAsia" w:ascii="宋体" w:hAnsi="宋体" w:cs="宋体"/>
          <w:color w:val="auto"/>
          <w:sz w:val="24"/>
        </w:rPr>
        <w:t>、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未经甲方书面在先同意，乙方不得将本项目的中间成果和最终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乙方完成本合同项目的研究开发人员享有在有关</w:t>
      </w:r>
      <w:r>
        <w:rPr>
          <w:rFonts w:hint="eastAsia" w:ascii="宋体" w:hAnsi="宋体" w:cs="宋体"/>
          <w:color w:val="auto"/>
          <w:sz w:val="24"/>
          <w:lang w:eastAsia="zh-CN"/>
        </w:rPr>
        <w:t>技术成果材料</w:t>
      </w:r>
      <w:r>
        <w:rPr>
          <w:rFonts w:hint="eastAsia" w:ascii="宋体" w:hAnsi="宋体" w:cs="宋体"/>
          <w:color w:val="auto"/>
          <w:sz w:val="24"/>
        </w:rPr>
        <w:t>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七</w:t>
      </w:r>
      <w:r>
        <w:rPr>
          <w:rFonts w:hint="eastAsia" w:ascii="宋体" w:hAnsi="宋体" w:cs="宋体"/>
          <w:b/>
          <w:bCs/>
          <w:color w:val="auto"/>
          <w:sz w:val="24"/>
        </w:rPr>
        <w:t>条  保密条款</w:t>
      </w:r>
    </w:p>
    <w:p>
      <w:pPr>
        <w:widowControl/>
        <w:spacing w:line="360" w:lineRule="auto"/>
        <w:ind w:firstLine="480" w:firstLineChars="200"/>
        <w:rPr>
          <w:rFonts w:hint="eastAsia" w:ascii="宋体" w:hAnsi="宋体" w:cs="宋体"/>
          <w:color w:val="auto"/>
          <w:sz w:val="24"/>
        </w:rPr>
      </w:pPr>
      <w:bookmarkStart w:id="13" w:name="_Toc216520223"/>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乙方须以保密方式处理在编制本项目</w:t>
      </w:r>
      <w:r>
        <w:rPr>
          <w:rFonts w:hint="eastAsia" w:ascii="宋体" w:hAnsi="宋体" w:cs="宋体"/>
          <w:color w:val="auto"/>
          <w:sz w:val="24"/>
          <w:lang w:eastAsia="zh-CN"/>
        </w:rPr>
        <w:t>成果材料</w:t>
      </w:r>
      <w:r>
        <w:rPr>
          <w:rFonts w:hint="eastAsia" w:ascii="宋体" w:hAnsi="宋体" w:cs="宋体"/>
          <w:color w:val="auto"/>
          <w:sz w:val="24"/>
        </w:rPr>
        <w:t>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14" w:name="_Toc216520224"/>
      <w:r>
        <w:rPr>
          <w:rFonts w:hint="eastAsia" w:ascii="宋体" w:hAnsi="宋体" w:cs="宋体"/>
          <w:color w:val="auto"/>
          <w:sz w:val="24"/>
        </w:rPr>
        <w:t>5</w:t>
      </w:r>
      <w:bookmarkEnd w:id="14"/>
      <w:bookmarkStart w:id="15" w:name="_Toc216520226"/>
      <w:r>
        <w:rPr>
          <w:rFonts w:hint="eastAsia" w:ascii="宋体" w:hAnsi="宋体" w:cs="宋体"/>
          <w:color w:val="auto"/>
          <w:sz w:val="24"/>
          <w:lang w:val="en-US" w:eastAsia="zh-CN"/>
        </w:rPr>
        <w:t>.</w:t>
      </w:r>
      <w:r>
        <w:rPr>
          <w:rFonts w:hint="eastAsia" w:ascii="宋体" w:hAnsi="宋体" w:cs="宋体"/>
          <w:color w:val="auto"/>
          <w:sz w:val="24"/>
        </w:rPr>
        <w:t>上述保密义务不适用以下情况：</w:t>
      </w:r>
      <w:bookmarkEnd w:id="1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auto"/>
          <w:sz w:val="24"/>
          <w:lang w:eastAsia="zh-CN"/>
        </w:rPr>
        <w:t>，</w:t>
      </w:r>
      <w:r>
        <w:rPr>
          <w:rFonts w:hint="eastAsia" w:ascii="宋体" w:hAnsi="宋体" w:eastAsia="宋体" w:cs="宋体"/>
          <w:color w:val="auto"/>
          <w:sz w:val="24"/>
        </w:rPr>
        <w:t>包括但不限于前述责任所产生的诉讼费用、律师费用、鉴定评估费用、调查费用、和解金额或生效法律文书中规定的赔偿金额。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 xml:space="preserve">条  </w:t>
      </w:r>
      <w:r>
        <w:rPr>
          <w:rFonts w:hint="eastAsia" w:ascii="宋体" w:hAnsi="宋体" w:cs="宋体"/>
          <w:b/>
          <w:bCs/>
          <w:color w:val="auto"/>
          <w:sz w:val="24"/>
          <w:lang w:val="en-US" w:eastAsia="zh-CN"/>
        </w:rPr>
        <w:t>服务考核及</w:t>
      </w:r>
      <w:r>
        <w:rPr>
          <w:rFonts w:hint="eastAsia" w:ascii="宋体" w:hAnsi="宋体" w:cs="宋体"/>
          <w:b/>
          <w:bCs/>
          <w:color w:val="auto"/>
          <w:sz w:val="24"/>
        </w:rPr>
        <w:t>验收</w:t>
      </w:r>
      <w:r>
        <w:rPr>
          <w:rFonts w:hint="eastAsia" w:ascii="宋体" w:hAnsi="宋体" w:cs="宋体"/>
          <w:b/>
          <w:bCs/>
          <w:color w:val="auto"/>
          <w:sz w:val="24"/>
          <w:lang w:val="en-US" w:eastAsia="zh-CN"/>
        </w:rPr>
        <w:t>方式</w:t>
      </w:r>
    </w:p>
    <w:p>
      <w:pPr>
        <w:widowControl/>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lang w:val="en-US" w:eastAsia="zh-CN"/>
        </w:rPr>
        <w:t>服务考核</w:t>
      </w:r>
    </w:p>
    <w:p>
      <w:pPr>
        <w:widowControl/>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乙方每季度及年度出具书面的服务数据整理报告，作为服务成果交付及验收依据。</w:t>
      </w:r>
    </w:p>
    <w:p>
      <w:pPr>
        <w:widowControl/>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甲方负责对乙方提交的服务数据整理报告组织审查，乙方应予积极协助。</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乙方应按本合同第一条之要求，向甲方提供驻场运维服务，乙方服务响应时间不符合要求累计发生5次后，每发生2次，甲方扣除合同总价款的5‰。</w:t>
      </w:r>
    </w:p>
    <w:p>
      <w:pPr>
        <w:widowControl/>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rPr>
        <w:t>验收</w:t>
      </w:r>
      <w:r>
        <w:rPr>
          <w:rFonts w:hint="eastAsia" w:ascii="宋体" w:hAnsi="宋体" w:cs="宋体"/>
          <w:b w:val="0"/>
          <w:bCs w:val="0"/>
          <w:color w:val="auto"/>
          <w:sz w:val="24"/>
          <w:lang w:val="en-US" w:eastAsia="zh-CN"/>
        </w:rPr>
        <w:t>方式</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当中标方完成项目服务，由中标方提出书面申请，采购单位组织验收。由采购单位、中标方共同出具最终验收报告，完成项目验收</w:t>
      </w:r>
      <w:r>
        <w:rPr>
          <w:rFonts w:hint="eastAsia" w:ascii="宋体" w:hAnsi="宋体" w:eastAsia="宋体" w:cs="宋体"/>
          <w:color w:val="auto"/>
          <w:sz w:val="24"/>
          <w:szCs w:val="24"/>
          <w:highlight w:val="none"/>
          <w:lang w:eastAsia="zh-CN"/>
        </w:rPr>
        <w:t>。</w:t>
      </w:r>
    </w:p>
    <w:p>
      <w:pPr>
        <w:spacing w:line="360" w:lineRule="auto"/>
        <w:ind w:firstLine="482" w:firstLineChars="200"/>
        <w:outlineLvl w:val="9"/>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九</w:t>
      </w:r>
      <w:r>
        <w:rPr>
          <w:rFonts w:hint="eastAsia" w:ascii="宋体" w:hAnsi="宋体" w:cs="宋体"/>
          <w:b/>
          <w:bCs/>
          <w:color w:val="auto"/>
          <w:sz w:val="24"/>
        </w:rPr>
        <w:t>条  项目服务费用及付款方式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合同价款：合同总价为 </w:t>
      </w:r>
      <w:r>
        <w:rPr>
          <w:rFonts w:hint="eastAsia" w:ascii="宋体" w:hAnsi="宋体" w:cs="宋体"/>
          <w:color w:val="auto"/>
          <w:sz w:val="24"/>
          <w:u w:val="single"/>
        </w:rPr>
        <w:t>****</w:t>
      </w:r>
      <w:r>
        <w:rPr>
          <w:rFonts w:hint="eastAsia" w:ascii="宋体" w:hAnsi="宋体" w:cs="宋体"/>
          <w:color w:val="auto"/>
          <w:sz w:val="24"/>
        </w:rPr>
        <w:t xml:space="preserve"> （含税）。</w:t>
      </w:r>
      <w:r>
        <w:rPr>
          <w:rFonts w:hint="eastAsia" w:ascii="宋体" w:hAnsi="宋体" w:cs="宋体"/>
          <w:color w:val="auto"/>
          <w:sz w:val="24"/>
          <w:lang w:val="en-US" w:eastAsia="zh-CN"/>
        </w:rPr>
        <w:t>服务费</w:t>
      </w:r>
      <w:r>
        <w:rPr>
          <w:rFonts w:hint="eastAsia" w:ascii="宋体" w:hAnsi="宋体" w:cs="宋体"/>
          <w:color w:val="auto"/>
          <w:sz w:val="24"/>
        </w:rPr>
        <w:t>包</w:t>
      </w:r>
      <w:r>
        <w:rPr>
          <w:rFonts w:hint="eastAsia" w:ascii="宋体" w:hAnsi="宋体" w:eastAsia="宋体" w:cs="宋体"/>
          <w:bCs/>
          <w:color w:val="auto"/>
          <w:kern w:val="2"/>
          <w:sz w:val="24"/>
          <w:szCs w:val="24"/>
          <w:lang w:val="en-US" w:eastAsia="zh-CN" w:bidi="ar-SA"/>
        </w:rPr>
        <w:t>括但不限于</w:t>
      </w:r>
      <w:r>
        <w:rPr>
          <w:rFonts w:hint="eastAsia" w:ascii="宋体" w:hAnsi="宋体" w:cs="宋体"/>
          <w:color w:val="auto"/>
          <w:kern w:val="0"/>
          <w:sz w:val="24"/>
          <w:lang w:eastAsia="zh-CN"/>
        </w:rPr>
        <w:t>运维费、中标服务费、资料费、税金、人员费用、差旅费等所有费用，并提供合同要求的有关成果材料，以及其它相关服务的全部费用</w:t>
      </w:r>
      <w:r>
        <w:rPr>
          <w:rFonts w:hint="eastAsia" w:ascii="宋体" w:hAnsi="宋体" w:cs="宋体"/>
          <w:color w:val="auto"/>
          <w:sz w:val="24"/>
          <w:lang w:val="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合同价款由甲方分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2.1.首期：合同签订生效后，根据乙方的付款申请，由甲方审查无误、签署同意后,向乙方指定银行账户支付合同服务费总金额的40%；</w:t>
      </w:r>
      <w:r>
        <w:rPr>
          <w:rFonts w:hint="eastAsia" w:ascii="宋体" w:hAnsi="宋体" w:cs="宋体"/>
          <w:color w:val="auto"/>
          <w:spacing w:val="0"/>
          <w:sz w:val="24"/>
        </w:rPr>
        <w:t>即人民币</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2.2.第2期：合同服务期满后15个工作日内，甲方对乙方的服务内容验收合格后，根据乙方的付款申请，由甲方审查无误、签署同意后，向乙方指定银行账户支付本合同服务费总金额的60%；</w:t>
      </w:r>
      <w:r>
        <w:rPr>
          <w:rFonts w:hint="eastAsia" w:ascii="宋体" w:hAnsi="宋体" w:cs="宋体"/>
          <w:color w:val="auto"/>
          <w:spacing w:val="0"/>
          <w:sz w:val="24"/>
        </w:rPr>
        <w:t>即人民币</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乙方银行账户信息：</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w:t>
      </w:r>
      <w:r>
        <w:rPr>
          <w:rFonts w:hint="eastAsia" w:ascii="宋体" w:hAnsi="宋体" w:cs="宋体"/>
          <w:b/>
          <w:bCs/>
          <w:color w:val="auto"/>
          <w:sz w:val="24"/>
          <w:lang w:val="en-US" w:eastAsia="zh-CN"/>
        </w:rPr>
        <w:t xml:space="preserve"> </w:t>
      </w:r>
      <w:r>
        <w:rPr>
          <w:rFonts w:hint="eastAsia" w:ascii="宋体" w:hAnsi="宋体" w:cs="宋体"/>
          <w:b/>
          <w:bCs/>
          <w:color w:val="auto"/>
          <w:sz w:val="24"/>
        </w:rPr>
        <w:t>合同提前终止</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（一）双方协商同意提前终止本合同的，按双方协商约定的方式进行清算执行。</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（三）有下列情形之一的，本合同自甲方向乙方发出书面通知之日起终止：</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甲方的职能发生转变，不再具有委托职能。</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本合同签订时适用的法律法规或政策发生变化，且对本合同的继续履行造成重大影响。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发生以上情形，甲方已向乙方支付的款项不退还，尚未支付的款项不再支付，同时乙方应向甲方提交在合同终止日前完成的所有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（四）如发生不可抗力或其他超出合同双方控制的事件，致使一方无法履行合同，本合同解除。</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发生不可抗力，甲乙双方承担各自的损失。由于其中一方迟延履行合同义务后发生不可抗力的，其违约责任不能免除。</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一</w:t>
      </w:r>
      <w:r>
        <w:rPr>
          <w:rFonts w:hint="eastAsia" w:ascii="宋体" w:hAnsi="宋体" w:cs="宋体"/>
          <w:b/>
          <w:bCs/>
          <w:color w:val="auto"/>
          <w:sz w:val="24"/>
        </w:rPr>
        <w:t>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在合同所约定的工作范畴内的服务，本合同价格不予变更</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三</w:t>
      </w:r>
      <w:r>
        <w:rPr>
          <w:rFonts w:hint="eastAsia" w:ascii="宋体" w:hAnsi="宋体" w:cs="宋体"/>
          <w:b/>
          <w:bCs/>
          <w:color w:val="auto"/>
          <w:sz w:val="24"/>
        </w:rPr>
        <w:t>条</w:t>
      </w:r>
      <w:r>
        <w:rPr>
          <w:rFonts w:hint="eastAsia" w:ascii="宋体" w:hAnsi="宋体" w:cs="宋体"/>
          <w:b/>
          <w:bCs/>
          <w:color w:val="auto"/>
          <w:sz w:val="24"/>
          <w:lang w:val="en-US" w:eastAsia="zh-CN"/>
        </w:rPr>
        <w:t xml:space="preserve"> </w:t>
      </w:r>
      <w:r>
        <w:rPr>
          <w:rFonts w:hint="eastAsia" w:ascii="宋体" w:hAnsi="宋体" w:cs="宋体"/>
          <w:b/>
          <w:bCs/>
          <w:color w:val="auto"/>
          <w:sz w:val="24"/>
        </w:rPr>
        <w:t>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eastAsia="zh-CN"/>
        </w:rPr>
        <w:t>QH2023</w:t>
      </w:r>
      <w:r>
        <w:rPr>
          <w:rFonts w:hint="eastAsia" w:ascii="宋体" w:hAnsi="宋体" w:cs="宋体"/>
          <w:color w:val="auto"/>
          <w:sz w:val="24"/>
          <w:lang w:val="en-US" w:eastAsia="zh-CN"/>
        </w:rPr>
        <w:t>125</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乙方因自身原因未按合同规定导致人员不能按时到位，每出现一天须支付给甲方按合同总价款的5‰作为违约金。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.本合同履行期间，发生下述情形时，</w:t>
      </w:r>
      <w:r>
        <w:rPr>
          <w:rFonts w:hint="eastAsia" w:ascii="宋体" w:hAnsi="宋体" w:cs="宋体"/>
          <w:color w:val="auto"/>
          <w:sz w:val="24"/>
          <w:lang w:val="en-US" w:eastAsia="zh-CN"/>
        </w:rPr>
        <w:t>甲方</w:t>
      </w:r>
      <w:r>
        <w:rPr>
          <w:rFonts w:hint="eastAsia" w:ascii="宋体" w:hAnsi="宋体" w:eastAsia="宋体" w:cs="宋体"/>
          <w:color w:val="auto"/>
          <w:sz w:val="24"/>
        </w:rPr>
        <w:t>有权解除本合同，</w:t>
      </w:r>
      <w:r>
        <w:rPr>
          <w:rFonts w:hint="eastAsia" w:ascii="宋体" w:hAnsi="宋体" w:cs="宋体"/>
          <w:sz w:val="24"/>
        </w:rPr>
        <w:t>甲</w:t>
      </w:r>
      <w:r>
        <w:rPr>
          <w:rFonts w:hint="eastAsia" w:ascii="宋体" w:hAnsi="宋体" w:cs="宋体"/>
          <w:sz w:val="24"/>
          <w:lang w:val="en-US" w:eastAsia="zh-CN"/>
        </w:rPr>
        <w:t>方</w:t>
      </w:r>
      <w:r>
        <w:rPr>
          <w:rFonts w:hint="eastAsia" w:ascii="宋体" w:hAnsi="宋体" w:cs="宋体"/>
          <w:sz w:val="24"/>
        </w:rPr>
        <w:t>按乙方实际服务期限及服务质量结算服务费用。甲方尚未支付的不再支付，且乙方</w:t>
      </w:r>
      <w:r>
        <w:rPr>
          <w:rFonts w:hint="eastAsia" w:ascii="宋体" w:hAnsi="宋体" w:eastAsia="宋体" w:cs="宋体"/>
          <w:color w:val="auto"/>
          <w:sz w:val="24"/>
        </w:rPr>
        <w:t>应在合同解除通知发出之日起</w:t>
      </w:r>
      <w:r>
        <w:rPr>
          <w:rFonts w:ascii="宋体" w:hAnsi="宋体" w:cs="宋体"/>
          <w:sz w:val="24"/>
        </w:rPr>
        <w:t>30</w:t>
      </w:r>
      <w:r>
        <w:rPr>
          <w:rFonts w:hint="eastAsia" w:ascii="宋体" w:hAnsi="宋体" w:cs="宋体"/>
          <w:sz w:val="24"/>
        </w:rPr>
        <w:t>个自然</w:t>
      </w:r>
      <w:r>
        <w:rPr>
          <w:rFonts w:hint="eastAsia" w:ascii="宋体" w:hAnsi="宋体" w:eastAsia="宋体" w:cs="宋体"/>
          <w:color w:val="auto"/>
          <w:sz w:val="24"/>
        </w:rPr>
        <w:t>日内向</w:t>
      </w:r>
      <w:r>
        <w:rPr>
          <w:rFonts w:hint="eastAsia" w:ascii="宋体" w:hAnsi="宋体" w:cs="宋体"/>
          <w:color w:val="auto"/>
          <w:sz w:val="24"/>
          <w:lang w:eastAsia="zh-CN"/>
        </w:rPr>
        <w:t>采购人</w:t>
      </w:r>
      <w:r>
        <w:rPr>
          <w:rFonts w:hint="eastAsia" w:ascii="宋体" w:hAnsi="宋体" w:eastAsia="宋体" w:cs="宋体"/>
          <w:color w:val="auto"/>
          <w:sz w:val="24"/>
        </w:rPr>
        <w:t>支付合同总价款20%的违约金。</w:t>
      </w:r>
      <w:r>
        <w:rPr>
          <w:rFonts w:hint="eastAsia" w:ascii="宋体" w:hAnsi="宋体" w:cs="宋体"/>
          <w:color w:val="auto"/>
          <w:sz w:val="24"/>
        </w:rPr>
        <w:t>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调配的人员不能满足本合同要求，造成工作进度延迟，工作成果质量低劣，经调配3次仍不能满足合同要求，或者乙方及乙方安排的服务人员提供的服务不符合本合同约定，且经甲方3次要求改进仍未符合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（2）乙方派驻非乙方员工驻场服务的；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（3）乙方派驻的服务人员不遵守甲方纪律、违反本合同约定，给甲方人员或者财产造成损失的；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（4）乙方不得将本项目非法分包或转包给任何单位和个人；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除因甲方付款审批影响支付进度的情况外，如甲方未按照本合同约定的时间支付服务费，乙方书面催告甲方并给予不少于5个工作日的履行期限后甲方仍未支付的，乙方有权自该期限届满之日起要求甲方支付该阶段应付而未付合同价款每日0.5‰的逾期违约金。如甲方无正当理由拒绝接受服务，到期明确表示拒付服务款项，乙方有权要求甲方支付本合同项下服务费总金额10%的违约金。</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cs="宋体"/>
          <w:sz w:val="24"/>
          <w:lang w:val="en-US" w:eastAsia="zh-CN"/>
        </w:rPr>
        <w:t>乙方违反本合同项下义务，给甲方造成损失的，甲方有权要求乙方赔偿全部损失。</w:t>
      </w:r>
      <w:r>
        <w:rPr>
          <w:rFonts w:hint="eastAsia" w:ascii="宋体" w:hAnsi="宋体" w:cs="宋体"/>
          <w:color w:val="auto"/>
          <w:sz w:val="24"/>
        </w:rPr>
        <w:t>上述违约责任各自独立且可累加。本合同所约定的违约金如低于因违约行为所造成的损失，违约方应补偿上述不足部分的损失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五</w:t>
      </w:r>
      <w:r>
        <w:rPr>
          <w:rFonts w:hint="eastAsia" w:ascii="宋体" w:hAnsi="宋体" w:cs="宋体"/>
          <w:b/>
          <w:bCs/>
          <w:color w:val="auto"/>
          <w:sz w:val="24"/>
        </w:rPr>
        <w:t>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w:t>
      </w:r>
      <w:r>
        <w:rPr>
          <w:rFonts w:hint="eastAsia" w:ascii="宋体" w:hAnsi="宋体" w:cs="宋体"/>
          <w:color w:val="auto"/>
          <w:sz w:val="24"/>
          <w:lang w:val="en-US" w:eastAsia="zh-CN"/>
        </w:rPr>
        <w:t>QH2023125</w:t>
      </w:r>
      <w:r>
        <w:rPr>
          <w:rFonts w:hint="eastAsia" w:ascii="宋体" w:hAnsi="宋体" w:cs="宋体"/>
          <w:color w:val="auto"/>
          <w:sz w:val="24"/>
        </w:rPr>
        <w:t>）及其澄清、补正公告；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本合同附件为合同不可分割的组成部分，与本合同一并加盖骑缝章后具有同等法律效力。若附件与合同正文有任何冲突，以合同正文为准。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如果本合同的任何条款在任何时候变成不合法、无效或不可强制执行而不从根本上影响本合同的效力时，本合同的其他条款不受影响。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en-US" w:eastAsia="zh-CN"/>
        </w:rPr>
        <w:t>.</w:t>
      </w:r>
      <w:r>
        <w:rPr>
          <w:rFonts w:hint="eastAsia" w:ascii="宋体" w:hAnsi="宋体" w:cs="宋体"/>
          <w:color w:val="auto"/>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lang w:val="en-US" w:eastAsia="zh-CN"/>
        </w:rPr>
        <w:t>.</w:t>
      </w:r>
      <w:r>
        <w:rPr>
          <w:rFonts w:hint="eastAsia" w:ascii="宋体" w:hAnsi="宋体" w:cs="宋体"/>
          <w:color w:val="auto"/>
          <w:sz w:val="24"/>
          <w:szCs w:val="24"/>
        </w:rPr>
        <w:t>任何一方未经另一方同意不得向任何第三方透露本合同的签订及其内容。甲方向其关联公司透露前述内容的，不受此限。</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val="en-US" w:eastAsia="zh-CN"/>
        </w:rPr>
        <w:t>.</w:t>
      </w:r>
      <w:r>
        <w:rPr>
          <w:rFonts w:hint="eastAsia" w:ascii="宋体" w:hAnsi="宋体" w:cs="宋体"/>
          <w:color w:val="auto"/>
          <w:sz w:val="24"/>
          <w:szCs w:val="24"/>
        </w:rPr>
        <w:t>本合同首部当事人联系方式和联系信息适用于双方往来联系、书面文件送达及争议解决时法律文书送达。因首部联系方式和联系信息错误或单方变更后未及时书面通知而无法送达的自交邮后第3日视为送达。</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.本合同自双方盖章、法定代表人或其授权代表签字之日起生效，有效期至本合同全部权利义务履行完毕之日止。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val="en-US" w:eastAsia="zh-CN"/>
        </w:rPr>
        <w:t>.</w:t>
      </w:r>
      <w:r>
        <w:rPr>
          <w:rFonts w:hint="eastAsia" w:ascii="宋体" w:hAnsi="宋体" w:cs="宋体"/>
          <w:color w:val="auto"/>
          <w:sz w:val="24"/>
        </w:rPr>
        <w:t>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wordWrap w:val="0"/>
        <w:jc w:val="right"/>
        <w:rPr>
          <w:rFonts w:hint="eastAsia" w:ascii="宋体" w:hAnsi="宋体" w:cs="宋体"/>
          <w:b/>
          <w:bCs/>
          <w:color w:val="auto"/>
          <w:sz w:val="24"/>
        </w:rPr>
      </w:pPr>
      <w:r>
        <w:rPr>
          <w:rFonts w:hint="eastAsia" w:ascii="宋体" w:hAnsi="宋体" w:cs="宋体"/>
          <w:b/>
          <w:bCs/>
          <w:color w:val="auto"/>
          <w:sz w:val="24"/>
        </w:rPr>
        <w:br w:type="page"/>
      </w:r>
    </w:p>
    <w:p>
      <w:pPr>
        <w:wordWrap w:val="0"/>
        <w:jc w:val="both"/>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附件</w:t>
      </w:r>
    </w:p>
    <w:p>
      <w:pPr>
        <w:wordWrap w:val="0"/>
        <w:jc w:val="right"/>
        <w:rPr>
          <w:rFonts w:hint="default" w:ascii="宋体" w:hAnsi="宋体" w:eastAsia="宋体"/>
          <w:b w:val="0"/>
          <w:bCs/>
          <w:sz w:val="24"/>
          <w:szCs w:val="24"/>
          <w:lang w:val="en-US" w:eastAsia="zh-CN"/>
        </w:rPr>
      </w:pPr>
      <w:r>
        <w:rPr>
          <w:rFonts w:hint="default" w:ascii="宋体" w:hAnsi="宋体"/>
          <w:b w:val="0"/>
          <w:bCs/>
          <w:sz w:val="24"/>
          <w:szCs w:val="24"/>
        </w:rPr>
        <w:t>协议编号：</w:t>
      </w:r>
      <w:r>
        <w:rPr>
          <w:rFonts w:hint="eastAsia" w:ascii="宋体" w:hAnsi="宋体"/>
          <w:b w:val="0"/>
          <w:bCs/>
          <w:sz w:val="24"/>
          <w:szCs w:val="24"/>
          <w:lang w:val="en-US" w:eastAsia="zh-CN"/>
        </w:rPr>
        <w:t xml:space="preserve">          </w:t>
      </w:r>
    </w:p>
    <w:p>
      <w:pPr>
        <w:jc w:val="center"/>
        <w:rPr>
          <w:rFonts w:hint="eastAsia" w:ascii="宋体" w:hAnsi="宋体"/>
          <w:b/>
          <w:sz w:val="24"/>
          <w:szCs w:val="24"/>
        </w:rPr>
      </w:pPr>
      <w:r>
        <w:rPr>
          <w:rFonts w:hint="eastAsia" w:ascii="宋体" w:hAnsi="宋体"/>
          <w:b/>
          <w:sz w:val="24"/>
          <w:szCs w:val="24"/>
        </w:rPr>
        <w:t>保 密 协 议</w:t>
      </w:r>
    </w:p>
    <w:p>
      <w:pPr>
        <w:jc w:val="center"/>
        <w:rPr>
          <w:rFonts w:ascii="宋体" w:hAnsi="宋体"/>
          <w:b/>
          <w:sz w:val="24"/>
          <w:szCs w:val="24"/>
        </w:rPr>
      </w:pPr>
    </w:p>
    <w:p>
      <w:pPr>
        <w:adjustRightInd w:val="0"/>
        <w:snapToGrid w:val="0"/>
        <w:spacing w:line="440" w:lineRule="exact"/>
        <w:rPr>
          <w:rFonts w:ascii="宋体" w:hAnsi="宋体"/>
          <w:sz w:val="24"/>
          <w:szCs w:val="24"/>
        </w:rPr>
      </w:pPr>
      <w:r>
        <w:rPr>
          <w:rFonts w:hint="eastAsia" w:ascii="宋体" w:hAnsi="宋体"/>
          <w:sz w:val="24"/>
          <w:szCs w:val="24"/>
        </w:rPr>
        <w:t>本协议双方为：</w:t>
      </w:r>
    </w:p>
    <w:p>
      <w:pPr>
        <w:autoSpaceDE w:val="0"/>
        <w:autoSpaceDN w:val="0"/>
        <w:adjustRightInd w:val="0"/>
        <w:snapToGrid w:val="0"/>
        <w:spacing w:line="440" w:lineRule="exact"/>
        <w:jc w:val="left"/>
        <w:rPr>
          <w:rFonts w:hint="eastAsia" w:ascii="宋体" w:hAnsi="宋体"/>
          <w:sz w:val="24"/>
          <w:szCs w:val="24"/>
        </w:rPr>
      </w:pPr>
      <w:r>
        <w:rPr>
          <w:rFonts w:ascii="宋体" w:hAnsi="宋体"/>
          <w:b/>
          <w:sz w:val="24"/>
          <w:szCs w:val="24"/>
        </w:rPr>
        <w:t xml:space="preserve">     </w:t>
      </w:r>
      <w:r>
        <w:rPr>
          <w:rFonts w:hint="eastAsia" w:ascii="宋体" w:hAnsi="宋体"/>
          <w:sz w:val="24"/>
          <w:szCs w:val="24"/>
        </w:rPr>
        <w:t>披露方：</w:t>
      </w:r>
      <w:r>
        <w:rPr>
          <w:rFonts w:hint="eastAsia" w:ascii="宋体" w:hAnsi="宋体"/>
          <w:sz w:val="24"/>
          <w:szCs w:val="24"/>
          <w:u w:val="single"/>
          <w:lang w:val="en-US" w:eastAsia="zh-CN"/>
        </w:rPr>
        <w:t xml:space="preserve">                                      </w:t>
      </w:r>
      <w:r>
        <w:rPr>
          <w:rFonts w:ascii="宋体" w:hAnsi="宋体"/>
          <w:sz w:val="24"/>
          <w:szCs w:val="24"/>
        </w:rPr>
        <w:t>(</w:t>
      </w:r>
      <w:r>
        <w:rPr>
          <w:rFonts w:hint="eastAsia" w:ascii="宋体" w:hAnsi="宋体"/>
          <w:sz w:val="24"/>
          <w:szCs w:val="24"/>
        </w:rPr>
        <w:t>包括其关联机构)，依照中华人民共和国法律成立，注册地址为</w:t>
      </w:r>
      <w:r>
        <w:rPr>
          <w:rFonts w:hint="eastAsia" w:ascii="宋体" w:hAnsi="宋体"/>
          <w:sz w:val="24"/>
          <w:szCs w:val="24"/>
          <w:u w:val="single"/>
          <w:lang w:val="en-US" w:eastAsia="zh-CN"/>
        </w:rPr>
        <w:t xml:space="preserve">                </w:t>
      </w:r>
      <w:r>
        <w:rPr>
          <w:rFonts w:hint="eastAsia" w:ascii="宋体" w:hAnsi="宋体"/>
          <w:sz w:val="24"/>
          <w:szCs w:val="24"/>
        </w:rPr>
        <w:t>（以下简称为“披露方”）；</w:t>
      </w:r>
    </w:p>
    <w:p>
      <w:pPr>
        <w:autoSpaceDE w:val="0"/>
        <w:autoSpaceDN w:val="0"/>
        <w:adjustRightInd w:val="0"/>
        <w:snapToGrid w:val="0"/>
        <w:spacing w:line="440" w:lineRule="exact"/>
        <w:jc w:val="left"/>
        <w:rPr>
          <w:rFonts w:ascii="宋体" w:hAnsi="宋体"/>
          <w:color w:val="FF0000"/>
          <w:sz w:val="24"/>
          <w:szCs w:val="24"/>
        </w:rPr>
      </w:pPr>
      <w:r>
        <w:rPr>
          <w:rFonts w:hint="eastAsia" w:ascii="宋体" w:hAnsi="宋体"/>
          <w:sz w:val="24"/>
          <w:szCs w:val="24"/>
        </w:rPr>
        <w:t xml:space="preserve">     接受方：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w:t>
      </w:r>
      <w:r>
        <w:rPr>
          <w:rFonts w:hint="eastAsia" w:ascii="宋体" w:hAnsi="宋体"/>
          <w:sz w:val="24"/>
          <w:szCs w:val="24"/>
        </w:rPr>
        <w:t>包括其关联机构)依照中华人民共和国法律成立，注册地址为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 xml:space="preserve"> </w:t>
      </w:r>
      <w:r>
        <w:rPr>
          <w:rFonts w:hint="eastAsia" w:ascii="宋体" w:hAnsi="宋体"/>
          <w:sz w:val="24"/>
          <w:szCs w:val="24"/>
        </w:rPr>
        <w:t>，(以下简称为“接受方”)。</w:t>
      </w:r>
    </w:p>
    <w:p>
      <w:pPr>
        <w:adjustRightInd w:val="0"/>
        <w:snapToGrid w:val="0"/>
        <w:spacing w:line="440" w:lineRule="exact"/>
        <w:rPr>
          <w:rFonts w:ascii="宋体" w:hAnsi="宋体"/>
          <w:sz w:val="24"/>
          <w:szCs w:val="24"/>
        </w:rPr>
      </w:pPr>
      <w:r>
        <w:rPr>
          <w:rFonts w:ascii="宋体" w:hAnsi="宋体"/>
          <w:sz w:val="24"/>
          <w:szCs w:val="24"/>
        </w:rPr>
        <w:t xml:space="preserve">   </w:t>
      </w:r>
    </w:p>
    <w:p>
      <w:pPr>
        <w:adjustRightInd w:val="0"/>
        <w:snapToGrid w:val="0"/>
        <w:spacing w:line="440" w:lineRule="exact"/>
        <w:rPr>
          <w:rFonts w:ascii="宋体" w:hAnsi="宋体"/>
          <w:sz w:val="24"/>
          <w:szCs w:val="24"/>
        </w:rPr>
      </w:pPr>
      <w:r>
        <w:rPr>
          <w:rFonts w:ascii="宋体" w:hAnsi="宋体"/>
          <w:sz w:val="24"/>
          <w:szCs w:val="24"/>
        </w:rPr>
        <w:t xml:space="preserve">     </w:t>
      </w:r>
      <w:r>
        <w:rPr>
          <w:rFonts w:hint="eastAsia" w:ascii="宋体" w:hAnsi="宋体"/>
          <w:sz w:val="24"/>
          <w:szCs w:val="24"/>
        </w:rPr>
        <w:t>鉴于双方已经建立或正在探求建立某种合作关系，披露方（“披露方</w:t>
      </w:r>
      <w:r>
        <w:rPr>
          <w:rFonts w:ascii="宋体" w:hAnsi="宋体"/>
          <w:sz w:val="24"/>
          <w:szCs w:val="24"/>
        </w:rPr>
        <w:t>”</w:t>
      </w:r>
      <w:r>
        <w:rPr>
          <w:rFonts w:hint="eastAsia" w:ascii="宋体" w:hAnsi="宋体"/>
          <w:sz w:val="24"/>
          <w:szCs w:val="24"/>
        </w:rPr>
        <w:t>）可能</w:t>
      </w:r>
      <w:r>
        <w:rPr>
          <w:rFonts w:hint="eastAsia" w:ascii="宋体" w:hAnsi="宋体"/>
          <w:color w:val="000000"/>
          <w:sz w:val="24"/>
          <w:szCs w:val="24"/>
        </w:rPr>
        <w:t>将</w:t>
      </w:r>
      <w:r>
        <w:rPr>
          <w:rFonts w:hint="eastAsia" w:ascii="宋体" w:hAnsi="宋体"/>
          <w:sz w:val="24"/>
          <w:szCs w:val="24"/>
        </w:rPr>
        <w:t>向</w:t>
      </w:r>
      <w:r>
        <w:rPr>
          <w:rFonts w:hint="eastAsia" w:ascii="宋体" w:hAnsi="宋体"/>
          <w:sz w:val="24"/>
          <w:szCs w:val="24"/>
          <w:u w:val="single"/>
          <w:lang w:val="en-US" w:eastAsia="zh-CN"/>
        </w:rPr>
        <w:t xml:space="preserve">                        </w:t>
      </w:r>
      <w:r>
        <w:rPr>
          <w:rFonts w:hint="eastAsia" w:ascii="宋体" w:hAnsi="宋体"/>
          <w:sz w:val="24"/>
          <w:szCs w:val="24"/>
        </w:rPr>
        <w:t>（“接受方”）透漏下述保密信息，双方同意并达成以下协议：</w:t>
      </w:r>
      <w:r>
        <w:rPr>
          <w:rFonts w:ascii="宋体" w:hAnsi="宋体"/>
          <w:sz w:val="24"/>
          <w:szCs w:val="24"/>
        </w:rPr>
        <w:tab/>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一、本协议适用于披露方在</w:t>
      </w:r>
      <w:r>
        <w:rPr>
          <w:rFonts w:hint="eastAsia" w:ascii="宋体" w:hAnsi="宋体"/>
          <w:color w:val="auto"/>
          <w:sz w:val="24"/>
          <w:szCs w:val="24"/>
          <w:u w:val="single"/>
        </w:rPr>
        <w:t>前海</w:t>
      </w:r>
      <w:r>
        <w:rPr>
          <w:rFonts w:hint="eastAsia" w:ascii="宋体" w:hAnsi="宋体"/>
          <w:color w:val="auto"/>
          <w:sz w:val="24"/>
          <w:szCs w:val="24"/>
          <w:u w:val="single"/>
          <w:lang w:val="en-US" w:eastAsia="zh-CN"/>
        </w:rPr>
        <w:t>公共服务综合信息系统驻场运维服务项目</w:t>
      </w:r>
      <w:r>
        <w:rPr>
          <w:rFonts w:hint="eastAsia" w:ascii="宋体" w:hAnsi="宋体"/>
          <w:color w:val="auto"/>
          <w:sz w:val="24"/>
          <w:szCs w:val="24"/>
        </w:rPr>
        <w:t>（以下简称为“本项目”）</w:t>
      </w:r>
      <w:r>
        <w:rPr>
          <w:rFonts w:hint="eastAsia" w:ascii="宋体" w:hAnsi="宋体"/>
          <w:sz w:val="24"/>
          <w:szCs w:val="24"/>
        </w:rPr>
        <w:t>合作中向接受方披露的保密信息。</w:t>
      </w:r>
    </w:p>
    <w:p>
      <w:pPr>
        <w:tabs>
          <w:tab w:val="left" w:pos="0"/>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根据本协议接受方不会向披露方透露任何其认为或被第三方认为是保密信息的任何形式的资料。所有接受方透露给披露方的资料将不被视为保密信息来持有和使用。</w:t>
      </w:r>
    </w:p>
    <w:p>
      <w:pPr>
        <w:tabs>
          <w:tab w:val="left" w:pos="0"/>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二、本协议中的“保密信息”是指：</w:t>
      </w:r>
    </w:p>
    <w:p>
      <w:pPr>
        <w:tabs>
          <w:tab w:val="left" w:pos="0"/>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 披露方在签订本协议之前或之后向接受方提供的、或接受方因磋商或合作而知悉、持有的披露方之技术、营运、业务或其他方面之资讯、资料或数据。</w:t>
      </w:r>
    </w:p>
    <w:p>
      <w:pPr>
        <w:tabs>
          <w:tab w:val="left" w:pos="0"/>
        </w:tabs>
        <w:adjustRightInd w:val="0"/>
        <w:snapToGrid w:val="0"/>
        <w:spacing w:line="440" w:lineRule="exact"/>
        <w:ind w:firstLine="480" w:firstLineChars="200"/>
        <w:rPr>
          <w:rFonts w:hint="eastAsia" w:ascii="宋体" w:hAnsi="宋体"/>
          <w:color w:val="000000"/>
          <w:sz w:val="24"/>
          <w:szCs w:val="24"/>
        </w:rPr>
      </w:pPr>
      <w:r>
        <w:rPr>
          <w:rFonts w:hint="eastAsia" w:ascii="宋体" w:hAnsi="宋体"/>
          <w:sz w:val="24"/>
          <w:szCs w:val="24"/>
        </w:rPr>
        <w:t>2. 保密信息</w:t>
      </w:r>
      <w:r>
        <w:rPr>
          <w:rFonts w:hint="eastAsia" w:ascii="宋体" w:hAnsi="宋体"/>
          <w:color w:val="000000"/>
          <w:sz w:val="24"/>
          <w:szCs w:val="24"/>
        </w:rPr>
        <w:t>包括但不限于</w:t>
      </w:r>
      <w:r>
        <w:rPr>
          <w:rFonts w:hint="eastAsia" w:ascii="宋体" w:hAnsi="宋体"/>
          <w:sz w:val="24"/>
          <w:szCs w:val="24"/>
        </w:rPr>
        <w:t>披露方</w:t>
      </w:r>
      <w:r>
        <w:rPr>
          <w:rFonts w:hint="eastAsia" w:ascii="宋体" w:hAnsi="宋体"/>
          <w:color w:val="000000"/>
          <w:sz w:val="24"/>
          <w:szCs w:val="24"/>
        </w:rPr>
        <w:t>之营业秘密、商务机密、与技术有关之知识及信息、创意、设想、方案、提供物品或厂商资料、客户资料、人事资料、商业计划、促销及行销活动、财务状况及其他商务活动等。</w:t>
      </w:r>
      <w:r>
        <w:rPr>
          <w:rFonts w:hint="eastAsia" w:ascii="宋体" w:hAnsi="宋体"/>
          <w:sz w:val="24"/>
          <w:szCs w:val="24"/>
        </w:rPr>
        <w:t>保密信息</w:t>
      </w:r>
      <w:r>
        <w:rPr>
          <w:rFonts w:hint="eastAsia" w:ascii="宋体" w:hAnsi="宋体"/>
          <w:color w:val="000000"/>
          <w:sz w:val="24"/>
          <w:szCs w:val="24"/>
        </w:rPr>
        <w:t>呈现之形式及载体包括但不限于书面或口头、文件、磁盘、磁盘片、光盘片、电子邮件、电磁纪录、报告、文字往来、录音带、录像带、笔记、图纸、模型、规格说明、汇编文件、计算机程序及其他媒体。</w:t>
      </w:r>
    </w:p>
    <w:p>
      <w:pPr>
        <w:tabs>
          <w:tab w:val="left" w:pos="0"/>
        </w:tabs>
        <w:adjustRightInd w:val="0"/>
        <w:snapToGrid w:val="0"/>
        <w:spacing w:line="440" w:lineRule="exact"/>
        <w:ind w:firstLine="480" w:firstLineChars="200"/>
        <w:rPr>
          <w:rFonts w:ascii="宋体" w:hAnsi="宋体"/>
          <w:sz w:val="24"/>
          <w:szCs w:val="24"/>
        </w:rPr>
      </w:pPr>
      <w:r>
        <w:rPr>
          <w:rFonts w:hint="eastAsia" w:ascii="宋体" w:hAnsi="宋体"/>
          <w:sz w:val="24"/>
          <w:szCs w:val="24"/>
        </w:rPr>
        <w:t>三、本协议中的“保密信息”不包括：</w:t>
      </w:r>
    </w:p>
    <w:p>
      <w:pPr>
        <w:tabs>
          <w:tab w:val="left" w:pos="0"/>
        </w:tabs>
        <w:adjustRightInd w:val="0"/>
        <w:snapToGrid w:val="0"/>
        <w:spacing w:line="440" w:lineRule="exact"/>
        <w:rPr>
          <w:rFonts w:ascii="宋体" w:hAnsi="宋体"/>
          <w:sz w:val="24"/>
          <w:szCs w:val="24"/>
        </w:rPr>
      </w:pPr>
      <w:r>
        <w:rPr>
          <w:rFonts w:ascii="宋体" w:hAnsi="宋体"/>
          <w:sz w:val="24"/>
          <w:szCs w:val="24"/>
        </w:rPr>
        <w:t xml:space="preserve">    1</w:t>
      </w:r>
      <w:r>
        <w:rPr>
          <w:rFonts w:hint="eastAsia" w:ascii="宋体" w:hAnsi="宋体"/>
          <w:sz w:val="24"/>
          <w:szCs w:val="24"/>
        </w:rPr>
        <w:t>. 任何已出版的或以其他形式处于公有领域的信息，以及在披露时接受方通过其他合法途径已获得的信息。</w:t>
      </w:r>
    </w:p>
    <w:p>
      <w:pPr>
        <w:tabs>
          <w:tab w:val="left" w:pos="0"/>
        </w:tabs>
        <w:adjustRightInd w:val="0"/>
        <w:snapToGrid w:val="0"/>
        <w:spacing w:line="440" w:lineRule="exact"/>
        <w:ind w:firstLine="468"/>
        <w:rPr>
          <w:rFonts w:hint="eastAsia" w:ascii="宋体" w:hAnsi="宋体"/>
          <w:sz w:val="24"/>
          <w:szCs w:val="24"/>
        </w:rPr>
      </w:pPr>
      <w:r>
        <w:rPr>
          <w:rFonts w:ascii="宋体" w:hAnsi="宋体"/>
          <w:sz w:val="24"/>
          <w:szCs w:val="24"/>
        </w:rPr>
        <w:t>2</w:t>
      </w:r>
      <w:r>
        <w:rPr>
          <w:rFonts w:hint="eastAsia" w:ascii="宋体" w:hAnsi="宋体"/>
          <w:sz w:val="24"/>
          <w:szCs w:val="24"/>
        </w:rPr>
        <w:t>. 接受方在从披露方获得这些信息前已获得的信息，并且没有附加不准使用和透漏的限制。</w:t>
      </w:r>
    </w:p>
    <w:p>
      <w:pPr>
        <w:tabs>
          <w:tab w:val="left" w:pos="0"/>
        </w:tabs>
        <w:adjustRightInd w:val="0"/>
        <w:snapToGrid w:val="0"/>
        <w:spacing w:line="440" w:lineRule="exact"/>
        <w:ind w:firstLine="468"/>
        <w:rPr>
          <w:rFonts w:hint="eastAsia" w:ascii="宋体" w:hAnsi="宋体"/>
          <w:sz w:val="24"/>
          <w:szCs w:val="24"/>
        </w:rPr>
      </w:pPr>
      <w:r>
        <w:rPr>
          <w:rFonts w:hint="eastAsia" w:ascii="宋体" w:hAnsi="宋体"/>
          <w:sz w:val="24"/>
          <w:szCs w:val="24"/>
        </w:rPr>
        <w:t>3. 由第三方在不侵犯他人权利及不违反与他人的保密义务的前提下提供给接受方的信息，并且没有附加不准使用和透漏的限制。</w:t>
      </w:r>
    </w:p>
    <w:p>
      <w:pPr>
        <w:tabs>
          <w:tab w:val="left" w:pos="0"/>
        </w:tabs>
        <w:adjustRightInd w:val="0"/>
        <w:snapToGrid w:val="0"/>
        <w:spacing w:line="440" w:lineRule="exact"/>
        <w:ind w:firstLine="468"/>
        <w:rPr>
          <w:rFonts w:ascii="宋体" w:hAnsi="宋体"/>
          <w:sz w:val="24"/>
          <w:szCs w:val="24"/>
        </w:rPr>
      </w:pPr>
      <w:r>
        <w:rPr>
          <w:rFonts w:hint="eastAsia" w:ascii="宋体" w:hAnsi="宋体"/>
          <w:sz w:val="24"/>
          <w:szCs w:val="24"/>
        </w:rPr>
        <w:t>4. 能够证明是由接受方独立开发的信息。</w:t>
      </w:r>
    </w:p>
    <w:p>
      <w:pPr>
        <w:tabs>
          <w:tab w:val="left" w:pos="0"/>
        </w:tabs>
        <w:adjustRightInd w:val="0"/>
        <w:snapToGrid w:val="0"/>
        <w:spacing w:line="440" w:lineRule="exact"/>
        <w:ind w:firstLine="468"/>
        <w:rPr>
          <w:rFonts w:hint="eastAsia" w:ascii="宋体" w:hAnsi="宋体"/>
          <w:sz w:val="24"/>
          <w:szCs w:val="24"/>
        </w:rPr>
      </w:pPr>
      <w:r>
        <w:rPr>
          <w:rFonts w:ascii="宋体" w:hAnsi="宋体"/>
          <w:sz w:val="24"/>
          <w:szCs w:val="24"/>
        </w:rPr>
        <w:t>5</w:t>
      </w:r>
      <w:r>
        <w:rPr>
          <w:rFonts w:hint="eastAsia" w:ascii="宋体" w:hAnsi="宋体"/>
          <w:sz w:val="24"/>
          <w:szCs w:val="24"/>
        </w:rPr>
        <w:t>. 事先有披露方的书面允许不予保密的信息。</w:t>
      </w:r>
      <w:r>
        <w:rPr>
          <w:rFonts w:ascii="宋体" w:hAnsi="宋体"/>
          <w:sz w:val="24"/>
          <w:szCs w:val="24"/>
        </w:rPr>
        <w:t xml:space="preserve"> </w:t>
      </w:r>
    </w:p>
    <w:p>
      <w:pPr>
        <w:tabs>
          <w:tab w:val="left" w:pos="0"/>
        </w:tabs>
        <w:adjustRightInd w:val="0"/>
        <w:snapToGrid w:val="0"/>
        <w:spacing w:line="440" w:lineRule="exact"/>
        <w:ind w:firstLine="468"/>
        <w:rPr>
          <w:rFonts w:hint="eastAsia" w:ascii="宋体" w:hAnsi="宋体"/>
          <w:sz w:val="24"/>
          <w:szCs w:val="24"/>
        </w:rPr>
      </w:pPr>
      <w:r>
        <w:rPr>
          <w:rFonts w:hint="eastAsia" w:ascii="宋体" w:hAnsi="宋体"/>
          <w:sz w:val="24"/>
          <w:szCs w:val="24"/>
        </w:rPr>
        <w:t>四、接受方同意只在本项目合作的目的范围内使用披露方的保密信息。接受方的义务及限制有：</w:t>
      </w:r>
    </w:p>
    <w:p>
      <w:pPr>
        <w:tabs>
          <w:tab w:val="left" w:pos="397"/>
          <w:tab w:val="left" w:pos="425"/>
        </w:tabs>
        <w:adjustRightInd w:val="0"/>
        <w:snapToGrid w:val="0"/>
        <w:spacing w:line="440" w:lineRule="exact"/>
        <w:ind w:firstLine="480" w:firstLineChars="200"/>
        <w:rPr>
          <w:rFonts w:hint="eastAsia" w:ascii="宋体" w:hAnsi="宋体"/>
          <w:color w:val="000000"/>
          <w:sz w:val="24"/>
          <w:szCs w:val="24"/>
        </w:rPr>
      </w:pPr>
      <w:r>
        <w:rPr>
          <w:rFonts w:ascii="宋体" w:hAnsi="宋体"/>
          <w:sz w:val="24"/>
          <w:szCs w:val="24"/>
        </w:rPr>
        <w:t>1</w:t>
      </w:r>
      <w:r>
        <w:rPr>
          <w:rFonts w:hint="eastAsia" w:ascii="宋体" w:hAnsi="宋体"/>
          <w:sz w:val="24"/>
          <w:szCs w:val="24"/>
        </w:rPr>
        <w:t xml:space="preserve">. </w:t>
      </w:r>
      <w:r>
        <w:rPr>
          <w:rFonts w:hint="eastAsia" w:ascii="宋体" w:hAnsi="宋体"/>
          <w:color w:val="000000"/>
          <w:sz w:val="24"/>
          <w:szCs w:val="24"/>
        </w:rPr>
        <w:t>除经披露方事前书面同意外，</w:t>
      </w:r>
      <w:r>
        <w:rPr>
          <w:rFonts w:hint="eastAsia" w:ascii="宋体" w:hAnsi="宋体"/>
          <w:sz w:val="24"/>
          <w:szCs w:val="24"/>
        </w:rPr>
        <w:t>接受方</w:t>
      </w:r>
      <w:r>
        <w:rPr>
          <w:rFonts w:hint="eastAsia" w:ascii="宋体" w:hAnsi="宋体"/>
          <w:color w:val="000000"/>
          <w:sz w:val="24"/>
          <w:szCs w:val="24"/>
        </w:rPr>
        <w:t>不得以任何其他目的或用途为由，直接或间接编排、修改、利用、应用、开发、或以其他任何方式使用</w:t>
      </w:r>
      <w:r>
        <w:rPr>
          <w:rFonts w:hint="eastAsia" w:ascii="宋体" w:hAnsi="宋体"/>
          <w:sz w:val="24"/>
          <w:szCs w:val="24"/>
        </w:rPr>
        <w:t>保密信息</w:t>
      </w:r>
      <w:r>
        <w:rPr>
          <w:rFonts w:hint="eastAsia" w:ascii="宋体" w:hAnsi="宋体"/>
          <w:color w:val="000000"/>
          <w:sz w:val="24"/>
          <w:szCs w:val="24"/>
        </w:rPr>
        <w:t>。不论因何种原因，接受方不应反向工程、解码或分解披露方的原型、软件等。</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color w:val="000000"/>
          <w:sz w:val="24"/>
          <w:szCs w:val="24"/>
        </w:rPr>
        <w:t xml:space="preserve">2. </w:t>
      </w:r>
      <w:r>
        <w:rPr>
          <w:rFonts w:hint="eastAsia" w:ascii="宋体" w:hAnsi="宋体"/>
          <w:sz w:val="24"/>
          <w:szCs w:val="24"/>
        </w:rPr>
        <w:t>接受方应采取足够的措施，保护披露方的保密信息，不将披露方的保密信息向任何第三方公开、转让、许可，也不以其他方式让无权接触该信息的单位或个人接触该信息。</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3. 如为本合作的目的确实需要向第三方透露披露方的保密信息，接受方需事先得到披露方的书面许可，并与该第三方签订保密协议。</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4. 接受方只限于把保密信息提供给在共同目的下有必要知道此信息的接受方的高级职员、雇员及专业顾问，而不应将此保密信息向其他人士或组织透露；接受方应确保上述职员、雇员、及顾问等亦遵守本协议所规定之保密义务，若前述人员有违反本协议规定之情况，即视为接受方之违约行为，违约方应赔偿未违约方因此所受之损害及所失之利益。</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5. 如果双方经探讨后未建立合作关系，则接受方不能以任何形式使用披露方的保密信息。</w:t>
      </w:r>
    </w:p>
    <w:p>
      <w:pPr>
        <w:tabs>
          <w:tab w:val="left" w:pos="397"/>
          <w:tab w:val="left" w:pos="425"/>
        </w:tabs>
        <w:adjustRightInd w:val="0"/>
        <w:snapToGrid w:val="0"/>
        <w:spacing w:line="440" w:lineRule="exact"/>
        <w:ind w:firstLine="480" w:firstLineChars="200"/>
        <w:rPr>
          <w:rFonts w:hint="eastAsia" w:ascii="宋体" w:hAnsi="宋体"/>
          <w:color w:val="000000"/>
          <w:sz w:val="24"/>
          <w:szCs w:val="24"/>
        </w:rPr>
      </w:pPr>
      <w:r>
        <w:rPr>
          <w:rFonts w:hint="eastAsia" w:ascii="宋体" w:hAnsi="宋体"/>
          <w:sz w:val="24"/>
          <w:szCs w:val="24"/>
        </w:rPr>
        <w:t xml:space="preserve">6. </w:t>
      </w:r>
      <w:r>
        <w:rPr>
          <w:rFonts w:hint="eastAsia" w:ascii="宋体" w:hAnsi="宋体"/>
          <w:color w:val="000000"/>
          <w:sz w:val="24"/>
          <w:szCs w:val="24"/>
        </w:rPr>
        <w:t>除本协议书另有规定外，双方就彼此间的合作关系或</w:t>
      </w:r>
      <w:r>
        <w:rPr>
          <w:rFonts w:hint="eastAsia" w:ascii="宋体" w:hAnsi="宋体"/>
          <w:sz w:val="24"/>
          <w:szCs w:val="24"/>
        </w:rPr>
        <w:t>保密信息</w:t>
      </w:r>
      <w:r>
        <w:rPr>
          <w:rFonts w:hint="eastAsia" w:ascii="宋体" w:hAnsi="宋体"/>
          <w:color w:val="000000"/>
          <w:sz w:val="24"/>
          <w:szCs w:val="24"/>
        </w:rPr>
        <w:t>进行的任何协商、讨论或谈判、任何拟定之安排或协议，任何正在协商、谈判中的经营或运作计划，或与前述协商、讨论、谈判、安排或协议相关的任何其他资料，均应视为</w:t>
      </w:r>
      <w:r>
        <w:rPr>
          <w:rFonts w:hint="eastAsia" w:ascii="宋体" w:hAnsi="宋体"/>
          <w:sz w:val="24"/>
          <w:szCs w:val="24"/>
        </w:rPr>
        <w:t>保密信息</w:t>
      </w:r>
      <w:r>
        <w:rPr>
          <w:rFonts w:hint="eastAsia" w:ascii="宋体" w:hAnsi="宋体"/>
          <w:color w:val="000000"/>
          <w:sz w:val="24"/>
          <w:szCs w:val="24"/>
        </w:rPr>
        <w:t>，并依本协议规定保守其机密性。未经披露方书面同意，接受方不得以任何直接或间接方式提供或透露前述</w:t>
      </w:r>
      <w:r>
        <w:rPr>
          <w:rFonts w:hint="eastAsia" w:ascii="宋体" w:hAnsi="宋体"/>
          <w:sz w:val="24"/>
          <w:szCs w:val="24"/>
        </w:rPr>
        <w:t>保密信息</w:t>
      </w:r>
      <w:r>
        <w:rPr>
          <w:rFonts w:hint="eastAsia" w:ascii="宋体" w:hAnsi="宋体"/>
          <w:color w:val="000000"/>
          <w:sz w:val="24"/>
          <w:szCs w:val="24"/>
        </w:rPr>
        <w:t>予媒体、公众或任何其他第三方。</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7. 如果接受方根据法律程序或行政要求必须披露保密信息，接受方应事先通知披露方，并协助披露方采取必要的保护措施，防止或限制保密信息的进一步扩散。</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五、保密信息的所有权及归还：</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 接受方承认披露方的保密信息始终为披露方的资产，而此保密信息的披露并不得视为披露方已将保密信息的权利授予接受方，且披露方并不保证其披露的保密信息未侵犯第三方的专利权、商标权版权或其他权利。</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ascii="宋体" w:hAnsi="宋体"/>
          <w:sz w:val="24"/>
          <w:szCs w:val="24"/>
        </w:rPr>
        <w:t xml:space="preserve">2. </w:t>
      </w:r>
      <w:r>
        <w:rPr>
          <w:rFonts w:hint="eastAsia" w:ascii="宋体" w:hAnsi="宋体"/>
          <w:sz w:val="24"/>
          <w:szCs w:val="24"/>
        </w:rPr>
        <w:t>在合作关系未建立或终止，或根据披露方的要求，接受方应即时返还或销毁所有根据本协议所接受的披露方的保密信息（包括但不限于以任何形式存在的保密信息的原件、复印件、复制品和对保密信息的概述摘要），并向披露方提供已经返还或销毁的书面确认。</w:t>
      </w:r>
    </w:p>
    <w:p>
      <w:pPr>
        <w:tabs>
          <w:tab w:val="left" w:pos="397"/>
          <w:tab w:val="left" w:pos="425"/>
        </w:tabs>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六、有效期间：</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本协议自双方签字盖章之日起生效。本协议中约定的保密义务一直有效，出现本协议第三条情况下除外。</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七、修订：</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本协议包含双方关于此事项的全部约定。双方在此之前达成的任何口头或书面的协议或约定，如果与本协议冲突，则以本协议内容为准。本协议的任何修改须以书面方式做出并经双方法定代表人的授权代表签字盖章才能生效。</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八、可分性：</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披露方未行使、迟延行使或部分行使其权利，并不意味该权利被放弃；某一权利不行使并不意味着其他权利被放弃。如果本协议任何条款经法院判决或经仲裁机构裁决无效，其他条款继续有效。</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九、违约责任：</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如果接受方违反本协议，披露方有权要求接受方赔偿全部实际及预期损失，并可要求接受方采取其他必要的补救措施。</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十、通知；</w:t>
      </w:r>
    </w:p>
    <w:p>
      <w:pPr>
        <w:spacing w:line="300" w:lineRule="auto"/>
        <w:ind w:firstLine="480" w:firstLineChars="200"/>
        <w:rPr>
          <w:rFonts w:hint="eastAsia" w:ascii="宋体" w:hAnsi="宋体"/>
          <w:sz w:val="24"/>
          <w:szCs w:val="24"/>
        </w:rPr>
      </w:pPr>
      <w:r>
        <w:rPr>
          <w:rFonts w:hint="eastAsia" w:ascii="宋体" w:hAnsi="宋体"/>
          <w:sz w:val="24"/>
          <w:szCs w:val="24"/>
        </w:rPr>
        <w:t>依本协议作的所有通知、要求、或其他通信均应以书面形式发出。上述文件须以本协议上述的地址，或经一方通知指定的其他地址发出。双方的书面往来在如下时间视为收到：　(a)通过送信人或邮件或电子副本（传真）递送之时，　或(b)以索取回执，邮资预付的挂号信方式送递的，发送三天之后，或(c)以任何其他方式递送实际收到之时。</w:t>
      </w:r>
    </w:p>
    <w:p>
      <w:pPr>
        <w:spacing w:line="300" w:lineRule="auto"/>
        <w:ind w:firstLine="480" w:firstLineChars="200"/>
        <w:rPr>
          <w:rFonts w:hint="eastAsia" w:ascii="宋体" w:hAnsi="宋体"/>
          <w:sz w:val="24"/>
          <w:szCs w:val="24"/>
        </w:rPr>
      </w:pPr>
      <w:r>
        <w:rPr>
          <w:rFonts w:hint="eastAsia" w:ascii="宋体" w:hAnsi="宋体"/>
          <w:sz w:val="24"/>
          <w:szCs w:val="24"/>
        </w:rPr>
        <w:t>十一、争议解决：</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与本协议有关的任何纠纷或争议应通过友好协商解决。如不能协商解决，双方均可向深圳前海合作区人民法院起诉。</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十二、其他：</w:t>
      </w:r>
    </w:p>
    <w:p>
      <w:pPr>
        <w:spacing w:line="300" w:lineRule="auto"/>
        <w:rPr>
          <w:rFonts w:hint="eastAsia" w:ascii="宋体" w:hAnsi="宋体"/>
          <w:sz w:val="24"/>
          <w:szCs w:val="24"/>
        </w:rPr>
      </w:pPr>
      <w:r>
        <w:rPr>
          <w:rFonts w:hint="eastAsia" w:ascii="宋体" w:hAnsi="宋体"/>
          <w:sz w:val="24"/>
          <w:szCs w:val="24"/>
        </w:rPr>
        <w:t>本协议一式两份，双方各执一份，具有同等法律效力。（以下无正文）</w:t>
      </w:r>
    </w:p>
    <w:p>
      <w:pPr>
        <w:tabs>
          <w:tab w:val="left" w:pos="360"/>
          <w:tab w:val="left" w:pos="425"/>
        </w:tabs>
        <w:adjustRightInd w:val="0"/>
        <w:snapToGrid w:val="0"/>
        <w:spacing w:line="440" w:lineRule="exact"/>
        <w:ind w:left="360" w:hanging="360"/>
        <w:rPr>
          <w:rFonts w:ascii="宋体" w:hAnsi="宋体"/>
          <w:sz w:val="24"/>
          <w:szCs w:val="24"/>
        </w:rPr>
      </w:pPr>
    </w:p>
    <w:p>
      <w:pPr>
        <w:adjustRightInd w:val="0"/>
        <w:snapToGrid w:val="0"/>
        <w:spacing w:line="440" w:lineRule="exact"/>
        <w:rPr>
          <w:rFonts w:ascii="宋体" w:hAnsi="宋体"/>
          <w:b/>
          <w:sz w:val="24"/>
          <w:szCs w:val="24"/>
        </w:rPr>
      </w:pPr>
      <w:r>
        <w:rPr>
          <w:rFonts w:hint="eastAsia" w:ascii="宋体" w:hAnsi="宋体"/>
          <w:b/>
          <w:sz w:val="24"/>
          <w:szCs w:val="24"/>
        </w:rPr>
        <w:t>披露方：</w:t>
      </w:r>
      <w:r>
        <w:rPr>
          <w:rFonts w:hint="default" w:ascii="宋体" w:hAnsi="宋体"/>
          <w:sz w:val="24"/>
          <w:szCs w:val="24"/>
          <w:u w:val="none"/>
        </w:rPr>
        <w:t>深圳市前海深港现代服务业合作区管理局</w:t>
      </w:r>
      <w:r>
        <w:rPr>
          <w:rFonts w:ascii="宋体" w:hAnsi="宋体"/>
          <w:b/>
          <w:sz w:val="24"/>
          <w:szCs w:val="24"/>
        </w:rPr>
        <w:t xml:space="preserve">  </w:t>
      </w:r>
    </w:p>
    <w:p>
      <w:pPr>
        <w:adjustRightInd w:val="0"/>
        <w:snapToGrid w:val="0"/>
        <w:spacing w:line="440" w:lineRule="exact"/>
        <w:rPr>
          <w:rFonts w:hint="eastAsia" w:ascii="宋体" w:hAnsi="宋体"/>
          <w:b/>
          <w:sz w:val="24"/>
          <w:szCs w:val="24"/>
        </w:rPr>
      </w:pPr>
      <w:r>
        <w:rPr>
          <w:rFonts w:ascii="宋体" w:hAnsi="宋体"/>
          <w:b/>
          <w:sz w:val="24"/>
          <w:szCs w:val="24"/>
        </w:rPr>
        <w:t xml:space="preserve">                </w:t>
      </w:r>
    </w:p>
    <w:p>
      <w:pPr>
        <w:adjustRightInd w:val="0"/>
        <w:snapToGrid w:val="0"/>
        <w:spacing w:line="440" w:lineRule="exact"/>
        <w:rPr>
          <w:rFonts w:ascii="宋体" w:hAnsi="宋体"/>
          <w:b/>
          <w:sz w:val="24"/>
          <w:szCs w:val="24"/>
        </w:rPr>
      </w:pPr>
      <w:r>
        <w:rPr>
          <w:rFonts w:hint="default" w:ascii="宋体" w:hAnsi="宋体"/>
          <w:b/>
          <w:sz w:val="24"/>
          <w:szCs w:val="24"/>
        </w:rPr>
        <w:t>法定代表人或</w:t>
      </w:r>
      <w:r>
        <w:rPr>
          <w:rFonts w:hint="eastAsia" w:ascii="宋体" w:hAnsi="宋体"/>
          <w:b/>
          <w:sz w:val="24"/>
          <w:szCs w:val="24"/>
        </w:rPr>
        <w:t>授权代表：</w:t>
      </w:r>
      <w:r>
        <w:rPr>
          <w:rFonts w:ascii="宋体" w:hAnsi="宋体"/>
          <w:b/>
          <w:sz w:val="24"/>
          <w:szCs w:val="24"/>
        </w:rPr>
        <w:t xml:space="preserve">  </w:t>
      </w:r>
    </w:p>
    <w:p>
      <w:pPr>
        <w:adjustRightInd w:val="0"/>
        <w:snapToGrid w:val="0"/>
        <w:spacing w:line="440" w:lineRule="exact"/>
        <w:rPr>
          <w:rFonts w:ascii="宋体" w:hAnsi="宋体"/>
          <w:b/>
          <w:sz w:val="24"/>
          <w:szCs w:val="24"/>
        </w:rPr>
      </w:pPr>
      <w:r>
        <w:rPr>
          <w:rFonts w:ascii="宋体" w:hAnsi="宋体"/>
          <w:b/>
          <w:sz w:val="24"/>
          <w:szCs w:val="24"/>
        </w:rPr>
        <w:t xml:space="preserve">                         </w:t>
      </w:r>
      <w:r>
        <w:rPr>
          <w:rFonts w:hint="eastAsia" w:ascii="宋体" w:hAnsi="宋体"/>
          <w:b/>
          <w:sz w:val="24"/>
          <w:szCs w:val="24"/>
        </w:rPr>
        <w:t xml:space="preserve"> </w:t>
      </w:r>
    </w:p>
    <w:p>
      <w:pPr>
        <w:adjustRightInd w:val="0"/>
        <w:snapToGrid w:val="0"/>
        <w:spacing w:line="440" w:lineRule="exact"/>
        <w:rPr>
          <w:rFonts w:ascii="宋体" w:hAnsi="宋体"/>
          <w:b/>
          <w:sz w:val="24"/>
          <w:szCs w:val="24"/>
        </w:rPr>
      </w:pPr>
      <w:r>
        <w:rPr>
          <w:rFonts w:hint="eastAsia" w:ascii="宋体" w:hAnsi="宋体"/>
          <w:b/>
          <w:sz w:val="24"/>
          <w:szCs w:val="24"/>
        </w:rPr>
        <w:t>日期</w:t>
      </w:r>
      <w:r>
        <w:rPr>
          <w:rFonts w:ascii="宋体" w:hAnsi="宋体"/>
          <w:b/>
          <w:sz w:val="24"/>
          <w:szCs w:val="24"/>
        </w:rPr>
        <w:t xml:space="preserve">:                              </w:t>
      </w:r>
      <w:r>
        <w:rPr>
          <w:rFonts w:hint="eastAsia" w:ascii="宋体" w:hAnsi="宋体"/>
          <w:b/>
          <w:sz w:val="24"/>
          <w:szCs w:val="24"/>
        </w:rPr>
        <w:t xml:space="preserve">   </w:t>
      </w:r>
    </w:p>
    <w:p>
      <w:pPr>
        <w:adjustRightInd w:val="0"/>
        <w:snapToGrid w:val="0"/>
        <w:spacing w:line="440" w:lineRule="exact"/>
        <w:rPr>
          <w:rFonts w:hint="eastAsia" w:ascii="宋体" w:hAnsi="宋体"/>
          <w:sz w:val="24"/>
          <w:szCs w:val="24"/>
        </w:rPr>
      </w:pPr>
    </w:p>
    <w:p>
      <w:pPr>
        <w:adjustRightInd w:val="0"/>
        <w:snapToGrid w:val="0"/>
        <w:spacing w:line="440" w:lineRule="exact"/>
        <w:rPr>
          <w:rFonts w:hint="eastAsia" w:ascii="宋体" w:hAnsi="宋体"/>
          <w:sz w:val="24"/>
          <w:szCs w:val="24"/>
        </w:rPr>
      </w:pPr>
    </w:p>
    <w:p>
      <w:pPr>
        <w:adjustRightInd w:val="0"/>
        <w:snapToGrid w:val="0"/>
        <w:spacing w:line="440" w:lineRule="exact"/>
        <w:rPr>
          <w:rFonts w:hint="eastAsia" w:ascii="宋体" w:hAnsi="宋体"/>
          <w:b w:val="0"/>
          <w:bCs/>
          <w:sz w:val="24"/>
          <w:szCs w:val="24"/>
          <w:lang w:val="en-US" w:eastAsia="zh-CN"/>
        </w:rPr>
      </w:pPr>
      <w:r>
        <w:rPr>
          <w:rFonts w:hint="eastAsia" w:ascii="宋体" w:hAnsi="宋体"/>
          <w:b/>
          <w:sz w:val="24"/>
          <w:szCs w:val="24"/>
        </w:rPr>
        <w:t>接受方：</w:t>
      </w:r>
    </w:p>
    <w:p>
      <w:pPr>
        <w:adjustRightInd w:val="0"/>
        <w:snapToGrid w:val="0"/>
        <w:spacing w:line="440" w:lineRule="exact"/>
        <w:rPr>
          <w:rFonts w:hint="default" w:ascii="宋体" w:hAnsi="宋体"/>
          <w:b w:val="0"/>
          <w:bCs/>
          <w:sz w:val="24"/>
          <w:szCs w:val="24"/>
          <w:lang w:val="en-US" w:eastAsia="zh-CN"/>
        </w:rPr>
      </w:pPr>
    </w:p>
    <w:p>
      <w:pPr>
        <w:adjustRightInd w:val="0"/>
        <w:snapToGrid w:val="0"/>
        <w:spacing w:line="440" w:lineRule="exact"/>
        <w:rPr>
          <w:rFonts w:ascii="宋体" w:hAnsi="宋体"/>
          <w:b/>
          <w:sz w:val="24"/>
          <w:szCs w:val="24"/>
        </w:rPr>
      </w:pPr>
      <w:r>
        <w:rPr>
          <w:rFonts w:hint="default" w:ascii="宋体" w:hAnsi="宋体"/>
          <w:b/>
          <w:sz w:val="24"/>
          <w:szCs w:val="24"/>
        </w:rPr>
        <w:t>法定代表人或</w:t>
      </w:r>
      <w:r>
        <w:rPr>
          <w:rFonts w:hint="eastAsia" w:ascii="宋体" w:hAnsi="宋体"/>
          <w:b/>
          <w:sz w:val="24"/>
          <w:szCs w:val="24"/>
        </w:rPr>
        <w:t>授权代表：</w:t>
      </w:r>
      <w:r>
        <w:rPr>
          <w:rFonts w:ascii="宋体" w:hAnsi="宋体"/>
          <w:b/>
          <w:sz w:val="24"/>
          <w:szCs w:val="24"/>
        </w:rPr>
        <w:t xml:space="preserve">  </w:t>
      </w:r>
    </w:p>
    <w:p>
      <w:pPr>
        <w:adjustRightInd w:val="0"/>
        <w:snapToGrid w:val="0"/>
        <w:spacing w:line="440" w:lineRule="exact"/>
        <w:rPr>
          <w:rFonts w:ascii="宋体" w:hAnsi="宋体"/>
          <w:b/>
          <w:sz w:val="24"/>
          <w:szCs w:val="24"/>
        </w:rPr>
      </w:pPr>
      <w:r>
        <w:rPr>
          <w:rFonts w:ascii="宋体" w:hAnsi="宋体"/>
          <w:b/>
          <w:sz w:val="24"/>
          <w:szCs w:val="24"/>
        </w:rPr>
        <w:t xml:space="preserve">                         </w:t>
      </w:r>
      <w:r>
        <w:rPr>
          <w:rFonts w:hint="eastAsia" w:ascii="宋体" w:hAnsi="宋体"/>
          <w:b/>
          <w:sz w:val="24"/>
          <w:szCs w:val="24"/>
        </w:rPr>
        <w:t xml:space="preserve"> </w:t>
      </w:r>
    </w:p>
    <w:p>
      <w:pPr>
        <w:adjustRightInd w:val="0"/>
        <w:snapToGrid w:val="0"/>
        <w:spacing w:line="440" w:lineRule="exact"/>
        <w:rPr>
          <w:rFonts w:hint="default" w:ascii="宋体" w:hAnsi="宋体" w:eastAsia="宋体"/>
          <w:b/>
          <w:sz w:val="24"/>
          <w:szCs w:val="24"/>
          <w:lang w:val="en-US" w:eastAsia="zh-CN"/>
        </w:rPr>
      </w:pPr>
      <w:r>
        <w:rPr>
          <w:rFonts w:hint="eastAsia" w:ascii="宋体" w:hAnsi="宋体"/>
          <w:b/>
          <w:sz w:val="24"/>
          <w:szCs w:val="24"/>
        </w:rPr>
        <w:t>日期</w:t>
      </w:r>
      <w:r>
        <w:rPr>
          <w:rFonts w:ascii="宋体" w:hAnsi="宋体"/>
          <w:b/>
          <w:sz w:val="24"/>
          <w:szCs w:val="24"/>
        </w:rPr>
        <w:t>:</w:t>
      </w: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p>
    <w:p>
      <w:pPr>
        <w:rPr>
          <w:rFonts w:hint="eastAsia" w:ascii="宋体" w:hAnsi="宋体" w:cs="宋体"/>
          <w:b/>
          <w:bCs/>
          <w:color w:val="auto"/>
          <w:sz w:val="24"/>
        </w:rPr>
      </w:pPr>
      <w:r>
        <w:rPr>
          <w:rFonts w:hint="eastAsia" w:ascii="宋体" w:hAnsi="宋体" w:cs="宋体"/>
          <w:b/>
          <w:bCs/>
          <w:color w:val="auto"/>
          <w:sz w:val="24"/>
        </w:rPr>
        <w:br w:type="page"/>
      </w:r>
    </w:p>
    <w:p>
      <w:pPr>
        <w:rPr>
          <w:rFonts w:hint="eastAsia" w:ascii="宋体" w:hAnsi="宋体" w:cs="宋体"/>
          <w:b/>
          <w:bCs/>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16" w:name="_Toc25518"/>
      <w:r>
        <w:rPr>
          <w:rFonts w:hint="eastAsia" w:ascii="宋体" w:hAnsi="宋体" w:cs="宋体"/>
          <w:b/>
          <w:bCs/>
          <w:color w:val="auto"/>
          <w:sz w:val="24"/>
        </w:rPr>
        <w:t>用户需求书</w:t>
      </w:r>
      <w:bookmarkEnd w:id="16"/>
    </w:p>
    <w:p>
      <w:pPr>
        <w:pStyle w:val="5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eastAsia="zh-CN"/>
        </w:rPr>
      </w:pPr>
      <w:bookmarkStart w:id="17" w:name="_Toc23726"/>
      <w:bookmarkStart w:id="18" w:name="_Toc11045"/>
      <w:r>
        <w:rPr>
          <w:rFonts w:hint="eastAsia" w:ascii="宋体" w:hAnsi="宋体" w:cs="宋体"/>
          <w:b/>
          <w:color w:val="auto"/>
          <w:sz w:val="24"/>
        </w:rPr>
        <w:t>一、</w:t>
      </w:r>
      <w:bookmarkEnd w:id="17"/>
      <w:bookmarkEnd w:id="18"/>
      <w:bookmarkStart w:id="19" w:name="_Toc51746099"/>
      <w:r>
        <w:rPr>
          <w:rFonts w:hint="eastAsia" w:ascii="宋体" w:hAnsi="宋体" w:cs="宋体"/>
          <w:b/>
          <w:color w:val="auto"/>
          <w:sz w:val="24"/>
          <w:lang w:val="zh-CN"/>
        </w:rPr>
        <w:t>项目</w:t>
      </w:r>
      <w:r>
        <w:rPr>
          <w:rFonts w:hint="eastAsia" w:ascii="宋体" w:hAnsi="宋体" w:cs="宋体"/>
          <w:b/>
          <w:color w:val="auto"/>
          <w:sz w:val="24"/>
          <w:lang w:val="en-US" w:eastAsia="zh-CN"/>
        </w:rPr>
        <w:t>背景</w:t>
      </w:r>
    </w:p>
    <w:bookmarkEnd w:id="19"/>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szCs w:val="32"/>
          <w:lang w:val="en-US" w:eastAsia="zh-CN"/>
        </w:rPr>
      </w:pPr>
      <w:r>
        <w:rPr>
          <w:rFonts w:hint="eastAsia" w:ascii="宋体" w:hAnsi="宋体" w:eastAsia="宋体" w:cs="宋体"/>
          <w:b w:val="0"/>
          <w:bCs w:val="0"/>
          <w:color w:val="auto"/>
          <w:kern w:val="2"/>
          <w:sz w:val="24"/>
          <w:szCs w:val="24"/>
          <w:lang w:val="en-US" w:eastAsia="zh-CN" w:bidi="ar-SA"/>
        </w:rPr>
        <w:t>为贯彻落实全省政务服务一体化、集约化战略部署，根据《深圳市人民政府办公厅关于印发&lt;深圳市加快推进一体化在线政务服务平台建设工作实施方案&gt;的通知》要求，按照“机构人员统一、场所标识统一、流程内容统一、信息系统统一、经费保障统一”的要求，我局政务服务事项需纳入省市统一平台提供服务，事项管理、申办、受理、审批各环节使用深圳市公共服务综合信息系统、深圳市权责清单系统、深圳市统一申办系统、深圳市一窗受理系统和深圳市公共审批平台。为支持政务服务事项的管理以及业务运行，保障政务服务事项同源管理、统一申办、一窗受理，支持前海e站通政务服务中心窗口业务以及各处室审批业务</w:t>
      </w:r>
      <w:r>
        <w:rPr>
          <w:rFonts w:hint="eastAsia" w:ascii="宋体" w:hAnsi="宋体" w:cs="宋体"/>
          <w:color w:val="auto"/>
          <w:sz w:val="24"/>
          <w:szCs w:val="32"/>
          <w:lang w:val="en-US" w:eastAsia="zh-CN"/>
        </w:rPr>
        <w:t>。</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提供为期</w:t>
      </w:r>
      <w:r>
        <w:rPr>
          <w:rFonts w:hint="eastAsia" w:ascii="宋体" w:hAnsi="宋体" w:cs="宋体"/>
          <w:color w:val="auto"/>
          <w:sz w:val="24"/>
          <w:szCs w:val="24"/>
          <w:highlight w:val="none"/>
          <w:lang w:val="en-US" w:eastAsia="zh-CN"/>
        </w:rPr>
        <w:t>12个月</w:t>
      </w:r>
      <w:r>
        <w:rPr>
          <w:rFonts w:hint="eastAsia" w:ascii="宋体" w:hAnsi="宋体" w:eastAsia="宋体" w:cs="宋体"/>
          <w:color w:val="auto"/>
          <w:sz w:val="24"/>
          <w:szCs w:val="24"/>
          <w:highlight w:val="none"/>
          <w:lang w:val="en-US" w:eastAsia="zh-CN"/>
        </w:rPr>
        <w:t>的深圳市公共服务综合信息系统驻场运维服务，具体服务内容包括：</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深圳市权责清单系统驻场运维服务。用户信息管理、前海蛇口自贸片区D类事项表单设计维护、e站通服务中心大厅事项配置管理、报表配置、通用需求反馈测试和更新、数据统计、日常问题跟踪及处理、沟通协调工作、相关技术支持和其他辅助性工作。</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深圳市统一申办平台驻场运维服务。为支持使用深圳市统一申办平台进行网上申办的事项业务正常运行，</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应提供包括以下内容的运维服务：政务服务事项网上申办权限维护、通用需求反馈测试和更新、业务数据统计、日常问题跟踪及处理、沟通协调工作、相关技术支持和其他辅助性工作。</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深圳市一窗综合服务受理平台驻场运维服务。为支持在前海e站通服务中心实现政务服务事项一窗综合受理，</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提供包括以下内容的运维服务：市一窗系统用户信息管理、窗口管理、事项属性配置维护、打印模板配置维护、报表配置、短信模版配置、数据统计、日常问题跟踪及处理、沟通协调工作、相关技术支持和其他辅助性工作。</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深圳市公共审批平台驻场运维服务。为支持前海蛇口自贸片区事项使用深圳市公共审批平台进行审批，</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提供包括以下内容的运维服务：公共审批平台用户管理、事项审批流程定制维护、事项网办过程数据配置及维护、电子证照联调测试、打印模板配置维护、报表配置、通用需求反馈测试和更新、日常问题跟踪及处理、沟通协调工作、相关技术支持和其他辅助性工作。</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三、人员要求</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应安排服务人员提供为期</w:t>
      </w:r>
      <w:r>
        <w:rPr>
          <w:rFonts w:hint="eastAsia" w:ascii="宋体" w:hAnsi="宋体" w:cs="宋体"/>
          <w:color w:val="auto"/>
          <w:sz w:val="24"/>
          <w:szCs w:val="24"/>
          <w:highlight w:val="none"/>
          <w:lang w:val="en-US" w:eastAsia="zh-CN"/>
        </w:rPr>
        <w:t>12个月</w:t>
      </w:r>
      <w:r>
        <w:rPr>
          <w:rFonts w:hint="eastAsia" w:ascii="宋体" w:hAnsi="宋体" w:eastAsia="宋体" w:cs="宋体"/>
          <w:color w:val="auto"/>
          <w:sz w:val="24"/>
          <w:szCs w:val="24"/>
          <w:highlight w:val="none"/>
        </w:rPr>
        <w:t>的专人驻场运维服务（以下简称“服务人员”或“驻场运维人员”），解决服务内容中所列系统运行过程中发现的问题，保证系统有序、健康、稳定运行。驻场运维人员的数量日常不少于1人，如遇业务高峰期、系统重大调整等，</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需求增加驻场运维人员数量。</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对于服务人员，如果其工作能力和工作方法、工作态度等方面不能满足</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提出更换服务人员要求的1周内进行更换，安排其他符合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要求的服务人员进行服务。未经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不得擅自更换服务人员。</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（三）中标人</w:t>
      </w:r>
      <w:r>
        <w:rPr>
          <w:rFonts w:hint="eastAsia" w:ascii="宋体" w:hAnsi="宋体" w:eastAsia="宋体" w:cs="宋体"/>
          <w:color w:val="auto"/>
          <w:sz w:val="24"/>
          <w:szCs w:val="24"/>
          <w:highlight w:val="none"/>
        </w:rPr>
        <w:t>安排的服务人员应具有良好的职业道德和工作责任心，大专及以上学历、2年信息系统相关工作经验，能熟练掌握深圳市公共服务综合信息系统日常服务等工作技能，严格遵守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的各项规章制度和工作规范。</w:t>
      </w:r>
    </w:p>
    <w:p>
      <w:pPr>
        <w:pStyle w:val="53"/>
        <w:tabs>
          <w:tab w:val="left" w:pos="720"/>
        </w:tabs>
        <w:autoSpaceDE w:val="0"/>
        <w:autoSpaceDN w:val="0"/>
        <w:adjustRightInd w:val="0"/>
        <w:spacing w:line="360" w:lineRule="auto"/>
        <w:ind w:right="17" w:firstLine="482"/>
        <w:jc w:val="left"/>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四</w:t>
      </w:r>
      <w:r>
        <w:rPr>
          <w:rFonts w:hint="eastAsia" w:ascii="宋体" w:hAnsi="宋体" w:cs="宋体"/>
          <w:b/>
          <w:color w:val="auto"/>
          <w:sz w:val="24"/>
        </w:rPr>
        <w:t>、服务响应要求</w:t>
      </w:r>
    </w:p>
    <w:p>
      <w:pPr>
        <w:tabs>
          <w:tab w:val="left" w:pos="720"/>
        </w:tabs>
        <w:autoSpaceDE w:val="0"/>
        <w:autoSpaceDN w:val="0"/>
        <w:adjustRightInd w:val="0"/>
        <w:spacing w:line="360" w:lineRule="auto"/>
        <w:ind w:right="17" w:firstLine="480" w:firstLineChars="200"/>
        <w:rPr>
          <w:rFonts w:hint="eastAsia" w:ascii="宋体" w:hAnsi="宋体" w:cs="宋体"/>
          <w:color w:val="auto"/>
          <w:kern w:val="0"/>
          <w:sz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cs="宋体"/>
          <w:color w:val="auto"/>
          <w:kern w:val="0"/>
          <w:sz w:val="24"/>
          <w:highlight w:val="none"/>
          <w:lang w:val="en-US" w:eastAsia="zh-CN"/>
        </w:rPr>
        <w:t>对于采购人的服务请求，</w:t>
      </w:r>
      <w:r>
        <w:rPr>
          <w:rFonts w:hint="eastAsia" w:ascii="宋体" w:hAnsi="宋体" w:cs="宋体"/>
          <w:color w:val="auto"/>
          <w:sz w:val="24"/>
          <w:szCs w:val="24"/>
          <w:highlight w:val="none"/>
          <w:lang w:val="en-US" w:eastAsia="zh-CN"/>
        </w:rPr>
        <w:t>中标人</w:t>
      </w:r>
      <w:r>
        <w:rPr>
          <w:rFonts w:hint="eastAsia" w:ascii="宋体" w:hAnsi="宋体" w:cs="宋体"/>
          <w:color w:val="auto"/>
          <w:kern w:val="0"/>
          <w:sz w:val="24"/>
          <w:highlight w:val="none"/>
          <w:lang w:val="en-US" w:eastAsia="zh-CN"/>
        </w:rPr>
        <w:t>应在工作时间（工作日9:00至18:00之间）1小时内响应，非工作时间1小时内响应，一般问题自响应时间起1个工作日内解决，重大问题3个工作日内解决。</w:t>
      </w:r>
    </w:p>
    <w:p>
      <w:pPr>
        <w:tabs>
          <w:tab w:val="left" w:pos="720"/>
        </w:tabs>
        <w:autoSpaceDE w:val="0"/>
        <w:autoSpaceDN w:val="0"/>
        <w:adjustRightInd w:val="0"/>
        <w:spacing w:line="360" w:lineRule="auto"/>
        <w:ind w:right="17" w:firstLine="480" w:firstLineChars="200"/>
        <w:rPr>
          <w:rFonts w:hint="eastAsia" w:ascii="宋体" w:hAnsi="宋体" w:cs="宋体"/>
          <w:color w:val="auto"/>
          <w:kern w:val="0"/>
          <w:sz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cs="宋体"/>
          <w:color w:val="auto"/>
          <w:kern w:val="0"/>
          <w:sz w:val="24"/>
          <w:highlight w:val="none"/>
          <w:lang w:val="en-US" w:eastAsia="zh-CN"/>
        </w:rPr>
        <w:t>非工作时间或节假日，</w:t>
      </w:r>
      <w:r>
        <w:rPr>
          <w:rFonts w:hint="eastAsia" w:ascii="宋体" w:hAnsi="宋体" w:cs="宋体"/>
          <w:color w:val="auto"/>
          <w:sz w:val="24"/>
          <w:szCs w:val="24"/>
          <w:highlight w:val="none"/>
          <w:lang w:val="en-US" w:eastAsia="zh-CN"/>
        </w:rPr>
        <w:t>中标人</w:t>
      </w:r>
      <w:r>
        <w:rPr>
          <w:rFonts w:hint="eastAsia" w:ascii="宋体" w:hAnsi="宋体" w:cs="宋体"/>
          <w:color w:val="auto"/>
          <w:kern w:val="0"/>
          <w:sz w:val="24"/>
          <w:highlight w:val="none"/>
          <w:lang w:val="en-US" w:eastAsia="zh-CN"/>
        </w:rPr>
        <w:t>应提供7×24小时远程支持服务，如远程支持无法解决问题的，需到现场解决。</w:t>
      </w:r>
    </w:p>
    <w:p>
      <w:pPr>
        <w:tabs>
          <w:tab w:val="left" w:pos="720"/>
        </w:tabs>
        <w:autoSpaceDE w:val="0"/>
        <w:autoSpaceDN w:val="0"/>
        <w:adjustRightInd w:val="0"/>
        <w:spacing w:line="360" w:lineRule="auto"/>
        <w:ind w:right="17" w:firstLine="480" w:firstLineChars="200"/>
        <w:rPr>
          <w:rFonts w:hint="default" w:asciiTheme="minorEastAsia" w:hAnsiTheme="minorEastAsia" w:eastAsiaTheme="minorEastAsia" w:cstheme="minorEastAsia"/>
          <w:color w:val="auto"/>
          <w:sz w:val="24"/>
          <w:lang w:val="en-US"/>
        </w:rPr>
      </w:pPr>
      <w:r>
        <w:rPr>
          <w:rFonts w:hint="eastAsia" w:ascii="宋体" w:hAnsi="宋体" w:cs="宋体"/>
          <w:color w:val="auto"/>
          <w:sz w:val="24"/>
          <w:szCs w:val="24"/>
          <w:highlight w:val="none"/>
          <w:lang w:val="en-US" w:eastAsia="zh-CN"/>
        </w:rPr>
        <w:t>（三）中标人</w:t>
      </w:r>
      <w:r>
        <w:rPr>
          <w:rFonts w:hint="eastAsia" w:ascii="宋体" w:hAnsi="宋体" w:cs="宋体"/>
          <w:color w:val="auto"/>
          <w:kern w:val="0"/>
          <w:sz w:val="24"/>
          <w:highlight w:val="none"/>
          <w:lang w:val="en-US" w:eastAsia="zh-CN"/>
        </w:rPr>
        <w:t>应按采购人的要求定期提交各种报告，并在每周一提交上周书面问题处理记录。</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
          <w:color w:val="auto"/>
          <w:sz w:val="24"/>
          <w:lang w:val="en-US" w:eastAsia="zh-CN"/>
        </w:rPr>
        <w:t>五、服务考核</w:t>
      </w:r>
    </w:p>
    <w:p>
      <w:pPr>
        <w:tabs>
          <w:tab w:val="left" w:pos="720"/>
        </w:tabs>
        <w:autoSpaceDE w:val="0"/>
        <w:autoSpaceDN w:val="0"/>
        <w:adjustRightInd w:val="0"/>
        <w:spacing w:line="360" w:lineRule="auto"/>
        <w:ind w:right="17" w:firstLine="480" w:firstLineChars="200"/>
        <w:rPr>
          <w:rFonts w:hint="eastAsia" w:ascii="宋体" w:hAnsi="宋体" w:cs="宋体"/>
          <w:color w:val="auto"/>
          <w:kern w:val="0"/>
          <w:sz w:val="24"/>
          <w:highlight w:val="none"/>
          <w:lang w:val="en-US" w:eastAsia="zh-CN"/>
        </w:rPr>
      </w:pPr>
      <w:r>
        <w:rPr>
          <w:rFonts w:hint="eastAsia" w:ascii="宋体" w:hAnsi="宋体" w:cs="宋体"/>
          <w:color w:val="auto"/>
          <w:sz w:val="24"/>
          <w:szCs w:val="24"/>
          <w:highlight w:val="none"/>
          <w:lang w:val="en-US" w:eastAsia="zh-CN"/>
        </w:rPr>
        <w:t>（一）中标人</w:t>
      </w:r>
      <w:r>
        <w:rPr>
          <w:rFonts w:hint="eastAsia" w:ascii="宋体" w:hAnsi="宋体" w:cs="宋体"/>
          <w:color w:val="auto"/>
          <w:kern w:val="0"/>
          <w:sz w:val="24"/>
          <w:highlight w:val="none"/>
          <w:lang w:val="en-US" w:eastAsia="zh-CN"/>
        </w:rPr>
        <w:t>每季度及年度出具书面的服务数据整理报告，作为服务成果交付及验收依据。</w:t>
      </w:r>
    </w:p>
    <w:p>
      <w:pPr>
        <w:tabs>
          <w:tab w:val="left" w:pos="720"/>
        </w:tabs>
        <w:autoSpaceDE w:val="0"/>
        <w:autoSpaceDN w:val="0"/>
        <w:adjustRightInd w:val="0"/>
        <w:spacing w:line="360" w:lineRule="auto"/>
        <w:ind w:right="17"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sz w:val="24"/>
          <w:szCs w:val="24"/>
          <w:highlight w:val="none"/>
          <w:lang w:val="en-US" w:eastAsia="zh-CN"/>
        </w:rPr>
        <w:t>（二）采购人</w:t>
      </w:r>
      <w:r>
        <w:rPr>
          <w:rFonts w:hint="eastAsia" w:ascii="宋体" w:hAnsi="宋体" w:cs="宋体"/>
          <w:color w:val="auto"/>
          <w:kern w:val="0"/>
          <w:sz w:val="24"/>
          <w:highlight w:val="none"/>
          <w:lang w:val="en-US" w:eastAsia="zh-CN"/>
        </w:rPr>
        <w:t>负责对</w:t>
      </w:r>
      <w:r>
        <w:rPr>
          <w:rFonts w:hint="eastAsia" w:ascii="宋体" w:hAnsi="宋体" w:cs="宋体"/>
          <w:color w:val="auto"/>
          <w:sz w:val="24"/>
          <w:szCs w:val="24"/>
          <w:highlight w:val="none"/>
          <w:lang w:val="en-US" w:eastAsia="zh-CN"/>
        </w:rPr>
        <w:t>中标人</w:t>
      </w:r>
      <w:r>
        <w:rPr>
          <w:rFonts w:hint="eastAsia" w:ascii="宋体" w:hAnsi="宋体" w:cs="宋体"/>
          <w:color w:val="auto"/>
          <w:kern w:val="0"/>
          <w:sz w:val="24"/>
          <w:highlight w:val="none"/>
          <w:lang w:val="en-US" w:eastAsia="zh-CN"/>
        </w:rPr>
        <w:t>提交的服务数据整理报告组织审查，</w:t>
      </w:r>
      <w:r>
        <w:rPr>
          <w:rFonts w:hint="eastAsia" w:ascii="宋体" w:hAnsi="宋体" w:cs="宋体"/>
          <w:color w:val="auto"/>
          <w:sz w:val="24"/>
          <w:szCs w:val="24"/>
          <w:highlight w:val="none"/>
          <w:lang w:val="en-US" w:eastAsia="zh-CN"/>
        </w:rPr>
        <w:t>中标人</w:t>
      </w:r>
      <w:r>
        <w:rPr>
          <w:rFonts w:hint="eastAsia" w:ascii="宋体" w:hAnsi="宋体" w:cs="宋体"/>
          <w:color w:val="auto"/>
          <w:kern w:val="0"/>
          <w:sz w:val="24"/>
          <w:highlight w:val="none"/>
          <w:lang w:val="en-US" w:eastAsia="zh-CN"/>
        </w:rPr>
        <w:t>应予积极协助。</w:t>
      </w:r>
    </w:p>
    <w:p>
      <w:pPr>
        <w:tabs>
          <w:tab w:val="left" w:pos="720"/>
        </w:tabs>
        <w:autoSpaceDE w:val="0"/>
        <w:autoSpaceDN w:val="0"/>
        <w:adjustRightInd w:val="0"/>
        <w:spacing w:line="360" w:lineRule="auto"/>
        <w:ind w:right="17" w:firstLine="480" w:firstLineChars="200"/>
        <w:rPr>
          <w:rFonts w:hint="eastAsia" w:ascii="宋体" w:hAnsi="宋体" w:cs="宋体"/>
          <w:color w:val="auto"/>
          <w:kern w:val="0"/>
          <w:sz w:val="24"/>
          <w:highlight w:val="none"/>
          <w:lang w:val="en-US" w:eastAsia="zh-CN"/>
        </w:rPr>
      </w:pPr>
      <w:r>
        <w:rPr>
          <w:rFonts w:hint="eastAsia" w:ascii="宋体" w:hAnsi="宋体" w:cs="宋体"/>
          <w:color w:val="auto"/>
          <w:sz w:val="24"/>
          <w:szCs w:val="24"/>
          <w:highlight w:val="none"/>
          <w:lang w:val="en-US" w:eastAsia="zh-CN"/>
        </w:rPr>
        <w:t>（三）中标人</w:t>
      </w:r>
      <w:r>
        <w:rPr>
          <w:rFonts w:hint="eastAsia" w:ascii="宋体" w:hAnsi="宋体" w:cs="宋体"/>
          <w:color w:val="auto"/>
          <w:kern w:val="0"/>
          <w:sz w:val="24"/>
          <w:highlight w:val="none"/>
          <w:lang w:val="en-US" w:eastAsia="zh-CN"/>
        </w:rPr>
        <w:t>应按本项目内容要求，向采购人提供驻场运维服务，</w:t>
      </w:r>
      <w:r>
        <w:rPr>
          <w:rFonts w:hint="eastAsia" w:ascii="宋体" w:hAnsi="宋体" w:cs="宋体"/>
          <w:color w:val="auto"/>
          <w:sz w:val="24"/>
          <w:szCs w:val="24"/>
          <w:highlight w:val="none"/>
          <w:lang w:val="en-US" w:eastAsia="zh-CN"/>
        </w:rPr>
        <w:t>中标人</w:t>
      </w:r>
      <w:r>
        <w:rPr>
          <w:rFonts w:hint="eastAsia" w:ascii="宋体" w:hAnsi="宋体" w:cs="宋体"/>
          <w:color w:val="auto"/>
          <w:kern w:val="0"/>
          <w:sz w:val="24"/>
          <w:highlight w:val="none"/>
          <w:lang w:val="en-US" w:eastAsia="zh-CN"/>
        </w:rPr>
        <w:t>服务响应时间不符合要求累计发生5次后，每发生2次，采购人扣除合同总价款的5‰</w:t>
      </w:r>
    </w:p>
    <w:p>
      <w:pPr>
        <w:pStyle w:val="5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rPr>
        <w:t>验收</w:t>
      </w:r>
      <w:r>
        <w:rPr>
          <w:rFonts w:hint="eastAsia" w:ascii="宋体" w:hAnsi="宋体" w:cs="宋体"/>
          <w:b/>
          <w:color w:val="auto"/>
          <w:sz w:val="24"/>
          <w:lang w:val="en-US" w:eastAsia="zh-CN"/>
        </w:rPr>
        <w:t>方式</w:t>
      </w:r>
    </w:p>
    <w:p>
      <w:pPr>
        <w:pStyle w:val="53"/>
        <w:tabs>
          <w:tab w:val="left" w:pos="720"/>
        </w:tabs>
        <w:autoSpaceDE w:val="0"/>
        <w:autoSpaceDN w:val="0"/>
        <w:adjustRightInd w:val="0"/>
        <w:spacing w:line="360" w:lineRule="auto"/>
        <w:ind w:right="17" w:firstLine="480"/>
        <w:jc w:val="lef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当中标方完成项目服务，由中标方提出书面申请，采购单位组织验收。由采购单位、中标方共同出具最终验收报告，完成项目验收</w:t>
      </w:r>
      <w:r>
        <w:rPr>
          <w:rFonts w:hint="eastAsia" w:ascii="宋体" w:hAnsi="宋体" w:eastAsia="宋体" w:cs="宋体"/>
          <w:color w:val="auto"/>
          <w:sz w:val="24"/>
          <w:szCs w:val="24"/>
          <w:highlight w:val="none"/>
          <w:lang w:eastAsia="zh-CN"/>
        </w:rPr>
        <w:t>。</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highlight w:val="none"/>
        </w:rPr>
      </w:pPr>
      <w:r>
        <w:rPr>
          <w:rFonts w:hint="eastAsia" w:ascii="宋体" w:hAnsi="宋体" w:cs="宋体"/>
          <w:b/>
          <w:bCs/>
          <w:color w:val="auto"/>
          <w:kern w:val="0"/>
          <w:sz w:val="24"/>
          <w:highlight w:val="none"/>
        </w:rPr>
        <w:t>（一）服务期限</w:t>
      </w:r>
    </w:p>
    <w:p>
      <w:pPr>
        <w:spacing w:after="156" w:afterLines="50" w:line="360" w:lineRule="auto"/>
        <w:ind w:firstLine="480" w:firstLineChars="200"/>
        <w:rPr>
          <w:rFonts w:hint="eastAsia" w:eastAsia="宋体"/>
          <w:color w:val="auto"/>
          <w:highlight w:val="none"/>
          <w:lang w:val="en-US" w:eastAsia="zh-CN"/>
        </w:rPr>
      </w:pPr>
      <w:r>
        <w:rPr>
          <w:rFonts w:hint="eastAsia" w:ascii="宋体" w:hAnsi="宋体" w:cs="宋体"/>
          <w:color w:val="auto"/>
          <w:sz w:val="24"/>
        </w:rPr>
        <w:t>本项目服务期限自签订合同之日起</w:t>
      </w:r>
      <w:r>
        <w:rPr>
          <w:rFonts w:hint="eastAsia" w:ascii="宋体" w:hAnsi="宋体" w:cs="宋体"/>
          <w:color w:val="auto"/>
          <w:sz w:val="24"/>
          <w:lang w:val="en-US" w:eastAsia="zh-CN"/>
        </w:rPr>
        <w:t>12个月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本项目为长期服务项</w:t>
      </w:r>
      <w:r>
        <w:rPr>
          <w:rFonts w:hint="eastAsia" w:ascii="宋体" w:hAnsi="宋体" w:cs="宋体"/>
          <w:color w:val="auto"/>
          <w:sz w:val="24"/>
          <w:lang w:val="en-US" w:eastAsia="zh-CN"/>
        </w:rPr>
        <w:t>目，</w:t>
      </w:r>
      <w:r>
        <w:rPr>
          <w:rFonts w:hint="eastAsia" w:ascii="宋体" w:hAnsi="宋体" w:cs="宋体"/>
          <w:color w:val="auto"/>
          <w:sz w:val="24"/>
        </w:rPr>
        <w:t>服务期届满前六个月内，</w:t>
      </w:r>
      <w:r>
        <w:rPr>
          <w:rFonts w:hint="eastAsia" w:ascii="宋体" w:hAnsi="宋体" w:cs="宋体"/>
          <w:color w:val="auto"/>
          <w:sz w:val="24"/>
          <w:lang w:val="en-US" w:eastAsia="zh-CN"/>
        </w:rPr>
        <w:t>采购人</w:t>
      </w:r>
      <w:r>
        <w:rPr>
          <w:rFonts w:hint="eastAsia" w:ascii="宋体" w:hAnsi="宋体" w:cs="宋体"/>
          <w:color w:val="auto"/>
          <w:sz w:val="24"/>
        </w:rPr>
        <w:t>对</w:t>
      </w:r>
      <w:r>
        <w:rPr>
          <w:rFonts w:hint="eastAsia" w:ascii="宋体" w:hAnsi="宋体" w:cs="宋体"/>
          <w:color w:val="auto"/>
          <w:sz w:val="24"/>
          <w:lang w:val="en-US" w:eastAsia="zh-CN"/>
        </w:rPr>
        <w:t>中标人</w:t>
      </w:r>
      <w:r>
        <w:rPr>
          <w:rFonts w:hint="eastAsia" w:ascii="宋体" w:hAnsi="宋体" w:cs="宋体"/>
          <w:color w:val="auto"/>
          <w:sz w:val="24"/>
        </w:rPr>
        <w:t>进行履约评价，评价结果为优秀的，经公示后可续期</w:t>
      </w:r>
      <w:r>
        <w:rPr>
          <w:rFonts w:hint="eastAsia" w:ascii="宋体" w:hAnsi="宋体" w:cs="宋体"/>
          <w:color w:val="auto"/>
          <w:sz w:val="24"/>
          <w:lang w:val="en-US" w:eastAsia="zh-CN"/>
        </w:rPr>
        <w:t>12个月</w:t>
      </w:r>
      <w:r>
        <w:rPr>
          <w:rFonts w:hint="eastAsia" w:ascii="宋体" w:hAnsi="宋体" w:cs="宋体"/>
          <w:color w:val="auto"/>
          <w:sz w:val="24"/>
        </w:rPr>
        <w:t>，续期不超过两次</w:t>
      </w:r>
      <w:r>
        <w:rPr>
          <w:rFonts w:hint="eastAsia" w:ascii="宋体" w:hAnsi="宋体" w:cs="宋体"/>
          <w:color w:val="auto"/>
          <w:sz w:val="24"/>
          <w:lang w:eastAsia="zh-CN"/>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55.2万元以内</w:t>
      </w:r>
      <w:r>
        <w:rPr>
          <w:rFonts w:hint="eastAsia" w:ascii="宋体" w:hAnsi="宋体" w:cs="宋体"/>
          <w:color w:val="auto"/>
          <w:sz w:val="24"/>
          <w:highlight w:val="none"/>
        </w:rPr>
        <w:t>，投标人的报价不可高于预算（限价），否则投标人的投标文件视同无效。</w:t>
      </w:r>
      <w:r>
        <w:rPr>
          <w:rFonts w:hint="eastAsia" w:ascii="宋体" w:hAnsi="宋体" w:cs="宋体"/>
          <w:color w:val="auto"/>
          <w:sz w:val="24"/>
          <w:highlight w:val="none"/>
          <w:lang w:eastAsia="zh-CN"/>
        </w:rPr>
        <w:t>项目服务费包括</w:t>
      </w:r>
      <w:r>
        <w:rPr>
          <w:rFonts w:hint="eastAsia" w:ascii="宋体" w:hAnsi="宋体" w:cs="宋体"/>
          <w:color w:val="auto"/>
          <w:sz w:val="24"/>
          <w:highlight w:val="none"/>
          <w:lang w:val="en-US" w:eastAsia="zh-CN"/>
        </w:rPr>
        <w:t>但不限于</w:t>
      </w:r>
      <w:r>
        <w:rPr>
          <w:rFonts w:hint="eastAsia" w:ascii="宋体" w:hAnsi="宋体" w:cs="宋体"/>
          <w:color w:val="auto"/>
          <w:sz w:val="24"/>
          <w:highlight w:val="none"/>
          <w:lang w:eastAsia="zh-CN"/>
        </w:rPr>
        <w:t>运维费、中标服务费、资料费、税金、人员费用、差旅费等所有费用，并提供合同要求的有关成果材料，以及其它相关服务的全部费用</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项目资金分</w:t>
      </w:r>
      <w:r>
        <w:rPr>
          <w:rFonts w:hint="eastAsia" w:ascii="宋体" w:hAnsi="宋体" w:cs="宋体"/>
          <w:color w:val="auto"/>
          <w:sz w:val="24"/>
          <w:lang w:val="en-US" w:eastAsia="zh-CN"/>
        </w:rPr>
        <w:t>2</w:t>
      </w:r>
      <w:r>
        <w:rPr>
          <w:rFonts w:hint="eastAsia" w:ascii="宋体" w:hAnsi="宋体" w:cs="宋体"/>
          <w:color w:val="auto"/>
          <w:sz w:val="24"/>
        </w:rPr>
        <w:t>期支付至中标人指定银行账户：</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1.1.首期：合同签订生效后，根据中标人的付款申请，由采购人审查无误、签署同意后,向中标人指定银行账户支付合同服务费总金额的40%；</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1.2.第2期：合同服务期满后15个工作日内，采购人对中标人的服务内容验收合格后，根据中标人的付款申请，由采购人审查无误、签署同意后，向中标人指定银行账户支付本合同服务费总金额的60%。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1.本项目全部阶段性成果和最终成果（包括为后续服务范围所</w:t>
      </w:r>
      <w:r>
        <w:rPr>
          <w:rFonts w:hint="eastAsia" w:ascii="宋体" w:hAnsi="宋体" w:cs="宋体"/>
          <w:color w:val="auto"/>
          <w:sz w:val="24"/>
          <w:lang w:eastAsia="zh-CN"/>
        </w:rPr>
        <w:t>编制的材料</w:t>
      </w:r>
      <w:r>
        <w:rPr>
          <w:rFonts w:hint="eastAsia" w:ascii="宋体" w:hAnsi="宋体" w:cs="宋体"/>
          <w:color w:val="auto"/>
          <w:sz w:val="24"/>
        </w:rPr>
        <w:t>）的知识产权以及与之相关的所有权利归采购人所有；本合同签署前双方已经拥有的知识产权权利，仍归各自所有。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color w:val="auto"/>
          <w:sz w:val="24"/>
          <w:lang w:val="en-US" w:eastAsia="zh-CN"/>
        </w:rPr>
        <w:t>采购人</w:t>
      </w:r>
      <w:r>
        <w:rPr>
          <w:rFonts w:hint="eastAsia" w:ascii="宋体" w:hAnsi="宋体" w:cs="宋体"/>
          <w:color w:val="auto"/>
          <w:sz w:val="24"/>
        </w:rPr>
        <w:t>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及任何数据、资料、软件等不得侵犯任何第三方的知识产权或其他权利，由于使用该</w:t>
      </w:r>
      <w:r>
        <w:rPr>
          <w:rFonts w:hint="eastAsia" w:ascii="宋体" w:hAnsi="宋体" w:cs="宋体"/>
          <w:color w:val="auto"/>
          <w:sz w:val="24"/>
          <w:lang w:eastAsia="zh-CN"/>
        </w:rPr>
        <w:t>等文件、材料</w:t>
      </w:r>
      <w:r>
        <w:rPr>
          <w:rFonts w:hint="eastAsia" w:ascii="宋体" w:hAnsi="宋体" w:cs="宋体"/>
          <w:color w:val="auto"/>
          <w:sz w:val="24"/>
        </w:rPr>
        <w:t>、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5.中标人完成本合同项目的研究人员享有在有关</w:t>
      </w:r>
      <w:r>
        <w:rPr>
          <w:rFonts w:hint="eastAsia" w:ascii="宋体" w:hAnsi="宋体" w:cs="宋体"/>
          <w:color w:val="auto"/>
          <w:sz w:val="24"/>
          <w:lang w:eastAsia="zh-CN"/>
        </w:rPr>
        <w:t>技术成果材料</w:t>
      </w:r>
      <w:r>
        <w:rPr>
          <w:rFonts w:hint="eastAsia" w:ascii="宋体" w:hAnsi="宋体" w:cs="宋体"/>
          <w:color w:val="auto"/>
          <w:sz w:val="24"/>
        </w:rPr>
        <w:t>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hint="eastAsia" w:ascii="宋体" w:hAnsi="宋体" w:cs="宋体"/>
          <w:color w:val="auto"/>
          <w:sz w:val="24"/>
          <w:lang w:eastAsia="zh-CN"/>
        </w:rPr>
        <w:t>采购人</w:t>
      </w:r>
      <w:r>
        <w:rPr>
          <w:rFonts w:hint="eastAsia" w:ascii="宋体" w:hAnsi="宋体" w:cs="宋体"/>
          <w:color w:val="auto"/>
          <w:sz w:val="24"/>
        </w:rPr>
        <w:t>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w:t>
      </w:r>
      <w:r>
        <w:rPr>
          <w:rFonts w:hint="eastAsia" w:ascii="宋体" w:hAnsi="宋体" w:cs="宋体"/>
          <w:color w:val="auto"/>
          <w:sz w:val="24"/>
          <w:lang w:eastAsia="zh-CN"/>
        </w:rPr>
        <w:t>成果材料</w:t>
      </w:r>
      <w:r>
        <w:rPr>
          <w:rFonts w:hint="eastAsia" w:ascii="宋体" w:hAnsi="宋体" w:cs="宋体"/>
          <w:color w:val="auto"/>
          <w:sz w:val="24"/>
        </w:rPr>
        <w:t>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中标人</w:t>
      </w:r>
      <w:r>
        <w:rPr>
          <w:rFonts w:hint="eastAsia" w:ascii="宋体" w:hAnsi="宋体" w:eastAsia="宋体" w:cs="宋体"/>
          <w:color w:val="auto"/>
          <w:sz w:val="24"/>
        </w:rPr>
        <w:t>因自身原因未按合同规定导致人员不能按时到位，每出现一天须支付给</w:t>
      </w:r>
      <w:r>
        <w:rPr>
          <w:rFonts w:hint="eastAsia" w:ascii="宋体" w:hAnsi="宋体" w:cs="宋体"/>
          <w:color w:val="auto"/>
          <w:sz w:val="24"/>
          <w:lang w:eastAsia="zh-CN"/>
        </w:rPr>
        <w:t>采购人</w:t>
      </w:r>
      <w:r>
        <w:rPr>
          <w:rFonts w:hint="eastAsia" w:ascii="宋体" w:hAnsi="宋体" w:eastAsia="宋体" w:cs="宋体"/>
          <w:color w:val="auto"/>
          <w:sz w:val="24"/>
        </w:rPr>
        <w:t>按合同总价款的5‰作为违约金。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.本合同履行期间，发生下述情形时，</w:t>
      </w:r>
      <w:r>
        <w:rPr>
          <w:rFonts w:hint="eastAsia" w:ascii="宋体" w:hAnsi="宋体" w:cs="宋体"/>
          <w:color w:val="auto"/>
          <w:sz w:val="24"/>
          <w:lang w:val="en-US" w:eastAsia="zh-CN"/>
        </w:rPr>
        <w:t>甲方</w:t>
      </w:r>
      <w:r>
        <w:rPr>
          <w:rFonts w:hint="eastAsia" w:ascii="宋体" w:hAnsi="宋体" w:eastAsia="宋体" w:cs="宋体"/>
          <w:color w:val="auto"/>
          <w:sz w:val="24"/>
        </w:rPr>
        <w:t>有权解除本合同，</w:t>
      </w:r>
      <w:r>
        <w:rPr>
          <w:rFonts w:hint="eastAsia" w:ascii="宋体" w:hAnsi="宋体" w:cs="宋体"/>
          <w:sz w:val="24"/>
        </w:rPr>
        <w:t>甲</w:t>
      </w:r>
      <w:r>
        <w:rPr>
          <w:rFonts w:hint="eastAsia" w:ascii="宋体" w:hAnsi="宋体" w:cs="宋体"/>
          <w:sz w:val="24"/>
          <w:lang w:eastAsia="zh-CN"/>
        </w:rPr>
        <w:t>方</w:t>
      </w:r>
      <w:r>
        <w:rPr>
          <w:rFonts w:hint="eastAsia" w:ascii="宋体" w:hAnsi="宋体" w:cs="宋体"/>
          <w:sz w:val="24"/>
        </w:rPr>
        <w:t>按乙方实际服务期限及服务质量结算服务费用。甲方尚未支付的不再支付，且乙方</w:t>
      </w:r>
      <w:r>
        <w:rPr>
          <w:rFonts w:hint="eastAsia" w:ascii="宋体" w:hAnsi="宋体" w:eastAsia="宋体" w:cs="宋体"/>
          <w:color w:val="auto"/>
          <w:sz w:val="24"/>
        </w:rPr>
        <w:t>应在合同解除通知发出之日起</w:t>
      </w:r>
      <w:r>
        <w:rPr>
          <w:rFonts w:ascii="宋体" w:hAnsi="宋体" w:cs="宋体"/>
          <w:sz w:val="24"/>
        </w:rPr>
        <w:t>30</w:t>
      </w:r>
      <w:r>
        <w:rPr>
          <w:rFonts w:hint="eastAsia" w:ascii="宋体" w:hAnsi="宋体" w:cs="宋体"/>
          <w:sz w:val="24"/>
        </w:rPr>
        <w:t>个自然</w:t>
      </w:r>
      <w:r>
        <w:rPr>
          <w:rFonts w:hint="eastAsia" w:ascii="宋体" w:hAnsi="宋体" w:eastAsia="宋体" w:cs="宋体"/>
          <w:color w:val="auto"/>
          <w:sz w:val="24"/>
        </w:rPr>
        <w:t>日内向</w:t>
      </w:r>
      <w:r>
        <w:rPr>
          <w:rFonts w:hint="eastAsia" w:ascii="宋体" w:hAnsi="宋体" w:cs="宋体"/>
          <w:color w:val="auto"/>
          <w:sz w:val="24"/>
          <w:lang w:eastAsia="zh-CN"/>
        </w:rPr>
        <w:t>采购人</w:t>
      </w:r>
      <w:r>
        <w:rPr>
          <w:rFonts w:hint="eastAsia" w:ascii="宋体" w:hAnsi="宋体" w:eastAsia="宋体" w:cs="宋体"/>
          <w:color w:val="auto"/>
          <w:sz w:val="24"/>
        </w:rPr>
        <w:t>支付合同总价款20%的违约金。</w:t>
      </w:r>
      <w:r>
        <w:rPr>
          <w:rFonts w:hint="eastAsia" w:ascii="宋体" w:hAnsi="宋体" w:cs="宋体"/>
          <w:color w:val="auto"/>
          <w:sz w:val="24"/>
          <w:lang w:val="en-US" w:eastAsia="zh-CN"/>
        </w:rPr>
        <w:t>乙方</w:t>
      </w:r>
      <w:r>
        <w:rPr>
          <w:rFonts w:hint="eastAsia" w:ascii="宋体" w:hAnsi="宋体" w:eastAsia="宋体" w:cs="宋体"/>
          <w:color w:val="auto"/>
          <w:sz w:val="24"/>
        </w:rPr>
        <w:t>应同时将已完成的项目成果移交给</w:t>
      </w:r>
      <w:r>
        <w:rPr>
          <w:rFonts w:hint="eastAsia" w:ascii="宋体" w:hAnsi="宋体" w:cs="宋体"/>
          <w:color w:val="auto"/>
          <w:sz w:val="24"/>
          <w:lang w:eastAsia="zh-CN"/>
        </w:rPr>
        <w:t>采购人</w:t>
      </w:r>
      <w:r>
        <w:rPr>
          <w:rFonts w:hint="eastAsia" w:ascii="宋体" w:hAnsi="宋体" w:eastAsia="宋体" w:cs="宋体"/>
          <w:color w:val="auto"/>
          <w:sz w:val="24"/>
        </w:rPr>
        <w:t>，并将全部有关资料退还</w:t>
      </w:r>
      <w:r>
        <w:rPr>
          <w:rFonts w:hint="eastAsia" w:ascii="宋体" w:hAnsi="宋体" w:cs="宋体"/>
          <w:color w:val="auto"/>
          <w:sz w:val="24"/>
          <w:lang w:eastAsia="zh-CN"/>
        </w:rPr>
        <w:t>采购人</w:t>
      </w:r>
      <w:r>
        <w:rPr>
          <w:rFonts w:hint="eastAsia" w:ascii="宋体" w:hAnsi="宋体" w:eastAsia="宋体" w:cs="宋体"/>
          <w:color w:val="auto"/>
          <w:sz w:val="24"/>
        </w:rPr>
        <w:t>：</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eastAsia="zh-CN"/>
        </w:rPr>
        <w:t>中标人</w:t>
      </w:r>
      <w:r>
        <w:rPr>
          <w:rFonts w:hint="eastAsia" w:ascii="宋体" w:hAnsi="宋体" w:eastAsia="宋体" w:cs="宋体"/>
          <w:color w:val="auto"/>
          <w:sz w:val="24"/>
        </w:rPr>
        <w:t>调配的人员不能满足本合同要求，造成工作进度延迟，工作成果质量低劣，经调配3次仍不能满足合同要求，或者</w:t>
      </w:r>
      <w:r>
        <w:rPr>
          <w:rFonts w:hint="eastAsia" w:ascii="宋体" w:hAnsi="宋体" w:cs="宋体"/>
          <w:color w:val="auto"/>
          <w:sz w:val="24"/>
          <w:lang w:eastAsia="zh-CN"/>
        </w:rPr>
        <w:t>中标人</w:t>
      </w:r>
      <w:r>
        <w:rPr>
          <w:rFonts w:hint="eastAsia" w:ascii="宋体" w:hAnsi="宋体" w:eastAsia="宋体" w:cs="宋体"/>
          <w:color w:val="auto"/>
          <w:sz w:val="24"/>
        </w:rPr>
        <w:t>及</w:t>
      </w:r>
      <w:r>
        <w:rPr>
          <w:rFonts w:hint="eastAsia" w:ascii="宋体" w:hAnsi="宋体" w:cs="宋体"/>
          <w:color w:val="auto"/>
          <w:sz w:val="24"/>
          <w:lang w:eastAsia="zh-CN"/>
        </w:rPr>
        <w:t>中标人</w:t>
      </w:r>
      <w:r>
        <w:rPr>
          <w:rFonts w:hint="eastAsia" w:ascii="宋体" w:hAnsi="宋体" w:eastAsia="宋体" w:cs="宋体"/>
          <w:color w:val="auto"/>
          <w:sz w:val="24"/>
        </w:rPr>
        <w:t>安排的服务人员提供的服务不符合本合同约定，且经</w:t>
      </w:r>
      <w:r>
        <w:rPr>
          <w:rFonts w:hint="eastAsia" w:ascii="宋体" w:hAnsi="宋体" w:cs="宋体"/>
          <w:color w:val="auto"/>
          <w:sz w:val="24"/>
          <w:lang w:eastAsia="zh-CN"/>
        </w:rPr>
        <w:t>采购人</w:t>
      </w:r>
      <w:r>
        <w:rPr>
          <w:rFonts w:hint="eastAsia" w:ascii="宋体" w:hAnsi="宋体" w:eastAsia="宋体" w:cs="宋体"/>
          <w:color w:val="auto"/>
          <w:sz w:val="24"/>
        </w:rPr>
        <w:t>3次要求改进仍未符合要求；</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中标人</w:t>
      </w:r>
      <w:r>
        <w:rPr>
          <w:rFonts w:hint="eastAsia" w:ascii="宋体" w:hAnsi="宋体" w:eastAsia="宋体" w:cs="宋体"/>
          <w:color w:val="auto"/>
          <w:sz w:val="24"/>
        </w:rPr>
        <w:t>派驻非</w:t>
      </w:r>
      <w:r>
        <w:rPr>
          <w:rFonts w:hint="eastAsia" w:ascii="宋体" w:hAnsi="宋体" w:cs="宋体"/>
          <w:color w:val="auto"/>
          <w:sz w:val="24"/>
          <w:lang w:eastAsia="zh-CN"/>
        </w:rPr>
        <w:t>中标人</w:t>
      </w:r>
      <w:r>
        <w:rPr>
          <w:rFonts w:hint="eastAsia" w:ascii="宋体" w:hAnsi="宋体" w:eastAsia="宋体" w:cs="宋体"/>
          <w:color w:val="auto"/>
          <w:sz w:val="24"/>
        </w:rPr>
        <w:t>员工驻场服务的；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中标人</w:t>
      </w:r>
      <w:r>
        <w:rPr>
          <w:rFonts w:hint="eastAsia" w:ascii="宋体" w:hAnsi="宋体" w:eastAsia="宋体" w:cs="宋体"/>
          <w:color w:val="auto"/>
          <w:sz w:val="24"/>
        </w:rPr>
        <w:t>派驻的服务人员不遵守</w:t>
      </w:r>
      <w:r>
        <w:rPr>
          <w:rFonts w:hint="eastAsia" w:ascii="宋体" w:hAnsi="宋体" w:cs="宋体"/>
          <w:color w:val="auto"/>
          <w:sz w:val="24"/>
          <w:lang w:eastAsia="zh-CN"/>
        </w:rPr>
        <w:t>采购人</w:t>
      </w:r>
      <w:r>
        <w:rPr>
          <w:rFonts w:hint="eastAsia" w:ascii="宋体" w:hAnsi="宋体" w:eastAsia="宋体" w:cs="宋体"/>
          <w:color w:val="auto"/>
          <w:sz w:val="24"/>
        </w:rPr>
        <w:t>纪律、违反本合同约定，给</w:t>
      </w:r>
      <w:r>
        <w:rPr>
          <w:rFonts w:hint="eastAsia" w:ascii="宋体" w:hAnsi="宋体" w:cs="宋体"/>
          <w:color w:val="auto"/>
          <w:sz w:val="24"/>
          <w:lang w:eastAsia="zh-CN"/>
        </w:rPr>
        <w:t>采购人</w:t>
      </w:r>
      <w:r>
        <w:rPr>
          <w:rFonts w:hint="eastAsia" w:ascii="宋体" w:hAnsi="宋体" w:eastAsia="宋体" w:cs="宋体"/>
          <w:color w:val="auto"/>
          <w:sz w:val="24"/>
        </w:rPr>
        <w:t>人员或者财产造成损失的；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eastAsia="zh-CN"/>
        </w:rPr>
        <w:t>中标人</w:t>
      </w:r>
      <w:r>
        <w:rPr>
          <w:rFonts w:hint="eastAsia" w:ascii="宋体" w:hAnsi="宋体" w:eastAsia="宋体" w:cs="宋体"/>
          <w:color w:val="auto"/>
          <w:sz w:val="24"/>
        </w:rPr>
        <w:t>不得将本项目非法分包或转包给任何单位和个人；</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中标人</w:t>
      </w:r>
      <w:r>
        <w:rPr>
          <w:rFonts w:hint="eastAsia" w:ascii="宋体" w:hAnsi="宋体" w:eastAsia="宋体" w:cs="宋体"/>
          <w:color w:val="auto"/>
          <w:sz w:val="24"/>
        </w:rPr>
        <w:t>明确表示或者以自己的行为表明不履行本合同的。</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.除因</w:t>
      </w:r>
      <w:r>
        <w:rPr>
          <w:rFonts w:hint="eastAsia" w:ascii="宋体" w:hAnsi="宋体" w:cs="宋体"/>
          <w:color w:val="auto"/>
          <w:sz w:val="24"/>
          <w:lang w:eastAsia="zh-CN"/>
        </w:rPr>
        <w:t>采购人</w:t>
      </w:r>
      <w:r>
        <w:rPr>
          <w:rFonts w:hint="eastAsia" w:ascii="宋体" w:hAnsi="宋体" w:eastAsia="宋体" w:cs="宋体"/>
          <w:color w:val="auto"/>
          <w:sz w:val="24"/>
        </w:rPr>
        <w:t>付款审批影响支付进度的情况外，如</w:t>
      </w:r>
      <w:r>
        <w:rPr>
          <w:rFonts w:hint="eastAsia" w:ascii="宋体" w:hAnsi="宋体" w:cs="宋体"/>
          <w:color w:val="auto"/>
          <w:sz w:val="24"/>
          <w:lang w:eastAsia="zh-CN"/>
        </w:rPr>
        <w:t>采购人</w:t>
      </w:r>
      <w:r>
        <w:rPr>
          <w:rFonts w:hint="eastAsia" w:ascii="宋体" w:hAnsi="宋体" w:eastAsia="宋体" w:cs="宋体"/>
          <w:color w:val="auto"/>
          <w:sz w:val="24"/>
        </w:rPr>
        <w:t>未按照本合同约定的时间支付服务费，</w:t>
      </w:r>
      <w:r>
        <w:rPr>
          <w:rFonts w:hint="eastAsia" w:ascii="宋体" w:hAnsi="宋体" w:cs="宋体"/>
          <w:color w:val="auto"/>
          <w:sz w:val="24"/>
          <w:lang w:eastAsia="zh-CN"/>
        </w:rPr>
        <w:t>中标人</w:t>
      </w:r>
      <w:r>
        <w:rPr>
          <w:rFonts w:hint="eastAsia" w:ascii="宋体" w:hAnsi="宋体" w:eastAsia="宋体" w:cs="宋体"/>
          <w:color w:val="auto"/>
          <w:sz w:val="24"/>
        </w:rPr>
        <w:t>书面催告</w:t>
      </w:r>
      <w:r>
        <w:rPr>
          <w:rFonts w:hint="eastAsia" w:ascii="宋体" w:hAnsi="宋体" w:cs="宋体"/>
          <w:color w:val="auto"/>
          <w:sz w:val="24"/>
          <w:lang w:eastAsia="zh-CN"/>
        </w:rPr>
        <w:t>采购人</w:t>
      </w:r>
      <w:r>
        <w:rPr>
          <w:rFonts w:hint="eastAsia" w:ascii="宋体" w:hAnsi="宋体" w:eastAsia="宋体" w:cs="宋体"/>
          <w:color w:val="auto"/>
          <w:sz w:val="24"/>
        </w:rPr>
        <w:t>并给予不少于5个工作日的履行期限后</w:t>
      </w:r>
      <w:r>
        <w:rPr>
          <w:rFonts w:hint="eastAsia" w:ascii="宋体" w:hAnsi="宋体" w:cs="宋体"/>
          <w:color w:val="auto"/>
          <w:sz w:val="24"/>
          <w:lang w:eastAsia="zh-CN"/>
        </w:rPr>
        <w:t>采购人</w:t>
      </w:r>
      <w:r>
        <w:rPr>
          <w:rFonts w:hint="eastAsia" w:ascii="宋体" w:hAnsi="宋体" w:eastAsia="宋体" w:cs="宋体"/>
          <w:color w:val="auto"/>
          <w:sz w:val="24"/>
        </w:rPr>
        <w:t>仍未支付的，</w:t>
      </w:r>
      <w:r>
        <w:rPr>
          <w:rFonts w:hint="eastAsia" w:ascii="宋体" w:hAnsi="宋体" w:cs="宋体"/>
          <w:color w:val="auto"/>
          <w:sz w:val="24"/>
          <w:lang w:eastAsia="zh-CN"/>
        </w:rPr>
        <w:t>中标人</w:t>
      </w:r>
      <w:r>
        <w:rPr>
          <w:rFonts w:hint="eastAsia" w:ascii="宋体" w:hAnsi="宋体" w:eastAsia="宋体" w:cs="宋体"/>
          <w:color w:val="auto"/>
          <w:sz w:val="24"/>
        </w:rPr>
        <w:t>有权自该期限届满之日起要求</w:t>
      </w:r>
      <w:r>
        <w:rPr>
          <w:rFonts w:hint="eastAsia" w:ascii="宋体" w:hAnsi="宋体" w:cs="宋体"/>
          <w:color w:val="auto"/>
          <w:sz w:val="24"/>
          <w:lang w:eastAsia="zh-CN"/>
        </w:rPr>
        <w:t>采购人</w:t>
      </w:r>
      <w:r>
        <w:rPr>
          <w:rFonts w:hint="eastAsia" w:ascii="宋体" w:hAnsi="宋体" w:eastAsia="宋体" w:cs="宋体"/>
          <w:color w:val="auto"/>
          <w:sz w:val="24"/>
        </w:rPr>
        <w:t>支付该阶段应付而未付合同价款每日0.5‰的逾期违约金。如</w:t>
      </w:r>
      <w:r>
        <w:rPr>
          <w:rFonts w:hint="eastAsia" w:ascii="宋体" w:hAnsi="宋体" w:cs="宋体"/>
          <w:color w:val="auto"/>
          <w:sz w:val="24"/>
          <w:lang w:eastAsia="zh-CN"/>
        </w:rPr>
        <w:t>采购人</w:t>
      </w:r>
      <w:r>
        <w:rPr>
          <w:rFonts w:hint="eastAsia" w:ascii="宋体" w:hAnsi="宋体" w:eastAsia="宋体" w:cs="宋体"/>
          <w:color w:val="auto"/>
          <w:sz w:val="24"/>
        </w:rPr>
        <w:t>无正当理由拒绝接受服务，到期明确表示拒付服务款项，</w:t>
      </w:r>
      <w:r>
        <w:rPr>
          <w:rFonts w:hint="eastAsia" w:ascii="宋体" w:hAnsi="宋体" w:cs="宋体"/>
          <w:color w:val="auto"/>
          <w:sz w:val="24"/>
          <w:lang w:eastAsia="zh-CN"/>
        </w:rPr>
        <w:t>中标人</w:t>
      </w:r>
      <w:r>
        <w:rPr>
          <w:rFonts w:hint="eastAsia" w:ascii="宋体" w:hAnsi="宋体" w:eastAsia="宋体" w:cs="宋体"/>
          <w:color w:val="auto"/>
          <w:sz w:val="24"/>
        </w:rPr>
        <w:t>有权要求</w:t>
      </w:r>
      <w:r>
        <w:rPr>
          <w:rFonts w:hint="eastAsia" w:ascii="宋体" w:hAnsi="宋体" w:cs="宋体"/>
          <w:color w:val="auto"/>
          <w:sz w:val="24"/>
          <w:lang w:eastAsia="zh-CN"/>
        </w:rPr>
        <w:t>采购人</w:t>
      </w:r>
      <w:r>
        <w:rPr>
          <w:rFonts w:hint="eastAsia" w:ascii="宋体" w:hAnsi="宋体" w:eastAsia="宋体" w:cs="宋体"/>
          <w:color w:val="auto"/>
          <w:sz w:val="24"/>
        </w:rPr>
        <w:t>支付本合同项下服务费总金额10%的违约金。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eastAsia="zh-CN"/>
        </w:rPr>
        <w:t>中标人</w:t>
      </w:r>
      <w:r>
        <w:rPr>
          <w:rFonts w:hint="eastAsia" w:ascii="宋体" w:hAnsi="宋体" w:eastAsia="宋体" w:cs="宋体"/>
          <w:color w:val="auto"/>
          <w:sz w:val="24"/>
        </w:rPr>
        <w:t>违反本合同项下义务，给</w:t>
      </w:r>
      <w:r>
        <w:rPr>
          <w:rFonts w:hint="eastAsia" w:ascii="宋体" w:hAnsi="宋体" w:cs="宋体"/>
          <w:color w:val="auto"/>
          <w:sz w:val="24"/>
          <w:lang w:eastAsia="zh-CN"/>
        </w:rPr>
        <w:t>采购人</w:t>
      </w:r>
      <w:r>
        <w:rPr>
          <w:rFonts w:hint="eastAsia" w:ascii="宋体" w:hAnsi="宋体" w:eastAsia="宋体" w:cs="宋体"/>
          <w:color w:val="auto"/>
          <w:sz w:val="24"/>
        </w:rPr>
        <w:t>造成损失的，</w:t>
      </w:r>
      <w:r>
        <w:rPr>
          <w:rFonts w:hint="eastAsia" w:ascii="宋体" w:hAnsi="宋体" w:cs="宋体"/>
          <w:color w:val="auto"/>
          <w:sz w:val="24"/>
          <w:lang w:eastAsia="zh-CN"/>
        </w:rPr>
        <w:t>采购人</w:t>
      </w:r>
      <w:r>
        <w:rPr>
          <w:rFonts w:hint="eastAsia" w:ascii="宋体" w:hAnsi="宋体" w:eastAsia="宋体" w:cs="宋体"/>
          <w:color w:val="auto"/>
          <w:sz w:val="24"/>
        </w:rPr>
        <w:t>有权要求</w:t>
      </w:r>
      <w:r>
        <w:rPr>
          <w:rFonts w:hint="eastAsia" w:ascii="宋体" w:hAnsi="宋体" w:cs="宋体"/>
          <w:color w:val="auto"/>
          <w:sz w:val="24"/>
          <w:lang w:eastAsia="zh-CN"/>
        </w:rPr>
        <w:t>中标人</w:t>
      </w:r>
      <w:r>
        <w:rPr>
          <w:rFonts w:hint="eastAsia" w:ascii="宋体" w:hAnsi="宋体" w:eastAsia="宋体" w:cs="宋体"/>
          <w:color w:val="auto"/>
          <w:sz w:val="24"/>
        </w:rPr>
        <w:t>赔偿全部损失。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center"/>
        <w:outlineLvl w:val="0"/>
        <w:rPr>
          <w:rFonts w:hint="eastAsia" w:ascii="宋体" w:cs="宋体"/>
          <w:b/>
          <w:bCs/>
          <w:color w:val="auto"/>
          <w:sz w:val="24"/>
        </w:rPr>
      </w:pPr>
      <w:r>
        <w:rPr>
          <w:rFonts w:hint="eastAsia" w:ascii="宋体" w:hAnsi="宋体" w:cs="宋体"/>
          <w:color w:val="auto"/>
          <w:sz w:val="24"/>
        </w:rPr>
        <w:br w:type="page"/>
      </w:r>
      <w:bookmarkStart w:id="20" w:name="_Toc23822"/>
      <w:r>
        <w:rPr>
          <w:rFonts w:hint="eastAsia" w:ascii="宋体" w:cs="宋体"/>
          <w:b/>
          <w:bCs/>
          <w:color w:val="auto"/>
          <w:sz w:val="24"/>
        </w:rPr>
        <w:t>第六章 投标文件初审及招标项目评分表</w:t>
      </w:r>
      <w:bookmarkEnd w:id="20"/>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353"/>
        <w:gridCol w:w="5722"/>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722" w:type="dxa"/>
            <w:noWrap w:val="0"/>
            <w:vAlign w:val="center"/>
          </w:tcPr>
          <w:p>
            <w:pPr>
              <w:pStyle w:val="8"/>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w:t>
            </w:r>
            <w:r>
              <w:rPr>
                <w:rFonts w:hint="eastAsia" w:ascii="宋体" w:hAnsi="宋体" w:cs="宋体"/>
                <w:b/>
                <w:bCs/>
                <w:color w:val="auto"/>
                <w:kern w:val="0"/>
                <w:sz w:val="24"/>
                <w:lang w:val="en-US" w:eastAsia="zh-CN"/>
              </w:rPr>
              <w:t>20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38</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资质认证</w:t>
            </w:r>
          </w:p>
        </w:tc>
        <w:tc>
          <w:tcPr>
            <w:tcW w:w="5722" w:type="dxa"/>
            <w:noWrap w:val="0"/>
            <w:vAlign w:val="top"/>
          </w:tcPr>
          <w:p>
            <w:pPr>
              <w:pStyle w:val="62"/>
              <w:tabs>
                <w:tab w:val="left" w:pos="1320"/>
                <w:tab w:val="clear" w:pos="1470"/>
              </w:tabs>
              <w:spacing w:line="276" w:lineRule="auto"/>
              <w:ind w:hanging="1254"/>
              <w:rPr>
                <w:rFonts w:ascii="宋体" w:hAnsi="宋体"/>
                <w:color w:val="auto"/>
                <w:sz w:val="24"/>
                <w:szCs w:val="24"/>
                <w:highlight w:val="none"/>
              </w:rPr>
            </w:pPr>
            <w:r>
              <w:rPr>
                <w:rFonts w:hint="eastAsia" w:ascii="宋体" w:hAnsi="宋体"/>
                <w:color w:val="auto"/>
                <w:sz w:val="24"/>
                <w:szCs w:val="24"/>
                <w:highlight w:val="none"/>
              </w:rPr>
              <w:t>投标人具有：</w:t>
            </w:r>
          </w:p>
          <w:p>
            <w:pPr>
              <w:pStyle w:val="62"/>
              <w:tabs>
                <w:tab w:val="left" w:pos="1320"/>
                <w:tab w:val="clear" w:pos="1470"/>
              </w:tabs>
              <w:spacing w:line="276" w:lineRule="auto"/>
              <w:ind w:left="2" w:leftChars="-5" w:hanging="12" w:hangingChars="5"/>
              <w:rPr>
                <w:rFonts w:hint="eastAsia" w:ascii="宋体" w:hAnsi="宋体"/>
                <w:color w:val="auto"/>
                <w:sz w:val="24"/>
                <w:szCs w:val="24"/>
                <w:highlight w:val="none"/>
              </w:rPr>
            </w:pPr>
            <w:r>
              <w:rPr>
                <w:rFonts w:hint="eastAsia" w:ascii="宋体" w:hAnsi="宋体"/>
                <w:color w:val="auto"/>
                <w:sz w:val="24"/>
                <w:szCs w:val="24"/>
                <w:highlight w:val="none"/>
              </w:rPr>
              <w:t>（1）具有质量管理体系认证</w:t>
            </w:r>
            <w:r>
              <w:rPr>
                <w:rFonts w:hint="eastAsia" w:ascii="宋体" w:hAnsi="宋体"/>
                <w:color w:val="auto"/>
                <w:sz w:val="24"/>
                <w:szCs w:val="24"/>
                <w:highlight w:val="none"/>
                <w:lang w:eastAsia="zh-CN"/>
              </w:rPr>
              <w:t>（认证涵盖的业务为计算机信息系统集成及应用软件开发）</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得3分；</w:t>
            </w:r>
          </w:p>
          <w:p>
            <w:pPr>
              <w:pStyle w:val="62"/>
              <w:tabs>
                <w:tab w:val="left" w:pos="1320"/>
                <w:tab w:val="clear" w:pos="1470"/>
              </w:tabs>
              <w:spacing w:line="276" w:lineRule="auto"/>
              <w:ind w:left="2" w:leftChars="-5" w:hanging="12" w:hangingChars="5"/>
              <w:rPr>
                <w:rFonts w:hint="eastAsia" w:ascii="宋体" w:hAnsi="宋体"/>
                <w:color w:val="auto"/>
                <w:sz w:val="24"/>
                <w:szCs w:val="24"/>
                <w:highlight w:val="none"/>
              </w:rPr>
            </w:pPr>
            <w:r>
              <w:rPr>
                <w:rFonts w:hint="eastAsia" w:ascii="宋体" w:hAnsi="宋体"/>
                <w:color w:val="auto"/>
                <w:sz w:val="24"/>
                <w:szCs w:val="24"/>
                <w:highlight w:val="none"/>
              </w:rPr>
              <w:t>（2）具有</w:t>
            </w:r>
            <w:r>
              <w:rPr>
                <w:rFonts w:hint="eastAsia" w:ascii="宋体" w:hAnsi="宋体"/>
                <w:color w:val="auto"/>
                <w:highlight w:val="none"/>
              </w:rPr>
              <w:t>业务连续性管理体系认证证书</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p>
            <w:pPr>
              <w:pStyle w:val="62"/>
              <w:tabs>
                <w:tab w:val="clear" w:pos="1470"/>
              </w:tabs>
              <w:spacing w:line="276" w:lineRule="auto"/>
              <w:ind w:left="0" w:firstLine="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具有</w:t>
            </w:r>
            <w:r>
              <w:rPr>
                <w:rFonts w:hint="eastAsia" w:ascii="宋体" w:hAnsi="宋体"/>
                <w:color w:val="auto"/>
                <w:highlight w:val="none"/>
              </w:rPr>
              <w:t>ITSS信息技术服务运行维护标准符合性证书</w:t>
            </w:r>
            <w:r>
              <w:rPr>
                <w:rFonts w:hint="eastAsia" w:ascii="宋体" w:hAnsi="宋体"/>
                <w:color w:val="auto"/>
                <w:sz w:val="24"/>
                <w:szCs w:val="24"/>
                <w:highlight w:val="none"/>
              </w:rPr>
              <w:t>得3分。</w:t>
            </w:r>
          </w:p>
          <w:p>
            <w:pPr>
              <w:pStyle w:val="62"/>
              <w:tabs>
                <w:tab w:val="clear" w:pos="1470"/>
              </w:tabs>
              <w:spacing w:line="276" w:lineRule="auto"/>
              <w:ind w:left="0"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注：</w:t>
            </w:r>
          </w:p>
          <w:p>
            <w:pPr>
              <w:pStyle w:val="62"/>
              <w:tabs>
                <w:tab w:val="clear" w:pos="1470"/>
              </w:tabs>
              <w:spacing w:line="276" w:lineRule="auto"/>
              <w:ind w:left="0" w:leftChars="0" w:firstLine="0" w:firstLineChars="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以上3项累加计分，最高分为</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分。提供有效期内相关认证（资质）文件扫描件作为得分依据</w:t>
            </w:r>
            <w:r>
              <w:rPr>
                <w:rFonts w:hint="eastAsia" w:ascii="宋体" w:hAnsi="宋体"/>
                <w:color w:val="auto"/>
                <w:sz w:val="24"/>
                <w:szCs w:val="24"/>
                <w:highlight w:val="none"/>
                <w:lang w:eastAsia="zh-CN"/>
              </w:rPr>
              <w:t>；</w:t>
            </w:r>
          </w:p>
          <w:p>
            <w:pPr>
              <w:pStyle w:val="62"/>
              <w:tabs>
                <w:tab w:val="clear" w:pos="1470"/>
              </w:tabs>
              <w:spacing w:line="276" w:lineRule="auto"/>
              <w:ind w:left="0" w:leftChars="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2.第1、2项除需提供有效的认证证书，还需同时提供全国认证认可信息公共服务平台(http://www.cnca.gov.cn/)查询截图；</w:t>
            </w:r>
          </w:p>
          <w:p>
            <w:pPr>
              <w:pStyle w:val="62"/>
              <w:tabs>
                <w:tab w:val="clear" w:pos="1470"/>
              </w:tabs>
              <w:spacing w:line="276"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评分中出现无证明资料或专家无法凭所提供资料判断是否得分的情况，一律作不得分处理</w:t>
            </w:r>
            <w:r>
              <w:rPr>
                <w:rFonts w:hint="eastAsia" w:ascii="宋体" w:hAnsi="宋体"/>
                <w:color w:val="auto"/>
                <w:sz w:val="24"/>
                <w:szCs w:val="24"/>
                <w:highlight w:val="none"/>
                <w:lang w:eastAsia="zh-CN"/>
              </w:rPr>
              <w:t>。</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353"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rPr>
              <w:t>拟安排项目负责人情况</w:t>
            </w:r>
            <w:r>
              <w:rPr>
                <w:rFonts w:hint="eastAsia" w:ascii="宋体" w:hAnsi="宋体" w:cs="宋体"/>
                <w:color w:val="auto"/>
                <w:sz w:val="24"/>
                <w:lang w:val="en-US" w:eastAsia="zh-CN"/>
              </w:rPr>
              <w:t>(仅一人)</w:t>
            </w:r>
          </w:p>
        </w:tc>
        <w:tc>
          <w:tcPr>
            <w:tcW w:w="5722" w:type="dxa"/>
            <w:noWrap w:val="0"/>
            <w:vAlign w:val="top"/>
          </w:tcPr>
          <w:p>
            <w:pPr>
              <w:pStyle w:val="62"/>
              <w:tabs>
                <w:tab w:val="clear" w:pos="1470"/>
              </w:tabs>
              <w:spacing w:line="276" w:lineRule="auto"/>
              <w:ind w:left="0" w:firstLine="0"/>
              <w:rPr>
                <w:rFonts w:hint="eastAsia" w:ascii="宋体" w:hAnsi="宋体"/>
                <w:color w:val="auto"/>
                <w:sz w:val="24"/>
                <w:szCs w:val="24"/>
              </w:rPr>
            </w:pPr>
            <w:r>
              <w:rPr>
                <w:rFonts w:hint="eastAsia" w:ascii="宋体" w:hAnsi="宋体"/>
                <w:color w:val="auto"/>
                <w:sz w:val="24"/>
                <w:szCs w:val="24"/>
              </w:rPr>
              <w:t>投标人为本项目拟安排</w:t>
            </w:r>
            <w:r>
              <w:rPr>
                <w:rFonts w:hint="eastAsia" w:ascii="宋体" w:hAnsi="宋体"/>
                <w:color w:val="auto"/>
                <w:sz w:val="24"/>
                <w:szCs w:val="24"/>
                <w:lang w:eastAsia="zh-CN"/>
              </w:rPr>
              <w:t>的</w:t>
            </w:r>
            <w:r>
              <w:rPr>
                <w:rFonts w:hint="eastAsia" w:ascii="宋体" w:hAnsi="宋体"/>
                <w:color w:val="auto"/>
                <w:sz w:val="24"/>
                <w:szCs w:val="24"/>
              </w:rPr>
              <w:t>项目负责人：</w:t>
            </w:r>
          </w:p>
          <w:p>
            <w:pPr>
              <w:pStyle w:val="62"/>
              <w:tabs>
                <w:tab w:val="clear" w:pos="1470"/>
              </w:tabs>
              <w:spacing w:line="276" w:lineRule="auto"/>
              <w:ind w:left="0" w:firstLine="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（1）具有本科或以上学历的得2分；</w:t>
            </w:r>
          </w:p>
          <w:p>
            <w:pPr>
              <w:pStyle w:val="62"/>
              <w:tabs>
                <w:tab w:val="clear" w:pos="1470"/>
              </w:tabs>
              <w:spacing w:line="276" w:lineRule="auto"/>
              <w:ind w:left="0" w:firstLine="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）具有PMP</w:t>
            </w:r>
            <w:r>
              <w:rPr>
                <w:rFonts w:hint="eastAsia" w:ascii="宋体" w:hAnsi="宋体"/>
                <w:color w:val="auto"/>
                <w:sz w:val="24"/>
                <w:szCs w:val="24"/>
                <w:lang w:val="en-US" w:eastAsia="zh-CN"/>
              </w:rPr>
              <w:t>项目管理资格</w:t>
            </w:r>
            <w:r>
              <w:rPr>
                <w:rFonts w:hint="eastAsia" w:ascii="宋体" w:hAnsi="宋体"/>
                <w:color w:val="auto"/>
                <w:sz w:val="24"/>
                <w:szCs w:val="24"/>
              </w:rPr>
              <w:t>证书或</w:t>
            </w:r>
            <w:r>
              <w:rPr>
                <w:rFonts w:hint="eastAsia" w:ascii="宋体" w:hAnsi="宋体"/>
                <w:color w:val="auto"/>
                <w:sz w:val="24"/>
                <w:szCs w:val="24"/>
                <w:lang w:val="en-US" w:eastAsia="zh-CN"/>
              </w:rPr>
              <w:t>信息系统</w:t>
            </w:r>
            <w:r>
              <w:rPr>
                <w:rFonts w:hint="eastAsia" w:ascii="宋体" w:hAnsi="宋体"/>
                <w:color w:val="auto"/>
                <w:sz w:val="24"/>
                <w:szCs w:val="24"/>
              </w:rPr>
              <w:t>项目管理师</w:t>
            </w:r>
            <w:r>
              <w:rPr>
                <w:rFonts w:hint="eastAsia" w:ascii="宋体" w:hAnsi="宋体"/>
                <w:color w:val="auto"/>
                <w:sz w:val="24"/>
                <w:szCs w:val="24"/>
                <w:lang w:val="en-US" w:eastAsia="zh-CN"/>
              </w:rPr>
              <w:t>高级</w:t>
            </w:r>
            <w:r>
              <w:rPr>
                <w:rFonts w:hint="eastAsia" w:ascii="宋体" w:hAnsi="宋体"/>
                <w:color w:val="auto"/>
                <w:sz w:val="24"/>
                <w:szCs w:val="24"/>
              </w:rPr>
              <w:t>证书得</w:t>
            </w:r>
            <w:r>
              <w:rPr>
                <w:rFonts w:hint="eastAsia" w:ascii="宋体" w:hAnsi="宋体"/>
                <w:color w:val="auto"/>
                <w:sz w:val="24"/>
                <w:szCs w:val="24"/>
                <w:lang w:val="en-US" w:eastAsia="zh-CN"/>
              </w:rPr>
              <w:t>3</w:t>
            </w:r>
            <w:r>
              <w:rPr>
                <w:rFonts w:hint="eastAsia" w:ascii="宋体" w:hAnsi="宋体"/>
                <w:color w:val="auto"/>
                <w:sz w:val="24"/>
                <w:szCs w:val="24"/>
              </w:rPr>
              <w:t>分；</w:t>
            </w:r>
          </w:p>
          <w:p>
            <w:pPr>
              <w:pStyle w:val="62"/>
              <w:tabs>
                <w:tab w:val="clear" w:pos="1470"/>
              </w:tabs>
              <w:spacing w:line="276" w:lineRule="auto"/>
              <w:ind w:left="0" w:firstLine="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）具有与本项目服务内容相关的政务服务或公共服务类项目经验得3分。</w:t>
            </w:r>
          </w:p>
          <w:p>
            <w:pPr>
              <w:pStyle w:val="62"/>
              <w:tabs>
                <w:tab w:val="clear" w:pos="1470"/>
              </w:tabs>
              <w:spacing w:line="276" w:lineRule="auto"/>
              <w:ind w:left="0" w:firstLine="0"/>
              <w:rPr>
                <w:rFonts w:hint="eastAsia" w:ascii="宋体" w:hAnsi="宋体"/>
                <w:color w:val="auto"/>
                <w:sz w:val="24"/>
                <w:szCs w:val="24"/>
              </w:rPr>
            </w:pPr>
            <w:r>
              <w:rPr>
                <w:rFonts w:hint="eastAsia" w:ascii="宋体" w:hAnsi="宋体"/>
                <w:color w:val="auto"/>
                <w:sz w:val="24"/>
                <w:szCs w:val="24"/>
              </w:rPr>
              <w:t>注：以上</w:t>
            </w:r>
            <w:r>
              <w:rPr>
                <w:rFonts w:hint="eastAsia" w:ascii="宋体" w:hAnsi="宋体"/>
                <w:color w:val="auto"/>
                <w:sz w:val="24"/>
                <w:szCs w:val="24"/>
                <w:lang w:val="en-US" w:eastAsia="zh-CN"/>
              </w:rPr>
              <w:t>3</w:t>
            </w:r>
            <w:r>
              <w:rPr>
                <w:rFonts w:hint="eastAsia" w:ascii="宋体" w:hAnsi="宋体"/>
                <w:color w:val="auto"/>
                <w:sz w:val="24"/>
                <w:szCs w:val="24"/>
              </w:rPr>
              <w:t>项累加计分，最高分为</w:t>
            </w:r>
            <w:r>
              <w:rPr>
                <w:rFonts w:hint="eastAsia" w:ascii="宋体" w:hAnsi="宋体"/>
                <w:color w:val="auto"/>
                <w:sz w:val="24"/>
                <w:szCs w:val="24"/>
                <w:lang w:val="en-US" w:eastAsia="zh-CN"/>
              </w:rPr>
              <w:t>8</w:t>
            </w:r>
            <w:r>
              <w:rPr>
                <w:rFonts w:hint="eastAsia" w:ascii="宋体" w:hAnsi="宋体"/>
                <w:color w:val="auto"/>
                <w:sz w:val="24"/>
                <w:szCs w:val="24"/>
              </w:rPr>
              <w:t>分。</w:t>
            </w:r>
          </w:p>
          <w:p>
            <w:pPr>
              <w:pStyle w:val="62"/>
              <w:tabs>
                <w:tab w:val="clear" w:pos="1470"/>
              </w:tabs>
              <w:spacing w:line="276" w:lineRule="auto"/>
              <w:ind w:left="0" w:firstLine="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w:t>
            </w:r>
            <w:r>
              <w:rPr>
                <w:rFonts w:hint="eastAsia" w:ascii="宋体" w:hAnsi="宋体"/>
                <w:color w:val="auto"/>
                <w:szCs w:val="24"/>
              </w:rPr>
              <w:t>提供拟安排的项目负责人的学历证书</w:t>
            </w:r>
            <w:r>
              <w:rPr>
                <w:rFonts w:hint="eastAsia" w:ascii="宋体" w:hAnsi="宋体"/>
                <w:color w:val="auto"/>
                <w:szCs w:val="24"/>
                <w:lang w:eastAsia="zh-CN"/>
              </w:rPr>
              <w:t>【</w:t>
            </w:r>
            <w:r>
              <w:rPr>
                <w:rFonts w:hint="eastAsia" w:ascii="宋体" w:hAnsi="宋体"/>
                <w:color w:val="auto"/>
                <w:szCs w:val="24"/>
              </w:rPr>
              <w:t>需提供</w:t>
            </w:r>
            <w:r>
              <w:rPr>
                <w:rFonts w:hint="eastAsia" w:ascii="宋体" w:hAnsi="宋体"/>
                <w:color w:val="auto"/>
                <w:szCs w:val="24"/>
                <w:lang w:val="en-US" w:eastAsia="zh-CN"/>
              </w:rPr>
              <w:t>毕业</w:t>
            </w:r>
            <w:r>
              <w:rPr>
                <w:rFonts w:hint="eastAsia" w:ascii="宋体" w:hAnsi="宋体"/>
                <w:color w:val="auto"/>
                <w:szCs w:val="24"/>
              </w:rPr>
              <w:t>证书复印件及学信网查询记录</w:t>
            </w:r>
            <w:r>
              <w:rPr>
                <w:rFonts w:hint="eastAsia" w:ascii="宋体" w:hAnsi="宋体"/>
                <w:color w:val="auto"/>
                <w:szCs w:val="24"/>
                <w:lang w:eastAsia="zh-CN"/>
              </w:rPr>
              <w:t>，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r>
              <w:rPr>
                <w:rFonts w:hint="eastAsia" w:ascii="宋体" w:hAnsi="宋体"/>
                <w:color w:val="auto"/>
                <w:szCs w:val="24"/>
              </w:rPr>
              <w:t>、职称证书、资格证书。</w:t>
            </w:r>
          </w:p>
          <w:p>
            <w:pPr>
              <w:pStyle w:val="62"/>
              <w:tabs>
                <w:tab w:val="clear" w:pos="1470"/>
              </w:tabs>
              <w:spacing w:line="276" w:lineRule="auto"/>
              <w:ind w:left="0" w:firstLine="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Cs w:val="24"/>
              </w:rPr>
              <w:t>项目负责人必须为投标人自有员工，</w:t>
            </w:r>
            <w:r>
              <w:rPr>
                <w:rFonts w:hint="eastAsia" w:ascii="宋体" w:hAnsi="宋体" w:cs="宋体"/>
                <w:color w:val="auto"/>
                <w:szCs w:val="24"/>
              </w:rPr>
              <w:t>投标单位需提供劳动合同或承诺函（格式自拟），</w:t>
            </w:r>
            <w:r>
              <w:rPr>
                <w:rFonts w:hint="eastAsia" w:ascii="宋体" w:hAnsi="宋体" w:cs="宋体"/>
                <w:color w:val="auto"/>
                <w:szCs w:val="24"/>
                <w:lang w:eastAsia="zh-CN"/>
              </w:rPr>
              <w:t>承诺</w:t>
            </w:r>
            <w:r>
              <w:rPr>
                <w:rFonts w:hint="eastAsia" w:ascii="宋体" w:hAnsi="宋体" w:cs="宋体"/>
                <w:color w:val="auto"/>
                <w:szCs w:val="24"/>
              </w:rPr>
              <w:t>保证安排的项目负责人近3个月内与投标人或投标的分公司存在劳动合同关系</w:t>
            </w:r>
            <w:r>
              <w:rPr>
                <w:rFonts w:hint="eastAsia" w:ascii="宋体" w:hAnsi="宋体"/>
                <w:color w:val="auto"/>
                <w:szCs w:val="24"/>
              </w:rPr>
              <w:t>。</w:t>
            </w:r>
          </w:p>
          <w:p>
            <w:pPr>
              <w:pStyle w:val="62"/>
              <w:tabs>
                <w:tab w:val="clear" w:pos="1470"/>
              </w:tabs>
              <w:spacing w:line="276" w:lineRule="auto"/>
              <w:ind w:left="0" w:leftChars="0" w:firstLine="0" w:firstLineChars="0"/>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涉及业绩经验的需提供合同关键页（关键页包含但不限于合同封面、服务内容页、服务人员页、双方盖章页等），如合同无法体现人员名称，须同时提供合同采购人出具的证明复印件加盖公章，原件备查</w:t>
            </w:r>
            <w:r>
              <w:rPr>
                <w:rFonts w:hint="eastAsia" w:ascii="宋体" w:hAnsi="宋体"/>
                <w:color w:val="auto"/>
                <w:sz w:val="24"/>
                <w:szCs w:val="24"/>
                <w:lang w:eastAsia="zh-CN"/>
              </w:rPr>
              <w:t>；</w:t>
            </w:r>
          </w:p>
          <w:p>
            <w:pPr>
              <w:pStyle w:val="62"/>
              <w:tabs>
                <w:tab w:val="clear" w:pos="1470"/>
              </w:tabs>
              <w:spacing w:line="276" w:lineRule="auto"/>
              <w:ind w:left="0" w:leftChars="0" w:firstLine="0" w:firstLineChars="0"/>
              <w:rPr>
                <w:rFonts w:hint="eastAsia" w:ascii="宋体" w:hAnsi="宋体" w:cs="宋体"/>
                <w:color w:val="auto"/>
                <w:sz w:val="24"/>
                <w:szCs w:val="24"/>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评分中出现无证明资料或专家无法凭所提供资料判断是否得分的情况，一律作不得分处理</w:t>
            </w:r>
            <w:r>
              <w:rPr>
                <w:rFonts w:hint="eastAsia" w:ascii="宋体" w:hAnsi="宋体"/>
                <w:color w:val="auto"/>
                <w:sz w:val="24"/>
                <w:szCs w:val="24"/>
              </w:rPr>
              <w:t>。</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eastAsia="zh-CN"/>
              </w:rPr>
            </w:pPr>
            <w:r>
              <w:rPr>
                <w:rFonts w:hint="eastAsia" w:ascii="宋体" w:hAnsi="宋体" w:cs="宋体"/>
                <w:color w:val="auto"/>
                <w:sz w:val="24"/>
              </w:rPr>
              <w:t>投标人知识产权产品（创新、设计）情况</w:t>
            </w:r>
          </w:p>
        </w:tc>
        <w:tc>
          <w:tcPr>
            <w:tcW w:w="5722" w:type="dxa"/>
            <w:noWrap w:val="0"/>
            <w:vAlign w:val="top"/>
          </w:tcPr>
          <w:p>
            <w:pPr>
              <w:pStyle w:val="62"/>
              <w:tabs>
                <w:tab w:val="clear" w:pos="1470"/>
              </w:tabs>
              <w:spacing w:line="276" w:lineRule="auto"/>
              <w:ind w:left="0" w:leftChars="0" w:firstLine="0" w:firstLineChars="0"/>
              <w:rPr>
                <w:rFonts w:hint="eastAsia" w:ascii="宋体" w:hAnsi="宋体"/>
                <w:color w:val="auto"/>
                <w:sz w:val="24"/>
                <w:szCs w:val="24"/>
              </w:rPr>
            </w:pPr>
            <w:r>
              <w:rPr>
                <w:rFonts w:hint="eastAsia" w:ascii="宋体" w:hAnsi="宋体" w:cs="宋体"/>
                <w:color w:val="auto"/>
                <w:szCs w:val="24"/>
              </w:rPr>
              <w:t>投标人</w:t>
            </w:r>
            <w:r>
              <w:rPr>
                <w:rFonts w:hint="eastAsia" w:ascii="宋体" w:hAnsi="宋体" w:cs="宋体"/>
                <w:color w:val="auto"/>
                <w:szCs w:val="24"/>
                <w:lang w:val="en-US" w:eastAsia="zh-CN"/>
              </w:rPr>
              <w:t>提供在</w:t>
            </w:r>
            <w:r>
              <w:rPr>
                <w:rFonts w:hint="eastAsia" w:ascii="宋体" w:hAnsi="宋体" w:cs="宋体"/>
                <w:color w:val="auto"/>
                <w:szCs w:val="24"/>
              </w:rPr>
              <w:t>本项目</w:t>
            </w:r>
            <w:r>
              <w:rPr>
                <w:rFonts w:hint="eastAsia" w:ascii="宋体" w:hAnsi="宋体" w:cs="宋体"/>
                <w:color w:val="auto"/>
                <w:szCs w:val="24"/>
                <w:lang w:val="en-US" w:eastAsia="zh-CN"/>
              </w:rPr>
              <w:t>开标</w:t>
            </w:r>
            <w:r>
              <w:rPr>
                <w:rFonts w:hint="eastAsia" w:ascii="宋体" w:hAnsi="宋体" w:cs="宋体"/>
                <w:color w:val="auto"/>
                <w:szCs w:val="24"/>
              </w:rPr>
              <w:t>日前获得信息化知识产权相关证书的，每提供1项得2</w:t>
            </w:r>
            <w:r>
              <w:rPr>
                <w:rFonts w:hint="eastAsia" w:ascii="宋体" w:hAnsi="宋体" w:cs="宋体"/>
                <w:color w:val="auto"/>
                <w:szCs w:val="24"/>
                <w:lang w:val="en-US" w:eastAsia="zh-CN"/>
              </w:rPr>
              <w:t>.5</w:t>
            </w:r>
            <w:r>
              <w:rPr>
                <w:rFonts w:hint="eastAsia" w:ascii="宋体" w:hAnsi="宋体" w:cs="宋体"/>
                <w:color w:val="auto"/>
                <w:szCs w:val="24"/>
              </w:rPr>
              <w:t>分，最高得</w:t>
            </w:r>
            <w:r>
              <w:rPr>
                <w:rFonts w:hint="eastAsia" w:ascii="宋体" w:hAnsi="宋体" w:cs="宋体"/>
                <w:color w:val="auto"/>
                <w:szCs w:val="24"/>
                <w:lang w:val="en-US" w:eastAsia="zh-CN"/>
              </w:rPr>
              <w:t>5</w:t>
            </w:r>
            <w:r>
              <w:rPr>
                <w:rFonts w:hint="eastAsia" w:ascii="宋体" w:hAnsi="宋体" w:cs="宋体"/>
                <w:color w:val="auto"/>
                <w:szCs w:val="24"/>
              </w:rPr>
              <w:t>分</w:t>
            </w:r>
            <w:r>
              <w:rPr>
                <w:rFonts w:hint="eastAsia" w:ascii="宋体" w:hAnsi="宋体" w:cs="宋体"/>
                <w:color w:val="auto"/>
                <w:szCs w:val="24"/>
                <w:lang w:eastAsia="zh-CN"/>
              </w:rPr>
              <w:t>。</w:t>
            </w:r>
          </w:p>
          <w:p>
            <w:pPr>
              <w:pStyle w:val="62"/>
              <w:tabs>
                <w:tab w:val="clear" w:pos="1470"/>
              </w:tabs>
              <w:spacing w:line="276" w:lineRule="auto"/>
              <w:ind w:left="0" w:leftChars="0" w:firstLine="0" w:firstLineChars="0"/>
              <w:rPr>
                <w:rFonts w:hint="eastAsia" w:ascii="宋体" w:hAnsi="宋体" w:cs="宋体"/>
                <w:b w:val="0"/>
                <w:bCs w:val="0"/>
                <w:color w:val="auto"/>
                <w:sz w:val="24"/>
                <w:szCs w:val="24"/>
                <w:lang w:val="en-US" w:eastAsia="zh-CN"/>
              </w:rPr>
            </w:pPr>
            <w:r>
              <w:rPr>
                <w:rFonts w:hint="eastAsia" w:ascii="宋体" w:hAnsi="宋体"/>
                <w:color w:val="auto"/>
                <w:sz w:val="24"/>
                <w:szCs w:val="24"/>
              </w:rPr>
              <w:t>注：</w:t>
            </w:r>
            <w:r>
              <w:rPr>
                <w:rFonts w:hint="eastAsia" w:ascii="宋体" w:hAnsi="宋体" w:cs="宋体"/>
                <w:color w:val="auto"/>
                <w:szCs w:val="24"/>
              </w:rPr>
              <w:t>提供信息化知识产权相关证书证明材料复印件，加盖投标人公章。未按要求提供或提供不清晰导致专家无法判断的不得分。</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eastAsia="zh-CN"/>
              </w:rPr>
            </w:pPr>
            <w:r>
              <w:rPr>
                <w:rFonts w:hint="eastAsia" w:ascii="宋体" w:hAnsi="宋体" w:cs="宋体"/>
                <w:color w:val="auto"/>
                <w:sz w:val="24"/>
              </w:rPr>
              <w:t>同类项目业绩情况</w:t>
            </w:r>
          </w:p>
        </w:tc>
        <w:tc>
          <w:tcPr>
            <w:tcW w:w="5722" w:type="dxa"/>
            <w:noWrap w:val="0"/>
            <w:vAlign w:val="top"/>
          </w:tcPr>
          <w:p>
            <w:pPr>
              <w:pStyle w:val="62"/>
              <w:tabs>
                <w:tab w:val="clear" w:pos="1470"/>
              </w:tabs>
              <w:spacing w:line="276" w:lineRule="auto"/>
              <w:ind w:left="0" w:firstLine="0"/>
              <w:rPr>
                <w:rFonts w:hint="eastAsia" w:ascii="宋体" w:hAnsi="宋体"/>
                <w:color w:val="auto"/>
                <w:sz w:val="24"/>
                <w:szCs w:val="24"/>
              </w:rPr>
            </w:pPr>
            <w:r>
              <w:rPr>
                <w:rFonts w:hint="eastAsia" w:ascii="宋体" w:hAnsi="宋体"/>
                <w:color w:val="auto"/>
                <w:sz w:val="24"/>
                <w:szCs w:val="24"/>
              </w:rPr>
              <w:t>投标人提供20</w:t>
            </w:r>
            <w:r>
              <w:rPr>
                <w:rFonts w:hint="eastAsia" w:ascii="宋体" w:hAnsi="宋体"/>
                <w:color w:val="auto"/>
                <w:sz w:val="24"/>
                <w:szCs w:val="24"/>
                <w:lang w:val="en-US" w:eastAsia="zh-CN"/>
              </w:rPr>
              <w:t>20</w:t>
            </w:r>
            <w:r>
              <w:rPr>
                <w:rFonts w:hint="eastAsia" w:ascii="宋体" w:hAnsi="宋体"/>
                <w:color w:val="auto"/>
                <w:sz w:val="24"/>
                <w:szCs w:val="24"/>
              </w:rPr>
              <w:t>年1月1日至本项目</w:t>
            </w:r>
            <w:r>
              <w:rPr>
                <w:rFonts w:hint="eastAsia" w:ascii="宋体" w:hAnsi="宋体"/>
                <w:color w:val="auto"/>
                <w:sz w:val="24"/>
                <w:szCs w:val="24"/>
                <w:lang w:val="en-US" w:eastAsia="zh-CN"/>
              </w:rPr>
              <w:t>开标之</w:t>
            </w:r>
            <w:r>
              <w:rPr>
                <w:rFonts w:hint="eastAsia" w:ascii="宋体" w:hAnsi="宋体"/>
                <w:color w:val="auto"/>
                <w:sz w:val="24"/>
                <w:szCs w:val="24"/>
              </w:rPr>
              <w:t>日，</w:t>
            </w:r>
            <w:r>
              <w:rPr>
                <w:rFonts w:hint="eastAsia" w:ascii="宋体" w:hAnsi="宋体"/>
                <w:color w:val="auto"/>
                <w:szCs w:val="24"/>
              </w:rPr>
              <w:t>具有政务服务运维或技术支持相关服务项目业绩（以合同签订时间为准）</w:t>
            </w:r>
            <w:r>
              <w:rPr>
                <w:rFonts w:hint="eastAsia" w:ascii="宋体" w:hAnsi="宋体"/>
                <w:color w:val="auto"/>
                <w:sz w:val="24"/>
                <w:szCs w:val="24"/>
              </w:rPr>
              <w:t>的每提供1项得</w:t>
            </w:r>
            <w:r>
              <w:rPr>
                <w:rFonts w:hint="eastAsia" w:ascii="宋体" w:hAnsi="宋体"/>
                <w:color w:val="auto"/>
                <w:sz w:val="24"/>
                <w:szCs w:val="24"/>
                <w:lang w:val="en-US" w:eastAsia="zh-CN"/>
              </w:rPr>
              <w:t>4</w:t>
            </w:r>
            <w:r>
              <w:rPr>
                <w:rFonts w:hint="eastAsia" w:ascii="宋体" w:hAnsi="宋体"/>
                <w:color w:val="auto"/>
                <w:sz w:val="24"/>
                <w:szCs w:val="24"/>
              </w:rPr>
              <w:t>分，满分</w:t>
            </w:r>
            <w:r>
              <w:rPr>
                <w:rFonts w:hint="eastAsia" w:ascii="宋体" w:hAnsi="宋体"/>
                <w:color w:val="auto"/>
                <w:sz w:val="24"/>
                <w:szCs w:val="24"/>
                <w:lang w:val="en-US" w:eastAsia="zh-CN"/>
              </w:rPr>
              <w:t>12</w:t>
            </w:r>
            <w:r>
              <w:rPr>
                <w:rFonts w:hint="eastAsia" w:ascii="宋体" w:hAnsi="宋体"/>
                <w:color w:val="auto"/>
                <w:sz w:val="24"/>
                <w:szCs w:val="24"/>
              </w:rPr>
              <w:t>分。</w:t>
            </w:r>
          </w:p>
          <w:p>
            <w:pPr>
              <w:pStyle w:val="62"/>
              <w:tabs>
                <w:tab w:val="clear" w:pos="1470"/>
              </w:tabs>
              <w:autoSpaceDE w:val="0"/>
              <w:autoSpaceDN w:val="0"/>
              <w:adjustRightInd w:val="0"/>
              <w:spacing w:line="276" w:lineRule="auto"/>
              <w:ind w:left="0" w:firstLine="0"/>
              <w:rPr>
                <w:rFonts w:hint="eastAsia" w:ascii="宋体" w:hAnsi="宋体"/>
                <w:color w:val="auto"/>
                <w:sz w:val="24"/>
                <w:szCs w:val="24"/>
              </w:rPr>
            </w:pPr>
            <w:r>
              <w:rPr>
                <w:rFonts w:hint="eastAsia" w:ascii="宋体" w:hAnsi="宋体"/>
                <w:color w:val="auto"/>
                <w:szCs w:val="24"/>
              </w:rPr>
              <w:t>注：同一项目业绩的续签合同不重复计分。</w:t>
            </w:r>
          </w:p>
          <w:p>
            <w:pPr>
              <w:pStyle w:val="62"/>
              <w:tabs>
                <w:tab w:val="clear" w:pos="1470"/>
              </w:tabs>
              <w:spacing w:line="276" w:lineRule="auto"/>
              <w:ind w:left="0" w:leftChars="0" w:firstLine="0" w:firstLineChars="0"/>
              <w:rPr>
                <w:rFonts w:hint="eastAsia" w:ascii="宋体" w:hAnsi="宋体" w:cs="宋体"/>
                <w:b w:val="0"/>
                <w:bCs w:val="0"/>
                <w:color w:val="auto"/>
                <w:sz w:val="24"/>
                <w:szCs w:val="24"/>
                <w:lang w:val="en-US" w:eastAsia="zh-CN"/>
              </w:rPr>
            </w:pPr>
            <w:r>
              <w:rPr>
                <w:rFonts w:hint="eastAsia" w:ascii="宋体" w:hAnsi="宋体"/>
                <w:color w:val="auto"/>
                <w:sz w:val="24"/>
                <w:szCs w:val="24"/>
                <w:lang w:val="en-US" w:eastAsia="zh-CN"/>
              </w:rPr>
              <w:t>证明材料：</w:t>
            </w:r>
            <w:r>
              <w:rPr>
                <w:rFonts w:hint="eastAsia" w:ascii="宋体" w:hAnsi="宋体"/>
                <w:color w:val="auto"/>
                <w:sz w:val="24"/>
                <w:szCs w:val="24"/>
              </w:rPr>
              <w:t>要求同时提供合同关键信息（关键页包含但不限于合同封面、服务内容页、双方盖章页等</w:t>
            </w:r>
            <w:r>
              <w:rPr>
                <w:rFonts w:hint="eastAsia" w:ascii="宋体" w:hAnsi="宋体"/>
                <w:color w:val="auto"/>
                <w:sz w:val="24"/>
                <w:szCs w:val="24"/>
                <w:lang w:eastAsia="zh-CN"/>
              </w:rPr>
              <w:t>，</w:t>
            </w:r>
            <w:r>
              <w:rPr>
                <w:rFonts w:hint="eastAsia" w:ascii="宋体" w:hAnsi="宋体"/>
                <w:color w:val="auto"/>
                <w:sz w:val="24"/>
                <w:szCs w:val="24"/>
              </w:rPr>
              <w:t>通过合同关键信息无法判断是否得分的，也可以提供能证明得分的其他证明材料，如合同甲方提供的证明文件等）及</w:t>
            </w:r>
            <w:r>
              <w:rPr>
                <w:rFonts w:hint="eastAsia" w:ascii="宋体" w:hAnsi="宋体"/>
                <w:color w:val="auto"/>
                <w:sz w:val="24"/>
                <w:szCs w:val="24"/>
                <w:lang w:val="en-US" w:eastAsia="zh-CN"/>
              </w:rPr>
              <w:t>合同甲方盖章的</w:t>
            </w:r>
            <w:r>
              <w:rPr>
                <w:rFonts w:hint="eastAsia" w:ascii="宋体" w:hAnsi="宋体"/>
                <w:color w:val="auto"/>
                <w:sz w:val="24"/>
                <w:szCs w:val="24"/>
              </w:rPr>
              <w:t>项目履约（验收）合格评价（证明）文件（均要求提供扫描件，原件备查）作为得分依据。未按要求提供或提供不清晰导致专家无法判断的不得分。</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722" w:type="dxa"/>
            <w:noWrap w:val="0"/>
            <w:vAlign w:val="center"/>
          </w:tcPr>
          <w:p>
            <w:pPr>
              <w:wordWrap w:val="0"/>
              <w:spacing w:line="360" w:lineRule="auto"/>
              <w:rPr>
                <w:rFonts w:hint="eastAsia" w:ascii="宋体" w:hAnsi="宋体" w:cs="宋体"/>
                <w:color w:val="auto"/>
                <w:kern w:val="0"/>
                <w:sz w:val="24"/>
                <w:lang w:val="zh-CN"/>
              </w:rPr>
            </w:pPr>
            <w:r>
              <w:rPr>
                <w:rFonts w:hint="eastAsia" w:ascii="宋体" w:hAnsi="宋体" w:cs="宋体"/>
                <w:color w:val="auto"/>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120"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42</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项目实施方案</w:t>
            </w:r>
          </w:p>
        </w:tc>
        <w:tc>
          <w:tcPr>
            <w:tcW w:w="5722" w:type="dxa"/>
            <w:noWrap w:val="0"/>
            <w:vAlign w:val="center"/>
          </w:tcPr>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（一）评审内容：</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根据投标文件里</w:t>
            </w:r>
            <w:r>
              <w:rPr>
                <w:rFonts w:hint="eastAsia" w:ascii="宋体" w:hAnsi="宋体" w:cs="宋体"/>
                <w:color w:val="auto"/>
                <w:sz w:val="24"/>
                <w:lang w:val="en-US" w:eastAsia="zh-CN"/>
              </w:rPr>
              <w:t>实施</w:t>
            </w:r>
            <w:r>
              <w:rPr>
                <w:rFonts w:hint="eastAsia" w:ascii="宋体" w:hAnsi="宋体" w:cs="宋体"/>
                <w:color w:val="auto"/>
                <w:sz w:val="24"/>
                <w:lang w:val="zh-CN"/>
              </w:rPr>
              <w:t>方案的判断情况比较得分：</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en-US" w:eastAsia="zh-CN"/>
              </w:rPr>
              <w:t>投标人</w:t>
            </w:r>
            <w:r>
              <w:rPr>
                <w:rFonts w:hint="eastAsia" w:ascii="宋体" w:hAnsi="宋体" w:cs="宋体"/>
                <w:color w:val="auto"/>
                <w:sz w:val="24"/>
                <w:lang w:val="zh-CN"/>
              </w:rPr>
              <w:t>需针对本项目在投标文件中详细说明实施方案，内容须包含对项目的理解、总体设计、项目管理与实施方案。</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（二）评审标准：</w:t>
            </w:r>
          </w:p>
          <w:p>
            <w:pPr>
              <w:pStyle w:val="52"/>
              <w:widowControl/>
              <w:spacing w:line="360" w:lineRule="auto"/>
              <w:ind w:firstLine="0" w:firstLineChars="0"/>
              <w:jc w:val="left"/>
              <w:rPr>
                <w:rFonts w:hint="eastAsia" w:ascii="宋体" w:hAnsi="宋体" w:cs="宋体"/>
                <w:color w:val="auto"/>
                <w:sz w:val="24"/>
                <w:lang w:val="zh-CN"/>
              </w:rPr>
            </w:pPr>
            <w:r>
              <w:rPr>
                <w:rFonts w:ascii="宋体" w:hAnsi="宋体" w:cs="宋体"/>
                <w:color w:val="auto"/>
                <w:sz w:val="24"/>
                <w:lang w:val="zh-CN"/>
              </w:rPr>
              <w:t>1、满足以上内容的，得2分</w:t>
            </w:r>
            <w:r>
              <w:rPr>
                <w:rFonts w:hint="eastAsia" w:ascii="宋体" w:hAnsi="宋体" w:cs="宋体"/>
                <w:color w:val="auto"/>
                <w:sz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在此基础上，</w:t>
            </w:r>
            <w:r>
              <w:rPr>
                <w:rFonts w:hint="eastAsia" w:ascii="宋体" w:hAnsi="宋体" w:cs="宋体"/>
                <w:color w:val="auto"/>
                <w:sz w:val="24"/>
              </w:rPr>
              <w:t>评审委员会根据招标文件的要求和投标文件响应情况进行比较，分档评分</w:t>
            </w:r>
            <w:r>
              <w:rPr>
                <w:rFonts w:hint="eastAsia" w:ascii="宋体" w:hAnsi="宋体" w:eastAsia="宋体" w:cs="宋体"/>
                <w:color w:val="auto"/>
                <w:sz w:val="24"/>
                <w:szCs w:val="24"/>
              </w:rPr>
              <w:t>：</w:t>
            </w:r>
          </w:p>
          <w:p>
            <w:pPr>
              <w:spacing w:line="360" w:lineRule="auto"/>
              <w:rPr>
                <w:rFonts w:hint="eastAsia" w:ascii="宋体" w:hAnsi="宋体" w:cs="宋体"/>
                <w:color w:val="auto"/>
                <w:sz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ascii="宋体" w:hAnsi="宋体" w:cs="宋体"/>
                <w:color w:val="auto"/>
                <w:sz w:val="24"/>
                <w:lang w:val="zh-CN"/>
              </w:rPr>
              <w:t>实施方案内容全面</w:t>
            </w:r>
            <w:r>
              <w:rPr>
                <w:rFonts w:hint="eastAsia" w:ascii="宋体" w:hAnsi="宋体" w:cs="宋体"/>
                <w:color w:val="auto"/>
                <w:sz w:val="24"/>
                <w:lang w:val="zh-CN"/>
              </w:rPr>
              <w:t>；</w:t>
            </w:r>
          </w:p>
          <w:p>
            <w:pPr>
              <w:spacing w:line="360" w:lineRule="auto"/>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ascii="宋体" w:hAnsi="宋体" w:cs="宋体"/>
                <w:color w:val="auto"/>
                <w:sz w:val="24"/>
                <w:lang w:val="zh-CN"/>
              </w:rPr>
              <w:t>实施方案内容具体</w:t>
            </w:r>
            <w:r>
              <w:rPr>
                <w:rFonts w:hint="eastAsia" w:ascii="宋体" w:hAnsi="宋体" w:cs="宋体"/>
                <w:color w:val="auto"/>
                <w:sz w:val="24"/>
                <w:lang w:val="zh-CN"/>
              </w:rPr>
              <w:t>；</w:t>
            </w:r>
          </w:p>
          <w:p>
            <w:pPr>
              <w:spacing w:line="360" w:lineRule="auto"/>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3</w:t>
            </w:r>
            <w:r>
              <w:rPr>
                <w:rFonts w:hint="eastAsia" w:ascii="宋体" w:hAnsi="宋体" w:cs="宋体"/>
                <w:color w:val="auto"/>
                <w:sz w:val="24"/>
                <w:lang w:val="zh-CN"/>
              </w:rPr>
              <w:t>）</w:t>
            </w:r>
            <w:r>
              <w:rPr>
                <w:rFonts w:ascii="宋体" w:hAnsi="宋体" w:cs="宋体"/>
                <w:color w:val="auto"/>
                <w:sz w:val="24"/>
                <w:lang w:val="zh-CN"/>
              </w:rPr>
              <w:t>实施方案内容科学合理</w:t>
            </w:r>
            <w:r>
              <w:rPr>
                <w:rFonts w:hint="eastAsia" w:ascii="宋体" w:hAnsi="宋体" w:cs="宋体"/>
                <w:color w:val="auto"/>
                <w:sz w:val="24"/>
                <w:lang w:val="zh-CN"/>
              </w:rPr>
              <w:t>；</w:t>
            </w:r>
          </w:p>
          <w:p>
            <w:pPr>
              <w:spacing w:line="360" w:lineRule="auto"/>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4</w:t>
            </w:r>
            <w:r>
              <w:rPr>
                <w:rFonts w:hint="eastAsia" w:ascii="宋体" w:hAnsi="宋体" w:cs="宋体"/>
                <w:color w:val="auto"/>
                <w:sz w:val="24"/>
                <w:lang w:val="zh-CN"/>
              </w:rPr>
              <w:t>）</w:t>
            </w:r>
            <w:r>
              <w:rPr>
                <w:rFonts w:ascii="宋体" w:hAnsi="宋体" w:cs="宋体"/>
                <w:color w:val="auto"/>
                <w:sz w:val="24"/>
                <w:lang w:val="zh-CN"/>
              </w:rPr>
              <w:t>实施方案内容针对性强</w:t>
            </w:r>
            <w:r>
              <w:rPr>
                <w:rFonts w:hint="eastAsia" w:ascii="宋体" w:hAnsi="宋体" w:cs="宋体"/>
                <w:color w:val="auto"/>
                <w:sz w:val="24"/>
                <w:lang w:val="zh-CN"/>
              </w:rPr>
              <w:t>；</w:t>
            </w:r>
          </w:p>
          <w:p>
            <w:pPr>
              <w:spacing w:line="360" w:lineRule="auto"/>
              <w:rPr>
                <w:rFonts w:hint="eastAsia"/>
                <w:color w:val="auto"/>
                <w:lang w:eastAsia="zh-CN"/>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w:t>
            </w:r>
            <w:r>
              <w:rPr>
                <w:rFonts w:ascii="宋体" w:hAnsi="宋体" w:cs="宋体"/>
                <w:color w:val="auto"/>
                <w:sz w:val="24"/>
                <w:lang w:val="zh-CN"/>
              </w:rPr>
              <w:t>实施方案内容可操作性强。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eastAsia="宋体" w:cs="宋体"/>
                <w:color w:val="auto"/>
                <w:sz w:val="24"/>
                <w:szCs w:val="24"/>
              </w:rPr>
              <w:t>满足以上5项的评价为优</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分；满足以上</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项的评价为良</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分；满足以上3项的评价为中</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其他情况</w:t>
            </w:r>
            <w:r>
              <w:rPr>
                <w:rFonts w:hint="eastAsia" w:ascii="宋体" w:hAnsi="宋体" w:eastAsia="宋体" w:cs="宋体"/>
                <w:color w:val="auto"/>
                <w:sz w:val="24"/>
                <w:szCs w:val="24"/>
              </w:rPr>
              <w:t>评价为差不</w:t>
            </w:r>
            <w:r>
              <w:rPr>
                <w:rFonts w:hint="eastAsia" w:ascii="宋体" w:hAnsi="宋体" w:eastAsia="宋体" w:cs="宋体"/>
                <w:color w:val="auto"/>
                <w:sz w:val="24"/>
                <w:szCs w:val="24"/>
                <w:lang w:val="en-US" w:eastAsia="zh-CN"/>
              </w:rPr>
              <w:t>加</w:t>
            </w:r>
            <w:r>
              <w:rPr>
                <w:rFonts w:hint="eastAsia" w:ascii="宋体" w:hAnsi="宋体" w:eastAsia="宋体" w:cs="宋体"/>
                <w:color w:val="auto"/>
                <w:sz w:val="24"/>
                <w:szCs w:val="24"/>
              </w:rPr>
              <w:t>分。</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项目重点难点分析、应对措施及相关的合理化建议</w:t>
            </w:r>
          </w:p>
        </w:tc>
        <w:tc>
          <w:tcPr>
            <w:tcW w:w="5722" w:type="dxa"/>
            <w:noWrap w:val="0"/>
            <w:vAlign w:val="center"/>
          </w:tcPr>
          <w:p>
            <w:pPr>
              <w:numPr>
                <w:ilvl w:val="0"/>
                <w:numId w:val="0"/>
              </w:numPr>
              <w:spacing w:line="360" w:lineRule="auto"/>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spacing w:line="360" w:lineRule="auto"/>
              <w:ind w:right="-107" w:rightChars="-51"/>
              <w:rPr>
                <w:rFonts w:ascii="宋体" w:hAnsi="宋体" w:cs="宋体"/>
                <w:color w:val="auto"/>
                <w:sz w:val="24"/>
              </w:rPr>
            </w:pPr>
            <w:r>
              <w:rPr>
                <w:rFonts w:hint="eastAsia" w:ascii="宋体" w:hAnsi="宋体" w:cs="宋体"/>
                <w:color w:val="auto"/>
                <w:sz w:val="24"/>
              </w:rPr>
              <w:t>项目重点难点分析、应对措施应包括但不限于以下方面：技术风险、人员管理、工期保障、安全保密措施、应急响应措施。</w:t>
            </w:r>
          </w:p>
          <w:p>
            <w:pPr>
              <w:spacing w:line="360" w:lineRule="auto"/>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（二）评分依据：</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1、满足以上内容的，得2分。</w:t>
            </w:r>
          </w:p>
          <w:p>
            <w:pPr>
              <w:spacing w:line="360" w:lineRule="auto"/>
              <w:ind w:right="-107" w:rightChars="-5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在此基础上，</w:t>
            </w:r>
            <w:r>
              <w:rPr>
                <w:rFonts w:hint="eastAsia" w:ascii="宋体" w:hAnsi="宋体" w:cs="宋体"/>
                <w:color w:val="auto"/>
                <w:sz w:val="24"/>
              </w:rPr>
              <w:t>评审委员会根据招标文件的要求和投标文件响应情况进行比较，分档评分</w:t>
            </w:r>
            <w:r>
              <w:rPr>
                <w:rFonts w:hint="eastAsia" w:ascii="宋体" w:hAnsi="宋体" w:eastAsia="宋体" w:cs="宋体"/>
                <w:color w:val="auto"/>
                <w:sz w:val="24"/>
                <w:szCs w:val="24"/>
                <w:highlight w:val="none"/>
              </w:rPr>
              <w:t>：</w:t>
            </w:r>
          </w:p>
          <w:p>
            <w:pPr>
              <w:spacing w:line="360" w:lineRule="auto"/>
              <w:ind w:right="-107" w:rightChars="-51"/>
              <w:rPr>
                <w:rFonts w:ascii="宋体" w:hAnsi="宋体" w:cs="宋体"/>
                <w:color w:val="auto"/>
                <w:sz w:val="24"/>
              </w:rPr>
            </w:pPr>
            <w:r>
              <w:rPr>
                <w:rFonts w:hint="eastAsia" w:ascii="宋体" w:hAnsi="宋体" w:cs="宋体"/>
                <w:color w:val="auto"/>
                <w:sz w:val="24"/>
              </w:rPr>
              <w:t>（1）相关重难点分析、应对措施及相关合理化建议内容全面；</w:t>
            </w:r>
          </w:p>
          <w:p>
            <w:pPr>
              <w:spacing w:line="360" w:lineRule="auto"/>
              <w:ind w:right="-107" w:rightChars="-51"/>
              <w:rPr>
                <w:rFonts w:ascii="宋体" w:hAnsi="宋体" w:cs="宋体"/>
                <w:color w:val="auto"/>
                <w:sz w:val="24"/>
              </w:rPr>
            </w:pPr>
            <w:r>
              <w:rPr>
                <w:rFonts w:hint="eastAsia" w:ascii="宋体" w:hAnsi="宋体" w:cs="宋体"/>
                <w:color w:val="auto"/>
                <w:sz w:val="24"/>
              </w:rPr>
              <w:t xml:space="preserve">（2）相关重难点分析、应对措施及相关合理化建议内容具体； </w:t>
            </w:r>
          </w:p>
          <w:p>
            <w:pPr>
              <w:spacing w:line="360" w:lineRule="auto"/>
              <w:ind w:right="-107" w:rightChars="-51"/>
              <w:rPr>
                <w:rFonts w:ascii="宋体" w:hAnsi="宋体" w:cs="宋体"/>
                <w:color w:val="auto"/>
                <w:sz w:val="24"/>
              </w:rPr>
            </w:pPr>
            <w:r>
              <w:rPr>
                <w:rFonts w:hint="eastAsia" w:ascii="宋体" w:hAnsi="宋体" w:cs="宋体"/>
                <w:color w:val="auto"/>
                <w:sz w:val="24"/>
              </w:rPr>
              <w:t>（3）相关重难点分析、应对措施及相关合理化建议内容科学合理；</w:t>
            </w:r>
          </w:p>
          <w:p>
            <w:pPr>
              <w:spacing w:line="360" w:lineRule="auto"/>
              <w:ind w:right="-107" w:rightChars="-51"/>
              <w:rPr>
                <w:rFonts w:ascii="宋体" w:hAnsi="宋体" w:cs="宋体"/>
                <w:color w:val="auto"/>
                <w:sz w:val="24"/>
              </w:rPr>
            </w:pPr>
            <w:r>
              <w:rPr>
                <w:rFonts w:hint="eastAsia" w:ascii="宋体" w:hAnsi="宋体" w:cs="宋体"/>
                <w:color w:val="auto"/>
                <w:sz w:val="24"/>
              </w:rPr>
              <w:t>（4）相关重难点分析、应对措施及相关合理化建议内容针对性强；</w:t>
            </w:r>
          </w:p>
          <w:p>
            <w:pPr>
              <w:spacing w:line="360" w:lineRule="auto"/>
              <w:ind w:right="-107" w:rightChars="-51"/>
              <w:rPr>
                <w:rFonts w:ascii="宋体" w:hAnsi="宋体" w:cs="宋体"/>
                <w:color w:val="auto"/>
                <w:sz w:val="24"/>
              </w:rPr>
            </w:pPr>
            <w:r>
              <w:rPr>
                <w:rFonts w:hint="eastAsia" w:ascii="宋体" w:hAnsi="宋体" w:cs="宋体"/>
                <w:color w:val="auto"/>
                <w:sz w:val="24"/>
              </w:rPr>
              <w:t>（5）相关重难点分析、应对措施及相关合理化建议内容可操作性强。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eastAsia="宋体" w:cs="宋体"/>
                <w:color w:val="auto"/>
                <w:sz w:val="24"/>
                <w:szCs w:val="24"/>
                <w:highlight w:val="none"/>
              </w:rPr>
              <w:t>满足以上</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项的评价为优</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；满足以上4项的评价为良</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；满足以上3项的评价为中</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其他情况</w:t>
            </w:r>
            <w:r>
              <w:rPr>
                <w:rFonts w:hint="eastAsia" w:ascii="宋体" w:hAnsi="宋体" w:eastAsia="宋体" w:cs="宋体"/>
                <w:color w:val="auto"/>
                <w:sz w:val="24"/>
                <w:szCs w:val="24"/>
                <w:highlight w:val="none"/>
              </w:rPr>
              <w:t>评价为差</w:t>
            </w:r>
            <w:r>
              <w:rPr>
                <w:rFonts w:hint="eastAsia" w:ascii="宋体" w:hAnsi="宋体" w:eastAsia="宋体" w:cs="宋体"/>
                <w:color w:val="auto"/>
                <w:sz w:val="24"/>
                <w:szCs w:val="24"/>
                <w:highlight w:val="none"/>
                <w:lang w:val="en-US" w:eastAsia="zh-CN"/>
              </w:rPr>
              <w:t>不加分</w:t>
            </w:r>
            <w:r>
              <w:rPr>
                <w:rFonts w:hint="eastAsia" w:ascii="宋体" w:hAnsi="宋体" w:eastAsia="宋体" w:cs="宋体"/>
                <w:color w:val="auto"/>
                <w:sz w:val="24"/>
                <w:szCs w:val="24"/>
                <w:highlight w:val="none"/>
              </w:rPr>
              <w:t>。</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质量（完成时间、安全、环保）保障措施及方案</w:t>
            </w:r>
          </w:p>
        </w:tc>
        <w:tc>
          <w:tcPr>
            <w:tcW w:w="5722" w:type="dxa"/>
            <w:noWrap w:val="0"/>
            <w:vAlign w:val="center"/>
          </w:tcPr>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（一）评审内容：</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投标人需针对本项目在投标文件中详细说明质量保障措施及方案，内容须包含：项目质量保障措施、项目完成时间计划保障措施、项目安全保障措施。</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 xml:space="preserve">（二）评分标准：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1、满足以上内容的，得2分。</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 xml:space="preserve">在此基础上，评审委员会根据招标文件的需求和投标文件响应情况进行比较，分档评分：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（1）质量保障措施及方案内容全面；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（2）质量保障措施及方案内容具体；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（3）质量保障措施及方案内容科学合理；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（4）质量保障措施及方案内容针对性强；</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（5）质量保障措施及方案内容可操作性强。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eastAsia="宋体" w:cs="宋体"/>
                <w:color w:val="auto"/>
                <w:sz w:val="24"/>
                <w:szCs w:val="24"/>
              </w:rPr>
              <w:t>满足以上5项的评价为优</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；满足以上4项的评价为良</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；满足以上3项的评价为中</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其他情况</w:t>
            </w:r>
            <w:r>
              <w:rPr>
                <w:rFonts w:hint="eastAsia" w:ascii="宋体" w:hAnsi="宋体" w:eastAsia="宋体" w:cs="宋体"/>
                <w:color w:val="auto"/>
                <w:sz w:val="24"/>
                <w:szCs w:val="24"/>
              </w:rPr>
              <w:t>评价为差</w:t>
            </w:r>
            <w:r>
              <w:rPr>
                <w:rFonts w:hint="eastAsia" w:ascii="宋体" w:hAnsi="宋体" w:eastAsia="宋体" w:cs="宋体"/>
                <w:color w:val="auto"/>
                <w:sz w:val="24"/>
                <w:szCs w:val="24"/>
                <w:lang w:val="en-US" w:eastAsia="zh-CN"/>
              </w:rPr>
              <w:t>不加分</w:t>
            </w:r>
            <w:r>
              <w:rPr>
                <w:rFonts w:hint="eastAsia" w:ascii="宋体" w:hAnsi="宋体" w:cs="宋体"/>
                <w:color w:val="auto"/>
                <w:sz w:val="24"/>
              </w:rPr>
              <w:t>。</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353"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服务承诺</w:t>
            </w:r>
          </w:p>
        </w:tc>
        <w:tc>
          <w:tcPr>
            <w:tcW w:w="5722" w:type="dxa"/>
            <w:noWrap w:val="0"/>
            <w:vAlign w:val="center"/>
          </w:tcPr>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（一）评审内容：</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投标人需按照项目实际情况对项目完成（服务期满）后的服务做出书面承诺。</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 xml:space="preserve">（二）评分标准： </w:t>
            </w:r>
          </w:p>
          <w:p>
            <w:pPr>
              <w:pStyle w:val="52"/>
              <w:widowControl/>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1、满足以上内容的，得2分。</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 xml:space="preserve">在此基础上，评审委员会根据招标文件的需求和投标文件响应情况进行比较，分档评分： </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（1）服务承诺内容全面；</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（2）服务承诺内容具体；</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（3）服务承诺内容科学合理；</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（4）服务承诺内容针对性强；</w:t>
            </w:r>
          </w:p>
          <w:p>
            <w:pPr>
              <w:pStyle w:val="52"/>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（5）服务承诺内容可操作性强。</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eastAsia="宋体" w:cs="宋体"/>
                <w:color w:val="auto"/>
                <w:sz w:val="24"/>
                <w:szCs w:val="24"/>
              </w:rPr>
              <w:t>满足以上5项的评价为优</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；满足以上4项的评价为良</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；满足以上3项的评价为中</w:t>
            </w:r>
            <w:r>
              <w:rPr>
                <w:rFonts w:hint="eastAsia" w:ascii="宋体" w:hAnsi="宋体" w:eastAsia="宋体" w:cs="宋体"/>
                <w:color w:val="auto"/>
                <w:sz w:val="24"/>
                <w:szCs w:val="24"/>
                <w:lang w:val="en-US" w:eastAsia="zh-CN"/>
              </w:rPr>
              <w:t>加</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其他情况</w:t>
            </w:r>
            <w:r>
              <w:rPr>
                <w:rFonts w:hint="eastAsia" w:ascii="宋体" w:hAnsi="宋体" w:eastAsia="宋体" w:cs="宋体"/>
                <w:color w:val="auto"/>
                <w:sz w:val="24"/>
                <w:szCs w:val="24"/>
              </w:rPr>
              <w:t>评价为差</w:t>
            </w:r>
            <w:r>
              <w:rPr>
                <w:rFonts w:hint="eastAsia" w:ascii="宋体" w:hAnsi="宋体" w:eastAsia="宋体" w:cs="宋体"/>
                <w:color w:val="auto"/>
                <w:sz w:val="24"/>
                <w:szCs w:val="24"/>
                <w:lang w:val="en-US" w:eastAsia="zh-CN"/>
              </w:rPr>
              <w:t>不加分</w:t>
            </w:r>
            <w:r>
              <w:rPr>
                <w:rFonts w:hint="eastAsia" w:ascii="宋体" w:hAnsi="宋体" w:cs="宋体"/>
                <w:color w:val="auto"/>
                <w:sz w:val="24"/>
              </w:rPr>
              <w:t>。</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rPr>
          <w:color w:val="auto"/>
        </w:rPr>
      </w:pPr>
    </w:p>
    <w:p>
      <w:pPr>
        <w:pStyle w:val="3"/>
        <w:jc w:val="both"/>
        <w:rPr>
          <w:rFonts w:hint="eastAsia" w:ascii="宋体" w:eastAsia="宋体" w:cs="宋体"/>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auto"/>
          <w:sz w:val="24"/>
        </w:rPr>
      </w:pPr>
      <w:bookmarkStart w:id="21" w:name="_Toc9548"/>
      <w:bookmarkStart w:id="22" w:name="_Hlk28269117"/>
      <w:r>
        <w:rPr>
          <w:rFonts w:hint="eastAsia" w:ascii="宋体" w:hAnsi="宋体" w:cs="宋体"/>
          <w:b/>
          <w:bCs/>
          <w:color w:val="auto"/>
          <w:sz w:val="24"/>
        </w:rPr>
        <w:t>第七章 附件（投标文件格式）</w:t>
      </w:r>
      <w:bookmarkEnd w:id="21"/>
    </w:p>
    <w:p>
      <w:pPr>
        <w:keepNext/>
        <w:keepLines/>
        <w:spacing w:before="260" w:after="260" w:line="440" w:lineRule="exact"/>
        <w:jc w:val="center"/>
        <w:outlineLvl w:val="1"/>
        <w:rPr>
          <w:rFonts w:hint="eastAsia" w:ascii="宋体" w:hAnsi="宋体" w:cs="宋体"/>
          <w:b/>
          <w:bCs/>
          <w:color w:val="auto"/>
          <w:sz w:val="24"/>
        </w:rPr>
      </w:pPr>
      <w:bookmarkStart w:id="23" w:name="_Toc6548"/>
      <w:bookmarkStart w:id="24" w:name="_Toc5116"/>
      <w:bookmarkStart w:id="25" w:name="_Toc19494"/>
      <w:bookmarkStart w:id="26" w:name="_Toc31827"/>
      <w:r>
        <w:rPr>
          <w:rFonts w:hint="eastAsia" w:ascii="宋体" w:hAnsi="宋体" w:cs="宋体"/>
          <w:b/>
          <w:bCs/>
          <w:color w:val="auto"/>
          <w:sz w:val="24"/>
        </w:rPr>
        <w:t>1、投标文件密封袋/封面参考</w:t>
      </w:r>
      <w:bookmarkEnd w:id="23"/>
      <w:bookmarkEnd w:id="24"/>
      <w:bookmarkEnd w:id="25"/>
      <w:bookmarkEnd w:id="26"/>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9"/>
              <w:tabs>
                <w:tab w:val="left" w:pos="562"/>
                <w:tab w:val="left" w:pos="3372"/>
                <w:tab w:val="left" w:pos="3653"/>
              </w:tabs>
              <w:spacing w:line="360" w:lineRule="auto"/>
              <w:rPr>
                <w:rFonts w:hint="eastAsia" w:ascii="仿宋_GB2312" w:eastAsia="仿宋_GB2312"/>
                <w:b/>
                <w:color w:val="auto"/>
                <w:sz w:val="32"/>
              </w:rPr>
            </w:pPr>
          </w:p>
          <w:p>
            <w:pPr>
              <w:pStyle w:val="9"/>
              <w:tabs>
                <w:tab w:val="left" w:pos="562"/>
                <w:tab w:val="left" w:pos="3372"/>
                <w:tab w:val="left" w:pos="3653"/>
              </w:tabs>
              <w:spacing w:line="360" w:lineRule="auto"/>
              <w:jc w:val="center"/>
              <w:rPr>
                <w:rFonts w:hint="eastAsia" w:ascii="黑体" w:eastAsia="黑体"/>
                <w:b/>
                <w:color w:val="auto"/>
                <w:sz w:val="72"/>
                <w:szCs w:val="72"/>
              </w:rPr>
            </w:pPr>
          </w:p>
          <w:p>
            <w:pPr>
              <w:pStyle w:val="9"/>
              <w:tabs>
                <w:tab w:val="left" w:pos="562"/>
                <w:tab w:val="left" w:pos="3372"/>
                <w:tab w:val="left" w:pos="3653"/>
              </w:tabs>
              <w:spacing w:line="360" w:lineRule="auto"/>
              <w:jc w:val="center"/>
              <w:rPr>
                <w:rFonts w:hint="eastAsia" w:ascii="黑体" w:eastAsia="黑体"/>
                <w:b/>
                <w:color w:val="auto"/>
                <w:sz w:val="72"/>
                <w:szCs w:val="72"/>
              </w:rPr>
            </w:pPr>
            <w:r>
              <w:rPr>
                <w:rFonts w:hint="eastAsia" w:ascii="黑体" w:eastAsia="黑体"/>
                <w:b/>
                <w:color w:val="auto"/>
                <w:sz w:val="72"/>
                <w:szCs w:val="72"/>
              </w:rPr>
              <w:t>投 标 文 件</w:t>
            </w:r>
          </w:p>
          <w:p>
            <w:pPr>
              <w:pStyle w:val="9"/>
              <w:tabs>
                <w:tab w:val="left" w:pos="562"/>
                <w:tab w:val="left" w:pos="3372"/>
                <w:tab w:val="left" w:pos="3653"/>
              </w:tabs>
              <w:spacing w:line="360" w:lineRule="auto"/>
              <w:jc w:val="center"/>
              <w:rPr>
                <w:rFonts w:hint="eastAsia"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9"/>
              <w:tabs>
                <w:tab w:val="left" w:pos="562"/>
                <w:tab w:val="left" w:pos="3372"/>
                <w:tab w:val="left" w:pos="3653"/>
              </w:tabs>
              <w:spacing w:line="360" w:lineRule="auto"/>
              <w:rPr>
                <w:rFonts w:hint="eastAsia" w:ascii="仿宋_GB2312" w:eastAsia="仿宋_GB2312"/>
                <w:b/>
                <w:color w:val="auto"/>
                <w:sz w:val="32"/>
              </w:rPr>
            </w:pPr>
          </w:p>
          <w:p>
            <w:pPr>
              <w:rPr>
                <w:rFonts w:hint="eastAsia"/>
                <w:color w:val="auto"/>
              </w:rPr>
            </w:pPr>
          </w:p>
          <w:p>
            <w:pPr>
              <w:pStyle w:val="9"/>
              <w:tabs>
                <w:tab w:val="left" w:pos="562"/>
                <w:tab w:val="left" w:pos="3372"/>
                <w:tab w:val="left" w:pos="3653"/>
              </w:tabs>
              <w:spacing w:line="400" w:lineRule="exact"/>
              <w:ind w:firstLine="900" w:firstLineChars="320"/>
              <w:rPr>
                <w:rFonts w:hint="eastAsia" w:ascii="仿宋_GB2312" w:eastAsia="仿宋_GB2312"/>
                <w:b/>
                <w:color w:val="auto"/>
                <w:sz w:val="28"/>
                <w:szCs w:val="28"/>
              </w:rPr>
            </w:pPr>
          </w:p>
          <w:p>
            <w:pPr>
              <w:pStyle w:val="9"/>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9"/>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bookmarkEnd w:id="22"/>
    <w:p>
      <w:pPr>
        <w:spacing w:before="100" w:beforeAutospacing="1" w:after="100" w:afterAutospacing="1"/>
        <w:jc w:val="center"/>
        <w:outlineLvl w:val="1"/>
        <w:rPr>
          <w:rFonts w:hint="eastAsia" w:ascii="宋体" w:hAnsi="宋体" w:cs="宋体"/>
          <w:b/>
          <w:color w:val="auto"/>
          <w:sz w:val="24"/>
        </w:rPr>
      </w:pPr>
      <w:bookmarkStart w:id="27" w:name="_Toc16724"/>
      <w:r>
        <w:rPr>
          <w:rFonts w:hint="eastAsia" w:ascii="宋体" w:hAnsi="宋体" w:cs="宋体"/>
          <w:b/>
          <w:color w:val="auto"/>
          <w:sz w:val="24"/>
        </w:rPr>
        <w:t>2、投标文件—目录</w:t>
      </w:r>
      <w:bookmarkEnd w:id="27"/>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8"/>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8"/>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资质认证；</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拟安排项目负责人情况(仅一人)；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投标人知识产权产品（创新、设计）情况；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同类项目业绩情况；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质量（完成时间、安全、环保）保障措施及方案；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1"/>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9"/>
        <w:rPr>
          <w:rFonts w:hint="eastAsia"/>
          <w:color w:val="auto"/>
        </w:rPr>
      </w:pPr>
    </w:p>
    <w:p>
      <w:pPr>
        <w:numPr>
          <w:ilvl w:val="0"/>
          <w:numId w:val="11"/>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序号</w:t>
            </w:r>
          </w:p>
        </w:tc>
        <w:tc>
          <w:tcPr>
            <w:tcW w:w="2212"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项目名称、内容</w:t>
            </w:r>
          </w:p>
        </w:tc>
        <w:tc>
          <w:tcPr>
            <w:tcW w:w="720"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单位</w:t>
            </w:r>
          </w:p>
        </w:tc>
        <w:tc>
          <w:tcPr>
            <w:tcW w:w="1800"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数量（工作量）</w:t>
            </w:r>
          </w:p>
        </w:tc>
        <w:tc>
          <w:tcPr>
            <w:tcW w:w="1620"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单价</w:t>
            </w:r>
          </w:p>
        </w:tc>
        <w:tc>
          <w:tcPr>
            <w:tcW w:w="1620"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1</w:t>
            </w:r>
          </w:p>
        </w:tc>
        <w:tc>
          <w:tcPr>
            <w:tcW w:w="2212" w:type="dxa"/>
            <w:noWrap w:val="0"/>
            <w:vAlign w:val="center"/>
          </w:tcPr>
          <w:p>
            <w:pPr>
              <w:pStyle w:val="12"/>
              <w:spacing w:line="360" w:lineRule="auto"/>
              <w:jc w:val="center"/>
              <w:rPr>
                <w:rFonts w:hint="eastAsia"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rPr>
            </w:pPr>
            <w:r>
              <w:rPr>
                <w:rFonts w:hint="eastAsia" w:hAnsi="宋体" w:cs="宋体"/>
                <w:color w:val="auto"/>
                <w:sz w:val="24"/>
              </w:rPr>
              <w:t>…</w:t>
            </w:r>
          </w:p>
        </w:tc>
        <w:tc>
          <w:tcPr>
            <w:tcW w:w="2212" w:type="dxa"/>
            <w:noWrap w:val="0"/>
            <w:vAlign w:val="center"/>
          </w:tcPr>
          <w:p>
            <w:pPr>
              <w:pStyle w:val="12"/>
              <w:spacing w:line="360" w:lineRule="auto"/>
              <w:jc w:val="center"/>
              <w:rPr>
                <w:rFonts w:hint="eastAsia" w:hAnsi="宋体" w:cs="宋体"/>
                <w:color w:val="auto"/>
                <w:sz w:val="24"/>
              </w:rPr>
            </w:pPr>
            <w:r>
              <w:rPr>
                <w:rFonts w:hint="eastAsia" w:hAnsi="宋体" w:cs="宋体"/>
                <w:color w:val="auto"/>
                <w:sz w:val="24"/>
              </w:rPr>
              <w:t>…</w:t>
            </w:r>
          </w:p>
        </w:tc>
        <w:tc>
          <w:tcPr>
            <w:tcW w:w="720" w:type="dxa"/>
            <w:noWrap w:val="0"/>
            <w:vAlign w:val="center"/>
          </w:tcPr>
          <w:p>
            <w:pPr>
              <w:pStyle w:val="12"/>
              <w:spacing w:line="360" w:lineRule="auto"/>
              <w:jc w:val="center"/>
              <w:rPr>
                <w:rFonts w:hint="eastAsia" w:hAnsi="宋体" w:cs="宋体"/>
                <w:color w:val="auto"/>
                <w:sz w:val="24"/>
              </w:rPr>
            </w:pPr>
          </w:p>
        </w:tc>
        <w:tc>
          <w:tcPr>
            <w:tcW w:w="180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c>
          <w:tcPr>
            <w:tcW w:w="1620" w:type="dxa"/>
            <w:noWrap w:val="0"/>
            <w:vAlign w:val="center"/>
          </w:tcPr>
          <w:p>
            <w:pPr>
              <w:pStyle w:val="12"/>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2"/>
              <w:spacing w:line="360" w:lineRule="auto"/>
              <w:rPr>
                <w:rFonts w:hint="eastAsia" w:hAnsi="宋体" w:cs="宋体"/>
                <w:color w:val="auto"/>
                <w:sz w:val="24"/>
              </w:rPr>
            </w:pPr>
            <w:r>
              <w:rPr>
                <w:rFonts w:hint="eastAsia" w:hAnsi="宋体" w:cs="宋体"/>
                <w:color w:val="auto"/>
                <w:sz w:val="24"/>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w:t>
      </w:r>
      <w:r>
        <w:rPr>
          <w:rFonts w:hint="eastAsia" w:ascii="宋体" w:hAnsi="宋体" w:cs="宋体"/>
          <w:b/>
          <w:color w:val="auto"/>
          <w:sz w:val="24"/>
          <w:lang w:val="en-US" w:eastAsia="zh-CN"/>
        </w:rPr>
        <w:t>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9"/>
        <w:rPr>
          <w:rFonts w:hint="eastAsia"/>
          <w:color w:val="auto"/>
        </w:rPr>
      </w:pP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w:t>
      </w:r>
      <w:r>
        <w:rPr>
          <w:rFonts w:hint="eastAsia" w:ascii="宋体" w:hAnsi="宋体" w:cs="宋体"/>
          <w:color w:val="auto"/>
          <w:kern w:val="0"/>
          <w:sz w:val="24"/>
          <w:lang w:eastAsia="zh-CN"/>
        </w:rPr>
        <w:t>重大税收违法失信主体</w:t>
      </w:r>
      <w:r>
        <w:rPr>
          <w:rFonts w:hint="eastAsia" w:ascii="宋体" w:hAnsi="宋体" w:cs="宋体"/>
          <w:color w:val="auto"/>
          <w:kern w:val="0"/>
          <w:sz w:val="24"/>
        </w:rPr>
        <w:t>、政府采购严重违法失信行为记录名单”</w:t>
      </w:r>
      <w:r>
        <w:rPr>
          <w:rFonts w:hint="eastAsia" w:ascii="宋体" w:hAnsi="宋体" w:cs="宋体"/>
          <w:color w:val="auto"/>
          <w:sz w:val="24"/>
        </w:rPr>
        <w:t>。</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5" w:hRule="atLeast"/>
          <w:jc w:val="center"/>
        </w:trPr>
        <w:tc>
          <w:tcPr>
            <w:tcW w:w="4240" w:type="dxa"/>
            <w:noWrap w:val="0"/>
            <w:vAlign w:val="top"/>
          </w:tcPr>
          <w:p>
            <w:pPr>
              <w:pStyle w:val="12"/>
              <w:spacing w:line="360" w:lineRule="auto"/>
              <w:rPr>
                <w:rFonts w:ascii="Arial Narrow" w:hAnsi="Arial Narrow"/>
                <w:b/>
                <w:bCs/>
                <w:color w:val="auto"/>
                <w:szCs w:val="21"/>
              </w:rPr>
            </w:pPr>
          </w:p>
        </w:tc>
        <w:tc>
          <w:tcPr>
            <w:tcW w:w="4240" w:type="dxa"/>
            <w:noWrap w:val="0"/>
            <w:vAlign w:val="top"/>
          </w:tcPr>
          <w:p>
            <w:pPr>
              <w:pStyle w:val="12"/>
              <w:spacing w:line="360" w:lineRule="auto"/>
              <w:rPr>
                <w:rFonts w:ascii="Arial Narrow" w:hAnsi="Arial Narrow"/>
                <w:b/>
                <w:bCs/>
                <w:color w:val="auto"/>
                <w:szCs w:val="21"/>
              </w:rPr>
            </w:pPr>
          </w:p>
        </w:tc>
      </w:tr>
    </w:tbl>
    <w:p>
      <w:pPr>
        <w:pStyle w:val="9"/>
        <w:rPr>
          <w:rFonts w:hint="eastAsia"/>
          <w:color w:val="auto"/>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12"/>
        <w:spacing w:line="360" w:lineRule="auto"/>
        <w:jc w:val="center"/>
        <w:rPr>
          <w:rFonts w:hint="eastAsia" w:hAnsi="宋体" w:cs="宋体"/>
          <w:b/>
          <w:color w:val="auto"/>
          <w:sz w:val="24"/>
        </w:rPr>
      </w:pPr>
    </w:p>
    <w:p>
      <w:pPr>
        <w:pStyle w:val="12"/>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12"/>
        <w:spacing w:line="360" w:lineRule="auto"/>
        <w:rPr>
          <w:rFonts w:hint="eastAsia" w:hAnsi="宋体" w:cs="宋体"/>
          <w:color w:val="auto"/>
          <w:sz w:val="24"/>
        </w:rPr>
      </w:pPr>
    </w:p>
    <w:p>
      <w:pPr>
        <w:pStyle w:val="12"/>
        <w:spacing w:line="360" w:lineRule="auto"/>
        <w:rPr>
          <w:rFonts w:hAnsi="宋体" w:cs="宋体"/>
          <w:color w:val="auto"/>
          <w:sz w:val="24"/>
        </w:rPr>
      </w:pPr>
      <w:r>
        <w:rPr>
          <w:rFonts w:hint="eastAsia" w:hAnsi="宋体" w:cs="宋体"/>
          <w:b/>
          <w:color w:val="auto"/>
          <w:sz w:val="24"/>
        </w:rPr>
        <w:t>深圳市前海深港现代服务业合作区管理局：</w:t>
      </w:r>
    </w:p>
    <w:p>
      <w:pPr>
        <w:pStyle w:val="12"/>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12"/>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2"/>
              <w:spacing w:line="360" w:lineRule="auto"/>
              <w:rPr>
                <w:rFonts w:ascii="Arial Narrow" w:hAnsi="Arial Narrow"/>
                <w:b/>
                <w:bCs/>
                <w:color w:val="auto"/>
                <w:szCs w:val="21"/>
              </w:rPr>
            </w:pPr>
          </w:p>
        </w:tc>
        <w:tc>
          <w:tcPr>
            <w:tcW w:w="4677" w:type="dxa"/>
            <w:noWrap w:val="0"/>
            <w:vAlign w:val="top"/>
          </w:tcPr>
          <w:p>
            <w:pPr>
              <w:pStyle w:val="12"/>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9"/>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12"/>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12"/>
        <w:spacing w:line="360" w:lineRule="auto"/>
        <w:ind w:firstLine="420"/>
        <w:rPr>
          <w:rFonts w:hint="eastAsia" w:hAnsi="宋体" w:cs="宋体"/>
          <w:color w:val="auto"/>
          <w:sz w:val="24"/>
        </w:rPr>
      </w:pPr>
      <w:r>
        <w:rPr>
          <w:rFonts w:hint="eastAsia" w:hAnsi="宋体" w:cs="宋体"/>
          <w:color w:val="auto"/>
          <w:sz w:val="24"/>
        </w:rPr>
        <w:t>1．名称及概况：</w:t>
      </w:r>
    </w:p>
    <w:p>
      <w:pPr>
        <w:pStyle w:val="12"/>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12"/>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12"/>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12"/>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12"/>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12"/>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12"/>
        <w:spacing w:line="360" w:lineRule="auto"/>
        <w:ind w:firstLine="420"/>
        <w:rPr>
          <w:rFonts w:hint="eastAsia" w:hAnsi="宋体" w:cs="宋体"/>
          <w:color w:val="auto"/>
          <w:sz w:val="24"/>
        </w:rPr>
      </w:pPr>
      <w:r>
        <w:rPr>
          <w:rFonts w:hint="eastAsia" w:hAnsi="宋体" w:cs="宋体"/>
          <w:color w:val="auto"/>
          <w:sz w:val="24"/>
        </w:rPr>
        <w:t>（10）公司概况；</w:t>
      </w:r>
    </w:p>
    <w:p>
      <w:pPr>
        <w:pStyle w:val="12"/>
        <w:spacing w:line="360" w:lineRule="auto"/>
        <w:ind w:firstLine="420"/>
        <w:rPr>
          <w:rFonts w:hint="eastAsia" w:hAnsi="宋体" w:cs="宋体"/>
          <w:color w:val="auto"/>
          <w:sz w:val="24"/>
        </w:rPr>
      </w:pPr>
      <w:r>
        <w:rPr>
          <w:rFonts w:hint="eastAsia" w:hAnsi="宋体" w:cs="宋体"/>
          <w:color w:val="auto"/>
          <w:sz w:val="24"/>
        </w:rPr>
        <w:t>（11）公司组织机构；</w:t>
      </w:r>
    </w:p>
    <w:p>
      <w:pPr>
        <w:pStyle w:val="12"/>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9"/>
        <w:rPr>
          <w:rFonts w:hint="eastAsia"/>
          <w:color w:val="auto"/>
          <w:lang w:val="fr-CH"/>
        </w:rPr>
      </w:pP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资质认证</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拟安排项目负责人情况(仅一人)</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投标人知识产权产品（创新、设计）情况</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同类项目业绩情况</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12"/>
        <w:spacing w:line="360" w:lineRule="auto"/>
        <w:jc w:val="left"/>
        <w:rPr>
          <w:rFonts w:hint="eastAsia" w:hAnsi="宋体" w:cs="宋体"/>
          <w:color w:val="auto"/>
          <w:sz w:val="24"/>
        </w:rPr>
      </w:pPr>
    </w:p>
    <w:p>
      <w:pPr>
        <w:pStyle w:val="12"/>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9"/>
        <w:rPr>
          <w:rFonts w:hint="eastAsia"/>
          <w:color w:val="auto"/>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9"/>
        <w:spacing w:line="360" w:lineRule="auto"/>
        <w:rPr>
          <w:rFonts w:hint="eastAsia"/>
          <w:color w:val="auto"/>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质量（完成时间、安全、环保）保障措施及方案；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服务承诺；</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28" w:name="_Toc742"/>
      <w:bookmarkStart w:id="29" w:name="_Toc6251"/>
      <w:r>
        <w:rPr>
          <w:rFonts w:hint="eastAsia" w:ascii="宋体" w:hAnsi="宋体" w:cs="宋体"/>
          <w:b/>
          <w:bCs/>
          <w:color w:val="auto"/>
          <w:sz w:val="24"/>
        </w:rPr>
        <w:t>附件：相关政策</w:t>
      </w:r>
      <w:bookmarkEnd w:id="28"/>
      <w:bookmarkEnd w:id="29"/>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9"/>
        <w:tabs>
          <w:tab w:val="left" w:pos="562"/>
          <w:tab w:val="left" w:pos="3372"/>
          <w:tab w:val="left" w:pos="3653"/>
        </w:tabs>
        <w:rPr>
          <w:rFonts w:hint="eastAsia" w:ascii="宋体" w:hAnsi="宋体" w:cs="宋体"/>
          <w:color w:val="auto"/>
          <w:sz w:val="24"/>
        </w:rPr>
      </w:pPr>
    </w:p>
    <w:p>
      <w:pPr>
        <w:widowControl/>
        <w:shd w:val="clear" w:color="auto" w:fill="auto"/>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auto"/>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auto"/>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（二）在工程采购项目中，工程由中小企业承建，即工 程施工单位为中小企业；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kern w:val="0"/>
          <w:sz w:val="24"/>
        </w:rPr>
        <w:t>符合下列情形之一的，可不专门面向中小企业预留采购</w:t>
      </w:r>
      <w:r>
        <w:rPr>
          <w:rFonts w:hint="eastAsia" w:ascii="宋体" w:hAnsi="宋体" w:cs="宋体"/>
          <w:color w:val="auto"/>
          <w:sz w:val="24"/>
        </w:rPr>
        <w:t>份额：</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（四）框架协议采购项目；</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（一）将采购项目整体或者设置采购包专门面向中小企业采购；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第十二条 采购项目涉及中小企业采购的，采购文件应当明确以下内容：</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（三）非预留份额的采购项目或者采购包，明确有关价格扣除比例或者价格分加分比例；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（六）明确采购标的对应的中小企业划分标准所属行业；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（七）法律法规和省级以上人民政府财政部门规定的其他事项。</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hint="eastAsia" w:ascii="宋体" w:hAnsi="宋体" w:cs="宋体"/>
          <w:color w:val="auto"/>
          <w:sz w:val="24"/>
        </w:rPr>
      </w:pP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附：1.中小企业声明函</w:t>
      </w:r>
    </w:p>
    <w:p>
      <w:pPr>
        <w:pStyle w:val="9"/>
        <w:tabs>
          <w:tab w:val="left" w:pos="562"/>
          <w:tab w:val="left" w:pos="3372"/>
          <w:tab w:val="left" w:pos="3653"/>
        </w:tabs>
        <w:ind w:firstLine="960" w:firstLineChars="400"/>
        <w:rPr>
          <w:rFonts w:hint="eastAsia" w:ascii="宋体" w:hAnsi="宋体" w:cs="宋体"/>
          <w:color w:val="auto"/>
          <w:kern w:val="0"/>
          <w:sz w:val="24"/>
        </w:rPr>
      </w:pPr>
      <w:r>
        <w:rPr>
          <w:rFonts w:hint="eastAsia" w:ascii="宋体" w:hAnsi="宋体" w:cs="宋体"/>
          <w:color w:val="auto"/>
          <w:kern w:val="0"/>
          <w:sz w:val="24"/>
        </w:rPr>
        <w:t>2.面向中小企业预留项目执行情况公告</w:t>
      </w:r>
    </w:p>
    <w:p>
      <w:pPr>
        <w:pStyle w:val="9"/>
        <w:tabs>
          <w:tab w:val="left" w:pos="562"/>
          <w:tab w:val="left" w:pos="3372"/>
          <w:tab w:val="left" w:pos="3653"/>
        </w:tabs>
        <w:spacing w:before="3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）；制造商为（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 xml:space="preserve">人，营业收入为 </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）；制造商为（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z w:val="24"/>
        </w:rPr>
      </w:pPr>
      <w:r>
        <w:rPr>
          <w:rFonts w:hint="eastAsia" w:ascii="宋体" w:hAnsi="宋体" w:cs="宋体"/>
          <w:color w:val="auto"/>
          <w:spacing w:val="-2"/>
          <w:sz w:val="24"/>
        </w:rPr>
        <w:t>企业名称（盖章）日期：</w:t>
      </w:r>
    </w:p>
    <w:p>
      <w:pPr>
        <w:pStyle w:val="9"/>
        <w:tabs>
          <w:tab w:val="left" w:pos="562"/>
          <w:tab w:val="left" w:pos="3372"/>
          <w:tab w:val="left" w:pos="3653"/>
        </w:tabs>
        <w:jc w:val="center"/>
        <w:rPr>
          <w:rFonts w:hint="eastAsia" w:ascii="宋体" w:hAnsi="宋体" w:cs="宋体"/>
          <w:color w:val="auto"/>
          <w:spacing w:val="-2"/>
          <w:sz w:val="24"/>
        </w:rPr>
      </w:pPr>
      <w:r>
        <w:rPr>
          <w:rFonts w:hint="eastAsia" w:ascii="宋体" w:hAnsi="宋体" w:cs="宋体"/>
          <w:color w:val="auto"/>
          <w:spacing w:val="-2"/>
          <w:sz w:val="24"/>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 ；承建（承接）企业为（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pacing w:val="-2"/>
          <w:sz w:val="24"/>
        </w:rPr>
      </w:pPr>
    </w:p>
    <w:p>
      <w:pPr>
        <w:pStyle w:val="9"/>
        <w:tabs>
          <w:tab w:val="left" w:pos="562"/>
          <w:tab w:val="left" w:pos="3372"/>
          <w:tab w:val="left" w:pos="3653"/>
        </w:tabs>
        <w:ind w:left="4200" w:leftChars="2000"/>
        <w:rPr>
          <w:rFonts w:hint="eastAsia" w:ascii="宋体" w:hAnsi="宋体" w:cs="宋体"/>
          <w:color w:val="auto"/>
          <w:spacing w:val="-2"/>
          <w:sz w:val="24"/>
        </w:rPr>
      </w:pPr>
      <w:r>
        <w:rPr>
          <w:rFonts w:hint="eastAsia" w:ascii="宋体" w:hAnsi="宋体" w:cs="宋体"/>
          <w:color w:val="auto"/>
          <w:spacing w:val="-2"/>
          <w:sz w:val="24"/>
        </w:rPr>
        <w:t>企业名称（盖章）日期：</w:t>
      </w:r>
    </w:p>
    <w:p>
      <w:pPr>
        <w:pStyle w:val="9"/>
        <w:tabs>
          <w:tab w:val="left" w:pos="562"/>
          <w:tab w:val="left" w:pos="3372"/>
          <w:tab w:val="left" w:pos="3653"/>
        </w:tabs>
        <w:rPr>
          <w:rFonts w:hint="eastAsia" w:ascii="宋体" w:hAnsi="宋体" w:cs="宋体"/>
          <w:color w:val="auto"/>
          <w:spacing w:val="-2"/>
          <w:sz w:val="24"/>
        </w:rPr>
      </w:pPr>
    </w:p>
    <w:p>
      <w:pPr>
        <w:pStyle w:val="9"/>
        <w:tabs>
          <w:tab w:val="left" w:pos="562"/>
          <w:tab w:val="left" w:pos="3372"/>
          <w:tab w:val="left" w:pos="3653"/>
        </w:tabs>
        <w:spacing w:before="30"/>
        <w:rPr>
          <w:rFonts w:hint="eastAsia" w:ascii="宋体" w:hAnsi="宋体" w:cs="宋体"/>
          <w:color w:val="auto"/>
          <w:sz w:val="24"/>
        </w:rPr>
      </w:pPr>
      <w:r>
        <w:rPr>
          <w:rFonts w:hint="eastAsia" w:ascii="宋体" w:hAnsi="宋体" w:cs="宋体"/>
          <w:color w:val="auto"/>
          <w:spacing w:val="-2"/>
          <w:sz w:val="24"/>
        </w:rPr>
        <w:t>从业人员、营业收入、资产总额填报上一年度数据，无上一年度数据的新成立企业可不填报。</w:t>
      </w:r>
      <w:r>
        <w:rPr>
          <w:rFonts w:hint="eastAsia" w:ascii="宋体" w:hAnsi="宋体" w:cs="宋体"/>
          <w:color w:val="auto"/>
          <w:sz w:val="24"/>
        </w:rPr>
        <w:br w:type="page"/>
      </w:r>
      <w:r>
        <w:rPr>
          <w:rFonts w:hint="eastAsia" w:ascii="宋体" w:hAnsi="宋体" w:cs="宋体"/>
          <w:b/>
          <w:bCs/>
          <w:color w:val="auto"/>
          <w:sz w:val="24"/>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根据《政府采购促进中小企业发展管理办法》（财库﹝2020﹞46</w:t>
      </w:r>
      <w:r>
        <w:rPr>
          <w:rFonts w:hint="eastAsia" w:ascii="宋体" w:hAnsi="宋体" w:cs="宋体"/>
          <w:color w:val="auto"/>
          <w:spacing w:val="-47"/>
          <w:sz w:val="24"/>
        </w:rPr>
        <w:t xml:space="preserve"> 号</w:t>
      </w:r>
      <w:r>
        <w:rPr>
          <w:rFonts w:hint="eastAsia" w:ascii="宋体" w:hAnsi="宋体" w:cs="宋体"/>
          <w:color w:val="auto"/>
          <w:spacing w:val="-22"/>
          <w:sz w:val="24"/>
        </w:rPr>
        <w:t>）</w:t>
      </w:r>
      <w:r>
        <w:rPr>
          <w:rFonts w:hint="eastAsia" w:ascii="宋体" w:hAnsi="宋体" w:cs="宋体"/>
          <w:color w:val="auto"/>
          <w:spacing w:val="-7"/>
          <w:sz w:val="24"/>
        </w:rPr>
        <w:t>要求，现对本部门</w:t>
      </w:r>
      <w:r>
        <w:rPr>
          <w:rFonts w:hint="eastAsia" w:ascii="宋体" w:hAnsi="宋体" w:cs="宋体"/>
          <w:color w:val="auto"/>
          <w:spacing w:val="-3"/>
          <w:sz w:val="24"/>
        </w:rPr>
        <w:t>（</w:t>
      </w:r>
      <w:r>
        <w:rPr>
          <w:rFonts w:hint="eastAsia" w:ascii="宋体" w:hAnsi="宋体" w:cs="宋体"/>
          <w:color w:val="auto"/>
          <w:sz w:val="24"/>
        </w:rPr>
        <w:t>单位</w:t>
      </w:r>
      <w:r>
        <w:rPr>
          <w:rFonts w:hint="eastAsia" w:ascii="宋体" w:hAnsi="宋体" w:cs="宋体"/>
          <w:color w:val="auto"/>
          <w:spacing w:val="-7"/>
          <w:sz w:val="24"/>
        </w:rPr>
        <w:t>）</w:t>
      </w:r>
      <w:r>
        <w:rPr>
          <w:rFonts w:hint="eastAsia" w:ascii="宋体" w:hAnsi="宋体" w:cs="宋体"/>
          <w:color w:val="auto"/>
          <w:spacing w:val="-4"/>
          <w:sz w:val="24"/>
        </w:rPr>
        <w:t>××年面向中小企业预留项目执行情况公告如下：</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本部门（单位）××年预留项目面向中小企业采购共计××万元，其中，面向小微企业采购××万元，占××%。</w:t>
      </w:r>
    </w:p>
    <w:p>
      <w:pPr>
        <w:pStyle w:val="9"/>
        <w:tabs>
          <w:tab w:val="left" w:pos="562"/>
          <w:tab w:val="left" w:pos="3372"/>
          <w:tab w:val="left" w:pos="3653"/>
        </w:tabs>
        <w:jc w:val="center"/>
        <w:rPr>
          <w:rFonts w:hint="eastAsia" w:ascii="宋体" w:hAnsi="宋体" w:cs="宋体"/>
          <w:b/>
          <w:bCs/>
          <w:color w:val="auto"/>
          <w:sz w:val="24"/>
        </w:rPr>
      </w:pPr>
      <w:r>
        <w:rPr>
          <w:rFonts w:hint="eastAsia" w:ascii="宋体" w:hAnsi="宋体" w:cs="宋体"/>
          <w:b/>
          <w:bCs/>
          <w:color w:val="auto"/>
          <w:sz w:val="24"/>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57"/>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57"/>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57"/>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57"/>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7"/>
              <w:jc w:val="center"/>
              <w:rPr>
                <w:rFonts w:hint="eastAsia"/>
                <w:color w:val="auto"/>
                <w:sz w:val="24"/>
                <w:szCs w:val="24"/>
              </w:rPr>
            </w:pPr>
          </w:p>
        </w:tc>
        <w:tc>
          <w:tcPr>
            <w:tcW w:w="1866" w:type="dxa"/>
            <w:tcBorders>
              <w:bottom w:val="nil"/>
            </w:tcBorders>
            <w:noWrap w:val="0"/>
            <w:vAlign w:val="center"/>
          </w:tcPr>
          <w:p>
            <w:pPr>
              <w:pStyle w:val="57"/>
              <w:jc w:val="center"/>
              <w:rPr>
                <w:rFonts w:hint="eastAsia"/>
                <w:color w:val="auto"/>
                <w:sz w:val="24"/>
                <w:szCs w:val="24"/>
              </w:rPr>
            </w:pPr>
          </w:p>
        </w:tc>
        <w:tc>
          <w:tcPr>
            <w:tcW w:w="2010" w:type="dxa"/>
            <w:tcBorders>
              <w:bottom w:val="nil"/>
            </w:tcBorders>
            <w:noWrap w:val="0"/>
            <w:vAlign w:val="center"/>
          </w:tcPr>
          <w:p>
            <w:pPr>
              <w:pStyle w:val="57"/>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57"/>
              <w:jc w:val="center"/>
              <w:rPr>
                <w:rFonts w:hint="eastAsia"/>
                <w:color w:val="auto"/>
                <w:sz w:val="24"/>
                <w:szCs w:val="24"/>
              </w:rPr>
            </w:pPr>
          </w:p>
        </w:tc>
        <w:tc>
          <w:tcPr>
            <w:tcW w:w="1784" w:type="dxa"/>
            <w:vMerge w:val="restart"/>
            <w:noWrap w:val="0"/>
            <w:vAlign w:val="center"/>
          </w:tcPr>
          <w:p>
            <w:pPr>
              <w:pStyle w:val="57"/>
              <w:jc w:val="center"/>
              <w:rPr>
                <w:rFonts w:hint="eastAsia"/>
                <w:color w:val="auto"/>
                <w:sz w:val="24"/>
                <w:szCs w:val="24"/>
              </w:rPr>
            </w:pPr>
          </w:p>
          <w:p>
            <w:pPr>
              <w:pStyle w:val="57"/>
              <w:jc w:val="center"/>
              <w:rPr>
                <w:rFonts w:hint="eastAsia"/>
                <w:color w:val="auto"/>
                <w:sz w:val="24"/>
                <w:szCs w:val="24"/>
              </w:rPr>
            </w:pPr>
          </w:p>
          <w:p>
            <w:pPr>
              <w:pStyle w:val="57"/>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57"/>
              <w:jc w:val="center"/>
              <w:rPr>
                <w:rFonts w:hint="eastAsia"/>
                <w:color w:val="auto"/>
                <w:sz w:val="24"/>
                <w:szCs w:val="24"/>
              </w:rPr>
            </w:pPr>
          </w:p>
        </w:tc>
        <w:tc>
          <w:tcPr>
            <w:tcW w:w="2010" w:type="dxa"/>
            <w:tcBorders>
              <w:top w:val="nil"/>
            </w:tcBorders>
            <w:noWrap w:val="0"/>
            <w:vAlign w:val="center"/>
          </w:tcPr>
          <w:p>
            <w:pPr>
              <w:pStyle w:val="57"/>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color w:val="auto"/>
                <w:sz w:val="24"/>
                <w:szCs w:val="24"/>
              </w:rPr>
            </w:pPr>
            <w:r>
              <w:rPr>
                <w:rFonts w:hint="eastAsia"/>
                <w:color w:val="auto"/>
                <w:sz w:val="24"/>
                <w:szCs w:val="24"/>
              </w:rPr>
              <w:t>……</w:t>
            </w:r>
          </w:p>
        </w:tc>
        <w:tc>
          <w:tcPr>
            <w:tcW w:w="1866" w:type="dxa"/>
            <w:noWrap w:val="0"/>
            <w:vAlign w:val="center"/>
          </w:tcPr>
          <w:p>
            <w:pPr>
              <w:pStyle w:val="57"/>
              <w:jc w:val="center"/>
              <w:rPr>
                <w:rFonts w:hint="eastAsia"/>
                <w:color w:val="auto"/>
                <w:sz w:val="24"/>
                <w:szCs w:val="24"/>
              </w:rPr>
            </w:pPr>
            <w:r>
              <w:rPr>
                <w:rFonts w:hint="eastAsia"/>
                <w:color w:val="auto"/>
                <w:sz w:val="24"/>
                <w:szCs w:val="24"/>
              </w:rPr>
              <w:t>……</w:t>
            </w:r>
          </w:p>
        </w:tc>
        <w:tc>
          <w:tcPr>
            <w:tcW w:w="2010" w:type="dxa"/>
            <w:noWrap w:val="0"/>
            <w:vAlign w:val="center"/>
          </w:tcPr>
          <w:p>
            <w:pPr>
              <w:pStyle w:val="57"/>
              <w:jc w:val="center"/>
              <w:rPr>
                <w:rFonts w:hint="eastAsia"/>
                <w:color w:val="auto"/>
                <w:sz w:val="24"/>
                <w:szCs w:val="24"/>
              </w:rPr>
            </w:pPr>
            <w:r>
              <w:rPr>
                <w:rFonts w:hint="eastAsia"/>
                <w:color w:val="auto"/>
                <w:sz w:val="24"/>
                <w:szCs w:val="24"/>
              </w:rPr>
              <w:t>……</w:t>
            </w:r>
          </w:p>
        </w:tc>
        <w:tc>
          <w:tcPr>
            <w:tcW w:w="2296" w:type="dxa"/>
            <w:noWrap w:val="0"/>
            <w:vAlign w:val="center"/>
          </w:tcPr>
          <w:p>
            <w:pPr>
              <w:pStyle w:val="57"/>
              <w:jc w:val="center"/>
              <w:rPr>
                <w:rFonts w:hint="eastAsia"/>
                <w:color w:val="auto"/>
                <w:sz w:val="24"/>
                <w:szCs w:val="24"/>
              </w:rPr>
            </w:pPr>
            <w:r>
              <w:rPr>
                <w:rFonts w:hint="eastAsia"/>
                <w:color w:val="auto"/>
                <w:sz w:val="24"/>
                <w:szCs w:val="24"/>
              </w:rPr>
              <w:t>……</w:t>
            </w:r>
          </w:p>
        </w:tc>
        <w:tc>
          <w:tcPr>
            <w:tcW w:w="1784" w:type="dxa"/>
            <w:noWrap w:val="0"/>
            <w:vAlign w:val="center"/>
          </w:tcPr>
          <w:p>
            <w:pPr>
              <w:pStyle w:val="57"/>
              <w:jc w:val="center"/>
              <w:rPr>
                <w:rFonts w:hint="eastAsia"/>
                <w:color w:val="auto"/>
                <w:sz w:val="24"/>
                <w:szCs w:val="24"/>
              </w:rPr>
            </w:pPr>
            <w:r>
              <w:rPr>
                <w:rFonts w:hint="eastAsia"/>
                <w:color w:val="auto"/>
                <w:sz w:val="24"/>
                <w:szCs w:val="24"/>
              </w:rPr>
              <w:t>……</w:t>
            </w:r>
          </w:p>
        </w:tc>
      </w:tr>
    </w:tbl>
    <w:p>
      <w:pPr>
        <w:pStyle w:val="9"/>
        <w:tabs>
          <w:tab w:val="left" w:pos="562"/>
          <w:tab w:val="left" w:pos="3372"/>
          <w:tab w:val="left" w:pos="3653"/>
        </w:tabs>
        <w:spacing w:before="128"/>
        <w:ind w:left="4220" w:right="1843"/>
        <w:rPr>
          <w:rFonts w:hint="eastAsia" w:ascii="宋体" w:hAnsi="宋体" w:cs="宋体"/>
          <w:color w:val="auto"/>
          <w:sz w:val="24"/>
        </w:rPr>
      </w:pPr>
      <w:r>
        <w:rPr>
          <w:rFonts w:hint="eastAsia" w:ascii="宋体" w:hAnsi="宋体" w:cs="宋体"/>
          <w:color w:val="auto"/>
          <w:sz w:val="24"/>
        </w:rPr>
        <w:t>部门（单位）名称： 日期：</w:t>
      </w:r>
    </w:p>
    <w:p>
      <w:pPr>
        <w:pStyle w:val="9"/>
        <w:tabs>
          <w:tab w:val="left" w:pos="562"/>
          <w:tab w:val="left" w:pos="3372"/>
          <w:tab w:val="left" w:pos="3653"/>
        </w:tabs>
        <w:rPr>
          <w:rFonts w:hint="eastAsia" w:ascii="宋体" w:hAnsi="宋体" w:cs="宋体"/>
          <w:color w:val="auto"/>
          <w:sz w:val="24"/>
        </w:rPr>
      </w:pPr>
    </w:p>
    <w:p>
      <w:pPr>
        <w:pStyle w:val="20"/>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20"/>
        <w:jc w:val="both"/>
        <w:outlineLvl w:val="9"/>
        <w:rPr>
          <w:rFonts w:hint="eastAsia" w:ascii="宋体" w:hAnsi="宋体" w:eastAsia="宋体" w:cs="宋体"/>
          <w:color w:val="auto"/>
          <w:sz w:val="24"/>
          <w:szCs w:val="24"/>
        </w:rPr>
      </w:pPr>
    </w:p>
    <w:p>
      <w:pPr>
        <w:pStyle w:val="20"/>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auto"/>
        <w:jc w:val="center"/>
        <w:rPr>
          <w:rFonts w:hint="eastAsia" w:ascii="宋体" w:hAnsi="宋体" w:cs="宋体"/>
          <w:b/>
          <w:bCs/>
          <w:color w:val="auto"/>
          <w:kern w:val="0"/>
          <w:sz w:val="24"/>
        </w:rPr>
      </w:pPr>
    </w:p>
    <w:p>
      <w:pPr>
        <w:widowControl/>
        <w:shd w:val="clear" w:color="auto" w:fill="auto"/>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auto"/>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auto"/>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hint="eastAsia" w:ascii="宋体" w:hAnsi="宋体" w:cs="宋体"/>
          <w:color w:val="auto"/>
          <w:sz w:val="24"/>
        </w:rPr>
      </w:pPr>
    </w:p>
    <w:p>
      <w:pPr>
        <w:pStyle w:val="20"/>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auto"/>
        <w:rPr>
          <w:rFonts w:hint="eastAsia" w:ascii="宋体" w:hAnsi="宋体" w:cs="宋体"/>
          <w:bCs/>
          <w:color w:val="auto"/>
          <w:sz w:val="24"/>
        </w:rPr>
      </w:pPr>
    </w:p>
    <w:p>
      <w:pPr>
        <w:shd w:val="clear" w:color="auto" w:fill="auto"/>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9"/>
        <w:shd w:val="clear" w:color="auto" w:fill="auto"/>
        <w:spacing w:before="0" w:beforeAutospacing="0" w:after="0" w:afterAutospacing="0"/>
        <w:jc w:val="center"/>
        <w:rPr>
          <w:rFonts w:hint="eastAsia"/>
          <w:color w:val="auto"/>
        </w:rPr>
      </w:pPr>
      <w:r>
        <w:rPr>
          <w:rFonts w:hint="eastAsia"/>
          <w:color w:val="auto"/>
        </w:rPr>
        <w:t>　　</w:t>
      </w:r>
      <w:bookmarkStart w:id="30" w:name="sendNo"/>
      <w:r>
        <w:rPr>
          <w:rFonts w:hint="eastAsia"/>
          <w:color w:val="auto"/>
        </w:rPr>
        <w:t>财库〔</w:t>
      </w:r>
      <w:bookmarkEnd w:id="30"/>
      <w:r>
        <w:rPr>
          <w:rFonts w:hint="eastAsia"/>
          <w:color w:val="auto"/>
        </w:rPr>
        <w:t>2017〕141号</w:t>
      </w:r>
    </w:p>
    <w:p>
      <w:pPr>
        <w:pStyle w:val="19"/>
        <w:shd w:val="clear" w:color="auto" w:fill="auto"/>
        <w:spacing w:before="0" w:beforeAutospacing="0" w:after="0" w:afterAutospacing="0"/>
        <w:ind w:firstLine="480" w:firstLineChars="200"/>
        <w:rPr>
          <w:rFonts w:hint="eastAsia"/>
          <w:color w:val="auto"/>
        </w:rPr>
      </w:pPr>
      <w:bookmarkStart w:id="31"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auto"/>
        </w:rPr>
        <w:t>：</w:t>
      </w:r>
    </w:p>
    <w:p>
      <w:pPr>
        <w:pStyle w:val="19"/>
        <w:shd w:val="clear" w:color="auto" w:fill="auto"/>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auto"/>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9"/>
        <w:shd w:val="clear" w:color="auto" w:fill="auto"/>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9"/>
        <w:shd w:val="clear" w:color="auto" w:fill="auto"/>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9"/>
        <w:shd w:val="clear" w:color="auto" w:fill="auto"/>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9"/>
        <w:shd w:val="clear" w:color="auto" w:fill="auto"/>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9"/>
        <w:shd w:val="clear" w:color="auto" w:fill="auto"/>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9"/>
        <w:shd w:val="clear" w:color="auto" w:fill="auto"/>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auto"/>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auto"/>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9"/>
        <w:shd w:val="clear" w:color="auto" w:fill="auto"/>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9"/>
        <w:shd w:val="clear" w:color="auto" w:fill="auto"/>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auto"/>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9"/>
        <w:shd w:val="clear" w:color="auto" w:fill="auto"/>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9"/>
        <w:shd w:val="clear" w:color="auto" w:fill="auto"/>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58"/>
        <w:shd w:val="clear" w:color="auto" w:fill="auto"/>
        <w:spacing w:before="0" w:beforeAutospacing="0" w:after="0" w:afterAutospacing="0" w:line="560" w:lineRule="exact"/>
        <w:jc w:val="both"/>
        <w:rPr>
          <w:rFonts w:hint="eastAsia"/>
          <w:color w:val="auto"/>
        </w:rPr>
      </w:pPr>
      <w:r>
        <w:rPr>
          <w:rFonts w:hint="eastAsia"/>
          <w:color w:val="auto"/>
        </w:rPr>
        <w:t>附件：</w:t>
      </w:r>
    </w:p>
    <w:p>
      <w:pPr>
        <w:pStyle w:val="58"/>
        <w:shd w:val="clear" w:color="auto" w:fill="auto"/>
        <w:spacing w:before="0" w:beforeAutospacing="0" w:after="0" w:afterAutospacing="0" w:line="560" w:lineRule="exact"/>
        <w:ind w:firstLine="482" w:firstLineChars="200"/>
        <w:jc w:val="center"/>
        <w:rPr>
          <w:rFonts w:hint="eastAsia"/>
          <w:color w:val="auto"/>
        </w:rPr>
      </w:pPr>
      <w:r>
        <w:rPr>
          <w:rStyle w:val="41"/>
          <w:rFonts w:hint="eastAsia"/>
          <w:b/>
          <w:bCs/>
          <w:color w:val="auto"/>
        </w:rPr>
        <w:t>残疾人福利性单位声明函</w:t>
      </w:r>
    </w:p>
    <w:p>
      <w:pPr>
        <w:pStyle w:val="58"/>
        <w:shd w:val="clear" w:color="auto" w:fill="auto"/>
        <w:spacing w:before="0" w:beforeAutospacing="0" w:after="0" w:afterAutospacing="0" w:line="560" w:lineRule="exact"/>
        <w:ind w:firstLine="480" w:firstLineChars="200"/>
        <w:jc w:val="both"/>
        <w:rPr>
          <w:rFonts w:hint="eastAsia"/>
          <w:color w:val="auto"/>
        </w:rPr>
      </w:pPr>
      <w:r>
        <w:rPr>
          <w:rStyle w:val="41"/>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hd w:val="clear" w:color="auto" w:fill="auto"/>
        <w:spacing w:before="0" w:beforeAutospacing="0" w:after="0" w:afterAutospacing="0" w:line="560" w:lineRule="exact"/>
        <w:ind w:firstLine="480" w:firstLineChars="200"/>
        <w:jc w:val="both"/>
        <w:rPr>
          <w:rFonts w:hint="eastAsia"/>
          <w:color w:val="auto"/>
        </w:rPr>
      </w:pPr>
      <w:r>
        <w:rPr>
          <w:rStyle w:val="41"/>
          <w:rFonts w:hint="eastAsia"/>
          <w:color w:val="auto"/>
        </w:rPr>
        <w:t>本单位对上述声明的真实性负责。如有虚假，将依法承担相应责任。</w:t>
      </w:r>
    </w:p>
    <w:p>
      <w:pPr>
        <w:pStyle w:val="58"/>
        <w:shd w:val="clear" w:color="auto" w:fill="auto"/>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58"/>
        <w:shd w:val="clear" w:color="auto" w:fill="auto"/>
        <w:spacing w:before="0" w:beforeAutospacing="0" w:after="0" w:afterAutospacing="0" w:line="560" w:lineRule="exact"/>
        <w:ind w:right="2100" w:rightChars="1000"/>
        <w:jc w:val="right"/>
        <w:rPr>
          <w:rFonts w:hint="eastAsia"/>
          <w:color w:val="auto"/>
        </w:rPr>
      </w:pPr>
      <w:r>
        <w:rPr>
          <w:rStyle w:val="41"/>
          <w:rFonts w:hint="eastAsia"/>
          <w:color w:val="auto"/>
        </w:rPr>
        <w:t>单位名称（盖章）：</w:t>
      </w:r>
    </w:p>
    <w:p>
      <w:pPr>
        <w:pStyle w:val="58"/>
        <w:shd w:val="clear" w:color="auto" w:fill="auto"/>
        <w:spacing w:before="0" w:beforeAutospacing="0" w:after="0" w:afterAutospacing="0" w:line="560" w:lineRule="exact"/>
        <w:ind w:right="2100" w:rightChars="1000"/>
        <w:jc w:val="right"/>
        <w:rPr>
          <w:rFonts w:hint="eastAsia"/>
          <w:color w:val="auto"/>
          <w:lang w:val="fr-CH"/>
        </w:rPr>
      </w:pPr>
      <w:r>
        <w:rPr>
          <w:rStyle w:val="41"/>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5967"/>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5772A4"/>
    <w:rsid w:val="01695955"/>
    <w:rsid w:val="016C0FA1"/>
    <w:rsid w:val="01714809"/>
    <w:rsid w:val="01763BCE"/>
    <w:rsid w:val="01775D86"/>
    <w:rsid w:val="01806B0D"/>
    <w:rsid w:val="018A58CB"/>
    <w:rsid w:val="018F4C90"/>
    <w:rsid w:val="019B1992"/>
    <w:rsid w:val="019C5D81"/>
    <w:rsid w:val="01AC5AA6"/>
    <w:rsid w:val="01AE364B"/>
    <w:rsid w:val="01C964EE"/>
    <w:rsid w:val="01CF7782"/>
    <w:rsid w:val="01DD3C4D"/>
    <w:rsid w:val="01E07299"/>
    <w:rsid w:val="01E41FE8"/>
    <w:rsid w:val="01E42829"/>
    <w:rsid w:val="01EA2E81"/>
    <w:rsid w:val="01EB45BC"/>
    <w:rsid w:val="01F77716"/>
    <w:rsid w:val="01FC3894"/>
    <w:rsid w:val="01FD5CEA"/>
    <w:rsid w:val="02074908"/>
    <w:rsid w:val="020E6899"/>
    <w:rsid w:val="020F139A"/>
    <w:rsid w:val="02105DD0"/>
    <w:rsid w:val="02140610"/>
    <w:rsid w:val="02167022"/>
    <w:rsid w:val="02191E33"/>
    <w:rsid w:val="021B163F"/>
    <w:rsid w:val="02247ACE"/>
    <w:rsid w:val="022767E5"/>
    <w:rsid w:val="022A2E24"/>
    <w:rsid w:val="023F0464"/>
    <w:rsid w:val="024431A9"/>
    <w:rsid w:val="026003DA"/>
    <w:rsid w:val="026B1259"/>
    <w:rsid w:val="02706B88"/>
    <w:rsid w:val="027951DA"/>
    <w:rsid w:val="027B0CF6"/>
    <w:rsid w:val="027F4D04"/>
    <w:rsid w:val="0281282A"/>
    <w:rsid w:val="02851E3F"/>
    <w:rsid w:val="028B65E2"/>
    <w:rsid w:val="028E13EB"/>
    <w:rsid w:val="029E1705"/>
    <w:rsid w:val="02A243E6"/>
    <w:rsid w:val="02AC5531"/>
    <w:rsid w:val="02B341A2"/>
    <w:rsid w:val="02B349AE"/>
    <w:rsid w:val="02B62046"/>
    <w:rsid w:val="02B97A9C"/>
    <w:rsid w:val="02C62933"/>
    <w:rsid w:val="02D05560"/>
    <w:rsid w:val="02DB5691"/>
    <w:rsid w:val="02DD2F85"/>
    <w:rsid w:val="02E64D83"/>
    <w:rsid w:val="02ED7EC0"/>
    <w:rsid w:val="02F27FB9"/>
    <w:rsid w:val="02FC6355"/>
    <w:rsid w:val="02FF3972"/>
    <w:rsid w:val="03056415"/>
    <w:rsid w:val="0320423A"/>
    <w:rsid w:val="033318F7"/>
    <w:rsid w:val="03355182"/>
    <w:rsid w:val="03510C1F"/>
    <w:rsid w:val="03577A2F"/>
    <w:rsid w:val="03604B36"/>
    <w:rsid w:val="0364676B"/>
    <w:rsid w:val="03661A20"/>
    <w:rsid w:val="03773C2D"/>
    <w:rsid w:val="037A0B0F"/>
    <w:rsid w:val="03830824"/>
    <w:rsid w:val="03885E3A"/>
    <w:rsid w:val="038F291E"/>
    <w:rsid w:val="03914CEF"/>
    <w:rsid w:val="039474F8"/>
    <w:rsid w:val="039C55A4"/>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A2F36"/>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22D11"/>
    <w:rsid w:val="04DA12DA"/>
    <w:rsid w:val="04E83035"/>
    <w:rsid w:val="04E86B91"/>
    <w:rsid w:val="04ED23F9"/>
    <w:rsid w:val="04F46F7F"/>
    <w:rsid w:val="04F5670C"/>
    <w:rsid w:val="051450D4"/>
    <w:rsid w:val="05343214"/>
    <w:rsid w:val="0541624E"/>
    <w:rsid w:val="054305F2"/>
    <w:rsid w:val="05432A54"/>
    <w:rsid w:val="05452235"/>
    <w:rsid w:val="0552282F"/>
    <w:rsid w:val="055A54B2"/>
    <w:rsid w:val="056703FD"/>
    <w:rsid w:val="05724329"/>
    <w:rsid w:val="0573173F"/>
    <w:rsid w:val="05764199"/>
    <w:rsid w:val="05922FA0"/>
    <w:rsid w:val="05927CC1"/>
    <w:rsid w:val="0599432F"/>
    <w:rsid w:val="05A54DF4"/>
    <w:rsid w:val="05AF5900"/>
    <w:rsid w:val="05B747B5"/>
    <w:rsid w:val="05C60A49"/>
    <w:rsid w:val="05D259BD"/>
    <w:rsid w:val="05DF451F"/>
    <w:rsid w:val="05E27A84"/>
    <w:rsid w:val="05E70379"/>
    <w:rsid w:val="05F32667"/>
    <w:rsid w:val="05F45A09"/>
    <w:rsid w:val="06071A7F"/>
    <w:rsid w:val="060A6FDB"/>
    <w:rsid w:val="06113EC5"/>
    <w:rsid w:val="061630C5"/>
    <w:rsid w:val="061D0E3B"/>
    <w:rsid w:val="06257970"/>
    <w:rsid w:val="063302DF"/>
    <w:rsid w:val="063433CE"/>
    <w:rsid w:val="063D305A"/>
    <w:rsid w:val="063D4CBA"/>
    <w:rsid w:val="063D4E23"/>
    <w:rsid w:val="064A387B"/>
    <w:rsid w:val="06672975"/>
    <w:rsid w:val="06691F53"/>
    <w:rsid w:val="066A5EA1"/>
    <w:rsid w:val="066F086A"/>
    <w:rsid w:val="06710E08"/>
    <w:rsid w:val="0673692E"/>
    <w:rsid w:val="06760C3A"/>
    <w:rsid w:val="06772778"/>
    <w:rsid w:val="067B1C86"/>
    <w:rsid w:val="06890016"/>
    <w:rsid w:val="068A3CB5"/>
    <w:rsid w:val="069114AA"/>
    <w:rsid w:val="06940436"/>
    <w:rsid w:val="06A84A1D"/>
    <w:rsid w:val="06AE3F68"/>
    <w:rsid w:val="06B6252E"/>
    <w:rsid w:val="06BE5725"/>
    <w:rsid w:val="06BF2714"/>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77FFE"/>
    <w:rsid w:val="075E720B"/>
    <w:rsid w:val="076369A2"/>
    <w:rsid w:val="07725C7E"/>
    <w:rsid w:val="07743C52"/>
    <w:rsid w:val="07782CCB"/>
    <w:rsid w:val="077961C6"/>
    <w:rsid w:val="077B2B23"/>
    <w:rsid w:val="07887094"/>
    <w:rsid w:val="07927457"/>
    <w:rsid w:val="079E7F01"/>
    <w:rsid w:val="07A34FF1"/>
    <w:rsid w:val="07A50D69"/>
    <w:rsid w:val="07B92E8A"/>
    <w:rsid w:val="07BB67DE"/>
    <w:rsid w:val="07C1191B"/>
    <w:rsid w:val="07CA0317"/>
    <w:rsid w:val="07CC279A"/>
    <w:rsid w:val="07D548E7"/>
    <w:rsid w:val="07E6312F"/>
    <w:rsid w:val="07EC2E3C"/>
    <w:rsid w:val="07ED5C07"/>
    <w:rsid w:val="07F92694"/>
    <w:rsid w:val="08002443"/>
    <w:rsid w:val="0802440D"/>
    <w:rsid w:val="08027EA4"/>
    <w:rsid w:val="08041448"/>
    <w:rsid w:val="08086F7D"/>
    <w:rsid w:val="080F3625"/>
    <w:rsid w:val="08141242"/>
    <w:rsid w:val="081906D7"/>
    <w:rsid w:val="081E32D0"/>
    <w:rsid w:val="081F40B1"/>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50021"/>
    <w:rsid w:val="089704AA"/>
    <w:rsid w:val="08AB663F"/>
    <w:rsid w:val="08D95826"/>
    <w:rsid w:val="08DA0EE6"/>
    <w:rsid w:val="08E44D97"/>
    <w:rsid w:val="08E9364C"/>
    <w:rsid w:val="08FB2C0B"/>
    <w:rsid w:val="08FC124B"/>
    <w:rsid w:val="08FC3E83"/>
    <w:rsid w:val="08FD305C"/>
    <w:rsid w:val="08FE4A83"/>
    <w:rsid w:val="090715AF"/>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4E4CAC"/>
    <w:rsid w:val="09531E1A"/>
    <w:rsid w:val="09572537"/>
    <w:rsid w:val="095B4482"/>
    <w:rsid w:val="095C2F24"/>
    <w:rsid w:val="0969226A"/>
    <w:rsid w:val="0971207B"/>
    <w:rsid w:val="097E7AC3"/>
    <w:rsid w:val="09821BDC"/>
    <w:rsid w:val="098F597B"/>
    <w:rsid w:val="09932EAE"/>
    <w:rsid w:val="09953F16"/>
    <w:rsid w:val="099C619C"/>
    <w:rsid w:val="09AC6C98"/>
    <w:rsid w:val="09BE2422"/>
    <w:rsid w:val="09C27C64"/>
    <w:rsid w:val="09C37BC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2F1883"/>
    <w:rsid w:val="0A3B7763"/>
    <w:rsid w:val="0A3F5F36"/>
    <w:rsid w:val="0A440B24"/>
    <w:rsid w:val="0A5243CC"/>
    <w:rsid w:val="0A60422D"/>
    <w:rsid w:val="0A693D18"/>
    <w:rsid w:val="0A736290"/>
    <w:rsid w:val="0A7703FB"/>
    <w:rsid w:val="0A8376D2"/>
    <w:rsid w:val="0A856C30"/>
    <w:rsid w:val="0A905A1A"/>
    <w:rsid w:val="0A917CCA"/>
    <w:rsid w:val="0A9A6B7F"/>
    <w:rsid w:val="0AA572D2"/>
    <w:rsid w:val="0AAA3C19"/>
    <w:rsid w:val="0AAC60CF"/>
    <w:rsid w:val="0AB10FCD"/>
    <w:rsid w:val="0ABB2680"/>
    <w:rsid w:val="0ABF3657"/>
    <w:rsid w:val="0AD10DFC"/>
    <w:rsid w:val="0AD35BED"/>
    <w:rsid w:val="0AE620BB"/>
    <w:rsid w:val="0AF10F8A"/>
    <w:rsid w:val="0AF47E99"/>
    <w:rsid w:val="0AFA13CC"/>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709D7"/>
    <w:rsid w:val="0B8B2FEB"/>
    <w:rsid w:val="0B9730BE"/>
    <w:rsid w:val="0BA63302"/>
    <w:rsid w:val="0BAA1044"/>
    <w:rsid w:val="0BBC0465"/>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C7E64"/>
    <w:rsid w:val="0C5D6F3F"/>
    <w:rsid w:val="0C654075"/>
    <w:rsid w:val="0C670CE3"/>
    <w:rsid w:val="0C687599"/>
    <w:rsid w:val="0C752B67"/>
    <w:rsid w:val="0C7D0506"/>
    <w:rsid w:val="0C7D1D22"/>
    <w:rsid w:val="0C811679"/>
    <w:rsid w:val="0C851069"/>
    <w:rsid w:val="0C8B0F2D"/>
    <w:rsid w:val="0C8F1FF8"/>
    <w:rsid w:val="0C99751F"/>
    <w:rsid w:val="0C9C7C61"/>
    <w:rsid w:val="0C9D317F"/>
    <w:rsid w:val="0CA05FA3"/>
    <w:rsid w:val="0CA17F2D"/>
    <w:rsid w:val="0CA33D76"/>
    <w:rsid w:val="0CB24163"/>
    <w:rsid w:val="0CBF0B1F"/>
    <w:rsid w:val="0CBF0DF6"/>
    <w:rsid w:val="0CC41F8B"/>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1793F"/>
    <w:rsid w:val="0D7960BE"/>
    <w:rsid w:val="0D7D62E4"/>
    <w:rsid w:val="0D81039E"/>
    <w:rsid w:val="0D814026"/>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165B5"/>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F62CF"/>
    <w:rsid w:val="0E903DF5"/>
    <w:rsid w:val="0EA55C45"/>
    <w:rsid w:val="0EA60B68"/>
    <w:rsid w:val="0EA86384"/>
    <w:rsid w:val="0EB2020F"/>
    <w:rsid w:val="0EB61AAE"/>
    <w:rsid w:val="0EC00B7E"/>
    <w:rsid w:val="0EC0292C"/>
    <w:rsid w:val="0ECE7CE8"/>
    <w:rsid w:val="0ED9579C"/>
    <w:rsid w:val="0EE15967"/>
    <w:rsid w:val="0EE23012"/>
    <w:rsid w:val="0EE23E2C"/>
    <w:rsid w:val="0EE50C22"/>
    <w:rsid w:val="0EED1247"/>
    <w:rsid w:val="0EF1674C"/>
    <w:rsid w:val="0EF600FC"/>
    <w:rsid w:val="0EF80E8F"/>
    <w:rsid w:val="0EF95105"/>
    <w:rsid w:val="0EFE2C1E"/>
    <w:rsid w:val="0F014633"/>
    <w:rsid w:val="0F0312ED"/>
    <w:rsid w:val="0F050929"/>
    <w:rsid w:val="0F063E64"/>
    <w:rsid w:val="0F0E09E8"/>
    <w:rsid w:val="0F0E5BDA"/>
    <w:rsid w:val="0F125876"/>
    <w:rsid w:val="0F184516"/>
    <w:rsid w:val="0F245332"/>
    <w:rsid w:val="0F280D60"/>
    <w:rsid w:val="0F3330FE"/>
    <w:rsid w:val="0F384BB8"/>
    <w:rsid w:val="0F4A54CF"/>
    <w:rsid w:val="0F4C4E90"/>
    <w:rsid w:val="0F555725"/>
    <w:rsid w:val="0F557518"/>
    <w:rsid w:val="0F5E63E1"/>
    <w:rsid w:val="0F603CED"/>
    <w:rsid w:val="0F632412"/>
    <w:rsid w:val="0F645D19"/>
    <w:rsid w:val="0F66466E"/>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A7461"/>
    <w:rsid w:val="0FC44BCF"/>
    <w:rsid w:val="0FC46A88"/>
    <w:rsid w:val="0FCD6C11"/>
    <w:rsid w:val="0FCE7B7D"/>
    <w:rsid w:val="0FD2443A"/>
    <w:rsid w:val="0FDA7728"/>
    <w:rsid w:val="0FE36B89"/>
    <w:rsid w:val="0FE670A5"/>
    <w:rsid w:val="0FED2A2E"/>
    <w:rsid w:val="0FEE0246"/>
    <w:rsid w:val="0FF3288D"/>
    <w:rsid w:val="100920B1"/>
    <w:rsid w:val="100A27E6"/>
    <w:rsid w:val="100C2F87"/>
    <w:rsid w:val="100D70B0"/>
    <w:rsid w:val="101133B7"/>
    <w:rsid w:val="101933AE"/>
    <w:rsid w:val="101F694C"/>
    <w:rsid w:val="102355F0"/>
    <w:rsid w:val="10284B8F"/>
    <w:rsid w:val="10335CC9"/>
    <w:rsid w:val="10427D91"/>
    <w:rsid w:val="104C1533"/>
    <w:rsid w:val="104E2006"/>
    <w:rsid w:val="10505F32"/>
    <w:rsid w:val="1054157E"/>
    <w:rsid w:val="105552F6"/>
    <w:rsid w:val="10573096"/>
    <w:rsid w:val="105746A1"/>
    <w:rsid w:val="105772C0"/>
    <w:rsid w:val="105B0B5E"/>
    <w:rsid w:val="105D3BF9"/>
    <w:rsid w:val="105F48B1"/>
    <w:rsid w:val="10602325"/>
    <w:rsid w:val="10611EED"/>
    <w:rsid w:val="10616317"/>
    <w:rsid w:val="107734BE"/>
    <w:rsid w:val="1077526D"/>
    <w:rsid w:val="107B7182"/>
    <w:rsid w:val="107C6A46"/>
    <w:rsid w:val="107E2A9F"/>
    <w:rsid w:val="108300B5"/>
    <w:rsid w:val="108322BF"/>
    <w:rsid w:val="1087780A"/>
    <w:rsid w:val="1088747A"/>
    <w:rsid w:val="108970CB"/>
    <w:rsid w:val="108F0808"/>
    <w:rsid w:val="10945EF7"/>
    <w:rsid w:val="109507D1"/>
    <w:rsid w:val="10991F70"/>
    <w:rsid w:val="109951E3"/>
    <w:rsid w:val="10A33B25"/>
    <w:rsid w:val="10B44918"/>
    <w:rsid w:val="10C73309"/>
    <w:rsid w:val="10CA1840"/>
    <w:rsid w:val="10CC380A"/>
    <w:rsid w:val="10CF50A9"/>
    <w:rsid w:val="10DE353E"/>
    <w:rsid w:val="10F03150"/>
    <w:rsid w:val="10FE598E"/>
    <w:rsid w:val="11050129"/>
    <w:rsid w:val="110547C9"/>
    <w:rsid w:val="1109680C"/>
    <w:rsid w:val="111F7DDE"/>
    <w:rsid w:val="11207CB1"/>
    <w:rsid w:val="11371EF5"/>
    <w:rsid w:val="11472E91"/>
    <w:rsid w:val="115119ED"/>
    <w:rsid w:val="11515ABE"/>
    <w:rsid w:val="115F1B29"/>
    <w:rsid w:val="11607055"/>
    <w:rsid w:val="1161764C"/>
    <w:rsid w:val="11641C95"/>
    <w:rsid w:val="1170063A"/>
    <w:rsid w:val="11791613"/>
    <w:rsid w:val="11795AFD"/>
    <w:rsid w:val="11802E2F"/>
    <w:rsid w:val="11815B4A"/>
    <w:rsid w:val="118E286E"/>
    <w:rsid w:val="11A03D9E"/>
    <w:rsid w:val="11A36E95"/>
    <w:rsid w:val="11AE3D23"/>
    <w:rsid w:val="11B00120"/>
    <w:rsid w:val="11BB0A26"/>
    <w:rsid w:val="11DC7A7D"/>
    <w:rsid w:val="11E90E6C"/>
    <w:rsid w:val="11EB0720"/>
    <w:rsid w:val="11ED6377"/>
    <w:rsid w:val="11F12FEF"/>
    <w:rsid w:val="11FD07C1"/>
    <w:rsid w:val="1218482D"/>
    <w:rsid w:val="121F0324"/>
    <w:rsid w:val="12234694"/>
    <w:rsid w:val="12280D51"/>
    <w:rsid w:val="122B1AC0"/>
    <w:rsid w:val="122C4DD8"/>
    <w:rsid w:val="12301B77"/>
    <w:rsid w:val="123E190B"/>
    <w:rsid w:val="123F1DBA"/>
    <w:rsid w:val="124D2440"/>
    <w:rsid w:val="125515DD"/>
    <w:rsid w:val="12593CA9"/>
    <w:rsid w:val="125E66E4"/>
    <w:rsid w:val="125F1AC6"/>
    <w:rsid w:val="12614D70"/>
    <w:rsid w:val="12633CFA"/>
    <w:rsid w:val="12685123"/>
    <w:rsid w:val="12695089"/>
    <w:rsid w:val="126B66F7"/>
    <w:rsid w:val="126E3B4A"/>
    <w:rsid w:val="127146D8"/>
    <w:rsid w:val="12741F5E"/>
    <w:rsid w:val="12750005"/>
    <w:rsid w:val="1291328C"/>
    <w:rsid w:val="12937DA1"/>
    <w:rsid w:val="12977E48"/>
    <w:rsid w:val="1299596E"/>
    <w:rsid w:val="129C720C"/>
    <w:rsid w:val="12A32349"/>
    <w:rsid w:val="12A40621"/>
    <w:rsid w:val="12AC0145"/>
    <w:rsid w:val="12AC60CF"/>
    <w:rsid w:val="12B26A5D"/>
    <w:rsid w:val="12B37E92"/>
    <w:rsid w:val="12B7253D"/>
    <w:rsid w:val="12BF70C4"/>
    <w:rsid w:val="12C95C1F"/>
    <w:rsid w:val="12CA04D3"/>
    <w:rsid w:val="12CD5618"/>
    <w:rsid w:val="12D37012"/>
    <w:rsid w:val="12D44BF8"/>
    <w:rsid w:val="12D544CC"/>
    <w:rsid w:val="12D70244"/>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695D3B"/>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84512"/>
    <w:rsid w:val="13CC2CE5"/>
    <w:rsid w:val="13CD49D8"/>
    <w:rsid w:val="13D21C0B"/>
    <w:rsid w:val="13EC7D20"/>
    <w:rsid w:val="140D6614"/>
    <w:rsid w:val="140E7208"/>
    <w:rsid w:val="14126207"/>
    <w:rsid w:val="142179C9"/>
    <w:rsid w:val="14292753"/>
    <w:rsid w:val="142F2E14"/>
    <w:rsid w:val="1433065B"/>
    <w:rsid w:val="1448764C"/>
    <w:rsid w:val="145204CA"/>
    <w:rsid w:val="14535FF1"/>
    <w:rsid w:val="145E0C1D"/>
    <w:rsid w:val="145E77EA"/>
    <w:rsid w:val="1472070A"/>
    <w:rsid w:val="147F7284"/>
    <w:rsid w:val="1485143D"/>
    <w:rsid w:val="14887A48"/>
    <w:rsid w:val="148D6FE1"/>
    <w:rsid w:val="149C2CDC"/>
    <w:rsid w:val="14A02B20"/>
    <w:rsid w:val="14A740BD"/>
    <w:rsid w:val="14A75703"/>
    <w:rsid w:val="14B20F69"/>
    <w:rsid w:val="14B2243D"/>
    <w:rsid w:val="14B52807"/>
    <w:rsid w:val="14BB749D"/>
    <w:rsid w:val="14C82913"/>
    <w:rsid w:val="14C90AF0"/>
    <w:rsid w:val="14CE3381"/>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A700BD"/>
    <w:rsid w:val="15AE7982"/>
    <w:rsid w:val="15B900D5"/>
    <w:rsid w:val="15BC073A"/>
    <w:rsid w:val="15BD5D33"/>
    <w:rsid w:val="15C26F8A"/>
    <w:rsid w:val="15C87EA7"/>
    <w:rsid w:val="15CA22E2"/>
    <w:rsid w:val="15DB44F0"/>
    <w:rsid w:val="15DB4D1F"/>
    <w:rsid w:val="15F1161D"/>
    <w:rsid w:val="15F555B1"/>
    <w:rsid w:val="16017613"/>
    <w:rsid w:val="16094BB9"/>
    <w:rsid w:val="16105EF5"/>
    <w:rsid w:val="1615355E"/>
    <w:rsid w:val="161672D6"/>
    <w:rsid w:val="161B13E4"/>
    <w:rsid w:val="161C272A"/>
    <w:rsid w:val="16220F65"/>
    <w:rsid w:val="162C3DEF"/>
    <w:rsid w:val="162E2FB0"/>
    <w:rsid w:val="16334287"/>
    <w:rsid w:val="163C77C6"/>
    <w:rsid w:val="163D4862"/>
    <w:rsid w:val="164417BE"/>
    <w:rsid w:val="1651030E"/>
    <w:rsid w:val="16591300"/>
    <w:rsid w:val="16624474"/>
    <w:rsid w:val="16702E8A"/>
    <w:rsid w:val="1673488D"/>
    <w:rsid w:val="16775FC6"/>
    <w:rsid w:val="167F30CD"/>
    <w:rsid w:val="16871A0C"/>
    <w:rsid w:val="169E79F7"/>
    <w:rsid w:val="16A15158"/>
    <w:rsid w:val="16BA2357"/>
    <w:rsid w:val="16C16C33"/>
    <w:rsid w:val="16C951EC"/>
    <w:rsid w:val="16CD5BE6"/>
    <w:rsid w:val="16D34DDA"/>
    <w:rsid w:val="16D572AC"/>
    <w:rsid w:val="16DB47A7"/>
    <w:rsid w:val="16E12EB6"/>
    <w:rsid w:val="16E80C72"/>
    <w:rsid w:val="16EC74B0"/>
    <w:rsid w:val="16EC7E54"/>
    <w:rsid w:val="16F2389F"/>
    <w:rsid w:val="16F92F35"/>
    <w:rsid w:val="17090292"/>
    <w:rsid w:val="170A0BE8"/>
    <w:rsid w:val="170B3AF5"/>
    <w:rsid w:val="17165EAE"/>
    <w:rsid w:val="17195C16"/>
    <w:rsid w:val="171E24DE"/>
    <w:rsid w:val="1723661F"/>
    <w:rsid w:val="17253C74"/>
    <w:rsid w:val="17297EC6"/>
    <w:rsid w:val="173159F1"/>
    <w:rsid w:val="17342109"/>
    <w:rsid w:val="17377F8D"/>
    <w:rsid w:val="173857BC"/>
    <w:rsid w:val="17473343"/>
    <w:rsid w:val="175207E1"/>
    <w:rsid w:val="175B05DE"/>
    <w:rsid w:val="176F26A7"/>
    <w:rsid w:val="177A4E8B"/>
    <w:rsid w:val="177B3894"/>
    <w:rsid w:val="178D35C8"/>
    <w:rsid w:val="17935082"/>
    <w:rsid w:val="1796247C"/>
    <w:rsid w:val="17A829E2"/>
    <w:rsid w:val="17AA5F28"/>
    <w:rsid w:val="17B4167C"/>
    <w:rsid w:val="17B44FF8"/>
    <w:rsid w:val="17BB13E6"/>
    <w:rsid w:val="17C118AF"/>
    <w:rsid w:val="17C35A7C"/>
    <w:rsid w:val="17C739D2"/>
    <w:rsid w:val="17D804EC"/>
    <w:rsid w:val="17E256C1"/>
    <w:rsid w:val="17E71FFD"/>
    <w:rsid w:val="17E9547C"/>
    <w:rsid w:val="17FD08DA"/>
    <w:rsid w:val="17FF8CED"/>
    <w:rsid w:val="1804549F"/>
    <w:rsid w:val="181231AA"/>
    <w:rsid w:val="181C1BE6"/>
    <w:rsid w:val="181D422F"/>
    <w:rsid w:val="181E7318"/>
    <w:rsid w:val="181F082D"/>
    <w:rsid w:val="18285388"/>
    <w:rsid w:val="182A3BC2"/>
    <w:rsid w:val="182F3584"/>
    <w:rsid w:val="18455C50"/>
    <w:rsid w:val="18463EA2"/>
    <w:rsid w:val="18467635"/>
    <w:rsid w:val="18492AD7"/>
    <w:rsid w:val="184A37E9"/>
    <w:rsid w:val="18534811"/>
    <w:rsid w:val="18544FDE"/>
    <w:rsid w:val="185A5BA0"/>
    <w:rsid w:val="186364ED"/>
    <w:rsid w:val="18662D60"/>
    <w:rsid w:val="186B1B5B"/>
    <w:rsid w:val="18715475"/>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236A8"/>
    <w:rsid w:val="19237B9F"/>
    <w:rsid w:val="192A37C4"/>
    <w:rsid w:val="193D33F0"/>
    <w:rsid w:val="194009BD"/>
    <w:rsid w:val="19471B5D"/>
    <w:rsid w:val="194859F8"/>
    <w:rsid w:val="195066E0"/>
    <w:rsid w:val="19566367"/>
    <w:rsid w:val="19570467"/>
    <w:rsid w:val="195B56B1"/>
    <w:rsid w:val="196452E9"/>
    <w:rsid w:val="197109D1"/>
    <w:rsid w:val="19720A2A"/>
    <w:rsid w:val="19737D0A"/>
    <w:rsid w:val="197B5FF6"/>
    <w:rsid w:val="198D5CA8"/>
    <w:rsid w:val="199450E1"/>
    <w:rsid w:val="19AC41D9"/>
    <w:rsid w:val="19AE278A"/>
    <w:rsid w:val="19AE4FC4"/>
    <w:rsid w:val="19B36621"/>
    <w:rsid w:val="19BB266E"/>
    <w:rsid w:val="19C029FD"/>
    <w:rsid w:val="19C07C84"/>
    <w:rsid w:val="19C67A57"/>
    <w:rsid w:val="19C71013"/>
    <w:rsid w:val="19D13C3F"/>
    <w:rsid w:val="19D31807"/>
    <w:rsid w:val="19D96F98"/>
    <w:rsid w:val="19DE02E9"/>
    <w:rsid w:val="19DF45AE"/>
    <w:rsid w:val="19E41F02"/>
    <w:rsid w:val="19E445A9"/>
    <w:rsid w:val="19EE1931"/>
    <w:rsid w:val="19EF2318"/>
    <w:rsid w:val="19FD6FB4"/>
    <w:rsid w:val="1A02029D"/>
    <w:rsid w:val="1A0F4768"/>
    <w:rsid w:val="1A1678A4"/>
    <w:rsid w:val="1A1E49AB"/>
    <w:rsid w:val="1A2A0014"/>
    <w:rsid w:val="1A3B37AF"/>
    <w:rsid w:val="1A3F329F"/>
    <w:rsid w:val="1A436706"/>
    <w:rsid w:val="1A4743E4"/>
    <w:rsid w:val="1A48219F"/>
    <w:rsid w:val="1A5503C6"/>
    <w:rsid w:val="1A56092D"/>
    <w:rsid w:val="1A592FC2"/>
    <w:rsid w:val="1A5A2DE1"/>
    <w:rsid w:val="1A5B3C40"/>
    <w:rsid w:val="1A5F124B"/>
    <w:rsid w:val="1A666E7E"/>
    <w:rsid w:val="1A682661"/>
    <w:rsid w:val="1A750A6F"/>
    <w:rsid w:val="1A796EBF"/>
    <w:rsid w:val="1A9571AB"/>
    <w:rsid w:val="1A9D6217"/>
    <w:rsid w:val="1AA17FFF"/>
    <w:rsid w:val="1AB20159"/>
    <w:rsid w:val="1ABF7F3C"/>
    <w:rsid w:val="1AC13CB4"/>
    <w:rsid w:val="1AC63078"/>
    <w:rsid w:val="1AE06FED"/>
    <w:rsid w:val="1AE97736"/>
    <w:rsid w:val="1AEB0D31"/>
    <w:rsid w:val="1AF11538"/>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76354D"/>
    <w:rsid w:val="1B79633D"/>
    <w:rsid w:val="1B860A5A"/>
    <w:rsid w:val="1B862808"/>
    <w:rsid w:val="1B91134D"/>
    <w:rsid w:val="1B9211AC"/>
    <w:rsid w:val="1B9374DE"/>
    <w:rsid w:val="1B9A2198"/>
    <w:rsid w:val="1BA40968"/>
    <w:rsid w:val="1BA57132"/>
    <w:rsid w:val="1BA809D0"/>
    <w:rsid w:val="1BA90BB8"/>
    <w:rsid w:val="1BA971F6"/>
    <w:rsid w:val="1BAA5464"/>
    <w:rsid w:val="1BB2E899"/>
    <w:rsid w:val="1BB35E2F"/>
    <w:rsid w:val="1BBA2999"/>
    <w:rsid w:val="1BBA7347"/>
    <w:rsid w:val="1BC05D1A"/>
    <w:rsid w:val="1BC07E23"/>
    <w:rsid w:val="1BC65AEE"/>
    <w:rsid w:val="1BD0568D"/>
    <w:rsid w:val="1BD27011"/>
    <w:rsid w:val="1BD42A40"/>
    <w:rsid w:val="1BDE58DF"/>
    <w:rsid w:val="1BDF0DAF"/>
    <w:rsid w:val="1BF26782"/>
    <w:rsid w:val="1BF42469"/>
    <w:rsid w:val="1BF9712D"/>
    <w:rsid w:val="1C00080C"/>
    <w:rsid w:val="1C1177BB"/>
    <w:rsid w:val="1C1425F4"/>
    <w:rsid w:val="1C1A4476"/>
    <w:rsid w:val="1C1B5646"/>
    <w:rsid w:val="1C201864"/>
    <w:rsid w:val="1C2564C4"/>
    <w:rsid w:val="1C2920DF"/>
    <w:rsid w:val="1C2D46BF"/>
    <w:rsid w:val="1C330BE1"/>
    <w:rsid w:val="1C3861F8"/>
    <w:rsid w:val="1C3F5DAD"/>
    <w:rsid w:val="1C494732"/>
    <w:rsid w:val="1C4955DC"/>
    <w:rsid w:val="1C4B65ED"/>
    <w:rsid w:val="1C4C57FF"/>
    <w:rsid w:val="1C5363E4"/>
    <w:rsid w:val="1C556DAA"/>
    <w:rsid w:val="1C597F1C"/>
    <w:rsid w:val="1C5D13A4"/>
    <w:rsid w:val="1C5D17BA"/>
    <w:rsid w:val="1C6B690B"/>
    <w:rsid w:val="1C6C7C4F"/>
    <w:rsid w:val="1C7E50D0"/>
    <w:rsid w:val="1C837A09"/>
    <w:rsid w:val="1C8B76F0"/>
    <w:rsid w:val="1C93694D"/>
    <w:rsid w:val="1CA06A08"/>
    <w:rsid w:val="1CA127CF"/>
    <w:rsid w:val="1CB515F6"/>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8284A"/>
    <w:rsid w:val="1D7E40DE"/>
    <w:rsid w:val="1D7F9BB1"/>
    <w:rsid w:val="1D8334A3"/>
    <w:rsid w:val="1D8611E5"/>
    <w:rsid w:val="1D8C3FF0"/>
    <w:rsid w:val="1D907667"/>
    <w:rsid w:val="1D980C47"/>
    <w:rsid w:val="1D9931F7"/>
    <w:rsid w:val="1D9B6A3E"/>
    <w:rsid w:val="1D9C27B6"/>
    <w:rsid w:val="1DA17DCD"/>
    <w:rsid w:val="1DA43327"/>
    <w:rsid w:val="1DAB4918"/>
    <w:rsid w:val="1DB16262"/>
    <w:rsid w:val="1DB67273"/>
    <w:rsid w:val="1DC229AD"/>
    <w:rsid w:val="1DD51824"/>
    <w:rsid w:val="1DD625CE"/>
    <w:rsid w:val="1DE45416"/>
    <w:rsid w:val="1DE455A1"/>
    <w:rsid w:val="1DFC2585"/>
    <w:rsid w:val="1E0A001A"/>
    <w:rsid w:val="1E0D4BB8"/>
    <w:rsid w:val="1E207AA3"/>
    <w:rsid w:val="1E2527AC"/>
    <w:rsid w:val="1E29229C"/>
    <w:rsid w:val="1E2B3694"/>
    <w:rsid w:val="1E33115E"/>
    <w:rsid w:val="1E3429EF"/>
    <w:rsid w:val="1E3450BD"/>
    <w:rsid w:val="1E3A76DB"/>
    <w:rsid w:val="1E3B1FCF"/>
    <w:rsid w:val="1E3B3D7D"/>
    <w:rsid w:val="1E3E59B0"/>
    <w:rsid w:val="1E447672"/>
    <w:rsid w:val="1E4F7829"/>
    <w:rsid w:val="1E513D53"/>
    <w:rsid w:val="1E51534F"/>
    <w:rsid w:val="1E544457"/>
    <w:rsid w:val="1E551F1A"/>
    <w:rsid w:val="1E5F67B7"/>
    <w:rsid w:val="1E664332"/>
    <w:rsid w:val="1E696B3C"/>
    <w:rsid w:val="1E6B55EB"/>
    <w:rsid w:val="1E6E0C84"/>
    <w:rsid w:val="1E7219A1"/>
    <w:rsid w:val="1E7D4396"/>
    <w:rsid w:val="1E8E7A8E"/>
    <w:rsid w:val="1E923FCD"/>
    <w:rsid w:val="1E94288D"/>
    <w:rsid w:val="1E987625"/>
    <w:rsid w:val="1EA00084"/>
    <w:rsid w:val="1EA10478"/>
    <w:rsid w:val="1EA10E1F"/>
    <w:rsid w:val="1EA40AC9"/>
    <w:rsid w:val="1EB41931"/>
    <w:rsid w:val="1EB71B46"/>
    <w:rsid w:val="1EBB71D2"/>
    <w:rsid w:val="1EC137FC"/>
    <w:rsid w:val="1EC801E5"/>
    <w:rsid w:val="1ECED510"/>
    <w:rsid w:val="1ED61CF8"/>
    <w:rsid w:val="1EDD5F75"/>
    <w:rsid w:val="1EDFF00C"/>
    <w:rsid w:val="1EE00481"/>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63F3B"/>
    <w:rsid w:val="1F3FDFFC"/>
    <w:rsid w:val="1F4C125B"/>
    <w:rsid w:val="1F505606"/>
    <w:rsid w:val="1F595559"/>
    <w:rsid w:val="1F5FDB3D"/>
    <w:rsid w:val="1F640DA5"/>
    <w:rsid w:val="1F642DCD"/>
    <w:rsid w:val="1F735CA0"/>
    <w:rsid w:val="1F7431C0"/>
    <w:rsid w:val="1F75506D"/>
    <w:rsid w:val="1F7C289F"/>
    <w:rsid w:val="1F7D3F22"/>
    <w:rsid w:val="1F7E2174"/>
    <w:rsid w:val="1F830BD9"/>
    <w:rsid w:val="1F831ABE"/>
    <w:rsid w:val="1F8400A8"/>
    <w:rsid w:val="1F850636"/>
    <w:rsid w:val="1F8A6087"/>
    <w:rsid w:val="1F95570F"/>
    <w:rsid w:val="1F9F1946"/>
    <w:rsid w:val="1FA15E62"/>
    <w:rsid w:val="1FA31BDA"/>
    <w:rsid w:val="1FA3607E"/>
    <w:rsid w:val="1FA93C2E"/>
    <w:rsid w:val="1FAA5C2F"/>
    <w:rsid w:val="1FB05D8B"/>
    <w:rsid w:val="1FB24013"/>
    <w:rsid w:val="1FB406F8"/>
    <w:rsid w:val="1FB979B9"/>
    <w:rsid w:val="1FCD6C57"/>
    <w:rsid w:val="1FD9B82A"/>
    <w:rsid w:val="1FEB5DF2"/>
    <w:rsid w:val="1FEC3AE3"/>
    <w:rsid w:val="1FEE2F5C"/>
    <w:rsid w:val="1FEF4AE7"/>
    <w:rsid w:val="1FF42436"/>
    <w:rsid w:val="1FF95C9E"/>
    <w:rsid w:val="1FFC3F8D"/>
    <w:rsid w:val="1FFF9B72"/>
    <w:rsid w:val="20014B53"/>
    <w:rsid w:val="20104D96"/>
    <w:rsid w:val="2018760F"/>
    <w:rsid w:val="2020147D"/>
    <w:rsid w:val="20210F16"/>
    <w:rsid w:val="202919B6"/>
    <w:rsid w:val="20445877"/>
    <w:rsid w:val="206155F1"/>
    <w:rsid w:val="206A36D3"/>
    <w:rsid w:val="206C021E"/>
    <w:rsid w:val="2070733A"/>
    <w:rsid w:val="20710ABB"/>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C4B2D"/>
    <w:rsid w:val="20FD5B68"/>
    <w:rsid w:val="21156B08"/>
    <w:rsid w:val="211F34E2"/>
    <w:rsid w:val="2120725A"/>
    <w:rsid w:val="2131111E"/>
    <w:rsid w:val="21327632"/>
    <w:rsid w:val="213A656E"/>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B62E60"/>
    <w:rsid w:val="21BF2393"/>
    <w:rsid w:val="21C81DCC"/>
    <w:rsid w:val="21CE3D45"/>
    <w:rsid w:val="21D53A09"/>
    <w:rsid w:val="21D56297"/>
    <w:rsid w:val="21E62252"/>
    <w:rsid w:val="21F20BF7"/>
    <w:rsid w:val="21F27577"/>
    <w:rsid w:val="21FE58F7"/>
    <w:rsid w:val="2201708C"/>
    <w:rsid w:val="221E3160"/>
    <w:rsid w:val="223631D9"/>
    <w:rsid w:val="224C70F0"/>
    <w:rsid w:val="225E003A"/>
    <w:rsid w:val="225E20B8"/>
    <w:rsid w:val="226F5DBF"/>
    <w:rsid w:val="227C0EC4"/>
    <w:rsid w:val="22885270"/>
    <w:rsid w:val="228F4698"/>
    <w:rsid w:val="229B303C"/>
    <w:rsid w:val="22A85759"/>
    <w:rsid w:val="22AE3AA8"/>
    <w:rsid w:val="22AF210F"/>
    <w:rsid w:val="22B80682"/>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13748"/>
    <w:rsid w:val="23E26F0C"/>
    <w:rsid w:val="23ED666D"/>
    <w:rsid w:val="23F33B47"/>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5D600D"/>
    <w:rsid w:val="246A3ACB"/>
    <w:rsid w:val="246D6DF6"/>
    <w:rsid w:val="24763D61"/>
    <w:rsid w:val="24774BDC"/>
    <w:rsid w:val="248021E9"/>
    <w:rsid w:val="248144B4"/>
    <w:rsid w:val="24872B02"/>
    <w:rsid w:val="248E3007"/>
    <w:rsid w:val="249441E7"/>
    <w:rsid w:val="24B855A2"/>
    <w:rsid w:val="24BF4C2F"/>
    <w:rsid w:val="24C30629"/>
    <w:rsid w:val="24C745BD"/>
    <w:rsid w:val="24C85C3F"/>
    <w:rsid w:val="24D06014"/>
    <w:rsid w:val="24D171E9"/>
    <w:rsid w:val="24D259C4"/>
    <w:rsid w:val="24D90223"/>
    <w:rsid w:val="24DB0068"/>
    <w:rsid w:val="24DD7B5D"/>
    <w:rsid w:val="24DE36B4"/>
    <w:rsid w:val="24E863F3"/>
    <w:rsid w:val="24EE7ED0"/>
    <w:rsid w:val="24F37160"/>
    <w:rsid w:val="24F44FF1"/>
    <w:rsid w:val="24FA1965"/>
    <w:rsid w:val="250F1AC0"/>
    <w:rsid w:val="252249A3"/>
    <w:rsid w:val="2522679D"/>
    <w:rsid w:val="252437BD"/>
    <w:rsid w:val="252C2320"/>
    <w:rsid w:val="25313225"/>
    <w:rsid w:val="253432D4"/>
    <w:rsid w:val="253439FF"/>
    <w:rsid w:val="2536631F"/>
    <w:rsid w:val="253B4663"/>
    <w:rsid w:val="253E2650"/>
    <w:rsid w:val="25502DD1"/>
    <w:rsid w:val="25585824"/>
    <w:rsid w:val="25622B0F"/>
    <w:rsid w:val="25665B84"/>
    <w:rsid w:val="25685726"/>
    <w:rsid w:val="256C4C19"/>
    <w:rsid w:val="25700120"/>
    <w:rsid w:val="257B10A7"/>
    <w:rsid w:val="258159CB"/>
    <w:rsid w:val="258C7A56"/>
    <w:rsid w:val="259124D5"/>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07A6"/>
    <w:rsid w:val="25F860EB"/>
    <w:rsid w:val="2600794E"/>
    <w:rsid w:val="260158AC"/>
    <w:rsid w:val="260B04D9"/>
    <w:rsid w:val="260C7AAD"/>
    <w:rsid w:val="26213859"/>
    <w:rsid w:val="26243349"/>
    <w:rsid w:val="262D5D24"/>
    <w:rsid w:val="263B7010"/>
    <w:rsid w:val="26422E9B"/>
    <w:rsid w:val="26470F16"/>
    <w:rsid w:val="265005E2"/>
    <w:rsid w:val="265A5C0C"/>
    <w:rsid w:val="2670658E"/>
    <w:rsid w:val="26764558"/>
    <w:rsid w:val="2677791D"/>
    <w:rsid w:val="267A2D1E"/>
    <w:rsid w:val="267D45BE"/>
    <w:rsid w:val="26804A23"/>
    <w:rsid w:val="26864004"/>
    <w:rsid w:val="26914FE9"/>
    <w:rsid w:val="26965165"/>
    <w:rsid w:val="26997CA8"/>
    <w:rsid w:val="26A06E73"/>
    <w:rsid w:val="26A47BFF"/>
    <w:rsid w:val="26B34440"/>
    <w:rsid w:val="26BE5FC5"/>
    <w:rsid w:val="26C64400"/>
    <w:rsid w:val="26CF19C2"/>
    <w:rsid w:val="26D92D41"/>
    <w:rsid w:val="26DE799C"/>
    <w:rsid w:val="26E414EB"/>
    <w:rsid w:val="26E42362"/>
    <w:rsid w:val="26F50C55"/>
    <w:rsid w:val="270A7415"/>
    <w:rsid w:val="270C5331"/>
    <w:rsid w:val="270F7100"/>
    <w:rsid w:val="271A594C"/>
    <w:rsid w:val="27266F5B"/>
    <w:rsid w:val="272A01DA"/>
    <w:rsid w:val="272C0707"/>
    <w:rsid w:val="272C6959"/>
    <w:rsid w:val="273121C1"/>
    <w:rsid w:val="27400942"/>
    <w:rsid w:val="274F318F"/>
    <w:rsid w:val="275238C7"/>
    <w:rsid w:val="276A25B5"/>
    <w:rsid w:val="277238B4"/>
    <w:rsid w:val="277C332A"/>
    <w:rsid w:val="277D5407"/>
    <w:rsid w:val="279C2835"/>
    <w:rsid w:val="279D1605"/>
    <w:rsid w:val="27A26C29"/>
    <w:rsid w:val="27A44741"/>
    <w:rsid w:val="27B0758A"/>
    <w:rsid w:val="27DB3502"/>
    <w:rsid w:val="27DD49AF"/>
    <w:rsid w:val="27E02351"/>
    <w:rsid w:val="27E2526A"/>
    <w:rsid w:val="27E62FAC"/>
    <w:rsid w:val="27EC7E96"/>
    <w:rsid w:val="27EE1E60"/>
    <w:rsid w:val="27F136FF"/>
    <w:rsid w:val="27F154AD"/>
    <w:rsid w:val="27F81395"/>
    <w:rsid w:val="27FC27CF"/>
    <w:rsid w:val="280B1A82"/>
    <w:rsid w:val="28127295"/>
    <w:rsid w:val="281766AC"/>
    <w:rsid w:val="2818538D"/>
    <w:rsid w:val="281D44F4"/>
    <w:rsid w:val="281D68C4"/>
    <w:rsid w:val="281F026C"/>
    <w:rsid w:val="282028E2"/>
    <w:rsid w:val="28232772"/>
    <w:rsid w:val="28245882"/>
    <w:rsid w:val="283048B1"/>
    <w:rsid w:val="28387B79"/>
    <w:rsid w:val="283F26BC"/>
    <w:rsid w:val="28427911"/>
    <w:rsid w:val="284B1061"/>
    <w:rsid w:val="284F2D0E"/>
    <w:rsid w:val="285B7A54"/>
    <w:rsid w:val="286133A8"/>
    <w:rsid w:val="28615C98"/>
    <w:rsid w:val="2879797C"/>
    <w:rsid w:val="28812CAE"/>
    <w:rsid w:val="28845976"/>
    <w:rsid w:val="288606C4"/>
    <w:rsid w:val="2886653D"/>
    <w:rsid w:val="288E0245"/>
    <w:rsid w:val="288E0F4E"/>
    <w:rsid w:val="28944BAE"/>
    <w:rsid w:val="28A10C81"/>
    <w:rsid w:val="28A54C15"/>
    <w:rsid w:val="28A6141E"/>
    <w:rsid w:val="28C65634"/>
    <w:rsid w:val="28CB3398"/>
    <w:rsid w:val="28CE5541"/>
    <w:rsid w:val="28D220AC"/>
    <w:rsid w:val="28D23742"/>
    <w:rsid w:val="28D3610D"/>
    <w:rsid w:val="28DC43AF"/>
    <w:rsid w:val="28E76FDC"/>
    <w:rsid w:val="28EA087A"/>
    <w:rsid w:val="28EF36B9"/>
    <w:rsid w:val="28EF7C3E"/>
    <w:rsid w:val="2908648D"/>
    <w:rsid w:val="290C5ACE"/>
    <w:rsid w:val="291D0C4F"/>
    <w:rsid w:val="29201209"/>
    <w:rsid w:val="292E4C0A"/>
    <w:rsid w:val="292F0982"/>
    <w:rsid w:val="29342AE5"/>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C57B3"/>
    <w:rsid w:val="2A1856DC"/>
    <w:rsid w:val="2A24364B"/>
    <w:rsid w:val="2A273408"/>
    <w:rsid w:val="2A336C8D"/>
    <w:rsid w:val="2A353998"/>
    <w:rsid w:val="2A44220C"/>
    <w:rsid w:val="2A5312FC"/>
    <w:rsid w:val="2A557566"/>
    <w:rsid w:val="2A634AE6"/>
    <w:rsid w:val="2A6425B4"/>
    <w:rsid w:val="2A750617"/>
    <w:rsid w:val="2A7A5C2D"/>
    <w:rsid w:val="2A944F41"/>
    <w:rsid w:val="2AA131BA"/>
    <w:rsid w:val="2AA44A58"/>
    <w:rsid w:val="2AA607D0"/>
    <w:rsid w:val="2AA80CAF"/>
    <w:rsid w:val="2AB033FD"/>
    <w:rsid w:val="2AB10D47"/>
    <w:rsid w:val="2AB52B4E"/>
    <w:rsid w:val="2ABB12BD"/>
    <w:rsid w:val="2ABC1DA2"/>
    <w:rsid w:val="2AD3590E"/>
    <w:rsid w:val="2AD451E8"/>
    <w:rsid w:val="2ADE61BC"/>
    <w:rsid w:val="2AE966F2"/>
    <w:rsid w:val="2AED5233"/>
    <w:rsid w:val="2AF07C9E"/>
    <w:rsid w:val="2AF15231"/>
    <w:rsid w:val="2AF465F1"/>
    <w:rsid w:val="2AF76522"/>
    <w:rsid w:val="2B083239"/>
    <w:rsid w:val="2B092A0F"/>
    <w:rsid w:val="2B110340"/>
    <w:rsid w:val="2B14398C"/>
    <w:rsid w:val="2B1823DD"/>
    <w:rsid w:val="2B211B1F"/>
    <w:rsid w:val="2B213D29"/>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112F2"/>
    <w:rsid w:val="2BC52ED8"/>
    <w:rsid w:val="2BC74169"/>
    <w:rsid w:val="2BC95556"/>
    <w:rsid w:val="2BD05FDF"/>
    <w:rsid w:val="2BD33847"/>
    <w:rsid w:val="2BF343F3"/>
    <w:rsid w:val="2C023933"/>
    <w:rsid w:val="2C1A56AF"/>
    <w:rsid w:val="2C1D2D14"/>
    <w:rsid w:val="2C214146"/>
    <w:rsid w:val="2C231C6F"/>
    <w:rsid w:val="2C2355B3"/>
    <w:rsid w:val="2C245E51"/>
    <w:rsid w:val="2C2E4F21"/>
    <w:rsid w:val="2C31056E"/>
    <w:rsid w:val="2C3639E8"/>
    <w:rsid w:val="2C372028"/>
    <w:rsid w:val="2C456CEE"/>
    <w:rsid w:val="2C534988"/>
    <w:rsid w:val="2C5F332D"/>
    <w:rsid w:val="2C624BCB"/>
    <w:rsid w:val="2C626979"/>
    <w:rsid w:val="2C736DD8"/>
    <w:rsid w:val="2C7373D2"/>
    <w:rsid w:val="2C7C78C3"/>
    <w:rsid w:val="2C9C33F7"/>
    <w:rsid w:val="2CB2296E"/>
    <w:rsid w:val="2CB27900"/>
    <w:rsid w:val="2CBC7A94"/>
    <w:rsid w:val="2CC338BC"/>
    <w:rsid w:val="2CC71744"/>
    <w:rsid w:val="2CC94C4A"/>
    <w:rsid w:val="2CD233DA"/>
    <w:rsid w:val="2CF73998"/>
    <w:rsid w:val="2D037DB8"/>
    <w:rsid w:val="2D0543E6"/>
    <w:rsid w:val="2D0978AA"/>
    <w:rsid w:val="2D0E339D"/>
    <w:rsid w:val="2D0E50C2"/>
    <w:rsid w:val="2D1F015C"/>
    <w:rsid w:val="2D2D51D9"/>
    <w:rsid w:val="2D312900"/>
    <w:rsid w:val="2D346567"/>
    <w:rsid w:val="2D346CBC"/>
    <w:rsid w:val="2D360531"/>
    <w:rsid w:val="2D370F54"/>
    <w:rsid w:val="2D371DC3"/>
    <w:rsid w:val="2D4434C9"/>
    <w:rsid w:val="2D463ACD"/>
    <w:rsid w:val="2D4F6EFD"/>
    <w:rsid w:val="2D564730"/>
    <w:rsid w:val="2D6023B1"/>
    <w:rsid w:val="2D60735C"/>
    <w:rsid w:val="2D623374"/>
    <w:rsid w:val="2D6327A4"/>
    <w:rsid w:val="2D663273"/>
    <w:rsid w:val="2D6D5C86"/>
    <w:rsid w:val="2D6F2366"/>
    <w:rsid w:val="2D6F591F"/>
    <w:rsid w:val="2D713318"/>
    <w:rsid w:val="2D7F006D"/>
    <w:rsid w:val="2D895B7E"/>
    <w:rsid w:val="2DA82AB1"/>
    <w:rsid w:val="2DAC3172"/>
    <w:rsid w:val="2DAC4350"/>
    <w:rsid w:val="2DB6793F"/>
    <w:rsid w:val="2DB72CF5"/>
    <w:rsid w:val="2DD57A31"/>
    <w:rsid w:val="2DD73B1D"/>
    <w:rsid w:val="2DDE6D07"/>
    <w:rsid w:val="2DE33E32"/>
    <w:rsid w:val="2DE52846"/>
    <w:rsid w:val="2DE7182C"/>
    <w:rsid w:val="2DE73D29"/>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F6A87"/>
    <w:rsid w:val="2E70537D"/>
    <w:rsid w:val="2E724E76"/>
    <w:rsid w:val="2E734E6D"/>
    <w:rsid w:val="2E8775D6"/>
    <w:rsid w:val="2E96584B"/>
    <w:rsid w:val="2E996D16"/>
    <w:rsid w:val="2E9C2616"/>
    <w:rsid w:val="2EA119DB"/>
    <w:rsid w:val="2EA50BEE"/>
    <w:rsid w:val="2EBC6814"/>
    <w:rsid w:val="2ED17FB6"/>
    <w:rsid w:val="2ED3590C"/>
    <w:rsid w:val="2EFD3318"/>
    <w:rsid w:val="2F085084"/>
    <w:rsid w:val="2F0B2F43"/>
    <w:rsid w:val="2F0F2DE8"/>
    <w:rsid w:val="2F115C87"/>
    <w:rsid w:val="2F24188F"/>
    <w:rsid w:val="2F260132"/>
    <w:rsid w:val="2F2919D0"/>
    <w:rsid w:val="2F391C13"/>
    <w:rsid w:val="2F4607D4"/>
    <w:rsid w:val="2F47706D"/>
    <w:rsid w:val="2F4921EC"/>
    <w:rsid w:val="2F52555A"/>
    <w:rsid w:val="2F5F101A"/>
    <w:rsid w:val="2F6A001E"/>
    <w:rsid w:val="2F7442E4"/>
    <w:rsid w:val="2F76EB0D"/>
    <w:rsid w:val="2F8F3F29"/>
    <w:rsid w:val="2F8F429B"/>
    <w:rsid w:val="2F8F7515"/>
    <w:rsid w:val="2F8F7EE7"/>
    <w:rsid w:val="2F9B0B20"/>
    <w:rsid w:val="2F9F5292"/>
    <w:rsid w:val="2FA3136A"/>
    <w:rsid w:val="2FB233B7"/>
    <w:rsid w:val="2FB27C17"/>
    <w:rsid w:val="2FCC0CD9"/>
    <w:rsid w:val="2FCE3E3B"/>
    <w:rsid w:val="2FD07D6B"/>
    <w:rsid w:val="2FD26231"/>
    <w:rsid w:val="2FD47B8E"/>
    <w:rsid w:val="2FD85A13"/>
    <w:rsid w:val="2FE92F75"/>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056A"/>
    <w:rsid w:val="30542A7D"/>
    <w:rsid w:val="305B0B3B"/>
    <w:rsid w:val="306929CC"/>
    <w:rsid w:val="306A22A0"/>
    <w:rsid w:val="30737D00"/>
    <w:rsid w:val="307B05C4"/>
    <w:rsid w:val="307D1EE9"/>
    <w:rsid w:val="307F5C1F"/>
    <w:rsid w:val="30803872"/>
    <w:rsid w:val="3086532C"/>
    <w:rsid w:val="308C0468"/>
    <w:rsid w:val="30904174"/>
    <w:rsid w:val="309441E9"/>
    <w:rsid w:val="30B11C7D"/>
    <w:rsid w:val="30B40A52"/>
    <w:rsid w:val="30B43EBC"/>
    <w:rsid w:val="30B443D8"/>
    <w:rsid w:val="30BA6D84"/>
    <w:rsid w:val="30C168E2"/>
    <w:rsid w:val="30CB180D"/>
    <w:rsid w:val="30CD2F5B"/>
    <w:rsid w:val="30D11AE7"/>
    <w:rsid w:val="30D616E4"/>
    <w:rsid w:val="30EB1633"/>
    <w:rsid w:val="30EE1123"/>
    <w:rsid w:val="30EF220B"/>
    <w:rsid w:val="30F5437F"/>
    <w:rsid w:val="30FB3EF8"/>
    <w:rsid w:val="30FF0C3A"/>
    <w:rsid w:val="3104772F"/>
    <w:rsid w:val="31083F93"/>
    <w:rsid w:val="310B0D65"/>
    <w:rsid w:val="31112915"/>
    <w:rsid w:val="31124E12"/>
    <w:rsid w:val="31175F84"/>
    <w:rsid w:val="31181CFC"/>
    <w:rsid w:val="31245F91"/>
    <w:rsid w:val="31304586"/>
    <w:rsid w:val="314D19A6"/>
    <w:rsid w:val="314E392A"/>
    <w:rsid w:val="3150593A"/>
    <w:rsid w:val="31565917"/>
    <w:rsid w:val="315679FF"/>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CD2AE7"/>
    <w:rsid w:val="31D9592F"/>
    <w:rsid w:val="31DB79D8"/>
    <w:rsid w:val="31DF79A9"/>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205EA"/>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0B7D6A"/>
    <w:rsid w:val="33152498"/>
    <w:rsid w:val="331A1D5C"/>
    <w:rsid w:val="331D35FA"/>
    <w:rsid w:val="3321758E"/>
    <w:rsid w:val="33226E62"/>
    <w:rsid w:val="332B3F69"/>
    <w:rsid w:val="332E1CAB"/>
    <w:rsid w:val="333170A5"/>
    <w:rsid w:val="335E1C38"/>
    <w:rsid w:val="336417E9"/>
    <w:rsid w:val="3364747B"/>
    <w:rsid w:val="33661C03"/>
    <w:rsid w:val="33663BDB"/>
    <w:rsid w:val="33663C98"/>
    <w:rsid w:val="33694A91"/>
    <w:rsid w:val="33774759"/>
    <w:rsid w:val="33786D24"/>
    <w:rsid w:val="337D3082"/>
    <w:rsid w:val="33934B57"/>
    <w:rsid w:val="339D6506"/>
    <w:rsid w:val="33A61841"/>
    <w:rsid w:val="33A87367"/>
    <w:rsid w:val="33B05759"/>
    <w:rsid w:val="33B14B36"/>
    <w:rsid w:val="33B26438"/>
    <w:rsid w:val="33B7001B"/>
    <w:rsid w:val="33BA709B"/>
    <w:rsid w:val="33C61EE3"/>
    <w:rsid w:val="33CB74FA"/>
    <w:rsid w:val="33CD5020"/>
    <w:rsid w:val="33E04D53"/>
    <w:rsid w:val="33E36AB9"/>
    <w:rsid w:val="33F70598"/>
    <w:rsid w:val="33FD6212"/>
    <w:rsid w:val="340B78F6"/>
    <w:rsid w:val="340D366E"/>
    <w:rsid w:val="340F1301"/>
    <w:rsid w:val="341838CF"/>
    <w:rsid w:val="342310E4"/>
    <w:rsid w:val="342A2472"/>
    <w:rsid w:val="342E1E2C"/>
    <w:rsid w:val="34391824"/>
    <w:rsid w:val="34425A0E"/>
    <w:rsid w:val="3446796C"/>
    <w:rsid w:val="345816AA"/>
    <w:rsid w:val="345A3DD4"/>
    <w:rsid w:val="34620231"/>
    <w:rsid w:val="346F27C6"/>
    <w:rsid w:val="34711F46"/>
    <w:rsid w:val="34745A79"/>
    <w:rsid w:val="34776B46"/>
    <w:rsid w:val="34815534"/>
    <w:rsid w:val="34844D32"/>
    <w:rsid w:val="348E2A01"/>
    <w:rsid w:val="348F6779"/>
    <w:rsid w:val="34A00474"/>
    <w:rsid w:val="34A07F53"/>
    <w:rsid w:val="34B14942"/>
    <w:rsid w:val="34D36666"/>
    <w:rsid w:val="34D71CBF"/>
    <w:rsid w:val="34DC5294"/>
    <w:rsid w:val="34DD74E5"/>
    <w:rsid w:val="34DF14AF"/>
    <w:rsid w:val="34DF263D"/>
    <w:rsid w:val="34E62438"/>
    <w:rsid w:val="34E806FB"/>
    <w:rsid w:val="34EF7816"/>
    <w:rsid w:val="34F211E2"/>
    <w:rsid w:val="34F545F3"/>
    <w:rsid w:val="34F74E78"/>
    <w:rsid w:val="350727B3"/>
    <w:rsid w:val="35284C04"/>
    <w:rsid w:val="352E1AEE"/>
    <w:rsid w:val="353646D6"/>
    <w:rsid w:val="353B03CE"/>
    <w:rsid w:val="353C4CEF"/>
    <w:rsid w:val="355635F9"/>
    <w:rsid w:val="35571045"/>
    <w:rsid w:val="35575DD8"/>
    <w:rsid w:val="355F0E30"/>
    <w:rsid w:val="357E2A76"/>
    <w:rsid w:val="3583585A"/>
    <w:rsid w:val="358A08C4"/>
    <w:rsid w:val="358A766C"/>
    <w:rsid w:val="358C5093"/>
    <w:rsid w:val="358E290B"/>
    <w:rsid w:val="3593266D"/>
    <w:rsid w:val="35941D23"/>
    <w:rsid w:val="35961234"/>
    <w:rsid w:val="359A03B9"/>
    <w:rsid w:val="35A061C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64F30"/>
    <w:rsid w:val="37265173"/>
    <w:rsid w:val="372907BF"/>
    <w:rsid w:val="37353608"/>
    <w:rsid w:val="37380B07"/>
    <w:rsid w:val="37473124"/>
    <w:rsid w:val="37495DE7"/>
    <w:rsid w:val="37533A8E"/>
    <w:rsid w:val="375F0685"/>
    <w:rsid w:val="37620175"/>
    <w:rsid w:val="37626BFA"/>
    <w:rsid w:val="376E6B1A"/>
    <w:rsid w:val="37754EA4"/>
    <w:rsid w:val="377A0F90"/>
    <w:rsid w:val="378105FB"/>
    <w:rsid w:val="3781684D"/>
    <w:rsid w:val="37976071"/>
    <w:rsid w:val="379A74B9"/>
    <w:rsid w:val="379C3687"/>
    <w:rsid w:val="37A20571"/>
    <w:rsid w:val="37A332CD"/>
    <w:rsid w:val="37AA7968"/>
    <w:rsid w:val="37AD6FFB"/>
    <w:rsid w:val="37AE3470"/>
    <w:rsid w:val="37B07204"/>
    <w:rsid w:val="37B87D95"/>
    <w:rsid w:val="37BA5670"/>
    <w:rsid w:val="37D141F5"/>
    <w:rsid w:val="37D963E5"/>
    <w:rsid w:val="37EA43F2"/>
    <w:rsid w:val="37EBC7A6"/>
    <w:rsid w:val="37ED426E"/>
    <w:rsid w:val="37FB587E"/>
    <w:rsid w:val="37FD382A"/>
    <w:rsid w:val="380B6326"/>
    <w:rsid w:val="381551E7"/>
    <w:rsid w:val="381839A2"/>
    <w:rsid w:val="38223A5B"/>
    <w:rsid w:val="38234110"/>
    <w:rsid w:val="38340E36"/>
    <w:rsid w:val="38353194"/>
    <w:rsid w:val="38372165"/>
    <w:rsid w:val="384976FF"/>
    <w:rsid w:val="384A70AD"/>
    <w:rsid w:val="38563F34"/>
    <w:rsid w:val="385950D4"/>
    <w:rsid w:val="38660F08"/>
    <w:rsid w:val="386A108F"/>
    <w:rsid w:val="386A72E1"/>
    <w:rsid w:val="386B56A1"/>
    <w:rsid w:val="38713459"/>
    <w:rsid w:val="387329B0"/>
    <w:rsid w:val="38797524"/>
    <w:rsid w:val="387C7014"/>
    <w:rsid w:val="387E0FDF"/>
    <w:rsid w:val="388349E1"/>
    <w:rsid w:val="38946EF2"/>
    <w:rsid w:val="389712E7"/>
    <w:rsid w:val="38982C55"/>
    <w:rsid w:val="389941AE"/>
    <w:rsid w:val="38A13CE6"/>
    <w:rsid w:val="38A45FDC"/>
    <w:rsid w:val="38AF5D1E"/>
    <w:rsid w:val="38BD6B23"/>
    <w:rsid w:val="38C216AF"/>
    <w:rsid w:val="38C84008"/>
    <w:rsid w:val="38DE3230"/>
    <w:rsid w:val="38E32B66"/>
    <w:rsid w:val="38E65EE7"/>
    <w:rsid w:val="38EB36E5"/>
    <w:rsid w:val="38F74AF1"/>
    <w:rsid w:val="38F82D5E"/>
    <w:rsid w:val="38FF3ECD"/>
    <w:rsid w:val="3901753D"/>
    <w:rsid w:val="390308A0"/>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97C3B"/>
    <w:rsid w:val="39912999"/>
    <w:rsid w:val="399B0698"/>
    <w:rsid w:val="39A03EED"/>
    <w:rsid w:val="39A131D7"/>
    <w:rsid w:val="39A73BAE"/>
    <w:rsid w:val="39A87231"/>
    <w:rsid w:val="39A92C0E"/>
    <w:rsid w:val="39AB5E03"/>
    <w:rsid w:val="39B34CB8"/>
    <w:rsid w:val="39BA7DF4"/>
    <w:rsid w:val="39BE1053"/>
    <w:rsid w:val="39C2500F"/>
    <w:rsid w:val="39C35667"/>
    <w:rsid w:val="39C80763"/>
    <w:rsid w:val="39CB50A6"/>
    <w:rsid w:val="39CC34C4"/>
    <w:rsid w:val="39CF6DF4"/>
    <w:rsid w:val="39D44E96"/>
    <w:rsid w:val="39D4535A"/>
    <w:rsid w:val="39E210F9"/>
    <w:rsid w:val="39E6508D"/>
    <w:rsid w:val="39EA239A"/>
    <w:rsid w:val="39EC3F23"/>
    <w:rsid w:val="39EC5B12"/>
    <w:rsid w:val="39F43C42"/>
    <w:rsid w:val="39FF3A59"/>
    <w:rsid w:val="3A137505"/>
    <w:rsid w:val="3A1805F9"/>
    <w:rsid w:val="3A2160C5"/>
    <w:rsid w:val="3A2F0C75"/>
    <w:rsid w:val="3A313AB8"/>
    <w:rsid w:val="3A3E0A25"/>
    <w:rsid w:val="3A415794"/>
    <w:rsid w:val="3A422013"/>
    <w:rsid w:val="3A4A1141"/>
    <w:rsid w:val="3A4A7732"/>
    <w:rsid w:val="3A59585F"/>
    <w:rsid w:val="3A601D2F"/>
    <w:rsid w:val="3A687850"/>
    <w:rsid w:val="3A6A0CDC"/>
    <w:rsid w:val="3A7262CD"/>
    <w:rsid w:val="3A726E4E"/>
    <w:rsid w:val="3A7C0E74"/>
    <w:rsid w:val="3A7E085A"/>
    <w:rsid w:val="3A8433AD"/>
    <w:rsid w:val="3A843ABE"/>
    <w:rsid w:val="3A9128C1"/>
    <w:rsid w:val="3A922524"/>
    <w:rsid w:val="3AA10350"/>
    <w:rsid w:val="3AA85F85"/>
    <w:rsid w:val="3AAD5BAB"/>
    <w:rsid w:val="3AAF64AB"/>
    <w:rsid w:val="3AB40CE8"/>
    <w:rsid w:val="3ABD7EEE"/>
    <w:rsid w:val="3ABF0039"/>
    <w:rsid w:val="3AC21D31"/>
    <w:rsid w:val="3ACC77E6"/>
    <w:rsid w:val="3AD17B7F"/>
    <w:rsid w:val="3AD35612"/>
    <w:rsid w:val="3AD874C9"/>
    <w:rsid w:val="3AE9681C"/>
    <w:rsid w:val="3AEE244B"/>
    <w:rsid w:val="3AEF180B"/>
    <w:rsid w:val="3AF916B0"/>
    <w:rsid w:val="3AFD61EB"/>
    <w:rsid w:val="3B0672D5"/>
    <w:rsid w:val="3B250922"/>
    <w:rsid w:val="3B260976"/>
    <w:rsid w:val="3B2714BA"/>
    <w:rsid w:val="3B2F7461"/>
    <w:rsid w:val="3B366613"/>
    <w:rsid w:val="3B3D65B4"/>
    <w:rsid w:val="3B3D6F2F"/>
    <w:rsid w:val="3B486A4A"/>
    <w:rsid w:val="3B4B164C"/>
    <w:rsid w:val="3B4D6A6B"/>
    <w:rsid w:val="3B526700"/>
    <w:rsid w:val="3B535A77"/>
    <w:rsid w:val="3B581673"/>
    <w:rsid w:val="3B5C6287"/>
    <w:rsid w:val="3B5E01E4"/>
    <w:rsid w:val="3B6236A0"/>
    <w:rsid w:val="3B6B3A9C"/>
    <w:rsid w:val="3B7346FF"/>
    <w:rsid w:val="3B8B1C35"/>
    <w:rsid w:val="3B937DF8"/>
    <w:rsid w:val="3BA20A9E"/>
    <w:rsid w:val="3BA20EFF"/>
    <w:rsid w:val="3BA27B29"/>
    <w:rsid w:val="3BA36306"/>
    <w:rsid w:val="3BA90120"/>
    <w:rsid w:val="3BA96C8B"/>
    <w:rsid w:val="3BB645EB"/>
    <w:rsid w:val="3BB650FD"/>
    <w:rsid w:val="3BB75234"/>
    <w:rsid w:val="3BB81A38"/>
    <w:rsid w:val="3BBB206F"/>
    <w:rsid w:val="3BC46D08"/>
    <w:rsid w:val="3BC74A4B"/>
    <w:rsid w:val="3BC9468F"/>
    <w:rsid w:val="3BD01B51"/>
    <w:rsid w:val="3BD258C9"/>
    <w:rsid w:val="3BE6C7A4"/>
    <w:rsid w:val="3BEF5E66"/>
    <w:rsid w:val="3BF03FA1"/>
    <w:rsid w:val="3BFF41E4"/>
    <w:rsid w:val="3BFFA27A"/>
    <w:rsid w:val="3C084023"/>
    <w:rsid w:val="3C0C2C4B"/>
    <w:rsid w:val="3C131844"/>
    <w:rsid w:val="3C157564"/>
    <w:rsid w:val="3C2002D7"/>
    <w:rsid w:val="3C217DEA"/>
    <w:rsid w:val="3C235333"/>
    <w:rsid w:val="3C3C0CD2"/>
    <w:rsid w:val="3C460065"/>
    <w:rsid w:val="3C495460"/>
    <w:rsid w:val="3C4A3326"/>
    <w:rsid w:val="3C522566"/>
    <w:rsid w:val="3C5249B6"/>
    <w:rsid w:val="3C5550C5"/>
    <w:rsid w:val="3C575124"/>
    <w:rsid w:val="3C597D99"/>
    <w:rsid w:val="3C6127A9"/>
    <w:rsid w:val="3C69674F"/>
    <w:rsid w:val="3C7C75E3"/>
    <w:rsid w:val="3C8A2084"/>
    <w:rsid w:val="3C8D13F8"/>
    <w:rsid w:val="3C9012E0"/>
    <w:rsid w:val="3C9708C1"/>
    <w:rsid w:val="3C9B3F0D"/>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22018A"/>
    <w:rsid w:val="3D294424"/>
    <w:rsid w:val="3D29758D"/>
    <w:rsid w:val="3D2C5607"/>
    <w:rsid w:val="3D472F70"/>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E5892"/>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84CED"/>
    <w:rsid w:val="3DDA450B"/>
    <w:rsid w:val="3DDD2303"/>
    <w:rsid w:val="3DEB38AB"/>
    <w:rsid w:val="3DEE62BF"/>
    <w:rsid w:val="3DF5764D"/>
    <w:rsid w:val="3DFE0BF8"/>
    <w:rsid w:val="3DFF3DB0"/>
    <w:rsid w:val="3DFF45DA"/>
    <w:rsid w:val="3E0E6961"/>
    <w:rsid w:val="3E17163D"/>
    <w:rsid w:val="3E175815"/>
    <w:rsid w:val="3E1F6F2C"/>
    <w:rsid w:val="3E2531AC"/>
    <w:rsid w:val="3E3C1720"/>
    <w:rsid w:val="3E486ECD"/>
    <w:rsid w:val="3E4A0DFA"/>
    <w:rsid w:val="3E4D1237"/>
    <w:rsid w:val="3E4F541F"/>
    <w:rsid w:val="3E734A16"/>
    <w:rsid w:val="3E8B6216"/>
    <w:rsid w:val="3E90381A"/>
    <w:rsid w:val="3E99749A"/>
    <w:rsid w:val="3EA90A54"/>
    <w:rsid w:val="3EB14C66"/>
    <w:rsid w:val="3EB373AC"/>
    <w:rsid w:val="3EBD90BE"/>
    <w:rsid w:val="3EC97015"/>
    <w:rsid w:val="3ED14D00"/>
    <w:rsid w:val="3EDD2677"/>
    <w:rsid w:val="3EE01818"/>
    <w:rsid w:val="3EE85404"/>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84CFB"/>
    <w:rsid w:val="3F4A17B3"/>
    <w:rsid w:val="3F4C14EF"/>
    <w:rsid w:val="3F4D5963"/>
    <w:rsid w:val="3F53550C"/>
    <w:rsid w:val="3F537FF3"/>
    <w:rsid w:val="3F5605BF"/>
    <w:rsid w:val="3F5A02EC"/>
    <w:rsid w:val="3F6B2D2B"/>
    <w:rsid w:val="3F6B55BF"/>
    <w:rsid w:val="3F7E3672"/>
    <w:rsid w:val="3F7F5B80"/>
    <w:rsid w:val="3F9152EB"/>
    <w:rsid w:val="3F9E5AC2"/>
    <w:rsid w:val="3FAA583D"/>
    <w:rsid w:val="3FAE03FB"/>
    <w:rsid w:val="3FAE3F57"/>
    <w:rsid w:val="3FB0398F"/>
    <w:rsid w:val="3FBD6841"/>
    <w:rsid w:val="3FC03C8B"/>
    <w:rsid w:val="3FCE0156"/>
    <w:rsid w:val="3FD06468"/>
    <w:rsid w:val="3FD87226"/>
    <w:rsid w:val="3FD9E270"/>
    <w:rsid w:val="3FE3B1C0"/>
    <w:rsid w:val="3FE47979"/>
    <w:rsid w:val="3FE70954"/>
    <w:rsid w:val="3FE7A14E"/>
    <w:rsid w:val="3FF51B86"/>
    <w:rsid w:val="3FFE08B6"/>
    <w:rsid w:val="40010EF3"/>
    <w:rsid w:val="400422FF"/>
    <w:rsid w:val="40152228"/>
    <w:rsid w:val="40181D19"/>
    <w:rsid w:val="401D732F"/>
    <w:rsid w:val="401F4E55"/>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436921"/>
    <w:rsid w:val="4151103E"/>
    <w:rsid w:val="41526080"/>
    <w:rsid w:val="416B795B"/>
    <w:rsid w:val="41724AE9"/>
    <w:rsid w:val="41850CE8"/>
    <w:rsid w:val="41915D32"/>
    <w:rsid w:val="41941570"/>
    <w:rsid w:val="41961202"/>
    <w:rsid w:val="419B3618"/>
    <w:rsid w:val="419E41F7"/>
    <w:rsid w:val="419E624E"/>
    <w:rsid w:val="41B15EE3"/>
    <w:rsid w:val="41B445E9"/>
    <w:rsid w:val="41BD2B78"/>
    <w:rsid w:val="41C50BB6"/>
    <w:rsid w:val="41C9151C"/>
    <w:rsid w:val="41D57EC1"/>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16AB9"/>
    <w:rsid w:val="42B41D52"/>
    <w:rsid w:val="42B85EE5"/>
    <w:rsid w:val="42BF022A"/>
    <w:rsid w:val="42CB7A34"/>
    <w:rsid w:val="42DC761B"/>
    <w:rsid w:val="42E12FAA"/>
    <w:rsid w:val="42E3216A"/>
    <w:rsid w:val="42EB439E"/>
    <w:rsid w:val="42EE5221"/>
    <w:rsid w:val="42EF4FB3"/>
    <w:rsid w:val="42F071AC"/>
    <w:rsid w:val="42F47E0D"/>
    <w:rsid w:val="42F51E9D"/>
    <w:rsid w:val="42FA5706"/>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C82B7A"/>
    <w:rsid w:val="43C875B2"/>
    <w:rsid w:val="43CC730B"/>
    <w:rsid w:val="43D21641"/>
    <w:rsid w:val="43D441A9"/>
    <w:rsid w:val="43D90DA1"/>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75773A"/>
    <w:rsid w:val="447A63A2"/>
    <w:rsid w:val="447D493F"/>
    <w:rsid w:val="447D65EE"/>
    <w:rsid w:val="4484797D"/>
    <w:rsid w:val="44913E48"/>
    <w:rsid w:val="44944B08"/>
    <w:rsid w:val="449548AB"/>
    <w:rsid w:val="449F6565"/>
    <w:rsid w:val="44A00397"/>
    <w:rsid w:val="44A409D6"/>
    <w:rsid w:val="44AC55BD"/>
    <w:rsid w:val="44AF4066"/>
    <w:rsid w:val="44B042CE"/>
    <w:rsid w:val="44BD10DE"/>
    <w:rsid w:val="44D81A76"/>
    <w:rsid w:val="44DF6BBE"/>
    <w:rsid w:val="44DF7C4C"/>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03F4C"/>
    <w:rsid w:val="45533F1C"/>
    <w:rsid w:val="4557225D"/>
    <w:rsid w:val="45596713"/>
    <w:rsid w:val="45693D06"/>
    <w:rsid w:val="45747584"/>
    <w:rsid w:val="45901070"/>
    <w:rsid w:val="45B06ED6"/>
    <w:rsid w:val="45B37EB1"/>
    <w:rsid w:val="45B47498"/>
    <w:rsid w:val="45BA35BE"/>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55E19"/>
    <w:rsid w:val="465F5301"/>
    <w:rsid w:val="46623CEE"/>
    <w:rsid w:val="466C1D8C"/>
    <w:rsid w:val="466D314E"/>
    <w:rsid w:val="467B0413"/>
    <w:rsid w:val="467D15A4"/>
    <w:rsid w:val="46804174"/>
    <w:rsid w:val="468A24B1"/>
    <w:rsid w:val="468A53B0"/>
    <w:rsid w:val="469B534E"/>
    <w:rsid w:val="469C1213"/>
    <w:rsid w:val="46A14816"/>
    <w:rsid w:val="46B14FD9"/>
    <w:rsid w:val="46B53E1D"/>
    <w:rsid w:val="46B837C8"/>
    <w:rsid w:val="46C0453A"/>
    <w:rsid w:val="46C82AEE"/>
    <w:rsid w:val="46CB4320"/>
    <w:rsid w:val="46CD72D6"/>
    <w:rsid w:val="46E841F3"/>
    <w:rsid w:val="46EE732F"/>
    <w:rsid w:val="46F33B59"/>
    <w:rsid w:val="46F506BE"/>
    <w:rsid w:val="46F513E7"/>
    <w:rsid w:val="4708107D"/>
    <w:rsid w:val="470C1CAD"/>
    <w:rsid w:val="470D1EAB"/>
    <w:rsid w:val="4713457F"/>
    <w:rsid w:val="47176886"/>
    <w:rsid w:val="471F673A"/>
    <w:rsid w:val="47363055"/>
    <w:rsid w:val="473E41E7"/>
    <w:rsid w:val="47530F1F"/>
    <w:rsid w:val="475950F1"/>
    <w:rsid w:val="475F022D"/>
    <w:rsid w:val="47704076"/>
    <w:rsid w:val="47705DC8"/>
    <w:rsid w:val="47741147"/>
    <w:rsid w:val="47774690"/>
    <w:rsid w:val="47793411"/>
    <w:rsid w:val="477C2B8D"/>
    <w:rsid w:val="478101A3"/>
    <w:rsid w:val="47890DCE"/>
    <w:rsid w:val="478B77DC"/>
    <w:rsid w:val="478C07E3"/>
    <w:rsid w:val="478D1745"/>
    <w:rsid w:val="4791488A"/>
    <w:rsid w:val="47990E08"/>
    <w:rsid w:val="47B10A89"/>
    <w:rsid w:val="47B40579"/>
    <w:rsid w:val="47B71E17"/>
    <w:rsid w:val="47C018DD"/>
    <w:rsid w:val="47C03707"/>
    <w:rsid w:val="47C13247"/>
    <w:rsid w:val="47CE03E0"/>
    <w:rsid w:val="47D337DD"/>
    <w:rsid w:val="47D433C0"/>
    <w:rsid w:val="47D90AD0"/>
    <w:rsid w:val="47DC187E"/>
    <w:rsid w:val="47F15329"/>
    <w:rsid w:val="47F37F37"/>
    <w:rsid w:val="47F933CB"/>
    <w:rsid w:val="480C2163"/>
    <w:rsid w:val="480F1C53"/>
    <w:rsid w:val="48117538"/>
    <w:rsid w:val="482A25E9"/>
    <w:rsid w:val="482B01EE"/>
    <w:rsid w:val="482E1FB6"/>
    <w:rsid w:val="48317F40"/>
    <w:rsid w:val="48381F7D"/>
    <w:rsid w:val="4850390A"/>
    <w:rsid w:val="48561630"/>
    <w:rsid w:val="486378A9"/>
    <w:rsid w:val="48702774"/>
    <w:rsid w:val="48717D4C"/>
    <w:rsid w:val="48730182"/>
    <w:rsid w:val="48751F9C"/>
    <w:rsid w:val="4877302A"/>
    <w:rsid w:val="487970CD"/>
    <w:rsid w:val="487C375E"/>
    <w:rsid w:val="48802209"/>
    <w:rsid w:val="48836AB4"/>
    <w:rsid w:val="488501FF"/>
    <w:rsid w:val="488838C5"/>
    <w:rsid w:val="48901EE0"/>
    <w:rsid w:val="48910462"/>
    <w:rsid w:val="489B4111"/>
    <w:rsid w:val="48A31586"/>
    <w:rsid w:val="48BF0F83"/>
    <w:rsid w:val="48C84ACB"/>
    <w:rsid w:val="48C8737B"/>
    <w:rsid w:val="48C91E02"/>
    <w:rsid w:val="48C978A6"/>
    <w:rsid w:val="48CB3DCC"/>
    <w:rsid w:val="48CD112C"/>
    <w:rsid w:val="48D82045"/>
    <w:rsid w:val="48E04E5A"/>
    <w:rsid w:val="48EE3617"/>
    <w:rsid w:val="48F85BB0"/>
    <w:rsid w:val="48FE1841"/>
    <w:rsid w:val="49080B7C"/>
    <w:rsid w:val="490966FA"/>
    <w:rsid w:val="491007F5"/>
    <w:rsid w:val="4914081D"/>
    <w:rsid w:val="491465B8"/>
    <w:rsid w:val="49162368"/>
    <w:rsid w:val="491C4A93"/>
    <w:rsid w:val="49267254"/>
    <w:rsid w:val="493763E3"/>
    <w:rsid w:val="494520E1"/>
    <w:rsid w:val="494D29E7"/>
    <w:rsid w:val="49583186"/>
    <w:rsid w:val="495A6EFE"/>
    <w:rsid w:val="495B65B3"/>
    <w:rsid w:val="496164DE"/>
    <w:rsid w:val="496658A3"/>
    <w:rsid w:val="4967696F"/>
    <w:rsid w:val="496C4368"/>
    <w:rsid w:val="497004D0"/>
    <w:rsid w:val="49777A09"/>
    <w:rsid w:val="4989333F"/>
    <w:rsid w:val="498A77E3"/>
    <w:rsid w:val="498B5309"/>
    <w:rsid w:val="498D53AA"/>
    <w:rsid w:val="49940662"/>
    <w:rsid w:val="499535CF"/>
    <w:rsid w:val="49956188"/>
    <w:rsid w:val="49963DC9"/>
    <w:rsid w:val="499713D1"/>
    <w:rsid w:val="499B0290"/>
    <w:rsid w:val="499D3F04"/>
    <w:rsid w:val="499E328F"/>
    <w:rsid w:val="49A11A8A"/>
    <w:rsid w:val="49A26C9D"/>
    <w:rsid w:val="49A90D0C"/>
    <w:rsid w:val="49B02FC2"/>
    <w:rsid w:val="49B15FF9"/>
    <w:rsid w:val="49B56541"/>
    <w:rsid w:val="49B605D8"/>
    <w:rsid w:val="49B91E77"/>
    <w:rsid w:val="49BB4886"/>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D310F"/>
    <w:rsid w:val="4A1E7AF0"/>
    <w:rsid w:val="4A2512BA"/>
    <w:rsid w:val="4A2A1B3B"/>
    <w:rsid w:val="4A3231D0"/>
    <w:rsid w:val="4A3A6A54"/>
    <w:rsid w:val="4A3B0312"/>
    <w:rsid w:val="4A3B0ADD"/>
    <w:rsid w:val="4A443E36"/>
    <w:rsid w:val="4A4462D6"/>
    <w:rsid w:val="4A563B69"/>
    <w:rsid w:val="4A695377"/>
    <w:rsid w:val="4A7135B2"/>
    <w:rsid w:val="4A7E27C2"/>
    <w:rsid w:val="4A8149A7"/>
    <w:rsid w:val="4A840031"/>
    <w:rsid w:val="4A924464"/>
    <w:rsid w:val="4A983EFF"/>
    <w:rsid w:val="4A9B157C"/>
    <w:rsid w:val="4AA66EAC"/>
    <w:rsid w:val="4AAE7501"/>
    <w:rsid w:val="4AAF5028"/>
    <w:rsid w:val="4AB401CE"/>
    <w:rsid w:val="4ABE5B79"/>
    <w:rsid w:val="4AC8062E"/>
    <w:rsid w:val="4ADA2E75"/>
    <w:rsid w:val="4ADD5690"/>
    <w:rsid w:val="4AE03433"/>
    <w:rsid w:val="4AE304BB"/>
    <w:rsid w:val="4AF31E4E"/>
    <w:rsid w:val="4AFC64BF"/>
    <w:rsid w:val="4AFF5FAF"/>
    <w:rsid w:val="4B0931D0"/>
    <w:rsid w:val="4B0B04B0"/>
    <w:rsid w:val="4B0E45B6"/>
    <w:rsid w:val="4B17661E"/>
    <w:rsid w:val="4B1F0C61"/>
    <w:rsid w:val="4B236133"/>
    <w:rsid w:val="4B2E1B61"/>
    <w:rsid w:val="4B41504C"/>
    <w:rsid w:val="4B43474D"/>
    <w:rsid w:val="4B48404E"/>
    <w:rsid w:val="4B4F42AD"/>
    <w:rsid w:val="4B542FA1"/>
    <w:rsid w:val="4B560662"/>
    <w:rsid w:val="4B5C36E4"/>
    <w:rsid w:val="4B5F6A4E"/>
    <w:rsid w:val="4B6C24F0"/>
    <w:rsid w:val="4B7818BD"/>
    <w:rsid w:val="4B792D75"/>
    <w:rsid w:val="4B7E1A41"/>
    <w:rsid w:val="4B85447B"/>
    <w:rsid w:val="4B865D88"/>
    <w:rsid w:val="4B895879"/>
    <w:rsid w:val="4B920BD1"/>
    <w:rsid w:val="4B9A1834"/>
    <w:rsid w:val="4B9E1324"/>
    <w:rsid w:val="4BA90A6B"/>
    <w:rsid w:val="4BB072A9"/>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3387D"/>
    <w:rsid w:val="4C0373D9"/>
    <w:rsid w:val="4C1D42B0"/>
    <w:rsid w:val="4C201DD4"/>
    <w:rsid w:val="4C2630C7"/>
    <w:rsid w:val="4C29189F"/>
    <w:rsid w:val="4C3457E4"/>
    <w:rsid w:val="4C482434"/>
    <w:rsid w:val="4C4D0B96"/>
    <w:rsid w:val="4C5B0FC3"/>
    <w:rsid w:val="4C5E4F57"/>
    <w:rsid w:val="4C602A7D"/>
    <w:rsid w:val="4C6A38FC"/>
    <w:rsid w:val="4C6D519A"/>
    <w:rsid w:val="4C8107A0"/>
    <w:rsid w:val="4C8835FA"/>
    <w:rsid w:val="4C8E71BF"/>
    <w:rsid w:val="4C8F06A0"/>
    <w:rsid w:val="4C9747A4"/>
    <w:rsid w:val="4CAA55D4"/>
    <w:rsid w:val="4CAB6711"/>
    <w:rsid w:val="4CAC181F"/>
    <w:rsid w:val="4CAE46E6"/>
    <w:rsid w:val="4CB3320A"/>
    <w:rsid w:val="4CB86687"/>
    <w:rsid w:val="4CC528E0"/>
    <w:rsid w:val="4CC7034A"/>
    <w:rsid w:val="4CCB35C9"/>
    <w:rsid w:val="4CCC1EC1"/>
    <w:rsid w:val="4CCE5C39"/>
    <w:rsid w:val="4CD64AED"/>
    <w:rsid w:val="4CDB0356"/>
    <w:rsid w:val="4CDF1BF4"/>
    <w:rsid w:val="4CE0539C"/>
    <w:rsid w:val="4CE5757E"/>
    <w:rsid w:val="4CF220F9"/>
    <w:rsid w:val="4CFB09F8"/>
    <w:rsid w:val="4CFF2296"/>
    <w:rsid w:val="4CFF4044"/>
    <w:rsid w:val="4D046B6A"/>
    <w:rsid w:val="4D0478AD"/>
    <w:rsid w:val="4D0C69C4"/>
    <w:rsid w:val="4D0E72D5"/>
    <w:rsid w:val="4D1D34E8"/>
    <w:rsid w:val="4D1E654F"/>
    <w:rsid w:val="4D2E492A"/>
    <w:rsid w:val="4D3B0DF4"/>
    <w:rsid w:val="4D3C7DE3"/>
    <w:rsid w:val="4D4D1254"/>
    <w:rsid w:val="4D4D69CE"/>
    <w:rsid w:val="4D5123C6"/>
    <w:rsid w:val="4D543E3B"/>
    <w:rsid w:val="4D5D4569"/>
    <w:rsid w:val="4D693BB4"/>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D2DE6"/>
    <w:rsid w:val="4E121B55"/>
    <w:rsid w:val="4E122358"/>
    <w:rsid w:val="4E2A3343"/>
    <w:rsid w:val="4E2B61AD"/>
    <w:rsid w:val="4E306E72"/>
    <w:rsid w:val="4E3B5550"/>
    <w:rsid w:val="4E3C5B2A"/>
    <w:rsid w:val="4E451F2B"/>
    <w:rsid w:val="4E492DD0"/>
    <w:rsid w:val="4E4C267F"/>
    <w:rsid w:val="4E4C3506"/>
    <w:rsid w:val="4E4E41F3"/>
    <w:rsid w:val="4E5F2AF8"/>
    <w:rsid w:val="4E61488B"/>
    <w:rsid w:val="4E6210E9"/>
    <w:rsid w:val="4E6B6EA1"/>
    <w:rsid w:val="4E74636C"/>
    <w:rsid w:val="4E7C2D1C"/>
    <w:rsid w:val="4E86609F"/>
    <w:rsid w:val="4E8974AF"/>
    <w:rsid w:val="4E952232"/>
    <w:rsid w:val="4E9700F7"/>
    <w:rsid w:val="4E984929"/>
    <w:rsid w:val="4E992277"/>
    <w:rsid w:val="4E9B0E76"/>
    <w:rsid w:val="4EA524E3"/>
    <w:rsid w:val="4EA62ADA"/>
    <w:rsid w:val="4EB4172E"/>
    <w:rsid w:val="4EB5120D"/>
    <w:rsid w:val="4EBD5F65"/>
    <w:rsid w:val="4EBE538C"/>
    <w:rsid w:val="4EE02B41"/>
    <w:rsid w:val="4EE031BE"/>
    <w:rsid w:val="4EE334F2"/>
    <w:rsid w:val="4EE37F68"/>
    <w:rsid w:val="4EEA2AD2"/>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F4D85"/>
    <w:rsid w:val="4F721C64"/>
    <w:rsid w:val="4F734876"/>
    <w:rsid w:val="4F841516"/>
    <w:rsid w:val="4F842187"/>
    <w:rsid w:val="4F9071D6"/>
    <w:rsid w:val="4F9204FB"/>
    <w:rsid w:val="4F940B35"/>
    <w:rsid w:val="4F980780"/>
    <w:rsid w:val="4F9D1E71"/>
    <w:rsid w:val="4FAE00F3"/>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50062548"/>
    <w:rsid w:val="500F5911"/>
    <w:rsid w:val="5023004A"/>
    <w:rsid w:val="50250266"/>
    <w:rsid w:val="5028222A"/>
    <w:rsid w:val="502D2C76"/>
    <w:rsid w:val="5031210B"/>
    <w:rsid w:val="503264DF"/>
    <w:rsid w:val="50377F99"/>
    <w:rsid w:val="5038161B"/>
    <w:rsid w:val="503A452D"/>
    <w:rsid w:val="50411A70"/>
    <w:rsid w:val="50483F54"/>
    <w:rsid w:val="50484AC6"/>
    <w:rsid w:val="504A5FC6"/>
    <w:rsid w:val="504F0EE6"/>
    <w:rsid w:val="50540473"/>
    <w:rsid w:val="507C53C5"/>
    <w:rsid w:val="508036EE"/>
    <w:rsid w:val="5080549C"/>
    <w:rsid w:val="50A10F71"/>
    <w:rsid w:val="50A64553"/>
    <w:rsid w:val="50A72C5D"/>
    <w:rsid w:val="50AC2B50"/>
    <w:rsid w:val="50B07D90"/>
    <w:rsid w:val="50B91BE4"/>
    <w:rsid w:val="50BB35D0"/>
    <w:rsid w:val="50BF6559"/>
    <w:rsid w:val="50C63AFC"/>
    <w:rsid w:val="50C97700"/>
    <w:rsid w:val="50D77086"/>
    <w:rsid w:val="50DD5829"/>
    <w:rsid w:val="50E33C7D"/>
    <w:rsid w:val="50E35A2B"/>
    <w:rsid w:val="50E50C09"/>
    <w:rsid w:val="50E86A91"/>
    <w:rsid w:val="50EA19E5"/>
    <w:rsid w:val="50ED20DB"/>
    <w:rsid w:val="50FB4B23"/>
    <w:rsid w:val="51080A7C"/>
    <w:rsid w:val="511B3417"/>
    <w:rsid w:val="51271DBC"/>
    <w:rsid w:val="51361141"/>
    <w:rsid w:val="514209A3"/>
    <w:rsid w:val="5144296E"/>
    <w:rsid w:val="514B1DEB"/>
    <w:rsid w:val="51527191"/>
    <w:rsid w:val="515A3F3F"/>
    <w:rsid w:val="515B4CE3"/>
    <w:rsid w:val="51604411"/>
    <w:rsid w:val="517926D9"/>
    <w:rsid w:val="517F76F4"/>
    <w:rsid w:val="518043AE"/>
    <w:rsid w:val="51826FF2"/>
    <w:rsid w:val="518965D2"/>
    <w:rsid w:val="518A4CFF"/>
    <w:rsid w:val="518E30D2"/>
    <w:rsid w:val="5193319F"/>
    <w:rsid w:val="519659C7"/>
    <w:rsid w:val="519A049A"/>
    <w:rsid w:val="51A94ACE"/>
    <w:rsid w:val="51AA404F"/>
    <w:rsid w:val="51AB16A4"/>
    <w:rsid w:val="51AC0513"/>
    <w:rsid w:val="51AC6715"/>
    <w:rsid w:val="51BF2E61"/>
    <w:rsid w:val="51C1147A"/>
    <w:rsid w:val="51DD06CC"/>
    <w:rsid w:val="51DF52D1"/>
    <w:rsid w:val="51E607EA"/>
    <w:rsid w:val="51E62A34"/>
    <w:rsid w:val="51EB0615"/>
    <w:rsid w:val="51EC6A99"/>
    <w:rsid w:val="51EDC784"/>
    <w:rsid w:val="51F2586F"/>
    <w:rsid w:val="51F45335"/>
    <w:rsid w:val="51F45ABB"/>
    <w:rsid w:val="51FA071A"/>
    <w:rsid w:val="51FC6541"/>
    <w:rsid w:val="5209326F"/>
    <w:rsid w:val="520B4811"/>
    <w:rsid w:val="52261B09"/>
    <w:rsid w:val="522620D6"/>
    <w:rsid w:val="522B1438"/>
    <w:rsid w:val="522E717A"/>
    <w:rsid w:val="523B0C24"/>
    <w:rsid w:val="523B7217"/>
    <w:rsid w:val="523E05D2"/>
    <w:rsid w:val="523E652B"/>
    <w:rsid w:val="525A170E"/>
    <w:rsid w:val="525C3CE7"/>
    <w:rsid w:val="525C7843"/>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2632D1"/>
    <w:rsid w:val="532A4990"/>
    <w:rsid w:val="53392A1D"/>
    <w:rsid w:val="534259E0"/>
    <w:rsid w:val="534976B3"/>
    <w:rsid w:val="534D44EA"/>
    <w:rsid w:val="534E7AD3"/>
    <w:rsid w:val="535E583D"/>
    <w:rsid w:val="53681BC2"/>
    <w:rsid w:val="536966BB"/>
    <w:rsid w:val="53784B50"/>
    <w:rsid w:val="537A4D81"/>
    <w:rsid w:val="537E1A3B"/>
    <w:rsid w:val="538243F4"/>
    <w:rsid w:val="538C05FC"/>
    <w:rsid w:val="53925D5F"/>
    <w:rsid w:val="53AE40CE"/>
    <w:rsid w:val="53BF6819"/>
    <w:rsid w:val="53C15826"/>
    <w:rsid w:val="53CA764B"/>
    <w:rsid w:val="53D107D6"/>
    <w:rsid w:val="53D37FD9"/>
    <w:rsid w:val="53E059A1"/>
    <w:rsid w:val="53E0654E"/>
    <w:rsid w:val="53EC4BF7"/>
    <w:rsid w:val="53EE4E13"/>
    <w:rsid w:val="53FD24DA"/>
    <w:rsid w:val="540921AE"/>
    <w:rsid w:val="540F3E66"/>
    <w:rsid w:val="54166B2E"/>
    <w:rsid w:val="54216F96"/>
    <w:rsid w:val="54260108"/>
    <w:rsid w:val="54307C7C"/>
    <w:rsid w:val="54345F35"/>
    <w:rsid w:val="54386DE8"/>
    <w:rsid w:val="5444349B"/>
    <w:rsid w:val="5446239B"/>
    <w:rsid w:val="5452306B"/>
    <w:rsid w:val="54640C31"/>
    <w:rsid w:val="546B0211"/>
    <w:rsid w:val="546E1AAF"/>
    <w:rsid w:val="546E385E"/>
    <w:rsid w:val="54710A3B"/>
    <w:rsid w:val="54770964"/>
    <w:rsid w:val="547E0169"/>
    <w:rsid w:val="547E558F"/>
    <w:rsid w:val="54815C87"/>
    <w:rsid w:val="54A340AA"/>
    <w:rsid w:val="54A62896"/>
    <w:rsid w:val="54A6749B"/>
    <w:rsid w:val="54A84FC1"/>
    <w:rsid w:val="54AD25D8"/>
    <w:rsid w:val="54AE468E"/>
    <w:rsid w:val="54B25E40"/>
    <w:rsid w:val="54B90F7D"/>
    <w:rsid w:val="54BC694F"/>
    <w:rsid w:val="54CA714C"/>
    <w:rsid w:val="54CF254E"/>
    <w:rsid w:val="54D01A26"/>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71C9"/>
    <w:rsid w:val="55ED6E67"/>
    <w:rsid w:val="55F514F6"/>
    <w:rsid w:val="55F602D7"/>
    <w:rsid w:val="55F7DBD6"/>
    <w:rsid w:val="56093087"/>
    <w:rsid w:val="56165F22"/>
    <w:rsid w:val="561C1DF7"/>
    <w:rsid w:val="56220DA3"/>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069"/>
    <w:rsid w:val="56953DA9"/>
    <w:rsid w:val="569A24CA"/>
    <w:rsid w:val="569C6DA8"/>
    <w:rsid w:val="569D6093"/>
    <w:rsid w:val="56A31EE4"/>
    <w:rsid w:val="56C46405"/>
    <w:rsid w:val="56D04A16"/>
    <w:rsid w:val="56D55E16"/>
    <w:rsid w:val="56D77DE0"/>
    <w:rsid w:val="56EA18C1"/>
    <w:rsid w:val="56ED0C98"/>
    <w:rsid w:val="56F339AA"/>
    <w:rsid w:val="56F444EE"/>
    <w:rsid w:val="570046B2"/>
    <w:rsid w:val="57061ACA"/>
    <w:rsid w:val="570A256C"/>
    <w:rsid w:val="571526B6"/>
    <w:rsid w:val="57155B4A"/>
    <w:rsid w:val="571E77BD"/>
    <w:rsid w:val="572F438D"/>
    <w:rsid w:val="574908F7"/>
    <w:rsid w:val="57520451"/>
    <w:rsid w:val="57576C22"/>
    <w:rsid w:val="57637D90"/>
    <w:rsid w:val="57647C1E"/>
    <w:rsid w:val="576770D1"/>
    <w:rsid w:val="57684EDC"/>
    <w:rsid w:val="577531CA"/>
    <w:rsid w:val="5777273B"/>
    <w:rsid w:val="5779195F"/>
    <w:rsid w:val="577C7278"/>
    <w:rsid w:val="577F1756"/>
    <w:rsid w:val="5781424D"/>
    <w:rsid w:val="57875362"/>
    <w:rsid w:val="57906944"/>
    <w:rsid w:val="57923D07"/>
    <w:rsid w:val="5796146F"/>
    <w:rsid w:val="5797131D"/>
    <w:rsid w:val="579D4B86"/>
    <w:rsid w:val="57A51C8C"/>
    <w:rsid w:val="57AD5AD7"/>
    <w:rsid w:val="57B56F19"/>
    <w:rsid w:val="57B7551B"/>
    <w:rsid w:val="57B97CF8"/>
    <w:rsid w:val="57BB14B0"/>
    <w:rsid w:val="57BB4CEC"/>
    <w:rsid w:val="57C1138B"/>
    <w:rsid w:val="57CF0AB7"/>
    <w:rsid w:val="57CF292F"/>
    <w:rsid w:val="57D460CD"/>
    <w:rsid w:val="57DB6156"/>
    <w:rsid w:val="57DC6353"/>
    <w:rsid w:val="57DE55B1"/>
    <w:rsid w:val="57E41E2C"/>
    <w:rsid w:val="57E509D2"/>
    <w:rsid w:val="57E52E8C"/>
    <w:rsid w:val="57E722A5"/>
    <w:rsid w:val="57ED576D"/>
    <w:rsid w:val="57F2D22D"/>
    <w:rsid w:val="57FD64F7"/>
    <w:rsid w:val="57FF8603"/>
    <w:rsid w:val="58011430"/>
    <w:rsid w:val="58015C02"/>
    <w:rsid w:val="58035F5A"/>
    <w:rsid w:val="58052AC0"/>
    <w:rsid w:val="581666E6"/>
    <w:rsid w:val="581B32BE"/>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A1367E"/>
    <w:rsid w:val="58A13E38"/>
    <w:rsid w:val="58AB5080"/>
    <w:rsid w:val="58AC2669"/>
    <w:rsid w:val="58AC2BA6"/>
    <w:rsid w:val="58B141AE"/>
    <w:rsid w:val="58C425E6"/>
    <w:rsid w:val="58C445DA"/>
    <w:rsid w:val="58CD1E48"/>
    <w:rsid w:val="58CF5213"/>
    <w:rsid w:val="58DE7B7E"/>
    <w:rsid w:val="58E34C0D"/>
    <w:rsid w:val="58E42EF4"/>
    <w:rsid w:val="58E95A3B"/>
    <w:rsid w:val="58ED38EB"/>
    <w:rsid w:val="5901661E"/>
    <w:rsid w:val="5904190E"/>
    <w:rsid w:val="590F3861"/>
    <w:rsid w:val="59140E77"/>
    <w:rsid w:val="591B63C3"/>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43CAC"/>
    <w:rsid w:val="59BA5E57"/>
    <w:rsid w:val="59BB700B"/>
    <w:rsid w:val="59BE0E84"/>
    <w:rsid w:val="59D46A45"/>
    <w:rsid w:val="59D555CE"/>
    <w:rsid w:val="59DA39BA"/>
    <w:rsid w:val="59E2410E"/>
    <w:rsid w:val="59E545C2"/>
    <w:rsid w:val="59F61D50"/>
    <w:rsid w:val="5A013E3C"/>
    <w:rsid w:val="5A0218C9"/>
    <w:rsid w:val="5A041940"/>
    <w:rsid w:val="5A065F73"/>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75CEE"/>
    <w:rsid w:val="5A7B06D5"/>
    <w:rsid w:val="5A813D7F"/>
    <w:rsid w:val="5A8B5667"/>
    <w:rsid w:val="5A9473B6"/>
    <w:rsid w:val="5A975B99"/>
    <w:rsid w:val="5A9D6C4B"/>
    <w:rsid w:val="5AA93841"/>
    <w:rsid w:val="5AB02E22"/>
    <w:rsid w:val="5AB04BD0"/>
    <w:rsid w:val="5AC24903"/>
    <w:rsid w:val="5AC47EB7"/>
    <w:rsid w:val="5ACC0A94"/>
    <w:rsid w:val="5ADB6779"/>
    <w:rsid w:val="5AE52B24"/>
    <w:rsid w:val="5AE8433A"/>
    <w:rsid w:val="5AEB600E"/>
    <w:rsid w:val="5AF76B1D"/>
    <w:rsid w:val="5AFB66E6"/>
    <w:rsid w:val="5AFC1DAF"/>
    <w:rsid w:val="5B21162A"/>
    <w:rsid w:val="5B25539F"/>
    <w:rsid w:val="5B2B24A8"/>
    <w:rsid w:val="5B2C34B9"/>
    <w:rsid w:val="5B3520B1"/>
    <w:rsid w:val="5B435A44"/>
    <w:rsid w:val="5B4B7501"/>
    <w:rsid w:val="5B4E356A"/>
    <w:rsid w:val="5B4F43E9"/>
    <w:rsid w:val="5B5150EA"/>
    <w:rsid w:val="5B602582"/>
    <w:rsid w:val="5B6634E0"/>
    <w:rsid w:val="5B706D8D"/>
    <w:rsid w:val="5B811D24"/>
    <w:rsid w:val="5B89576F"/>
    <w:rsid w:val="5B913692"/>
    <w:rsid w:val="5B991B08"/>
    <w:rsid w:val="5BA40927"/>
    <w:rsid w:val="5BA71B25"/>
    <w:rsid w:val="5BA83AF9"/>
    <w:rsid w:val="5BAA161F"/>
    <w:rsid w:val="5BB65800"/>
    <w:rsid w:val="5BB93F58"/>
    <w:rsid w:val="5BBC1352"/>
    <w:rsid w:val="5BCC4C99"/>
    <w:rsid w:val="5BDC72D5"/>
    <w:rsid w:val="5BE10DB9"/>
    <w:rsid w:val="5BED59B0"/>
    <w:rsid w:val="5BEF797A"/>
    <w:rsid w:val="5BF23438"/>
    <w:rsid w:val="5BF353EE"/>
    <w:rsid w:val="5C0E2A6F"/>
    <w:rsid w:val="5C0F5926"/>
    <w:rsid w:val="5C1178F0"/>
    <w:rsid w:val="5C13384C"/>
    <w:rsid w:val="5C241BE6"/>
    <w:rsid w:val="5C2B0170"/>
    <w:rsid w:val="5C38462F"/>
    <w:rsid w:val="5C386C03"/>
    <w:rsid w:val="5C433822"/>
    <w:rsid w:val="5C45759A"/>
    <w:rsid w:val="5C5058D6"/>
    <w:rsid w:val="5C5924D5"/>
    <w:rsid w:val="5C5B4667"/>
    <w:rsid w:val="5C5D2B35"/>
    <w:rsid w:val="5C601C9F"/>
    <w:rsid w:val="5C604074"/>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06CB3"/>
    <w:rsid w:val="5CE11347"/>
    <w:rsid w:val="5CE74832"/>
    <w:rsid w:val="5CFBF3AE"/>
    <w:rsid w:val="5D055FED"/>
    <w:rsid w:val="5D086C55"/>
    <w:rsid w:val="5D170F36"/>
    <w:rsid w:val="5D215911"/>
    <w:rsid w:val="5D2D2508"/>
    <w:rsid w:val="5D363BA9"/>
    <w:rsid w:val="5D3C099D"/>
    <w:rsid w:val="5D3F66DF"/>
    <w:rsid w:val="5D4635C9"/>
    <w:rsid w:val="5D4B0BE0"/>
    <w:rsid w:val="5D4F0C38"/>
    <w:rsid w:val="5D504D94"/>
    <w:rsid w:val="5D5061F6"/>
    <w:rsid w:val="5D564193"/>
    <w:rsid w:val="5D5A7075"/>
    <w:rsid w:val="5D66289E"/>
    <w:rsid w:val="5D6B50AB"/>
    <w:rsid w:val="5D754FD6"/>
    <w:rsid w:val="5D7C2A07"/>
    <w:rsid w:val="5D7C49E0"/>
    <w:rsid w:val="5D804D2D"/>
    <w:rsid w:val="5D851485"/>
    <w:rsid w:val="5D885990"/>
    <w:rsid w:val="5D902723"/>
    <w:rsid w:val="5D947F46"/>
    <w:rsid w:val="5D9500AD"/>
    <w:rsid w:val="5D9702E4"/>
    <w:rsid w:val="5D975303"/>
    <w:rsid w:val="5DA6541F"/>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EE7DDB"/>
    <w:rsid w:val="5DF474C9"/>
    <w:rsid w:val="5DF5CDE9"/>
    <w:rsid w:val="5DF64860"/>
    <w:rsid w:val="5DF93820"/>
    <w:rsid w:val="5DFC445A"/>
    <w:rsid w:val="5DFE20F6"/>
    <w:rsid w:val="5E037840"/>
    <w:rsid w:val="5E111E29"/>
    <w:rsid w:val="5E115985"/>
    <w:rsid w:val="5E13364E"/>
    <w:rsid w:val="5E194310"/>
    <w:rsid w:val="5E1C432A"/>
    <w:rsid w:val="5E200792"/>
    <w:rsid w:val="5E230AA7"/>
    <w:rsid w:val="5E2A7E49"/>
    <w:rsid w:val="5E3B0C54"/>
    <w:rsid w:val="5E404724"/>
    <w:rsid w:val="5E426F07"/>
    <w:rsid w:val="5E532442"/>
    <w:rsid w:val="5E5A661E"/>
    <w:rsid w:val="5E5D6E1D"/>
    <w:rsid w:val="5E5E4943"/>
    <w:rsid w:val="5E68756F"/>
    <w:rsid w:val="5E745D6E"/>
    <w:rsid w:val="5E7F4C65"/>
    <w:rsid w:val="5E8771BA"/>
    <w:rsid w:val="5E8C0F8B"/>
    <w:rsid w:val="5E8C5954"/>
    <w:rsid w:val="5E923B09"/>
    <w:rsid w:val="5EA031AD"/>
    <w:rsid w:val="5EA90415"/>
    <w:rsid w:val="5EAD4431"/>
    <w:rsid w:val="5EB153BA"/>
    <w:rsid w:val="5EC72ACE"/>
    <w:rsid w:val="5ED35784"/>
    <w:rsid w:val="5EDC0AC0"/>
    <w:rsid w:val="5EE237C6"/>
    <w:rsid w:val="5EE25574"/>
    <w:rsid w:val="5EE4753E"/>
    <w:rsid w:val="5EE57A83"/>
    <w:rsid w:val="5EE60C28"/>
    <w:rsid w:val="5EE65D18"/>
    <w:rsid w:val="5EEC01A1"/>
    <w:rsid w:val="5EF27584"/>
    <w:rsid w:val="5EF79A39"/>
    <w:rsid w:val="5EFA22A1"/>
    <w:rsid w:val="5F090D52"/>
    <w:rsid w:val="5F100333"/>
    <w:rsid w:val="5F10363A"/>
    <w:rsid w:val="5F1548F7"/>
    <w:rsid w:val="5F1E0BE4"/>
    <w:rsid w:val="5F200B07"/>
    <w:rsid w:val="5F311C88"/>
    <w:rsid w:val="5F322057"/>
    <w:rsid w:val="5F385D10"/>
    <w:rsid w:val="5F3FABB5"/>
    <w:rsid w:val="5F473C01"/>
    <w:rsid w:val="5F4A2DEE"/>
    <w:rsid w:val="5F4B08DC"/>
    <w:rsid w:val="5F4C2F89"/>
    <w:rsid w:val="5F5019B7"/>
    <w:rsid w:val="5F530220"/>
    <w:rsid w:val="5F5533BB"/>
    <w:rsid w:val="5F586FEE"/>
    <w:rsid w:val="5F588017"/>
    <w:rsid w:val="5F5B3658"/>
    <w:rsid w:val="5F60319C"/>
    <w:rsid w:val="5F670948"/>
    <w:rsid w:val="5F69146D"/>
    <w:rsid w:val="5F752E69"/>
    <w:rsid w:val="5F7D4849"/>
    <w:rsid w:val="5F807429"/>
    <w:rsid w:val="5F834669"/>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D849CF"/>
    <w:rsid w:val="5FDC1FC3"/>
    <w:rsid w:val="5FE570CA"/>
    <w:rsid w:val="5FECA924"/>
    <w:rsid w:val="5FF217E7"/>
    <w:rsid w:val="5FF23595"/>
    <w:rsid w:val="5FFA365C"/>
    <w:rsid w:val="5FFBA334"/>
    <w:rsid w:val="6007390A"/>
    <w:rsid w:val="600A3865"/>
    <w:rsid w:val="600F393E"/>
    <w:rsid w:val="60121E89"/>
    <w:rsid w:val="60163727"/>
    <w:rsid w:val="601A3622"/>
    <w:rsid w:val="602373CD"/>
    <w:rsid w:val="60247B5D"/>
    <w:rsid w:val="603B3E30"/>
    <w:rsid w:val="603C0CB4"/>
    <w:rsid w:val="60416DCA"/>
    <w:rsid w:val="60421B4F"/>
    <w:rsid w:val="60431EA4"/>
    <w:rsid w:val="604B0D71"/>
    <w:rsid w:val="604D2EC1"/>
    <w:rsid w:val="60560001"/>
    <w:rsid w:val="60565C13"/>
    <w:rsid w:val="60651FB9"/>
    <w:rsid w:val="606631C7"/>
    <w:rsid w:val="6072134A"/>
    <w:rsid w:val="60730CCF"/>
    <w:rsid w:val="607C3A33"/>
    <w:rsid w:val="60820DBC"/>
    <w:rsid w:val="60822B6A"/>
    <w:rsid w:val="608250F0"/>
    <w:rsid w:val="608C7484"/>
    <w:rsid w:val="608F7035"/>
    <w:rsid w:val="60970262"/>
    <w:rsid w:val="609D0FCF"/>
    <w:rsid w:val="60A6142B"/>
    <w:rsid w:val="60A7067E"/>
    <w:rsid w:val="60A800F7"/>
    <w:rsid w:val="60AB0246"/>
    <w:rsid w:val="60C0317B"/>
    <w:rsid w:val="60C24090"/>
    <w:rsid w:val="60C56332"/>
    <w:rsid w:val="60C86CE7"/>
    <w:rsid w:val="60C875C1"/>
    <w:rsid w:val="60CA02AA"/>
    <w:rsid w:val="60D4713E"/>
    <w:rsid w:val="60D62EB6"/>
    <w:rsid w:val="60DB020D"/>
    <w:rsid w:val="60E66B25"/>
    <w:rsid w:val="60E6759D"/>
    <w:rsid w:val="60E96F2A"/>
    <w:rsid w:val="60E9736E"/>
    <w:rsid w:val="60F8107F"/>
    <w:rsid w:val="60FA7E42"/>
    <w:rsid w:val="61032317"/>
    <w:rsid w:val="61190304"/>
    <w:rsid w:val="611C2FBF"/>
    <w:rsid w:val="61236D4E"/>
    <w:rsid w:val="612A6EC6"/>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495B"/>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C3F51"/>
    <w:rsid w:val="62EE2E7F"/>
    <w:rsid w:val="62F37D50"/>
    <w:rsid w:val="62FC6F89"/>
    <w:rsid w:val="6303477F"/>
    <w:rsid w:val="630D6126"/>
    <w:rsid w:val="631A1780"/>
    <w:rsid w:val="632127C3"/>
    <w:rsid w:val="63396CA8"/>
    <w:rsid w:val="634A091C"/>
    <w:rsid w:val="635D166D"/>
    <w:rsid w:val="636429FB"/>
    <w:rsid w:val="63690593"/>
    <w:rsid w:val="63730E90"/>
    <w:rsid w:val="6379017B"/>
    <w:rsid w:val="63790D6E"/>
    <w:rsid w:val="637FC843"/>
    <w:rsid w:val="638310F9"/>
    <w:rsid w:val="638579A3"/>
    <w:rsid w:val="63972DD1"/>
    <w:rsid w:val="639A641D"/>
    <w:rsid w:val="63A454EE"/>
    <w:rsid w:val="63AE8ED4"/>
    <w:rsid w:val="63B2324E"/>
    <w:rsid w:val="63B36841"/>
    <w:rsid w:val="63C05EA7"/>
    <w:rsid w:val="63C447CB"/>
    <w:rsid w:val="63C721AC"/>
    <w:rsid w:val="63C97AE9"/>
    <w:rsid w:val="63CD7608"/>
    <w:rsid w:val="63CF67CD"/>
    <w:rsid w:val="63D530FA"/>
    <w:rsid w:val="63DA3BD9"/>
    <w:rsid w:val="63DE27AE"/>
    <w:rsid w:val="63E853DA"/>
    <w:rsid w:val="63F77FE5"/>
    <w:rsid w:val="640624AF"/>
    <w:rsid w:val="640C789D"/>
    <w:rsid w:val="64191A38"/>
    <w:rsid w:val="641F14FA"/>
    <w:rsid w:val="641F276B"/>
    <w:rsid w:val="641F4B74"/>
    <w:rsid w:val="64216B3E"/>
    <w:rsid w:val="643A5ABF"/>
    <w:rsid w:val="643B19AE"/>
    <w:rsid w:val="64487C27"/>
    <w:rsid w:val="64567A00"/>
    <w:rsid w:val="646D3DB1"/>
    <w:rsid w:val="647B7FFD"/>
    <w:rsid w:val="647D75ED"/>
    <w:rsid w:val="64963088"/>
    <w:rsid w:val="64A31301"/>
    <w:rsid w:val="64A31AB1"/>
    <w:rsid w:val="64AA08E2"/>
    <w:rsid w:val="64BD7EE3"/>
    <w:rsid w:val="64C01EB3"/>
    <w:rsid w:val="64C10F29"/>
    <w:rsid w:val="64C676BB"/>
    <w:rsid w:val="64DA53AE"/>
    <w:rsid w:val="64E60142"/>
    <w:rsid w:val="64EE343A"/>
    <w:rsid w:val="64F00BC7"/>
    <w:rsid w:val="64FE478A"/>
    <w:rsid w:val="64FFDE4B"/>
    <w:rsid w:val="650504B3"/>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9661FB"/>
    <w:rsid w:val="65A67180"/>
    <w:rsid w:val="65B04F76"/>
    <w:rsid w:val="65B45EF6"/>
    <w:rsid w:val="65B752FD"/>
    <w:rsid w:val="65BA6903"/>
    <w:rsid w:val="65BC31D8"/>
    <w:rsid w:val="65BC6B1F"/>
    <w:rsid w:val="65BD78D3"/>
    <w:rsid w:val="65DF280D"/>
    <w:rsid w:val="65E47984"/>
    <w:rsid w:val="65E903C3"/>
    <w:rsid w:val="65EC662A"/>
    <w:rsid w:val="65F008F8"/>
    <w:rsid w:val="65FA7647"/>
    <w:rsid w:val="65FF07B9"/>
    <w:rsid w:val="65FF6A0B"/>
    <w:rsid w:val="66010A5C"/>
    <w:rsid w:val="660202AA"/>
    <w:rsid w:val="66023EA3"/>
    <w:rsid w:val="66027DCC"/>
    <w:rsid w:val="66054436"/>
    <w:rsid w:val="660758C0"/>
    <w:rsid w:val="660D4DB6"/>
    <w:rsid w:val="662446C4"/>
    <w:rsid w:val="662966D5"/>
    <w:rsid w:val="66371679"/>
    <w:rsid w:val="664063B2"/>
    <w:rsid w:val="66406452"/>
    <w:rsid w:val="66415388"/>
    <w:rsid w:val="66457F8E"/>
    <w:rsid w:val="66485ACF"/>
    <w:rsid w:val="66495ED8"/>
    <w:rsid w:val="664D2567"/>
    <w:rsid w:val="665A12BF"/>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0A6056"/>
    <w:rsid w:val="67185FD7"/>
    <w:rsid w:val="67281F92"/>
    <w:rsid w:val="673426E5"/>
    <w:rsid w:val="673E0CD7"/>
    <w:rsid w:val="67486190"/>
    <w:rsid w:val="6749222E"/>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54283"/>
    <w:rsid w:val="67E8131A"/>
    <w:rsid w:val="67EA1118"/>
    <w:rsid w:val="67F65DA4"/>
    <w:rsid w:val="67F7723D"/>
    <w:rsid w:val="67FA4BEF"/>
    <w:rsid w:val="67FDDCBD"/>
    <w:rsid w:val="67FF7197"/>
    <w:rsid w:val="680419E0"/>
    <w:rsid w:val="680648F3"/>
    <w:rsid w:val="680A032B"/>
    <w:rsid w:val="680A6658"/>
    <w:rsid w:val="68121AD3"/>
    <w:rsid w:val="681471FC"/>
    <w:rsid w:val="68190258"/>
    <w:rsid w:val="681C5653"/>
    <w:rsid w:val="682269E1"/>
    <w:rsid w:val="682409AB"/>
    <w:rsid w:val="682C4037"/>
    <w:rsid w:val="68307350"/>
    <w:rsid w:val="683A61DE"/>
    <w:rsid w:val="683C6AF0"/>
    <w:rsid w:val="68423A65"/>
    <w:rsid w:val="68466191"/>
    <w:rsid w:val="68476448"/>
    <w:rsid w:val="684B23DC"/>
    <w:rsid w:val="68562FBD"/>
    <w:rsid w:val="685F19D4"/>
    <w:rsid w:val="68613E45"/>
    <w:rsid w:val="686168F7"/>
    <w:rsid w:val="6863369E"/>
    <w:rsid w:val="686915D3"/>
    <w:rsid w:val="686B68EA"/>
    <w:rsid w:val="686D3854"/>
    <w:rsid w:val="687D2CDD"/>
    <w:rsid w:val="687D96E0"/>
    <w:rsid w:val="68917F75"/>
    <w:rsid w:val="689C4BF4"/>
    <w:rsid w:val="689D2D9B"/>
    <w:rsid w:val="68C74DCD"/>
    <w:rsid w:val="68C8445A"/>
    <w:rsid w:val="68CE7E74"/>
    <w:rsid w:val="68D26659"/>
    <w:rsid w:val="68D77C59"/>
    <w:rsid w:val="68DE4FFE"/>
    <w:rsid w:val="68E24AEE"/>
    <w:rsid w:val="68E72403"/>
    <w:rsid w:val="68EB3277"/>
    <w:rsid w:val="68EB3D19"/>
    <w:rsid w:val="68FB2D3F"/>
    <w:rsid w:val="690305C1"/>
    <w:rsid w:val="69051B7B"/>
    <w:rsid w:val="69166546"/>
    <w:rsid w:val="691A32A4"/>
    <w:rsid w:val="692A3D9F"/>
    <w:rsid w:val="692C46A6"/>
    <w:rsid w:val="69303AFB"/>
    <w:rsid w:val="69320EA6"/>
    <w:rsid w:val="6933041A"/>
    <w:rsid w:val="6933534A"/>
    <w:rsid w:val="69375C61"/>
    <w:rsid w:val="693F2EA8"/>
    <w:rsid w:val="694035C3"/>
    <w:rsid w:val="69482477"/>
    <w:rsid w:val="694E2184"/>
    <w:rsid w:val="696279DD"/>
    <w:rsid w:val="69674277"/>
    <w:rsid w:val="696F232C"/>
    <w:rsid w:val="696F6212"/>
    <w:rsid w:val="697D7D54"/>
    <w:rsid w:val="69810F07"/>
    <w:rsid w:val="699557B6"/>
    <w:rsid w:val="699A614E"/>
    <w:rsid w:val="69B5553C"/>
    <w:rsid w:val="69C51D1A"/>
    <w:rsid w:val="69C73CE4"/>
    <w:rsid w:val="69CB190B"/>
    <w:rsid w:val="69D106BF"/>
    <w:rsid w:val="69DC3B22"/>
    <w:rsid w:val="69E337EE"/>
    <w:rsid w:val="69E66B78"/>
    <w:rsid w:val="69F22B91"/>
    <w:rsid w:val="69F23EFC"/>
    <w:rsid w:val="69F66377"/>
    <w:rsid w:val="69FB4289"/>
    <w:rsid w:val="6A021836"/>
    <w:rsid w:val="6A067E66"/>
    <w:rsid w:val="6A0A597F"/>
    <w:rsid w:val="6A102F95"/>
    <w:rsid w:val="6A170D51"/>
    <w:rsid w:val="6A19191D"/>
    <w:rsid w:val="6A1C4030"/>
    <w:rsid w:val="6A244B48"/>
    <w:rsid w:val="6A3A40DB"/>
    <w:rsid w:val="6A4B03C2"/>
    <w:rsid w:val="6A576B75"/>
    <w:rsid w:val="6A711BF9"/>
    <w:rsid w:val="6A75504B"/>
    <w:rsid w:val="6A774588"/>
    <w:rsid w:val="6A7D6CAF"/>
    <w:rsid w:val="6A7E25F5"/>
    <w:rsid w:val="6A7F1057"/>
    <w:rsid w:val="6A890241"/>
    <w:rsid w:val="6A890F99"/>
    <w:rsid w:val="6A8B4577"/>
    <w:rsid w:val="6A8B520E"/>
    <w:rsid w:val="6A8C58DC"/>
    <w:rsid w:val="6A955B90"/>
    <w:rsid w:val="6A991D33"/>
    <w:rsid w:val="6AA95198"/>
    <w:rsid w:val="6AA964F4"/>
    <w:rsid w:val="6AAA163C"/>
    <w:rsid w:val="6ABF1C94"/>
    <w:rsid w:val="6AC46281"/>
    <w:rsid w:val="6AC87D14"/>
    <w:rsid w:val="6AD04038"/>
    <w:rsid w:val="6AD466B8"/>
    <w:rsid w:val="6ADB7A47"/>
    <w:rsid w:val="6AE508C6"/>
    <w:rsid w:val="6AE81BC8"/>
    <w:rsid w:val="6AEB70B9"/>
    <w:rsid w:val="6AED37F2"/>
    <w:rsid w:val="6AEF06B9"/>
    <w:rsid w:val="6AF7DBD5"/>
    <w:rsid w:val="6AFF731D"/>
    <w:rsid w:val="6B07083C"/>
    <w:rsid w:val="6B12220B"/>
    <w:rsid w:val="6B217424"/>
    <w:rsid w:val="6B22308D"/>
    <w:rsid w:val="6B23319C"/>
    <w:rsid w:val="6B2338BC"/>
    <w:rsid w:val="6B234F4A"/>
    <w:rsid w:val="6B2807B2"/>
    <w:rsid w:val="6B2A0626"/>
    <w:rsid w:val="6B2F0F06"/>
    <w:rsid w:val="6B334861"/>
    <w:rsid w:val="6B3929BF"/>
    <w:rsid w:val="6B482F7D"/>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DE7AC3"/>
    <w:rsid w:val="6BE40B7D"/>
    <w:rsid w:val="6BEC7A32"/>
    <w:rsid w:val="6C0807A3"/>
    <w:rsid w:val="6C117498"/>
    <w:rsid w:val="6C1F5711"/>
    <w:rsid w:val="6C20148A"/>
    <w:rsid w:val="6C21592D"/>
    <w:rsid w:val="6C2D7757"/>
    <w:rsid w:val="6C411314"/>
    <w:rsid w:val="6C412FE0"/>
    <w:rsid w:val="6C4E2A07"/>
    <w:rsid w:val="6C501D6F"/>
    <w:rsid w:val="6C6625E1"/>
    <w:rsid w:val="6C6719A7"/>
    <w:rsid w:val="6C6C46F9"/>
    <w:rsid w:val="6C777CAC"/>
    <w:rsid w:val="6C7F08A6"/>
    <w:rsid w:val="6C8E0AE9"/>
    <w:rsid w:val="6C923939"/>
    <w:rsid w:val="6C967F0D"/>
    <w:rsid w:val="6CA05526"/>
    <w:rsid w:val="6CAC4153"/>
    <w:rsid w:val="6CAE6A95"/>
    <w:rsid w:val="6CAF39DE"/>
    <w:rsid w:val="6CB71DEE"/>
    <w:rsid w:val="6CBE10EF"/>
    <w:rsid w:val="6CBE12B4"/>
    <w:rsid w:val="6CC10EBE"/>
    <w:rsid w:val="6CCA61BE"/>
    <w:rsid w:val="6CCB3AEB"/>
    <w:rsid w:val="6CD12AC6"/>
    <w:rsid w:val="6CD52274"/>
    <w:rsid w:val="6CD8316D"/>
    <w:rsid w:val="6CDA5ADC"/>
    <w:rsid w:val="6CEC4D2D"/>
    <w:rsid w:val="6CF109D2"/>
    <w:rsid w:val="6CF463EC"/>
    <w:rsid w:val="6D002AD6"/>
    <w:rsid w:val="6D015A2E"/>
    <w:rsid w:val="6D01750D"/>
    <w:rsid w:val="6D020114"/>
    <w:rsid w:val="6D254FA9"/>
    <w:rsid w:val="6D276982"/>
    <w:rsid w:val="6D30174F"/>
    <w:rsid w:val="6D325918"/>
    <w:rsid w:val="6D352513"/>
    <w:rsid w:val="6D3B040E"/>
    <w:rsid w:val="6D3E42BD"/>
    <w:rsid w:val="6D4573FA"/>
    <w:rsid w:val="6D490D80"/>
    <w:rsid w:val="6D4C41C3"/>
    <w:rsid w:val="6D4E48CE"/>
    <w:rsid w:val="6D513FF0"/>
    <w:rsid w:val="6D521B17"/>
    <w:rsid w:val="6D57537F"/>
    <w:rsid w:val="6D5910F7"/>
    <w:rsid w:val="6D5A11EE"/>
    <w:rsid w:val="6D5A4EE8"/>
    <w:rsid w:val="6D5B17B0"/>
    <w:rsid w:val="6D5F3840"/>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6F69"/>
    <w:rsid w:val="6DB35909"/>
    <w:rsid w:val="6DB620A5"/>
    <w:rsid w:val="6DBE13EF"/>
    <w:rsid w:val="6DBE5E87"/>
    <w:rsid w:val="6DC522E8"/>
    <w:rsid w:val="6DD32C57"/>
    <w:rsid w:val="6DDEB473"/>
    <w:rsid w:val="6DEB41B1"/>
    <w:rsid w:val="6DF0480C"/>
    <w:rsid w:val="6DFE08FF"/>
    <w:rsid w:val="6E005A16"/>
    <w:rsid w:val="6E096679"/>
    <w:rsid w:val="6E0A419F"/>
    <w:rsid w:val="6E1870F4"/>
    <w:rsid w:val="6E192936"/>
    <w:rsid w:val="6E1F5A5B"/>
    <w:rsid w:val="6E2552A2"/>
    <w:rsid w:val="6E2B7B92"/>
    <w:rsid w:val="6E353C2B"/>
    <w:rsid w:val="6E3D37CD"/>
    <w:rsid w:val="6E3F653F"/>
    <w:rsid w:val="6E58315D"/>
    <w:rsid w:val="6E602011"/>
    <w:rsid w:val="6E6B7334"/>
    <w:rsid w:val="6E6C09B6"/>
    <w:rsid w:val="6E7004A6"/>
    <w:rsid w:val="6E707D97"/>
    <w:rsid w:val="6E7D7067"/>
    <w:rsid w:val="6E845862"/>
    <w:rsid w:val="6E856204"/>
    <w:rsid w:val="6E8B1221"/>
    <w:rsid w:val="6E8C7791"/>
    <w:rsid w:val="6E8E2DFC"/>
    <w:rsid w:val="6E99148A"/>
    <w:rsid w:val="6E9A42BE"/>
    <w:rsid w:val="6EA00E78"/>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FE3D04"/>
    <w:rsid w:val="6F0175A4"/>
    <w:rsid w:val="6F06777B"/>
    <w:rsid w:val="6F116A9F"/>
    <w:rsid w:val="6F1663F5"/>
    <w:rsid w:val="6F1F0A56"/>
    <w:rsid w:val="6F29622D"/>
    <w:rsid w:val="6F2E1CA4"/>
    <w:rsid w:val="6F333426"/>
    <w:rsid w:val="6F391DA4"/>
    <w:rsid w:val="6F3C1769"/>
    <w:rsid w:val="6F4D6D78"/>
    <w:rsid w:val="6F4E8EDA"/>
    <w:rsid w:val="6F510A1A"/>
    <w:rsid w:val="6F540FB0"/>
    <w:rsid w:val="6F5E29F5"/>
    <w:rsid w:val="6F7E53E5"/>
    <w:rsid w:val="6F9208F0"/>
    <w:rsid w:val="6F965839"/>
    <w:rsid w:val="6F98521B"/>
    <w:rsid w:val="6F992790"/>
    <w:rsid w:val="6FA10775"/>
    <w:rsid w:val="6FA81EC2"/>
    <w:rsid w:val="6FAB550E"/>
    <w:rsid w:val="6FAF5DE3"/>
    <w:rsid w:val="6FBB1BF5"/>
    <w:rsid w:val="6FBC94F4"/>
    <w:rsid w:val="6FBE3493"/>
    <w:rsid w:val="6FCC0A95"/>
    <w:rsid w:val="6FCF744E"/>
    <w:rsid w:val="6FD254FB"/>
    <w:rsid w:val="6FD269A1"/>
    <w:rsid w:val="6FD51038"/>
    <w:rsid w:val="6FDB6F32"/>
    <w:rsid w:val="6FE12F08"/>
    <w:rsid w:val="6FE32EFA"/>
    <w:rsid w:val="6FE50A20"/>
    <w:rsid w:val="6FE56C72"/>
    <w:rsid w:val="6FEB7959"/>
    <w:rsid w:val="6FEC1DAE"/>
    <w:rsid w:val="6FEED9F1"/>
    <w:rsid w:val="6FF71324"/>
    <w:rsid w:val="6FF838F6"/>
    <w:rsid w:val="6FF8D550"/>
    <w:rsid w:val="6FFA65F4"/>
    <w:rsid w:val="6FFB90E0"/>
    <w:rsid w:val="6FFD220E"/>
    <w:rsid w:val="6FFF3EF6"/>
    <w:rsid w:val="70035433"/>
    <w:rsid w:val="700840D2"/>
    <w:rsid w:val="70131A31"/>
    <w:rsid w:val="70195754"/>
    <w:rsid w:val="701A7080"/>
    <w:rsid w:val="701B2694"/>
    <w:rsid w:val="701C37AB"/>
    <w:rsid w:val="7020290C"/>
    <w:rsid w:val="70253512"/>
    <w:rsid w:val="702814CB"/>
    <w:rsid w:val="702C664F"/>
    <w:rsid w:val="703532C5"/>
    <w:rsid w:val="704515FA"/>
    <w:rsid w:val="7052137C"/>
    <w:rsid w:val="705A7D9D"/>
    <w:rsid w:val="70691651"/>
    <w:rsid w:val="70757FF6"/>
    <w:rsid w:val="70761FC0"/>
    <w:rsid w:val="707C4710"/>
    <w:rsid w:val="70822713"/>
    <w:rsid w:val="70862203"/>
    <w:rsid w:val="70880D43"/>
    <w:rsid w:val="708C533F"/>
    <w:rsid w:val="70934920"/>
    <w:rsid w:val="709361DC"/>
    <w:rsid w:val="709578C1"/>
    <w:rsid w:val="7099764F"/>
    <w:rsid w:val="709A5FCD"/>
    <w:rsid w:val="70A628A5"/>
    <w:rsid w:val="70B42DAE"/>
    <w:rsid w:val="70BE33D2"/>
    <w:rsid w:val="70C1323B"/>
    <w:rsid w:val="70C77C7E"/>
    <w:rsid w:val="70CD16CB"/>
    <w:rsid w:val="70DC163B"/>
    <w:rsid w:val="70DC70DA"/>
    <w:rsid w:val="70E52721"/>
    <w:rsid w:val="70E909E4"/>
    <w:rsid w:val="70EA7AAE"/>
    <w:rsid w:val="70F32FDB"/>
    <w:rsid w:val="70F361E7"/>
    <w:rsid w:val="70F3716D"/>
    <w:rsid w:val="70F76680"/>
    <w:rsid w:val="71080E6A"/>
    <w:rsid w:val="71185836"/>
    <w:rsid w:val="711C5DC8"/>
    <w:rsid w:val="712F22B8"/>
    <w:rsid w:val="7130216F"/>
    <w:rsid w:val="713C61FC"/>
    <w:rsid w:val="7141612A"/>
    <w:rsid w:val="714A1495"/>
    <w:rsid w:val="714D4ACF"/>
    <w:rsid w:val="714D4DDA"/>
    <w:rsid w:val="71554062"/>
    <w:rsid w:val="715D51C4"/>
    <w:rsid w:val="71681909"/>
    <w:rsid w:val="71724535"/>
    <w:rsid w:val="71775FF0"/>
    <w:rsid w:val="718002C9"/>
    <w:rsid w:val="71853303"/>
    <w:rsid w:val="7189187F"/>
    <w:rsid w:val="718D75C1"/>
    <w:rsid w:val="718F50E7"/>
    <w:rsid w:val="71A86C91"/>
    <w:rsid w:val="71AC2DFF"/>
    <w:rsid w:val="71AD43DD"/>
    <w:rsid w:val="71AD7C63"/>
    <w:rsid w:val="71AE2B03"/>
    <w:rsid w:val="71AF568D"/>
    <w:rsid w:val="71B9D13A"/>
    <w:rsid w:val="71C254BD"/>
    <w:rsid w:val="71D47469"/>
    <w:rsid w:val="71D75F6B"/>
    <w:rsid w:val="71E34706"/>
    <w:rsid w:val="71E4311C"/>
    <w:rsid w:val="71E64273"/>
    <w:rsid w:val="71EF3DD8"/>
    <w:rsid w:val="71FC4716"/>
    <w:rsid w:val="720901B6"/>
    <w:rsid w:val="720A676F"/>
    <w:rsid w:val="720E0702"/>
    <w:rsid w:val="720E0C51"/>
    <w:rsid w:val="721518F6"/>
    <w:rsid w:val="721532B0"/>
    <w:rsid w:val="72165809"/>
    <w:rsid w:val="721736C4"/>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B1F"/>
    <w:rsid w:val="72B87E28"/>
    <w:rsid w:val="72BB3CBA"/>
    <w:rsid w:val="72C07A50"/>
    <w:rsid w:val="72CE60E3"/>
    <w:rsid w:val="72D364DA"/>
    <w:rsid w:val="72D459C1"/>
    <w:rsid w:val="72D9462C"/>
    <w:rsid w:val="72DB7B79"/>
    <w:rsid w:val="72F36D66"/>
    <w:rsid w:val="72F71196"/>
    <w:rsid w:val="72FB03ED"/>
    <w:rsid w:val="72FF629D"/>
    <w:rsid w:val="73001975"/>
    <w:rsid w:val="730B5227"/>
    <w:rsid w:val="73306456"/>
    <w:rsid w:val="73326672"/>
    <w:rsid w:val="7338114D"/>
    <w:rsid w:val="733E1B79"/>
    <w:rsid w:val="733F2B3D"/>
    <w:rsid w:val="73465C7A"/>
    <w:rsid w:val="7347064A"/>
    <w:rsid w:val="734939BC"/>
    <w:rsid w:val="734964E3"/>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C372CA"/>
    <w:rsid w:val="73C377DF"/>
    <w:rsid w:val="73D56FFD"/>
    <w:rsid w:val="73D74B24"/>
    <w:rsid w:val="73D75CC6"/>
    <w:rsid w:val="73D83389"/>
    <w:rsid w:val="73DE4104"/>
    <w:rsid w:val="73DF5786"/>
    <w:rsid w:val="73E01C2A"/>
    <w:rsid w:val="73F456D6"/>
    <w:rsid w:val="73F834DE"/>
    <w:rsid w:val="73FE1225"/>
    <w:rsid w:val="73FE4F5B"/>
    <w:rsid w:val="74024296"/>
    <w:rsid w:val="741424D9"/>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561F0"/>
    <w:rsid w:val="746A2530"/>
    <w:rsid w:val="746B7328"/>
    <w:rsid w:val="74701E32"/>
    <w:rsid w:val="74934EEE"/>
    <w:rsid w:val="749809E1"/>
    <w:rsid w:val="749D668F"/>
    <w:rsid w:val="74A0634E"/>
    <w:rsid w:val="74A25132"/>
    <w:rsid w:val="74AC7A48"/>
    <w:rsid w:val="74AD4A43"/>
    <w:rsid w:val="74B03CF2"/>
    <w:rsid w:val="74B15375"/>
    <w:rsid w:val="74B310ED"/>
    <w:rsid w:val="74B33326"/>
    <w:rsid w:val="74C17067"/>
    <w:rsid w:val="74C975DD"/>
    <w:rsid w:val="74CB7AE0"/>
    <w:rsid w:val="74DB3473"/>
    <w:rsid w:val="74EB2763"/>
    <w:rsid w:val="74ED54EF"/>
    <w:rsid w:val="74F27AE5"/>
    <w:rsid w:val="74FC2209"/>
    <w:rsid w:val="75007C5E"/>
    <w:rsid w:val="7501454E"/>
    <w:rsid w:val="75061B64"/>
    <w:rsid w:val="750B717B"/>
    <w:rsid w:val="750C4CA1"/>
    <w:rsid w:val="75183646"/>
    <w:rsid w:val="75193C20"/>
    <w:rsid w:val="752244C4"/>
    <w:rsid w:val="75243816"/>
    <w:rsid w:val="75287D2D"/>
    <w:rsid w:val="752B7DA9"/>
    <w:rsid w:val="75322959"/>
    <w:rsid w:val="75387745"/>
    <w:rsid w:val="754206C3"/>
    <w:rsid w:val="75502DDF"/>
    <w:rsid w:val="75530322"/>
    <w:rsid w:val="755A4D97"/>
    <w:rsid w:val="75604F8E"/>
    <w:rsid w:val="756845CD"/>
    <w:rsid w:val="75698AAE"/>
    <w:rsid w:val="75705230"/>
    <w:rsid w:val="757271FA"/>
    <w:rsid w:val="75763BE2"/>
    <w:rsid w:val="758807CB"/>
    <w:rsid w:val="758B2654"/>
    <w:rsid w:val="758D16DD"/>
    <w:rsid w:val="758D36C3"/>
    <w:rsid w:val="758E461D"/>
    <w:rsid w:val="75936023"/>
    <w:rsid w:val="75A24FC9"/>
    <w:rsid w:val="75A5367F"/>
    <w:rsid w:val="75A86778"/>
    <w:rsid w:val="75AA6994"/>
    <w:rsid w:val="75AB6268"/>
    <w:rsid w:val="75AD1FE0"/>
    <w:rsid w:val="75B66A1A"/>
    <w:rsid w:val="75BC0DA6"/>
    <w:rsid w:val="75BF7F65"/>
    <w:rsid w:val="75C46760"/>
    <w:rsid w:val="75C537CD"/>
    <w:rsid w:val="75D03F20"/>
    <w:rsid w:val="75D37125"/>
    <w:rsid w:val="75E4177A"/>
    <w:rsid w:val="75F45E61"/>
    <w:rsid w:val="75F81F01"/>
    <w:rsid w:val="75FCA395"/>
    <w:rsid w:val="76020EA1"/>
    <w:rsid w:val="760A7432"/>
    <w:rsid w:val="760F2C9B"/>
    <w:rsid w:val="761756AB"/>
    <w:rsid w:val="761F5082"/>
    <w:rsid w:val="76206C56"/>
    <w:rsid w:val="762140C2"/>
    <w:rsid w:val="76287F26"/>
    <w:rsid w:val="76320737"/>
    <w:rsid w:val="763829FD"/>
    <w:rsid w:val="76394E56"/>
    <w:rsid w:val="76396D60"/>
    <w:rsid w:val="764F753B"/>
    <w:rsid w:val="76516E0F"/>
    <w:rsid w:val="76530DD9"/>
    <w:rsid w:val="76593F16"/>
    <w:rsid w:val="765B1CCF"/>
    <w:rsid w:val="765C3F6D"/>
    <w:rsid w:val="76680CF1"/>
    <w:rsid w:val="766E5C13"/>
    <w:rsid w:val="768D497C"/>
    <w:rsid w:val="76903064"/>
    <w:rsid w:val="76911902"/>
    <w:rsid w:val="769E7B7B"/>
    <w:rsid w:val="76A02DB3"/>
    <w:rsid w:val="76A03194"/>
    <w:rsid w:val="76AF37BE"/>
    <w:rsid w:val="76B17DED"/>
    <w:rsid w:val="76B32088"/>
    <w:rsid w:val="76B37ACA"/>
    <w:rsid w:val="76BB697E"/>
    <w:rsid w:val="76C05D43"/>
    <w:rsid w:val="76C92E49"/>
    <w:rsid w:val="76D04F73"/>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356B"/>
    <w:rsid w:val="77507B50"/>
    <w:rsid w:val="775832D0"/>
    <w:rsid w:val="776310AF"/>
    <w:rsid w:val="776C1A27"/>
    <w:rsid w:val="7771703D"/>
    <w:rsid w:val="7774550B"/>
    <w:rsid w:val="7778661E"/>
    <w:rsid w:val="777E7C1C"/>
    <w:rsid w:val="77830A09"/>
    <w:rsid w:val="77855149"/>
    <w:rsid w:val="77884510"/>
    <w:rsid w:val="77884AB3"/>
    <w:rsid w:val="779416A9"/>
    <w:rsid w:val="779B1D4F"/>
    <w:rsid w:val="779F3BAA"/>
    <w:rsid w:val="77A24726"/>
    <w:rsid w:val="77A25449"/>
    <w:rsid w:val="77AB4ED0"/>
    <w:rsid w:val="77B0248F"/>
    <w:rsid w:val="77B2760C"/>
    <w:rsid w:val="77B35AC9"/>
    <w:rsid w:val="77B557D3"/>
    <w:rsid w:val="77BC0B2A"/>
    <w:rsid w:val="77BF2E02"/>
    <w:rsid w:val="77C83229"/>
    <w:rsid w:val="77CB0E43"/>
    <w:rsid w:val="77D56023"/>
    <w:rsid w:val="77DE2925"/>
    <w:rsid w:val="77E251B6"/>
    <w:rsid w:val="77E37F3B"/>
    <w:rsid w:val="77E872FF"/>
    <w:rsid w:val="77EB05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AB77B5"/>
    <w:rsid w:val="78B23D00"/>
    <w:rsid w:val="78B43685"/>
    <w:rsid w:val="78B958A9"/>
    <w:rsid w:val="78B96EEE"/>
    <w:rsid w:val="78C064CE"/>
    <w:rsid w:val="78C27525"/>
    <w:rsid w:val="78C55892"/>
    <w:rsid w:val="78C80736"/>
    <w:rsid w:val="78CC460F"/>
    <w:rsid w:val="78D16440"/>
    <w:rsid w:val="78D37FAF"/>
    <w:rsid w:val="78D53FEF"/>
    <w:rsid w:val="78D635FC"/>
    <w:rsid w:val="78D802CB"/>
    <w:rsid w:val="78DD4999"/>
    <w:rsid w:val="78E1748A"/>
    <w:rsid w:val="78E43C3A"/>
    <w:rsid w:val="78E51DC1"/>
    <w:rsid w:val="78FD7F33"/>
    <w:rsid w:val="79005B4C"/>
    <w:rsid w:val="790A7C54"/>
    <w:rsid w:val="79165E39"/>
    <w:rsid w:val="79172B8D"/>
    <w:rsid w:val="791D202A"/>
    <w:rsid w:val="79243D01"/>
    <w:rsid w:val="79352A18"/>
    <w:rsid w:val="7936053E"/>
    <w:rsid w:val="793D0477"/>
    <w:rsid w:val="793D7B1F"/>
    <w:rsid w:val="793E2B81"/>
    <w:rsid w:val="79406912"/>
    <w:rsid w:val="79442C5B"/>
    <w:rsid w:val="795D5ACB"/>
    <w:rsid w:val="796B5E5A"/>
    <w:rsid w:val="797650C3"/>
    <w:rsid w:val="797D616D"/>
    <w:rsid w:val="798474FC"/>
    <w:rsid w:val="79856DD0"/>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2439"/>
    <w:rsid w:val="7A2A5002"/>
    <w:rsid w:val="7A37585A"/>
    <w:rsid w:val="7A3E58FC"/>
    <w:rsid w:val="7A5A025C"/>
    <w:rsid w:val="7A5B6D2C"/>
    <w:rsid w:val="7A5B73A8"/>
    <w:rsid w:val="7A5F5873"/>
    <w:rsid w:val="7A6413DB"/>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42695"/>
    <w:rsid w:val="7AB6E8FE"/>
    <w:rsid w:val="7ABC1D2D"/>
    <w:rsid w:val="7AC027B5"/>
    <w:rsid w:val="7AC047E6"/>
    <w:rsid w:val="7AC848ED"/>
    <w:rsid w:val="7AD43416"/>
    <w:rsid w:val="7AD63D87"/>
    <w:rsid w:val="7AD85E10"/>
    <w:rsid w:val="7AE53F6D"/>
    <w:rsid w:val="7AF062D6"/>
    <w:rsid w:val="7AF25943"/>
    <w:rsid w:val="7AF30181"/>
    <w:rsid w:val="7AF44DFF"/>
    <w:rsid w:val="7AF514D5"/>
    <w:rsid w:val="7AF661D7"/>
    <w:rsid w:val="7AF90389"/>
    <w:rsid w:val="7AF95CC7"/>
    <w:rsid w:val="7AFF9F9D"/>
    <w:rsid w:val="7B032A3A"/>
    <w:rsid w:val="7B036F20"/>
    <w:rsid w:val="7B09527D"/>
    <w:rsid w:val="7B146194"/>
    <w:rsid w:val="7B227874"/>
    <w:rsid w:val="7B2F5245"/>
    <w:rsid w:val="7B30793B"/>
    <w:rsid w:val="7B3BDD07"/>
    <w:rsid w:val="7B4718A3"/>
    <w:rsid w:val="7B48773F"/>
    <w:rsid w:val="7B494559"/>
    <w:rsid w:val="7B531545"/>
    <w:rsid w:val="7B5A49B8"/>
    <w:rsid w:val="7B654568"/>
    <w:rsid w:val="7B704F89"/>
    <w:rsid w:val="7B7A2964"/>
    <w:rsid w:val="7B7C69A4"/>
    <w:rsid w:val="7B7FF546"/>
    <w:rsid w:val="7B853D48"/>
    <w:rsid w:val="7B85422E"/>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47F46"/>
    <w:rsid w:val="7BE64EF9"/>
    <w:rsid w:val="7BE6624C"/>
    <w:rsid w:val="7BEF3D12"/>
    <w:rsid w:val="7BF10231"/>
    <w:rsid w:val="7BF3487A"/>
    <w:rsid w:val="7BF756FE"/>
    <w:rsid w:val="7BFB1064"/>
    <w:rsid w:val="7BFE17E7"/>
    <w:rsid w:val="7BFF028F"/>
    <w:rsid w:val="7C0E3AED"/>
    <w:rsid w:val="7C10151B"/>
    <w:rsid w:val="7C2D5C29"/>
    <w:rsid w:val="7C305719"/>
    <w:rsid w:val="7C3172F7"/>
    <w:rsid w:val="7C370855"/>
    <w:rsid w:val="7C3949A7"/>
    <w:rsid w:val="7C3B59D3"/>
    <w:rsid w:val="7C3D3992"/>
    <w:rsid w:val="7C41167F"/>
    <w:rsid w:val="7C456003"/>
    <w:rsid w:val="7C501917"/>
    <w:rsid w:val="7C63789C"/>
    <w:rsid w:val="7C6461C4"/>
    <w:rsid w:val="7C7716B2"/>
    <w:rsid w:val="7C7E1E5C"/>
    <w:rsid w:val="7C8617DD"/>
    <w:rsid w:val="7C8998D9"/>
    <w:rsid w:val="7C8E41ED"/>
    <w:rsid w:val="7C921F30"/>
    <w:rsid w:val="7CA53A11"/>
    <w:rsid w:val="7CAB4D9F"/>
    <w:rsid w:val="7CB37868"/>
    <w:rsid w:val="7CB4042E"/>
    <w:rsid w:val="7CB71996"/>
    <w:rsid w:val="7CB807DC"/>
    <w:rsid w:val="7CBB1819"/>
    <w:rsid w:val="7CBC51FE"/>
    <w:rsid w:val="7CBF0A06"/>
    <w:rsid w:val="7CC17FED"/>
    <w:rsid w:val="7CC540B3"/>
    <w:rsid w:val="7CC8701A"/>
    <w:rsid w:val="7CD92EB0"/>
    <w:rsid w:val="7CE51BC3"/>
    <w:rsid w:val="7CED360A"/>
    <w:rsid w:val="7CED7166"/>
    <w:rsid w:val="7CEEB960"/>
    <w:rsid w:val="7CEF86A8"/>
    <w:rsid w:val="7CF16265"/>
    <w:rsid w:val="7CF33E53"/>
    <w:rsid w:val="7CF7580D"/>
    <w:rsid w:val="7CF83C2F"/>
    <w:rsid w:val="7CFA3997"/>
    <w:rsid w:val="7CFFF5B8"/>
    <w:rsid w:val="7D024F8E"/>
    <w:rsid w:val="7D0262F2"/>
    <w:rsid w:val="7D0C1CE2"/>
    <w:rsid w:val="7D150AFD"/>
    <w:rsid w:val="7D15201E"/>
    <w:rsid w:val="7D1D3EEF"/>
    <w:rsid w:val="7D250FF6"/>
    <w:rsid w:val="7D3B31E8"/>
    <w:rsid w:val="7D3B4375"/>
    <w:rsid w:val="7D4274B2"/>
    <w:rsid w:val="7D484623"/>
    <w:rsid w:val="7D4C20DE"/>
    <w:rsid w:val="7D50302A"/>
    <w:rsid w:val="7D507A47"/>
    <w:rsid w:val="7D52346D"/>
    <w:rsid w:val="7D563C1F"/>
    <w:rsid w:val="7D5F62B6"/>
    <w:rsid w:val="7D625DA6"/>
    <w:rsid w:val="7D646FE6"/>
    <w:rsid w:val="7D6C2781"/>
    <w:rsid w:val="7D6E191D"/>
    <w:rsid w:val="7D7702C0"/>
    <w:rsid w:val="7D7D2D16"/>
    <w:rsid w:val="7D7DD7D4"/>
    <w:rsid w:val="7D7F16EC"/>
    <w:rsid w:val="7D8A547F"/>
    <w:rsid w:val="7D8E0949"/>
    <w:rsid w:val="7D902913"/>
    <w:rsid w:val="7D9870EB"/>
    <w:rsid w:val="7D997627"/>
    <w:rsid w:val="7DA39DD3"/>
    <w:rsid w:val="7DA834E4"/>
    <w:rsid w:val="7DB90FC9"/>
    <w:rsid w:val="7DBA2B7D"/>
    <w:rsid w:val="7DBE3BDC"/>
    <w:rsid w:val="7DBFD623"/>
    <w:rsid w:val="7DD03787"/>
    <w:rsid w:val="7DD1074B"/>
    <w:rsid w:val="7DD65E4C"/>
    <w:rsid w:val="7DD81597"/>
    <w:rsid w:val="7DDD55F1"/>
    <w:rsid w:val="7DE06D1E"/>
    <w:rsid w:val="7DED25F1"/>
    <w:rsid w:val="7DF11799"/>
    <w:rsid w:val="7DF40153"/>
    <w:rsid w:val="7DFB3584"/>
    <w:rsid w:val="7DFC494D"/>
    <w:rsid w:val="7DFD4D3E"/>
    <w:rsid w:val="7DFEBF87"/>
    <w:rsid w:val="7E001370"/>
    <w:rsid w:val="7E046E5D"/>
    <w:rsid w:val="7E0D3F64"/>
    <w:rsid w:val="7E0E3838"/>
    <w:rsid w:val="7E10135E"/>
    <w:rsid w:val="7E141027"/>
    <w:rsid w:val="7E155935"/>
    <w:rsid w:val="7E170E7D"/>
    <w:rsid w:val="7E1A2BCF"/>
    <w:rsid w:val="7E1C0204"/>
    <w:rsid w:val="7E22507B"/>
    <w:rsid w:val="7E2E7A36"/>
    <w:rsid w:val="7E357016"/>
    <w:rsid w:val="7E36758B"/>
    <w:rsid w:val="7E3C6480"/>
    <w:rsid w:val="7E405974"/>
    <w:rsid w:val="7E464D80"/>
    <w:rsid w:val="7E4B05E8"/>
    <w:rsid w:val="7E505516"/>
    <w:rsid w:val="7E5112D9"/>
    <w:rsid w:val="7E5576B9"/>
    <w:rsid w:val="7E642257"/>
    <w:rsid w:val="7E6478FC"/>
    <w:rsid w:val="7E660E19"/>
    <w:rsid w:val="7E672D78"/>
    <w:rsid w:val="7E6E2528"/>
    <w:rsid w:val="7E6F077A"/>
    <w:rsid w:val="7E6F1A5B"/>
    <w:rsid w:val="7E7235F9"/>
    <w:rsid w:val="7E778D31"/>
    <w:rsid w:val="7E784022"/>
    <w:rsid w:val="7E7A4224"/>
    <w:rsid w:val="7E7B232B"/>
    <w:rsid w:val="7E88183C"/>
    <w:rsid w:val="7E905AF8"/>
    <w:rsid w:val="7EA15E3E"/>
    <w:rsid w:val="7EA357F8"/>
    <w:rsid w:val="7EA53912"/>
    <w:rsid w:val="7EAA7A04"/>
    <w:rsid w:val="7EAE5035"/>
    <w:rsid w:val="7EB4C332"/>
    <w:rsid w:val="7EB5014B"/>
    <w:rsid w:val="7EB56CC0"/>
    <w:rsid w:val="7EB663A9"/>
    <w:rsid w:val="7EBD9CB7"/>
    <w:rsid w:val="7EBF8D68"/>
    <w:rsid w:val="7EC363D0"/>
    <w:rsid w:val="7EC469CB"/>
    <w:rsid w:val="7EC90406"/>
    <w:rsid w:val="7EC97625"/>
    <w:rsid w:val="7ED11CAD"/>
    <w:rsid w:val="7ED87E98"/>
    <w:rsid w:val="7EDD0641"/>
    <w:rsid w:val="7EE527EB"/>
    <w:rsid w:val="7EEF1467"/>
    <w:rsid w:val="7EF16AAC"/>
    <w:rsid w:val="7EF86D6A"/>
    <w:rsid w:val="7F045B57"/>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05567"/>
    <w:rsid w:val="7F857B2A"/>
    <w:rsid w:val="7F903BD2"/>
    <w:rsid w:val="7F963AE5"/>
    <w:rsid w:val="7FAE2048"/>
    <w:rsid w:val="7FAF933B"/>
    <w:rsid w:val="7FB71253"/>
    <w:rsid w:val="7FB73115"/>
    <w:rsid w:val="7FB863C1"/>
    <w:rsid w:val="7FBD1532"/>
    <w:rsid w:val="7FBD72C3"/>
    <w:rsid w:val="7FBF303C"/>
    <w:rsid w:val="7FD6583E"/>
    <w:rsid w:val="7FDF8DA8"/>
    <w:rsid w:val="7FDFC7BC"/>
    <w:rsid w:val="7FE7683D"/>
    <w:rsid w:val="7FEB0D5C"/>
    <w:rsid w:val="7FEBB101"/>
    <w:rsid w:val="7FF2879D"/>
    <w:rsid w:val="7FF6562E"/>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DEF6A34"/>
    <w:rsid w:val="ADFD1B46"/>
    <w:rsid w:val="AECDD1DA"/>
    <w:rsid w:val="AF09F5FF"/>
    <w:rsid w:val="AF7F8A21"/>
    <w:rsid w:val="B36A1026"/>
    <w:rsid w:val="B3F3063D"/>
    <w:rsid w:val="B5DA5392"/>
    <w:rsid w:val="B79BE617"/>
    <w:rsid w:val="B7CE4B8B"/>
    <w:rsid w:val="B7FA7F68"/>
    <w:rsid w:val="B94BDE29"/>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D52B5D"/>
    <w:rsid w:val="DFD7661A"/>
    <w:rsid w:val="DFF5FE75"/>
    <w:rsid w:val="DFFFC86B"/>
    <w:rsid w:val="E47B2EFB"/>
    <w:rsid w:val="E5BF92B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77D45E"/>
    <w:rsid w:val="FF7954AB"/>
    <w:rsid w:val="FF7D1313"/>
    <w:rsid w:val="FF7D1E65"/>
    <w:rsid w:val="FFAFBBC1"/>
    <w:rsid w:val="FFBA7B91"/>
    <w:rsid w:val="FFBDBD99"/>
    <w:rsid w:val="FFBFB36E"/>
    <w:rsid w:val="FFBFE4E6"/>
    <w:rsid w:val="FFCB45A0"/>
    <w:rsid w:val="FFCB90D5"/>
    <w:rsid w:val="FFD7D610"/>
    <w:rsid w:val="FFDDECD7"/>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link w:val="26"/>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4"/>
    <w:unhideWhenUsed/>
    <w:qFormat/>
    <w:uiPriority w:val="0"/>
    <w:pPr>
      <w:jc w:val="left"/>
    </w:pPr>
  </w:style>
  <w:style w:type="paragraph" w:styleId="9">
    <w:name w:val="Body Text"/>
    <w:basedOn w:val="1"/>
    <w:next w:val="10"/>
    <w:link w:val="35"/>
    <w:unhideWhenUsed/>
    <w:qFormat/>
    <w:uiPriority w:val="0"/>
    <w:pPr>
      <w:spacing w:after="120"/>
    </w:pPr>
    <w:rPr>
      <w:rFonts w:ascii="Times New Roman" w:hAnsi="Times New Roman" w:eastAsia="宋体"/>
      <w:sz w:val="24"/>
    </w:rPr>
  </w:style>
  <w:style w:type="paragraph" w:styleId="1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link w:val="36"/>
    <w:qFormat/>
    <w:uiPriority w:val="0"/>
    <w:rPr>
      <w:rFonts w:ascii="宋体" w:hAnsi="Courier New"/>
    </w:rPr>
  </w:style>
  <w:style w:type="paragraph" w:styleId="13">
    <w:name w:val="Balloon Text"/>
    <w:basedOn w:val="1"/>
    <w:link w:val="37"/>
    <w:unhideWhenUsed/>
    <w:qFormat/>
    <w:uiPriority w:val="99"/>
    <w:rPr>
      <w:sz w:val="18"/>
      <w:szCs w:val="18"/>
    </w:rPr>
  </w:style>
  <w:style w:type="paragraph" w:styleId="14">
    <w:name w:val="footer"/>
    <w:basedOn w:val="1"/>
    <w:link w:val="38"/>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unhideWhenUsed/>
    <w:qFormat/>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8"/>
    <w:next w:val="8"/>
    <w:link w:val="40"/>
    <w:unhideWhenUsed/>
    <w:qFormat/>
    <w:uiPriority w:val="99"/>
    <w:rPr>
      <w:b/>
      <w:bCs/>
    </w:rPr>
  </w:style>
  <w:style w:type="paragraph" w:styleId="22">
    <w:name w:val="Body Text First Indent"/>
    <w:basedOn w:val="9"/>
    <w:qFormat/>
    <w:uiPriority w:val="0"/>
    <w:pPr>
      <w:spacing w:line="560" w:lineRule="exact"/>
      <w:ind w:firstLine="720" w:firstLineChars="200"/>
    </w:p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w:basedOn w:val="1"/>
    <w:link w:val="25"/>
    <w:qFormat/>
    <w:uiPriority w:val="0"/>
    <w:pPr>
      <w:widowControl/>
      <w:spacing w:after="160" w:line="240" w:lineRule="exact"/>
      <w:jc w:val="left"/>
    </w:p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正文格式"/>
    <w:basedOn w:val="11"/>
    <w:qFormat/>
    <w:uiPriority w:val="99"/>
    <w:pPr>
      <w:spacing w:after="0" w:line="360" w:lineRule="auto"/>
      <w:ind w:left="0" w:leftChars="0" w:firstLine="600"/>
    </w:pPr>
    <w:rPr>
      <w:rFonts w:eastAsia="仿宋_GB2312"/>
      <w:sz w:val="30"/>
      <w:szCs w:val="30"/>
    </w:rPr>
  </w:style>
  <w:style w:type="character" w:customStyle="1" w:styleId="33">
    <w:name w:val="标题 5 字符"/>
    <w:link w:val="6"/>
    <w:semiHidden/>
    <w:qFormat/>
    <w:uiPriority w:val="9"/>
    <w:rPr>
      <w:b/>
      <w:bCs/>
      <w:kern w:val="2"/>
      <w:sz w:val="28"/>
      <w:szCs w:val="28"/>
    </w:rPr>
  </w:style>
  <w:style w:type="character" w:customStyle="1" w:styleId="34">
    <w:name w:val="批注文字 字符"/>
    <w:link w:val="8"/>
    <w:qFormat/>
    <w:uiPriority w:val="0"/>
    <w:rPr>
      <w:rFonts w:ascii="Times New Roman" w:hAnsi="Times New Roman" w:eastAsia="宋体" w:cs="Times New Roman"/>
      <w:szCs w:val="24"/>
    </w:rPr>
  </w:style>
  <w:style w:type="character" w:customStyle="1" w:styleId="35">
    <w:name w:val="正文文本 字符"/>
    <w:link w:val="9"/>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批注框文本 字符"/>
    <w:link w:val="13"/>
    <w:semiHidden/>
    <w:qFormat/>
    <w:uiPriority w:val="99"/>
    <w:rPr>
      <w:rFonts w:ascii="Times New Roman" w:hAnsi="Times New Roman" w:eastAsia="宋体" w:cs="Times New Roman"/>
      <w:sz w:val="18"/>
      <w:szCs w:val="18"/>
    </w:rPr>
  </w:style>
  <w:style w:type="character" w:customStyle="1" w:styleId="38">
    <w:name w:val="页脚 字符1"/>
    <w:link w:val="14"/>
    <w:qFormat/>
    <w:uiPriority w:val="99"/>
    <w:rPr>
      <w:sz w:val="18"/>
      <w:szCs w:val="18"/>
    </w:rPr>
  </w:style>
  <w:style w:type="character" w:customStyle="1" w:styleId="39">
    <w:name w:val="页眉 字符"/>
    <w:link w:val="15"/>
    <w:qFormat/>
    <w:uiPriority w:val="99"/>
    <w:rPr>
      <w:sz w:val="18"/>
      <w:szCs w:val="18"/>
    </w:rPr>
  </w:style>
  <w:style w:type="character" w:customStyle="1" w:styleId="40">
    <w:name w:val="批注主题 字符"/>
    <w:link w:val="21"/>
    <w:semiHidden/>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rPr>
      <w:szCs w:val="24"/>
    </w:r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 w:type="paragraph" w:customStyle="1" w:styleId="6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qh-PC</Company>
  <Pages>73</Pages>
  <Words>38499</Words>
  <Characters>41053</Characters>
  <Lines>319</Lines>
  <Paragraphs>89</Paragraphs>
  <TotalTime>0</TotalTime>
  <ScaleCrop>false</ScaleCrop>
  <LinksUpToDate>false</LinksUpToDate>
  <CharactersWithSpaces>43018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2021-12-05T17:11:00Z</dcterms:created>
  <dc:creator>远东招标-凌勰13728851925</dc:creator>
  <cp:lastModifiedBy>YDZB</cp:lastModifiedBy>
  <cp:lastPrinted>2022-08-22T22:55:00Z</cp:lastPrinted>
  <dcterms:modified xsi:type="dcterms:W3CDTF">2023-10-25T06:39:38Z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B9B87925B8624CAAB70B71106A134BAD</vt:lpwstr>
  </property>
  <property fmtid="{D5CDD505-2E9C-101B-9397-08002B2CF9AE}" pid="4" name="commondata">
    <vt:lpwstr>eyJoZGlkIjoiYmMxMDc3MzEwOWIzMjRmOWFjY2ZmMjJjMThlMGUwZWUifQ==</vt:lpwstr>
  </property>
</Properties>
</file>