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内部评审项目评分表</w:t>
      </w:r>
    </w:p>
    <w:p>
      <w:pPr>
        <w:tabs>
          <w:tab w:val="left" w:pos="7380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" w:hAnsi="仿宋" w:eastAsia="仿宋" w:cs="仿宋"/>
          <w:b w:val="0"/>
          <w:bCs w:val="0"/>
          <w:szCs w:val="24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 w:val="0"/>
          <w:szCs w:val="24"/>
          <w:lang w:eastAsia="zh-CN"/>
        </w:rPr>
        <w:t>旅游市场常态化打击</w:t>
      </w:r>
      <w:r>
        <w:rPr>
          <w:rFonts w:ascii="仿宋" w:hAnsi="仿宋" w:eastAsia="仿宋" w:cs="仿宋"/>
          <w:b w:val="0"/>
          <w:bCs w:val="0"/>
          <w:szCs w:val="24"/>
        </w:rPr>
        <w:t>整治</w:t>
      </w:r>
      <w:r>
        <w:rPr>
          <w:rFonts w:hint="eastAsia" w:ascii="仿宋" w:hAnsi="仿宋" w:eastAsia="仿宋" w:cs="仿宋"/>
          <w:b w:val="0"/>
          <w:bCs w:val="0"/>
          <w:szCs w:val="24"/>
          <w:lang w:eastAsia="zh-CN"/>
        </w:rPr>
        <w:t>养老诈骗</w:t>
      </w:r>
      <w:r>
        <w:rPr>
          <w:rFonts w:ascii="仿宋" w:hAnsi="仿宋" w:eastAsia="仿宋" w:cs="仿宋"/>
          <w:b w:val="0"/>
          <w:bCs w:val="0"/>
          <w:szCs w:val="24"/>
        </w:rPr>
        <w:t>专项宣传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800"/>
        <w:gridCol w:w="8050"/>
        <w:gridCol w:w="1190"/>
        <w:gridCol w:w="1458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1" w:type="dxa"/>
            <w:shd w:val="clear" w:color="auto" w:fill="F3F3F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评分项目</w:t>
            </w:r>
          </w:p>
        </w:tc>
        <w:tc>
          <w:tcPr>
            <w:tcW w:w="800" w:type="dxa"/>
            <w:shd w:val="clear" w:color="auto" w:fill="F3F3F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权重</w:t>
            </w:r>
          </w:p>
        </w:tc>
        <w:tc>
          <w:tcPr>
            <w:tcW w:w="8050" w:type="dxa"/>
            <w:shd w:val="clear" w:color="auto" w:fill="F3F3F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评</w:t>
            </w:r>
            <w:r>
              <w:rPr>
                <w:rFonts w:ascii="宋体" w:hAnsi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分</w:t>
            </w:r>
            <w:r>
              <w:rPr>
                <w:rFonts w:ascii="宋体" w:hAnsi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参</w:t>
            </w:r>
            <w:r>
              <w:rPr>
                <w:rFonts w:ascii="宋体" w:hAnsi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考</w:t>
            </w:r>
            <w:r>
              <w:rPr>
                <w:rFonts w:ascii="宋体" w:hAnsi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及</w:t>
            </w:r>
            <w:r>
              <w:rPr>
                <w:rFonts w:ascii="宋体" w:hAnsi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范</w:t>
            </w:r>
            <w:r>
              <w:rPr>
                <w:rFonts w:ascii="宋体" w:hAnsi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围</w:t>
            </w:r>
          </w:p>
        </w:tc>
        <w:tc>
          <w:tcPr>
            <w:tcW w:w="4208" w:type="dxa"/>
            <w:gridSpan w:val="3"/>
            <w:tcBorders/>
            <w:shd w:val="clear" w:color="auto" w:fill="F3F3F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lang w:eastAsia="zh-CN"/>
              </w:rPr>
              <w:t>投标公司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51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8050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left"/>
              <w:rPr>
                <w:rFonts w:hint="eastAsia" w:asci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统一采用低价优先法计算，即满足招标文件要求且投标价格最低的投标报价为评标基准价，其价格分为满分。其他投标人的价格分统一按照下列公式计算：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投标报价得分=（评标基准价/投标报价）×权重分值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51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</w:t>
            </w:r>
            <w:r>
              <w:rPr>
                <w:rFonts w:ascii="宋体"/>
                <w:color w:val="000000"/>
                <w:kern w:val="0"/>
              </w:rPr>
              <w:t>0</w:t>
            </w:r>
          </w:p>
        </w:tc>
        <w:tc>
          <w:tcPr>
            <w:tcW w:w="8050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根据：（1）投标人对社区专题宣传工作内容掌握情况；（2）方案内容详细程度、覆盖区域；(3)工作方案与招标要求契合度及可行性；(4)设计画面创意初稿；（5）提供宣传清单情况。</w:t>
            </w:r>
          </w:p>
          <w:p>
            <w:pPr>
              <w:tabs>
                <w:tab w:val="left" w:pos="451"/>
              </w:tabs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①满足以上五项要求，得24-30分；</w:t>
            </w:r>
          </w:p>
          <w:p>
            <w:pPr>
              <w:tabs>
                <w:tab w:val="left" w:pos="451"/>
              </w:tabs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②满足以上四项要求，得18-23分；</w:t>
            </w:r>
          </w:p>
          <w:p>
            <w:pPr>
              <w:tabs>
                <w:tab w:val="left" w:pos="451"/>
              </w:tabs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③满足以上三项要求，得12-17分；</w:t>
            </w:r>
          </w:p>
          <w:p>
            <w:pPr>
              <w:tabs>
                <w:tab w:val="left" w:pos="451"/>
              </w:tabs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④满足以上二项要求，得6—11分；</w:t>
            </w:r>
          </w:p>
          <w:p>
            <w:pPr>
              <w:tabs>
                <w:tab w:val="left" w:pos="451"/>
              </w:tabs>
              <w:spacing w:line="360" w:lineRule="exact"/>
              <w:rPr>
                <w:lang w:val="en-GB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⑤满足以上一项及其以下要求，得0-5分。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4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51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>资质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  <w:lang w:val="en-US" w:eastAsia="zh-CN"/>
              </w:rPr>
              <w:t>3</w:t>
            </w:r>
            <w:r>
              <w:rPr>
                <w:rFonts w:ascii="宋体"/>
                <w:color w:val="000000"/>
                <w:kern w:val="0"/>
              </w:rPr>
              <w:t>0</w:t>
            </w:r>
          </w:p>
        </w:tc>
        <w:tc>
          <w:tcPr>
            <w:tcW w:w="8050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exact"/>
              <w:rPr>
                <w:rFonts w:hint="eastAsia" w:ascii="宋体" w:eastAsia="宋体" w:cs="宋体"/>
                <w:sz w:val="20"/>
                <w:lang w:val="en-GB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提供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社区门禁灯箱授权</w:t>
            </w:r>
            <w:r>
              <w:rPr>
                <w:rFonts w:hint="eastAsia" w:ascii="宋体" w:hAnsi="宋体"/>
                <w:sz w:val="24"/>
                <w:lang w:eastAsia="zh-CN"/>
              </w:rPr>
              <w:t>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30分，不提供不得分（复印件加盖公章）。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51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hint="eastAsia" w:ascii="宋体" w:hAnsi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同类项目工作经验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Times New Roman"/>
                <w:color w:val="000000"/>
                <w:kern w:val="0"/>
                <w:sz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</w:rPr>
              <w:t>10</w:t>
            </w:r>
          </w:p>
        </w:tc>
        <w:tc>
          <w:tcPr>
            <w:tcW w:w="8050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hint="eastAsia" w:ascii="宋体" w:hAnsi="Times New Roman" w:eastAsia="宋体" w:cs="宋体"/>
                <w:b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年（自2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020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10月</w:t>
            </w:r>
            <w:r>
              <w:rPr>
                <w:rFonts w:hint="eastAsia" w:ascii="宋体" w:hAnsi="宋体"/>
                <w:sz w:val="24"/>
              </w:rPr>
              <w:t>起）从事过政府机关、事业单位同类项目：每提供一个</w:t>
            </w:r>
            <w:r>
              <w:rPr>
                <w:rFonts w:hint="eastAsia" w:ascii="宋体" w:hAnsi="宋体"/>
                <w:sz w:val="24"/>
                <w:lang w:eastAsia="zh-CN"/>
              </w:rPr>
              <w:t>案例</w:t>
            </w:r>
            <w:r>
              <w:rPr>
                <w:rFonts w:hint="eastAsia" w:ascii="宋体" w:hAnsi="宋体"/>
                <w:sz w:val="24"/>
              </w:rPr>
              <w:t>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分，</w:t>
            </w:r>
            <w:r>
              <w:rPr>
                <w:rFonts w:hint="eastAsia" w:ascii="宋体" w:hAnsi="宋体"/>
                <w:sz w:val="24"/>
                <w:lang w:eastAsia="zh-CN"/>
              </w:rPr>
              <w:t>共</w:t>
            </w:r>
            <w:r>
              <w:rPr>
                <w:rFonts w:hint="eastAsia" w:ascii="宋体" w:hAnsi="宋体"/>
                <w:sz w:val="24"/>
              </w:rPr>
              <w:t>10分(需提供相关证明资料，不提供不得分)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651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服务</w:t>
            </w:r>
            <w:r>
              <w:rPr>
                <w:rFonts w:hint="eastAsia" w:ascii="宋体" w:hAnsi="宋体"/>
                <w:sz w:val="24"/>
                <w:lang w:eastAsia="zh-CN"/>
              </w:rPr>
              <w:t>及售后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10</w:t>
            </w:r>
          </w:p>
        </w:tc>
        <w:tc>
          <w:tcPr>
            <w:tcW w:w="8050" w:type="dxa"/>
            <w:noWrap w:val="0"/>
            <w:vAlign w:val="center"/>
          </w:tcPr>
          <w:p>
            <w:pPr>
              <w:tabs>
                <w:tab w:val="left" w:pos="451"/>
              </w:tabs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因本项目工作需出入人员密集场所，投标单位需提供工作人员管理方案，并对人员诚信情况、行为规范等进行承诺，得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分，评标小组进行综合评分。</w:t>
            </w:r>
          </w:p>
          <w:p>
            <w:pPr>
              <w:tabs>
                <w:tab w:val="left" w:pos="451"/>
              </w:tabs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对宣传内容、质量</w:t>
            </w:r>
            <w:r>
              <w:rPr>
                <w:rFonts w:hint="eastAsia" w:ascii="宋体" w:hAnsi="宋体"/>
                <w:sz w:val="24"/>
                <w:lang w:eastAsia="zh-CN"/>
              </w:rPr>
              <w:t>、上刊报告</w:t>
            </w:r>
            <w:r>
              <w:rPr>
                <w:rFonts w:hint="eastAsia" w:ascii="宋体" w:hAnsi="宋体"/>
                <w:sz w:val="24"/>
              </w:rPr>
              <w:t>等方面给出方案及承诺</w:t>
            </w:r>
            <w:r>
              <w:rPr>
                <w:rFonts w:hint="eastAsia" w:ascii="宋体" w:hAnsi="宋体"/>
                <w:sz w:val="24"/>
                <w:lang w:eastAsia="zh-CN"/>
              </w:rPr>
              <w:t>，得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5分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tabs>
                <w:tab w:val="left" w:pos="451"/>
              </w:tabs>
              <w:spacing w:line="360" w:lineRule="exact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sz w:val="24"/>
              </w:rPr>
              <w:t>评审标准：根据投标人方案中的可执行度、满足服务需求，进行综合打分。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0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评标总得分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</w:tbl>
    <w:p/>
    <w:p>
      <w:r>
        <w:rPr>
          <w:rFonts w:hint="eastAsia" w:ascii="仿宋_GB2312" w:hAnsi="仿宋_GB2312" w:eastAsia="仿宋_GB2312" w:cs="仿宋_GB2312"/>
          <w:sz w:val="28"/>
          <w:szCs w:val="28"/>
        </w:rPr>
        <w:t>评审小组评分员签名：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期：</w:t>
      </w:r>
    </w:p>
    <w:p/>
    <w:p/>
    <w:sectPr>
      <w:pgSz w:w="16838" w:h="11906" w:orient="landscape"/>
      <w:pgMar w:top="663" w:right="1134" w:bottom="66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D16A"/>
    <w:rsid w:val="1A7B41A8"/>
    <w:rsid w:val="E7EC5E53"/>
    <w:rsid w:val="EE6FF309"/>
    <w:rsid w:val="F1C7134F"/>
    <w:rsid w:val="FFFBD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5"/>
    <w:next w:val="6"/>
    <w:qFormat/>
    <w:uiPriority w:val="9"/>
    <w:pPr>
      <w:spacing w:line="560" w:lineRule="exact"/>
      <w:ind w:firstLine="980" w:firstLineChars="200"/>
      <w:outlineLvl w:val="1"/>
    </w:pPr>
    <w:rPr>
      <w:rFonts w:ascii="Arial" w:hAnsi="Arial" w:eastAsia="楷体_GB2312"/>
    </w:rPr>
  </w:style>
  <w:style w:type="paragraph" w:styleId="5">
    <w:name w:val="heading 3"/>
    <w:basedOn w:val="6"/>
    <w:next w:val="1"/>
    <w:qFormat/>
    <w:uiPriority w:val="9"/>
    <w:pPr>
      <w:jc w:val="left"/>
      <w:outlineLvl w:val="2"/>
    </w:pPr>
    <w:rPr>
      <w:rFonts w:hint="eastAsia" w:ascii="宋体" w:hAnsi="宋体" w:eastAsia="仿宋_GB2312"/>
      <w:kern w:val="0"/>
      <w:sz w:val="32"/>
      <w:szCs w:val="27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 w:hAnsi="宋体"/>
      <w:sz w:val="24"/>
    </w:rPr>
  </w:style>
  <w:style w:type="paragraph" w:styleId="7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2023-03-22T00:47:00Z</dcterms:created>
  <dc:creator>wtjxdn</dc:creator>
  <cp:lastModifiedBy>wtjxdn</cp:lastModifiedBy>
  <cp:lastPrinted>2023-03-22T15:43:37Z</cp:lastPrinted>
  <dcterms:modified xsi:type="dcterms:W3CDTF">2023-10-16T11:15:40Z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