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21"/>
          <w:szCs w:val="21"/>
        </w:rPr>
      </w:pPr>
    </w:p>
    <w:p>
      <w:pPr>
        <w:jc w:val="center"/>
        <w:rPr>
          <w:b/>
          <w:sz w:val="48"/>
          <w:szCs w:val="48"/>
        </w:rPr>
      </w:pPr>
    </w:p>
    <w:p>
      <w:pPr>
        <w:jc w:val="center"/>
        <w:rPr>
          <w:b/>
          <w:sz w:val="48"/>
          <w:szCs w:val="48"/>
        </w:rPr>
      </w:pPr>
      <w:r>
        <w:rPr>
          <w:rFonts w:hint="eastAsia"/>
          <w:b/>
          <w:sz w:val="48"/>
          <w:szCs w:val="48"/>
        </w:rPr>
        <w:t>南山区住房和建设局采购</w:t>
      </w:r>
    </w:p>
    <w:p>
      <w:pPr>
        <w:jc w:val="center"/>
        <w:rPr>
          <w:b/>
          <w:sz w:val="48"/>
          <w:szCs w:val="48"/>
        </w:rPr>
      </w:pPr>
      <w:r>
        <w:rPr>
          <w:b/>
          <w:sz w:val="48"/>
          <w:szCs w:val="48"/>
          <w:u w:val="single"/>
        </w:rPr>
        <w:t>2023年</w:t>
      </w:r>
      <w:r>
        <w:rPr>
          <w:rFonts w:hint="eastAsia"/>
          <w:b/>
          <w:sz w:val="48"/>
          <w:szCs w:val="48"/>
          <w:u w:val="single"/>
        </w:rPr>
        <w:t>南山区城市体检技术服务</w:t>
      </w:r>
      <w:r>
        <w:rPr>
          <w:rFonts w:hint="eastAsia"/>
          <w:b/>
          <w:sz w:val="48"/>
          <w:szCs w:val="48"/>
        </w:rPr>
        <w:t>项目</w:t>
      </w:r>
    </w:p>
    <w:p>
      <w:pPr>
        <w:jc w:val="center"/>
        <w:rPr>
          <w:b/>
          <w:sz w:val="48"/>
          <w:szCs w:val="48"/>
        </w:rPr>
      </w:pPr>
      <w:r>
        <w:rPr>
          <w:rFonts w:hint="eastAsia"/>
          <w:b/>
          <w:sz w:val="48"/>
          <w:szCs w:val="48"/>
        </w:rPr>
        <w:t>招标文件</w:t>
      </w:r>
    </w:p>
    <w:p>
      <w:pPr>
        <w:pStyle w:val="14"/>
        <w:jc w:val="center"/>
        <w:outlineLvl w:val="1"/>
        <w:rPr>
          <w:rFonts w:ascii="黑体" w:hAnsi="黑体" w:eastAsia="黑体"/>
          <w:sz w:val="40"/>
          <w:szCs w:val="40"/>
        </w:rPr>
      </w:pPr>
    </w:p>
    <w:p>
      <w:pPr>
        <w:pStyle w:val="14"/>
        <w:jc w:val="both"/>
        <w:outlineLvl w:val="1"/>
        <w:rPr>
          <w:rFonts w:ascii="黑体" w:hAnsi="黑体" w:eastAsia="黑体"/>
          <w:sz w:val="40"/>
          <w:szCs w:val="40"/>
        </w:rPr>
      </w:pPr>
    </w:p>
    <w:tbl>
      <w:tblPr>
        <w:tblStyle w:val="17"/>
        <w:tblW w:w="7938" w:type="dxa"/>
        <w:jc w:val="center"/>
        <w:tblCellSpacing w:w="0" w:type="dxa"/>
        <w:tblLayout w:type="autofit"/>
        <w:tblCellMar>
          <w:top w:w="36" w:type="dxa"/>
          <w:left w:w="36" w:type="dxa"/>
          <w:bottom w:w="36" w:type="dxa"/>
          <w:right w:w="36" w:type="dxa"/>
        </w:tblCellMar>
      </w:tblPr>
      <w:tblGrid>
        <w:gridCol w:w="2108"/>
        <w:gridCol w:w="5830"/>
      </w:tblGrid>
      <w:tr>
        <w:tblPrEx>
          <w:tblCellMar>
            <w:top w:w="36" w:type="dxa"/>
            <w:left w:w="36" w:type="dxa"/>
            <w:bottom w:w="36" w:type="dxa"/>
            <w:right w:w="36" w:type="dxa"/>
          </w:tblCellMar>
        </w:tblPrEx>
        <w:trPr>
          <w:trHeight w:val="737" w:hRule="atLeast"/>
          <w:tblCellSpacing w:w="0" w:type="dxa"/>
          <w:jc w:val="center"/>
        </w:trPr>
        <w:tc>
          <w:tcPr>
            <w:tcW w:w="0" w:type="auto"/>
            <w:vAlign w:val="center"/>
          </w:tcPr>
          <w:p>
            <w:pPr>
              <w:jc w:val="right"/>
              <w:rPr>
                <w:sz w:val="30"/>
                <w:szCs w:val="30"/>
              </w:rPr>
            </w:pPr>
            <w:r>
              <w:rPr>
                <w:sz w:val="30"/>
                <w:szCs w:val="30"/>
              </w:rPr>
              <w:t>项目名称：</w:t>
            </w:r>
          </w:p>
        </w:tc>
        <w:tc>
          <w:tcPr>
            <w:tcW w:w="0" w:type="auto"/>
            <w:vAlign w:val="center"/>
          </w:tcPr>
          <w:p>
            <w:pPr>
              <w:rPr>
                <w:sz w:val="30"/>
                <w:szCs w:val="30"/>
                <w:u w:val="single"/>
              </w:rPr>
            </w:pPr>
            <w:r>
              <w:rPr>
                <w:sz w:val="30"/>
                <w:szCs w:val="30"/>
                <w:u w:val="single"/>
              </w:rPr>
              <w:t>2023年</w:t>
            </w:r>
            <w:r>
              <w:rPr>
                <w:rFonts w:hint="eastAsia"/>
                <w:sz w:val="30"/>
                <w:szCs w:val="30"/>
                <w:u w:val="single"/>
              </w:rPr>
              <w:t>南山区城市体检技术服务</w:t>
            </w:r>
          </w:p>
        </w:tc>
      </w:tr>
      <w:tr>
        <w:tblPrEx>
          <w:tblCellMar>
            <w:top w:w="36" w:type="dxa"/>
            <w:left w:w="36" w:type="dxa"/>
            <w:bottom w:w="36" w:type="dxa"/>
            <w:right w:w="36" w:type="dxa"/>
          </w:tblCellMar>
        </w:tblPrEx>
        <w:trPr>
          <w:trHeight w:val="737" w:hRule="atLeast"/>
          <w:tblCellSpacing w:w="0" w:type="dxa"/>
          <w:jc w:val="center"/>
        </w:trPr>
        <w:tc>
          <w:tcPr>
            <w:tcW w:w="0" w:type="auto"/>
            <w:vAlign w:val="center"/>
          </w:tcPr>
          <w:p>
            <w:pPr>
              <w:jc w:val="right"/>
              <w:rPr>
                <w:sz w:val="30"/>
                <w:szCs w:val="30"/>
              </w:rPr>
            </w:pPr>
            <w:r>
              <w:rPr>
                <w:sz w:val="30"/>
                <w:szCs w:val="30"/>
              </w:rPr>
              <w:t>项目类型：</w:t>
            </w:r>
          </w:p>
        </w:tc>
        <w:tc>
          <w:tcPr>
            <w:tcW w:w="0" w:type="auto"/>
            <w:vAlign w:val="center"/>
          </w:tcPr>
          <w:p>
            <w:pPr>
              <w:rPr>
                <w:sz w:val="30"/>
                <w:szCs w:val="30"/>
              </w:rPr>
            </w:pPr>
            <w:r>
              <w:rPr>
                <w:sz w:val="30"/>
                <w:szCs w:val="30"/>
              </w:rPr>
              <w:t>服务类</w:t>
            </w:r>
          </w:p>
        </w:tc>
      </w:tr>
      <w:tr>
        <w:tblPrEx>
          <w:tblCellMar>
            <w:top w:w="36" w:type="dxa"/>
            <w:left w:w="36" w:type="dxa"/>
            <w:bottom w:w="36" w:type="dxa"/>
            <w:right w:w="36" w:type="dxa"/>
          </w:tblCellMar>
        </w:tblPrEx>
        <w:trPr>
          <w:trHeight w:val="737" w:hRule="atLeast"/>
          <w:tblCellSpacing w:w="0" w:type="dxa"/>
          <w:jc w:val="center"/>
        </w:trPr>
        <w:tc>
          <w:tcPr>
            <w:tcW w:w="0" w:type="auto"/>
            <w:vAlign w:val="center"/>
          </w:tcPr>
          <w:p>
            <w:pPr>
              <w:jc w:val="right"/>
              <w:rPr>
                <w:sz w:val="30"/>
                <w:szCs w:val="30"/>
              </w:rPr>
            </w:pPr>
            <w:r>
              <w:rPr>
                <w:sz w:val="30"/>
                <w:szCs w:val="30"/>
              </w:rPr>
              <w:t>项目</w:t>
            </w:r>
            <w:r>
              <w:rPr>
                <w:rFonts w:hint="eastAsia"/>
                <w:sz w:val="30"/>
                <w:szCs w:val="30"/>
              </w:rPr>
              <w:t>编号</w:t>
            </w:r>
            <w:r>
              <w:rPr>
                <w:sz w:val="30"/>
                <w:szCs w:val="30"/>
              </w:rPr>
              <w:t>：</w:t>
            </w:r>
          </w:p>
        </w:tc>
        <w:tc>
          <w:tcPr>
            <w:tcW w:w="0" w:type="auto"/>
            <w:vAlign w:val="center"/>
          </w:tcPr>
          <w:p>
            <w:pPr>
              <w:rPr>
                <w:sz w:val="30"/>
                <w:szCs w:val="30"/>
              </w:rPr>
            </w:pPr>
          </w:p>
        </w:tc>
      </w:tr>
      <w:tr>
        <w:tblPrEx>
          <w:tblCellMar>
            <w:top w:w="36" w:type="dxa"/>
            <w:left w:w="36" w:type="dxa"/>
            <w:bottom w:w="36" w:type="dxa"/>
            <w:right w:w="36" w:type="dxa"/>
          </w:tblCellMar>
        </w:tblPrEx>
        <w:trPr>
          <w:trHeight w:val="737" w:hRule="atLeast"/>
          <w:tblCellSpacing w:w="0" w:type="dxa"/>
          <w:jc w:val="center"/>
        </w:trPr>
        <w:tc>
          <w:tcPr>
            <w:tcW w:w="0" w:type="auto"/>
            <w:vAlign w:val="center"/>
          </w:tcPr>
          <w:p>
            <w:pPr>
              <w:jc w:val="right"/>
              <w:rPr>
                <w:sz w:val="30"/>
                <w:szCs w:val="30"/>
              </w:rPr>
            </w:pPr>
            <w:r>
              <w:rPr>
                <w:rFonts w:hint="eastAsia"/>
                <w:sz w:val="30"/>
                <w:szCs w:val="30"/>
              </w:rPr>
              <w:t>定</w:t>
            </w:r>
            <w:r>
              <w:rPr>
                <w:sz w:val="30"/>
                <w:szCs w:val="30"/>
              </w:rPr>
              <w:t>标方法：</w:t>
            </w:r>
          </w:p>
        </w:tc>
        <w:tc>
          <w:tcPr>
            <w:tcW w:w="0" w:type="auto"/>
            <w:vAlign w:val="center"/>
          </w:tcPr>
          <w:p>
            <w:pPr>
              <w:rPr>
                <w:sz w:val="30"/>
                <w:szCs w:val="30"/>
              </w:rPr>
            </w:pPr>
            <w:r>
              <w:rPr>
                <w:sz w:val="30"/>
                <w:szCs w:val="30"/>
              </w:rPr>
              <w:t>综合评分法</w:t>
            </w:r>
          </w:p>
        </w:tc>
      </w:tr>
    </w:tbl>
    <w:p>
      <w:pPr>
        <w:widowControl w:val="0"/>
        <w:spacing w:before="156" w:beforeLines="50" w:after="156" w:afterLines="50"/>
        <w:jc w:val="both"/>
        <w:rPr>
          <w:rFonts w:ascii="楷体" w:hAnsi="楷体" w:eastAsia="楷体" w:cs="Times New Roman"/>
          <w:bCs/>
          <w:kern w:val="2"/>
        </w:rPr>
      </w:pPr>
    </w:p>
    <w:p>
      <w:pPr>
        <w:pStyle w:val="3"/>
        <w:rPr>
          <w:rFonts w:ascii="楷体" w:hAnsi="楷体" w:eastAsia="楷体"/>
          <w:b w:val="0"/>
          <w:kern w:val="2"/>
        </w:rPr>
      </w:pPr>
    </w:p>
    <w:p>
      <w:pPr>
        <w:rPr>
          <w:rFonts w:ascii="楷体" w:hAnsi="楷体" w:eastAsia="楷体" w:cs="Times New Roman"/>
          <w:bCs/>
          <w:kern w:val="2"/>
        </w:rPr>
      </w:pPr>
    </w:p>
    <w:p>
      <w:pPr>
        <w:pStyle w:val="7"/>
        <w:ind w:firstLine="0" w:firstLineChars="0"/>
      </w:pPr>
    </w:p>
    <w:p>
      <w:pPr>
        <w:widowControl w:val="0"/>
        <w:spacing w:before="156" w:beforeLines="50" w:after="156" w:afterLines="50"/>
        <w:jc w:val="center"/>
        <w:rPr>
          <w:rFonts w:ascii="楷体" w:hAnsi="楷体" w:eastAsia="楷体" w:cs="Times New Roman"/>
          <w:bCs/>
          <w:kern w:val="2"/>
        </w:rPr>
      </w:pPr>
      <w:r>
        <w:rPr>
          <w:rFonts w:hint="eastAsia" w:ascii="楷体" w:hAnsi="楷体" w:eastAsia="楷体" w:cs="Times New Roman"/>
          <w:bCs/>
          <w:kern w:val="2"/>
        </w:rPr>
        <w:t>南山区住房和建设局 制定</w:t>
      </w:r>
    </w:p>
    <w:p>
      <w:pPr>
        <w:widowControl w:val="0"/>
        <w:spacing w:before="156" w:beforeLines="50" w:after="156" w:afterLines="50"/>
        <w:jc w:val="center"/>
        <w:rPr>
          <w:b/>
          <w:bCs/>
          <w:sz w:val="28"/>
          <w:szCs w:val="20"/>
        </w:rPr>
      </w:pPr>
      <w:r>
        <w:rPr>
          <w:rFonts w:hint="eastAsia" w:ascii="楷体" w:hAnsi="楷体" w:eastAsia="楷体" w:cs="Times New Roman"/>
          <w:bCs/>
          <w:kern w:val="2"/>
        </w:rPr>
        <w:t>二〇二三年</w:t>
      </w:r>
      <w:r>
        <w:rPr>
          <w:rFonts w:hint="eastAsia" w:ascii="楷体" w:hAnsi="楷体" w:eastAsia="楷体" w:cs="Times New Roman"/>
          <w:bCs/>
          <w:kern w:val="2"/>
          <w:u w:val="single"/>
        </w:rPr>
        <w:t xml:space="preserve"> 七 </w:t>
      </w:r>
      <w:r>
        <w:rPr>
          <w:rFonts w:hint="eastAsia" w:ascii="楷体" w:hAnsi="楷体" w:eastAsia="楷体" w:cs="Times New Roman"/>
          <w:bCs/>
          <w:kern w:val="2"/>
        </w:rPr>
        <w:t>月</w:t>
      </w:r>
    </w:p>
    <w:p>
      <w:pPr>
        <w:pStyle w:val="14"/>
        <w:jc w:val="center"/>
        <w:outlineLvl w:val="1"/>
        <w:rPr>
          <w:rFonts w:ascii="Times New Roman" w:hAnsi="Times New Roman"/>
          <w:b/>
          <w:bCs/>
          <w:kern w:val="44"/>
          <w:sz w:val="32"/>
          <w:szCs w:val="52"/>
        </w:rPr>
      </w:pPr>
      <w:r>
        <w:rPr>
          <w:rFonts w:hint="eastAsia" w:ascii="Times New Roman" w:hAnsi="Times New Roman"/>
          <w:b/>
          <w:bCs/>
          <w:kern w:val="44"/>
          <w:sz w:val="32"/>
          <w:szCs w:val="52"/>
        </w:rPr>
        <w:t>第一章  投标单位的资格要求</w:t>
      </w:r>
    </w:p>
    <w:p>
      <w:pPr>
        <w:spacing w:before="156" w:beforeLines="50" w:after="156" w:afterLines="50" w:line="480" w:lineRule="exact"/>
        <w:ind w:firstLine="480" w:firstLineChars="200"/>
      </w:pPr>
      <w:r>
        <w:rPr>
          <w:rFonts w:hint="eastAsia"/>
        </w:rPr>
        <w:t>一、符合《中华人民共和国政府采购法》第二十二条规定。</w:t>
      </w:r>
    </w:p>
    <w:p>
      <w:pPr>
        <w:spacing w:before="156" w:beforeLines="50" w:after="156" w:afterLines="50" w:line="480" w:lineRule="exact"/>
        <w:ind w:firstLine="480" w:firstLineChars="200"/>
      </w:pPr>
      <w:r>
        <w:rPr>
          <w:rFonts w:hint="eastAsia"/>
        </w:rPr>
        <w:t>二、本项目的特定资格要求：</w:t>
      </w:r>
      <w:r>
        <w:rPr>
          <w:rFonts w:hint="eastAsia"/>
          <w:u w:val="single"/>
        </w:rPr>
        <w:t xml:space="preserve"> 投标人业务范围应包含城乡规划、工程等相关技术咨询范围，须具备城市规划及设计经验 </w:t>
      </w:r>
      <w:r>
        <w:rPr>
          <w:rFonts w:hint="eastAsia"/>
        </w:rPr>
        <w:t>。</w:t>
      </w:r>
    </w:p>
    <w:p>
      <w:pPr>
        <w:spacing w:before="156" w:beforeLines="50" w:after="156" w:afterLines="50" w:line="480" w:lineRule="exact"/>
        <w:ind w:firstLine="480" w:firstLineChars="200"/>
      </w:pPr>
      <w:r>
        <w:rPr>
          <w:rFonts w:hint="eastAsia"/>
        </w:rPr>
        <w:t>三、落实政府采购政策需满足的资格要求：本项目不属于专门面向特定企业（单位）的采购项目。</w:t>
      </w:r>
    </w:p>
    <w:p>
      <w:pPr>
        <w:spacing w:before="156" w:beforeLines="50" w:after="156" w:afterLines="50" w:line="480" w:lineRule="exact"/>
        <w:ind w:firstLine="480" w:firstLineChars="200"/>
      </w:pPr>
      <w:r>
        <w:rPr>
          <w:rFonts w:hint="eastAsia"/>
        </w:rPr>
        <w:t>四、参与本项目政府采购活动时不存在被有关部门禁止参与政府采购活动且在有效期内的情况（由供应商在《政府采购投标及履约承诺函》中作出声明）。</w:t>
      </w:r>
    </w:p>
    <w:p>
      <w:pPr>
        <w:spacing w:before="156" w:beforeLines="50" w:after="156" w:afterLines="50" w:line="480" w:lineRule="exact"/>
        <w:ind w:firstLine="480" w:firstLineChars="200"/>
      </w:pPr>
      <w:r>
        <w:rPr>
          <w:rFonts w:hint="eastAsia"/>
        </w:rPr>
        <w:t>五、单位负责人为同一人或者存在直接控股、管理关系的不同供应商，不得参加同一合同项下的政府采购活动（由供应商在《政府采购投标及履约承诺函》中作出声明）。</w:t>
      </w:r>
    </w:p>
    <w:p>
      <w:pPr>
        <w:spacing w:before="156" w:beforeLines="50" w:after="156" w:afterLines="50" w:line="480" w:lineRule="exact"/>
        <w:ind w:firstLine="480" w:firstLineChars="200"/>
      </w:pPr>
      <w:r>
        <w:rPr>
          <w:rFonts w:hint="eastAsia"/>
        </w:rPr>
        <w:t>六、未被列入失信被执行人、重大税收违法案件当事人名单、政府采购严重违法失信行为记录名单（由供应商在《政府采购投标及履约承诺函》中作出声明）。注：“信用中国”、“中国政府采购网”、“深圳信用网”以及“深圳市政府采购监管网”为供应商信用信息的查询渠道，相关信息以开标当日的查询结果为准。</w:t>
      </w:r>
    </w:p>
    <w:p>
      <w:pPr>
        <w:spacing w:before="156" w:beforeLines="50" w:after="156" w:afterLines="50" w:line="480" w:lineRule="exact"/>
        <w:ind w:firstLine="480" w:firstLineChars="200"/>
      </w:pPr>
      <w:r>
        <w:rPr>
          <w:rFonts w:hint="eastAsia"/>
        </w:rPr>
        <w:t>七、本项目不接受联合体投标。本项目不接受进口产品投标。</w:t>
      </w:r>
    </w:p>
    <w:p>
      <w:pPr>
        <w:pStyle w:val="7"/>
        <w:spacing w:before="156" w:beforeLines="50" w:after="156" w:afterLines="50"/>
        <w:ind w:firstLine="480"/>
      </w:pPr>
    </w:p>
    <w:p>
      <w:pPr>
        <w:pStyle w:val="7"/>
        <w:spacing w:before="156" w:beforeLines="50" w:after="156" w:afterLines="50"/>
        <w:ind w:firstLine="480"/>
      </w:pPr>
    </w:p>
    <w:p>
      <w:pPr>
        <w:pStyle w:val="7"/>
        <w:spacing w:before="156" w:beforeLines="50" w:after="156" w:afterLines="50"/>
        <w:ind w:firstLine="480"/>
      </w:pPr>
    </w:p>
    <w:p>
      <w:pPr>
        <w:pStyle w:val="7"/>
        <w:spacing w:before="156" w:beforeLines="50" w:after="156" w:afterLines="50"/>
        <w:ind w:firstLine="480"/>
      </w:pPr>
    </w:p>
    <w:p>
      <w:pPr>
        <w:keepNext/>
        <w:keepLines/>
        <w:widowControl w:val="0"/>
        <w:spacing w:line="360" w:lineRule="auto"/>
        <w:jc w:val="both"/>
        <w:outlineLvl w:val="0"/>
        <w:rPr>
          <w:rFonts w:ascii="Times New Roman" w:hAnsi="Times New Roman" w:cs="Times New Roman"/>
          <w:b/>
          <w:bCs/>
          <w:kern w:val="44"/>
          <w:sz w:val="32"/>
          <w:szCs w:val="32"/>
        </w:rPr>
      </w:pPr>
    </w:p>
    <w:p>
      <w:pPr>
        <w:pStyle w:val="3"/>
      </w:pPr>
    </w:p>
    <w:p>
      <w:pPr>
        <w:pStyle w:val="14"/>
        <w:jc w:val="center"/>
        <w:outlineLvl w:val="1"/>
        <w:rPr>
          <w:rFonts w:ascii="Times New Roman" w:hAnsi="Times New Roman"/>
          <w:b/>
          <w:bCs/>
          <w:kern w:val="44"/>
          <w:sz w:val="32"/>
          <w:szCs w:val="52"/>
        </w:rPr>
      </w:pPr>
    </w:p>
    <w:p>
      <w:pPr>
        <w:pStyle w:val="14"/>
        <w:jc w:val="center"/>
        <w:outlineLvl w:val="1"/>
        <w:rPr>
          <w:rFonts w:ascii="Times New Roman" w:hAnsi="Times New Roman"/>
          <w:b/>
          <w:bCs/>
          <w:kern w:val="44"/>
          <w:sz w:val="32"/>
          <w:szCs w:val="52"/>
        </w:rPr>
      </w:pPr>
    </w:p>
    <w:p>
      <w:pPr>
        <w:pStyle w:val="14"/>
        <w:jc w:val="center"/>
        <w:outlineLvl w:val="1"/>
        <w:rPr>
          <w:rFonts w:ascii="Times New Roman" w:hAnsi="Times New Roman"/>
          <w:b/>
          <w:bCs/>
          <w:kern w:val="44"/>
          <w:sz w:val="32"/>
          <w:szCs w:val="52"/>
        </w:rPr>
      </w:pPr>
      <w:r>
        <w:rPr>
          <w:rFonts w:hint="eastAsia" w:ascii="Times New Roman" w:hAnsi="Times New Roman"/>
          <w:b/>
          <w:bCs/>
          <w:kern w:val="44"/>
          <w:sz w:val="32"/>
          <w:szCs w:val="52"/>
        </w:rPr>
        <w:t>第二章  招标项目概况</w:t>
      </w:r>
      <w:bookmarkStart w:id="0" w:name="_Toc73518117"/>
      <w:bookmarkStart w:id="1" w:name="_Toc73517639"/>
      <w:bookmarkStart w:id="2" w:name="_Toc73521547"/>
      <w:bookmarkStart w:id="3" w:name="_Toc60631620"/>
      <w:bookmarkStart w:id="4" w:name="_Toc73521635"/>
      <w:bookmarkStart w:id="5" w:name="_Toc60560625"/>
      <w:bookmarkStart w:id="6" w:name="_Toc101074876"/>
      <w:bookmarkStart w:id="7" w:name="_Toc100052364"/>
    </w:p>
    <w:p>
      <w:pPr>
        <w:keepNext/>
        <w:keepLines/>
        <w:widowControl w:val="0"/>
        <w:adjustRightInd w:val="0"/>
        <w:spacing w:before="156" w:beforeLines="50" w:after="156" w:afterLines="50" w:line="480" w:lineRule="exact"/>
        <w:textAlignment w:val="baseline"/>
        <w:outlineLvl w:val="1"/>
        <w:rPr>
          <w:rFonts w:ascii="Times New Roman" w:hAnsi="Times New Roman" w:cs="Times New Roman"/>
          <w:b/>
          <w:bCs/>
          <w:szCs w:val="20"/>
        </w:rPr>
      </w:pPr>
      <w:r>
        <w:rPr>
          <w:rFonts w:hint="eastAsia" w:ascii="Times New Roman" w:hAnsi="Times New Roman" w:cs="Times New Roman"/>
          <w:b/>
          <w:bCs/>
          <w:szCs w:val="20"/>
        </w:rPr>
        <w:t>一、招标信息</w:t>
      </w:r>
    </w:p>
    <w:bookmarkEnd w:id="0"/>
    <w:bookmarkEnd w:id="1"/>
    <w:bookmarkEnd w:id="2"/>
    <w:bookmarkEnd w:id="3"/>
    <w:bookmarkEnd w:id="4"/>
    <w:bookmarkEnd w:id="5"/>
    <w:bookmarkEnd w:id="6"/>
    <w:bookmarkEnd w:id="7"/>
    <w:tbl>
      <w:tblPr>
        <w:tblStyle w:val="17"/>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965"/>
        <w:gridCol w:w="5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2" w:hRule="atLeast"/>
          <w:jc w:val="center"/>
        </w:trPr>
        <w:tc>
          <w:tcPr>
            <w:tcW w:w="729" w:type="dxa"/>
            <w:vAlign w:val="center"/>
          </w:tcPr>
          <w:p>
            <w:pPr>
              <w:widowControl w:val="0"/>
              <w:spacing w:line="480" w:lineRule="exact"/>
              <w:jc w:val="center"/>
              <w:rPr>
                <w:rFonts w:ascii="Times New Roman" w:hAnsi="Times New Roman" w:cs="Times New Roman"/>
                <w:b/>
                <w:bCs/>
                <w:kern w:val="2"/>
              </w:rPr>
            </w:pPr>
            <w:r>
              <w:rPr>
                <w:rFonts w:ascii="Times New Roman" w:hAnsi="Times New Roman" w:cs="Times New Roman"/>
                <w:b/>
                <w:bCs/>
                <w:kern w:val="2"/>
              </w:rPr>
              <w:t>序号</w:t>
            </w:r>
          </w:p>
        </w:tc>
        <w:tc>
          <w:tcPr>
            <w:tcW w:w="1965" w:type="dxa"/>
            <w:vAlign w:val="center"/>
          </w:tcPr>
          <w:p>
            <w:pPr>
              <w:widowControl w:val="0"/>
              <w:spacing w:line="480" w:lineRule="exact"/>
              <w:jc w:val="center"/>
              <w:rPr>
                <w:rFonts w:ascii="Times New Roman" w:hAnsi="Times New Roman" w:cs="Times New Roman"/>
                <w:b/>
                <w:bCs/>
                <w:kern w:val="2"/>
              </w:rPr>
            </w:pPr>
            <w:r>
              <w:rPr>
                <w:rFonts w:ascii="Times New Roman" w:hAnsi="Times New Roman" w:cs="Times New Roman"/>
                <w:b/>
                <w:bCs/>
                <w:kern w:val="2"/>
              </w:rPr>
              <w:t>内   容</w:t>
            </w:r>
          </w:p>
        </w:tc>
        <w:tc>
          <w:tcPr>
            <w:tcW w:w="5673" w:type="dxa"/>
            <w:vAlign w:val="center"/>
          </w:tcPr>
          <w:p>
            <w:pPr>
              <w:widowControl w:val="0"/>
              <w:spacing w:line="480" w:lineRule="exact"/>
              <w:jc w:val="center"/>
              <w:rPr>
                <w:rFonts w:ascii="Times New Roman" w:hAnsi="Times New Roman" w:cs="Times New Roman"/>
                <w:b/>
                <w:bCs/>
                <w:kern w:val="2"/>
              </w:rPr>
            </w:pPr>
            <w:r>
              <w:rPr>
                <w:rFonts w:ascii="Times New Roman" w:hAnsi="Times New Roman" w:cs="Times New Roman"/>
                <w:b/>
                <w:bCs/>
                <w:kern w:val="2"/>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29" w:type="dxa"/>
            <w:vAlign w:val="center"/>
          </w:tcPr>
          <w:p>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1</w:t>
            </w:r>
          </w:p>
        </w:tc>
        <w:tc>
          <w:tcPr>
            <w:tcW w:w="1965" w:type="dxa"/>
            <w:vAlign w:val="center"/>
          </w:tcPr>
          <w:p>
            <w:pPr>
              <w:widowControl w:val="0"/>
              <w:spacing w:line="480" w:lineRule="exact"/>
              <w:jc w:val="center"/>
              <w:rPr>
                <w:rFonts w:ascii="Times New Roman" w:hAnsi="Times New Roman" w:cs="Times New Roman"/>
                <w:kern w:val="2"/>
              </w:rPr>
            </w:pPr>
            <w:r>
              <w:rPr>
                <w:rFonts w:ascii="Times New Roman" w:hAnsi="Times New Roman" w:cs="Times New Roman"/>
                <w:kern w:val="2"/>
              </w:rPr>
              <w:t>投标有效期</w:t>
            </w:r>
          </w:p>
        </w:tc>
        <w:tc>
          <w:tcPr>
            <w:tcW w:w="5673" w:type="dxa"/>
            <w:vAlign w:val="center"/>
          </w:tcPr>
          <w:p>
            <w:pPr>
              <w:widowControl w:val="0"/>
              <w:spacing w:line="480" w:lineRule="exact"/>
              <w:jc w:val="both"/>
              <w:rPr>
                <w:rFonts w:ascii="Times New Roman" w:hAnsi="Times New Roman" w:cs="Times New Roman"/>
                <w:kern w:val="2"/>
              </w:rPr>
            </w:pPr>
            <w:r>
              <w:rPr>
                <w:rFonts w:hint="eastAsia" w:ascii="Times New Roman" w:hAnsi="Times New Roman" w:cs="Times New Roman"/>
                <w:kern w:val="2"/>
                <w:u w:val="single"/>
              </w:rPr>
              <w:t xml:space="preserve"> 90  </w:t>
            </w:r>
            <w:r>
              <w:rPr>
                <w:rFonts w:ascii="Times New Roman" w:hAnsi="Times New Roman" w:cs="Times New Roman"/>
                <w:kern w:val="2"/>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29" w:type="dxa"/>
            <w:vAlign w:val="center"/>
          </w:tcPr>
          <w:p>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2</w:t>
            </w:r>
          </w:p>
        </w:tc>
        <w:tc>
          <w:tcPr>
            <w:tcW w:w="1965" w:type="dxa"/>
            <w:vAlign w:val="center"/>
          </w:tcPr>
          <w:p>
            <w:pPr>
              <w:widowControl w:val="0"/>
              <w:spacing w:line="480" w:lineRule="exact"/>
              <w:jc w:val="center"/>
              <w:rPr>
                <w:rFonts w:ascii="Times New Roman" w:hAnsi="Times New Roman" w:cs="Times New Roman"/>
                <w:kern w:val="2"/>
              </w:rPr>
            </w:pPr>
            <w:r>
              <w:rPr>
                <w:rFonts w:ascii="Times New Roman" w:hAnsi="Times New Roman" w:cs="Times New Roman"/>
                <w:kern w:val="2"/>
              </w:rPr>
              <w:t>投标文件的投递</w:t>
            </w:r>
          </w:p>
        </w:tc>
        <w:tc>
          <w:tcPr>
            <w:tcW w:w="5673" w:type="dxa"/>
            <w:vAlign w:val="center"/>
          </w:tcPr>
          <w:p>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1.投标单位将投标文件按规定密封和标记后，按以下注明的地址在投标截止时间之前送至招标单位。</w:t>
            </w:r>
          </w:p>
          <w:p>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2.递交资料截止时间：</w:t>
            </w:r>
            <w:r>
              <w:rPr>
                <w:rFonts w:ascii="Times New Roman" w:hAnsi="Times New Roman" w:cs="Times New Roman"/>
                <w:kern w:val="2"/>
              </w:rPr>
              <w:t>2023年</w:t>
            </w:r>
            <w:r>
              <w:rPr>
                <w:rFonts w:hint="eastAsia" w:ascii="Times New Roman" w:hAnsi="Times New Roman" w:cs="Times New Roman"/>
                <w:kern w:val="2"/>
                <w:u w:val="single"/>
              </w:rPr>
              <w:t xml:space="preserve"> 7 </w:t>
            </w:r>
            <w:r>
              <w:rPr>
                <w:rFonts w:hint="eastAsia" w:ascii="Times New Roman" w:hAnsi="Times New Roman" w:cs="Times New Roman"/>
                <w:kern w:val="2"/>
              </w:rPr>
              <w:t>月</w:t>
            </w:r>
            <w:r>
              <w:rPr>
                <w:rFonts w:hint="eastAsia" w:ascii="Times New Roman" w:hAnsi="Times New Roman" w:cs="Times New Roman"/>
                <w:kern w:val="2"/>
                <w:u w:val="single"/>
              </w:rPr>
              <w:t xml:space="preserve"> </w:t>
            </w:r>
            <w:ins w:id="0" w:author="HLY" w:date="2023-07-26T09:15:18Z">
              <w:r>
                <w:rPr>
                  <w:rFonts w:hint="eastAsia" w:ascii="Times New Roman" w:hAnsi="Times New Roman" w:cs="Times New Roman"/>
                  <w:kern w:val="2"/>
                  <w:u w:val="single"/>
                  <w:lang w:val="en-US" w:eastAsia="zh-CN"/>
                </w:rPr>
                <w:t>3</w:t>
              </w:r>
            </w:ins>
            <w:ins w:id="1" w:author="HLY" w:date="2023-07-26T09:15:19Z">
              <w:r>
                <w:rPr>
                  <w:rFonts w:hint="eastAsia" w:ascii="Times New Roman" w:hAnsi="Times New Roman" w:cs="Times New Roman"/>
                  <w:kern w:val="2"/>
                  <w:u w:val="single"/>
                  <w:lang w:val="en-US" w:eastAsia="zh-CN"/>
                </w:rPr>
                <w:t>1</w:t>
              </w:r>
            </w:ins>
            <w:bookmarkStart w:id="17" w:name="_GoBack"/>
            <w:bookmarkEnd w:id="17"/>
            <w:r>
              <w:rPr>
                <w:rFonts w:hint="eastAsia" w:ascii="Times New Roman" w:hAnsi="Times New Roman" w:cs="Times New Roman"/>
                <w:kern w:val="2"/>
                <w:u w:val="single"/>
              </w:rPr>
              <w:t xml:space="preserve">  </w:t>
            </w:r>
            <w:r>
              <w:rPr>
                <w:rFonts w:hint="eastAsia" w:ascii="Times New Roman" w:hAnsi="Times New Roman" w:cs="Times New Roman"/>
                <w:kern w:val="2"/>
              </w:rPr>
              <w:t>日17:00；</w:t>
            </w:r>
          </w:p>
          <w:p>
            <w:pPr>
              <w:widowControl w:val="0"/>
              <w:spacing w:line="480" w:lineRule="exact"/>
              <w:jc w:val="both"/>
              <w:rPr>
                <w:rFonts w:ascii="Times New Roman" w:hAnsi="Times New Roman" w:cs="Times New Roman"/>
                <w:kern w:val="2"/>
                <w:u w:val="single"/>
              </w:rPr>
            </w:pPr>
            <w:r>
              <w:rPr>
                <w:rFonts w:hint="eastAsia" w:ascii="Times New Roman" w:hAnsi="Times New Roman" w:cs="Times New Roman"/>
                <w:kern w:val="2"/>
              </w:rPr>
              <w:t>地点：深圳市南山区桃园路2号区委大楼</w:t>
            </w:r>
            <w:r>
              <w:rPr>
                <w:rFonts w:hint="eastAsia" w:ascii="Times New Roman" w:hAnsi="Times New Roman" w:cs="Times New Roman"/>
                <w:kern w:val="2"/>
                <w:u w:val="single"/>
              </w:rPr>
              <w:t>A408</w:t>
            </w:r>
            <w:r>
              <w:rPr>
                <w:rFonts w:hint="eastAsia" w:ascii="Times New Roman" w:hAnsi="Times New Roman" w:cs="Times New Roman"/>
                <w:kern w:val="2"/>
              </w:rPr>
              <w:t>室；</w:t>
            </w:r>
          </w:p>
          <w:p>
            <w:pPr>
              <w:widowControl w:val="0"/>
              <w:spacing w:line="480" w:lineRule="exact"/>
              <w:jc w:val="both"/>
              <w:rPr>
                <w:rFonts w:ascii="Times New Roman" w:hAnsi="Times New Roman" w:cs="Times New Roman"/>
                <w:kern w:val="2"/>
                <w:u w:val="single"/>
              </w:rPr>
            </w:pPr>
            <w:r>
              <w:rPr>
                <w:rFonts w:hint="eastAsia" w:ascii="Times New Roman" w:hAnsi="Times New Roman" w:cs="Times New Roman"/>
                <w:kern w:val="2"/>
              </w:rPr>
              <w:t>联系人：</w:t>
            </w:r>
            <w:r>
              <w:rPr>
                <w:rFonts w:hint="eastAsia" w:ascii="Times New Roman" w:hAnsi="Times New Roman" w:cs="Times New Roman"/>
                <w:kern w:val="2"/>
                <w:u w:val="single"/>
              </w:rPr>
              <w:t xml:space="preserve"> 李工   </w:t>
            </w:r>
            <w:r>
              <w:rPr>
                <w:rFonts w:hint="eastAsia" w:ascii="Times New Roman" w:hAnsi="Times New Roman" w:cs="Times New Roman"/>
                <w:kern w:val="2"/>
              </w:rPr>
              <w:t>；电话：</w:t>
            </w:r>
            <w:r>
              <w:rPr>
                <w:rFonts w:hint="eastAsia" w:ascii="Times New Roman" w:hAnsi="Times New Roman" w:cs="Times New Roman"/>
                <w:kern w:val="2"/>
                <w:u w:val="single"/>
              </w:rPr>
              <w:t xml:space="preserve"> 26665542 </w:t>
            </w:r>
            <w:r>
              <w:rPr>
                <w:rFonts w:hint="eastAsia" w:ascii="Times New Roman" w:hAnsi="Times New Roman" w:cs="Times New Roman"/>
                <w:kern w:val="2"/>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29" w:type="dxa"/>
            <w:vAlign w:val="center"/>
          </w:tcPr>
          <w:p>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3</w:t>
            </w:r>
          </w:p>
        </w:tc>
        <w:tc>
          <w:tcPr>
            <w:tcW w:w="1965" w:type="dxa"/>
            <w:vAlign w:val="center"/>
          </w:tcPr>
          <w:p>
            <w:pPr>
              <w:widowControl w:val="0"/>
              <w:spacing w:line="480" w:lineRule="exact"/>
              <w:jc w:val="center"/>
              <w:rPr>
                <w:rFonts w:ascii="Times New Roman" w:hAnsi="Times New Roman" w:cs="Times New Roman"/>
                <w:kern w:val="2"/>
              </w:rPr>
            </w:pPr>
            <w:r>
              <w:rPr>
                <w:rFonts w:ascii="Times New Roman" w:hAnsi="Times New Roman" w:cs="Times New Roman"/>
                <w:kern w:val="2"/>
              </w:rPr>
              <w:t>中标数量</w:t>
            </w:r>
          </w:p>
        </w:tc>
        <w:tc>
          <w:tcPr>
            <w:tcW w:w="5673" w:type="dxa"/>
            <w:vAlign w:val="center"/>
          </w:tcPr>
          <w:p>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该项目确定中标单位1名，若通过资格审查的供应商不足3名的，则本项目第一轮招标失败，须以体现充分竞争为目的，降低招标标准进行第二轮招标。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729" w:type="dxa"/>
            <w:vAlign w:val="center"/>
          </w:tcPr>
          <w:p>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4</w:t>
            </w:r>
          </w:p>
        </w:tc>
        <w:tc>
          <w:tcPr>
            <w:tcW w:w="1965" w:type="dxa"/>
            <w:vAlign w:val="center"/>
          </w:tcPr>
          <w:p>
            <w:pPr>
              <w:widowControl w:val="0"/>
              <w:spacing w:line="480" w:lineRule="exact"/>
              <w:jc w:val="center"/>
              <w:rPr>
                <w:rFonts w:ascii="Times New Roman" w:hAnsi="Times New Roman" w:cs="Times New Roman"/>
                <w:kern w:val="2"/>
              </w:rPr>
            </w:pPr>
            <w:r>
              <w:rPr>
                <w:rFonts w:ascii="Times New Roman" w:hAnsi="Times New Roman" w:cs="Times New Roman"/>
                <w:kern w:val="2"/>
              </w:rPr>
              <w:t>定标方法</w:t>
            </w:r>
          </w:p>
        </w:tc>
        <w:tc>
          <w:tcPr>
            <w:tcW w:w="5673" w:type="dxa"/>
            <w:vAlign w:val="center"/>
          </w:tcPr>
          <w:p>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综合评分法</w:t>
            </w:r>
          </w:p>
        </w:tc>
      </w:tr>
    </w:tbl>
    <w:p>
      <w:pPr>
        <w:keepNext/>
        <w:keepLines/>
        <w:widowControl w:val="0"/>
        <w:adjustRightInd w:val="0"/>
        <w:spacing w:before="156" w:beforeLines="50" w:after="156" w:afterLines="50" w:line="480" w:lineRule="exact"/>
        <w:textAlignment w:val="baseline"/>
        <w:outlineLvl w:val="1"/>
        <w:rPr>
          <w:rFonts w:ascii="Times New Roman" w:hAnsi="Times New Roman" w:cs="Times New Roman"/>
          <w:b/>
          <w:bCs/>
          <w:szCs w:val="20"/>
        </w:rPr>
      </w:pPr>
      <w:bookmarkStart w:id="8" w:name="_Toc128884461"/>
      <w:r>
        <w:rPr>
          <w:rFonts w:hint="eastAsia" w:ascii="Times New Roman" w:hAnsi="Times New Roman" w:cs="Times New Roman"/>
          <w:b/>
          <w:bCs/>
          <w:szCs w:val="20"/>
        </w:rPr>
        <w:t>二、招标项目概况</w:t>
      </w:r>
      <w:bookmarkEnd w:id="8"/>
    </w:p>
    <w:p>
      <w:pPr>
        <w:spacing w:line="480" w:lineRule="exact"/>
        <w:ind w:firstLine="480" w:firstLineChars="200"/>
        <w:jc w:val="both"/>
      </w:pPr>
      <w:r>
        <w:rPr>
          <w:rFonts w:hint="eastAsia"/>
        </w:rPr>
        <w:t>1、招标单位（采购单位）：深圳市南山区住房和建设局。</w:t>
      </w:r>
    </w:p>
    <w:p>
      <w:pPr>
        <w:spacing w:line="480" w:lineRule="exact"/>
        <w:ind w:firstLine="480" w:firstLineChars="200"/>
        <w:jc w:val="both"/>
      </w:pPr>
      <w:r>
        <w:rPr>
          <w:rFonts w:hint="eastAsia"/>
        </w:rPr>
        <w:t>2、采购内容：</w:t>
      </w:r>
      <w:r>
        <w:t>2023</w:t>
      </w:r>
      <w:r>
        <w:rPr>
          <w:rFonts w:hint="eastAsia"/>
        </w:rPr>
        <w:t xml:space="preserve"> 年南山区</w:t>
      </w:r>
      <w:r>
        <w:rPr>
          <w:rFonts w:hint="eastAsia"/>
          <w:u w:val="single"/>
        </w:rPr>
        <w:t xml:space="preserve"> 城市体检技术 </w:t>
      </w:r>
      <w:r>
        <w:rPr>
          <w:rFonts w:hint="eastAsia"/>
        </w:rPr>
        <w:t>服务。</w:t>
      </w:r>
    </w:p>
    <w:p>
      <w:pPr>
        <w:spacing w:line="480" w:lineRule="exact"/>
        <w:ind w:firstLine="480" w:firstLineChars="200"/>
        <w:jc w:val="both"/>
      </w:pPr>
      <w:r>
        <w:rPr>
          <w:rFonts w:hint="eastAsia"/>
        </w:rPr>
        <w:t>3、项目服务期：本项目合同服务期限自合同生效之日起一年，自合同生效之日起三个月内须提交验收合格的成果报告，后续九个月为服务保障期。采购单位可根据项目需要和中标单位的履约情况确定合同期限是否续签，但续签不得超过两次，合同累计期限最长不超过三年。</w:t>
      </w:r>
    </w:p>
    <w:p>
      <w:pPr>
        <w:spacing w:line="480" w:lineRule="exact"/>
        <w:ind w:firstLine="480" w:firstLineChars="200"/>
        <w:jc w:val="both"/>
      </w:pPr>
      <w:r>
        <w:rPr>
          <w:rFonts w:hint="eastAsia"/>
        </w:rPr>
        <w:t>4、合同方式：固定总价合同。</w:t>
      </w:r>
    </w:p>
    <w:p>
      <w:pPr>
        <w:spacing w:line="480" w:lineRule="exact"/>
        <w:ind w:firstLine="420"/>
        <w:rPr>
          <w:u w:val="single"/>
        </w:rPr>
      </w:pPr>
      <w:r>
        <w:rPr>
          <w:rFonts w:hint="eastAsia"/>
        </w:rPr>
        <w:t>5、项目背景：</w:t>
      </w:r>
      <w:r>
        <w:rPr>
          <w:rFonts w:hint="eastAsia"/>
          <w:u w:val="single"/>
        </w:rPr>
        <w:t xml:space="preserve"> </w:t>
      </w:r>
      <w:r>
        <w:rPr>
          <w:rFonts w:hint="eastAsia"/>
        </w:rPr>
        <w:t>为深入贯彻习近平总书记关于城市体检工作的重要指示精神，落实中共中央、国务院《关于推动高质量发展的意见》《关于推动城乡建设绿色发展的意见》以及中共中央办公厅《关于在全党大兴调查研究的工作方案》等文件要求，按照住房和城乡建设部2023年城市体检工作安排，以及深圳市委市政府的工作部署，2023年深圳继续在各区开展区级城市体检。城市体检工作要求坚持党的群众路线，从群众中来、到群众中去，真诚倾听群众呼声、真实反映群众愿望、真情关心群众疾苦，以解决问题为根本目的，通过开展区级体检城中村专项体检和街道体检，真正摸清情况、找准问题、提实对策，解决真问题、回应真需求、保障真落地，提升人民群众的获得感、幸福感和安全感。</w:t>
      </w:r>
    </w:p>
    <w:p>
      <w:pPr>
        <w:spacing w:line="480" w:lineRule="exact"/>
        <w:rPr>
          <w:rFonts w:ascii="Times New Roman" w:hAnsi="Times New Roman" w:cs="Times New Roman"/>
          <w:b/>
          <w:bCs/>
          <w:szCs w:val="20"/>
        </w:rPr>
      </w:pPr>
      <w:r>
        <w:rPr>
          <w:rFonts w:hint="eastAsia" w:ascii="Times New Roman" w:hAnsi="Times New Roman" w:cs="Times New Roman"/>
          <w:b/>
          <w:bCs/>
          <w:szCs w:val="20"/>
        </w:rPr>
        <w:t>三</w:t>
      </w:r>
      <w:r>
        <w:rPr>
          <w:rFonts w:ascii="Times New Roman" w:hAnsi="Times New Roman" w:cs="Times New Roman"/>
          <w:b/>
          <w:bCs/>
          <w:szCs w:val="20"/>
        </w:rPr>
        <w:t>、</w:t>
      </w:r>
      <w:r>
        <w:rPr>
          <w:rFonts w:hint="eastAsia" w:ascii="Times New Roman" w:hAnsi="Times New Roman" w:cs="Times New Roman"/>
          <w:b/>
          <w:bCs/>
          <w:szCs w:val="20"/>
        </w:rPr>
        <w:t>技术（服务）要求</w:t>
      </w:r>
    </w:p>
    <w:p>
      <w:pPr>
        <w:spacing w:line="480" w:lineRule="exact"/>
        <w:ind w:firstLine="480" w:firstLineChars="200"/>
        <w:jc w:val="both"/>
      </w:pPr>
      <w:r>
        <w:rPr>
          <w:rFonts w:hint="eastAsia"/>
        </w:rPr>
        <w:t>（一）城市体检区级城中村专项体检</w:t>
      </w:r>
    </w:p>
    <w:p>
      <w:pPr>
        <w:spacing w:line="480" w:lineRule="exact"/>
        <w:ind w:firstLine="480" w:firstLineChars="200"/>
        <w:jc w:val="both"/>
      </w:pPr>
      <w:r>
        <w:rPr>
          <w:rFonts w:hint="eastAsia"/>
        </w:rPr>
        <w:t>1、建立区城中村基本信息台账。以城中村为基本工作单元，开展现状情况调查，摸清各个城中村的空间范围、人口属性、建筑情况、住房及租赁情况、公共服务及市政配套设施情况、公共空间环境等底数，每个城中村形成“一表三图”（城中村基础信息表、卫星影像图、公共及市政设施现状图、公共空间现状和潜力图），汇总形成全区城中村“一表两图”（全区城中村基础信息表、全区公共及市政设施现状图、全区公共空间现状和潜力图）的基本信息台账。</w:t>
      </w:r>
    </w:p>
    <w:p>
      <w:pPr>
        <w:spacing w:line="480" w:lineRule="exact"/>
        <w:ind w:firstLine="480" w:firstLineChars="200"/>
        <w:jc w:val="both"/>
      </w:pPr>
      <w:r>
        <w:rPr>
          <w:rFonts w:hint="eastAsia"/>
        </w:rPr>
        <w:t>2、查找并解决城中村存在的安全问题。通过现场调研和基本信息台账分析，排查城中村在建筑安全、消防安全、电气安全、地质安全等方面存在的安全隐患，并提出解决对策和整改项目。</w:t>
      </w:r>
    </w:p>
    <w:p>
      <w:pPr>
        <w:spacing w:line="480" w:lineRule="exact"/>
        <w:ind w:firstLine="480" w:firstLineChars="200"/>
        <w:jc w:val="both"/>
      </w:pPr>
      <w:r>
        <w:rPr>
          <w:rFonts w:hint="eastAsia"/>
        </w:rPr>
        <w:t>（二）街道级城市体检</w:t>
      </w:r>
    </w:p>
    <w:p>
      <w:pPr>
        <w:spacing w:line="480" w:lineRule="exact"/>
        <w:ind w:firstLine="480" w:firstLineChars="200"/>
        <w:jc w:val="both"/>
      </w:pPr>
      <w:r>
        <w:rPr>
          <w:rFonts w:hint="eastAsia"/>
        </w:rPr>
        <w:t>选取一个街道开展街道体检试点，街道体检从设置完善、环境宜居、管理健全、整洁有序、特色活力等方面查找城市建设存在的问题和短板，提出整改任务和项目清单。体检指标以住建部城市体检基础指标中的小区（社区）、街区两个维度的指标为基础，最终形成南山区街道级城市体检报告。</w:t>
      </w:r>
    </w:p>
    <w:p>
      <w:pPr>
        <w:spacing w:line="480" w:lineRule="exact"/>
        <w:ind w:firstLine="480" w:firstLineChars="200"/>
        <w:jc w:val="both"/>
      </w:pPr>
      <w:r>
        <w:rPr>
          <w:rFonts w:hint="eastAsia"/>
        </w:rPr>
        <w:t>（三）后续服务保障</w:t>
      </w:r>
    </w:p>
    <w:p>
      <w:pPr>
        <w:spacing w:line="480" w:lineRule="exact"/>
        <w:ind w:firstLine="480" w:firstLineChars="200"/>
        <w:jc w:val="both"/>
      </w:pPr>
      <w:r>
        <w:rPr>
          <w:rFonts w:hint="eastAsia"/>
        </w:rPr>
        <w:t>针对提交的南山区城市体检各项成果，负责解答对报告中的疑问，进行书面回复，提供后续的保障服务等。</w:t>
      </w:r>
    </w:p>
    <w:p>
      <w:pPr>
        <w:spacing w:line="480" w:lineRule="exact"/>
        <w:jc w:val="both"/>
        <w:rPr>
          <w:rFonts w:ascii="Times New Roman" w:hAnsi="Times New Roman" w:cs="Times New Roman"/>
          <w:b/>
          <w:bCs/>
          <w:kern w:val="44"/>
          <w:szCs w:val="44"/>
        </w:rPr>
      </w:pPr>
      <w:r>
        <w:rPr>
          <w:rFonts w:hint="eastAsia" w:ascii="Times New Roman" w:hAnsi="Times New Roman" w:cs="Times New Roman"/>
          <w:b/>
          <w:bCs/>
          <w:kern w:val="44"/>
          <w:szCs w:val="44"/>
        </w:rPr>
        <w:t>四、人员配备及要求</w:t>
      </w:r>
    </w:p>
    <w:p>
      <w:pPr>
        <w:spacing w:line="480" w:lineRule="exact"/>
        <w:ind w:firstLine="480" w:firstLineChars="200"/>
        <w:jc w:val="both"/>
      </w:pPr>
      <w:r>
        <w:rPr>
          <w:rFonts w:hint="eastAsia"/>
        </w:rPr>
        <w:t>1、所提供的服务应符合国家和地方的有关法律、法规、规章和国家、行业标准的规定。</w:t>
      </w:r>
    </w:p>
    <w:p>
      <w:pPr>
        <w:spacing w:line="480" w:lineRule="exact"/>
        <w:ind w:firstLine="480" w:firstLineChars="200"/>
        <w:jc w:val="both"/>
      </w:pPr>
      <w:r>
        <w:rPr>
          <w:rFonts w:hint="eastAsia"/>
        </w:rPr>
        <w:t>2、本项目要求服务人员不少于</w:t>
      </w:r>
      <w:r>
        <w:rPr>
          <w:rFonts w:hint="eastAsia"/>
          <w:u w:val="single"/>
        </w:rPr>
        <w:t>8</w:t>
      </w:r>
      <w:r>
        <w:rPr>
          <w:rFonts w:hint="eastAsia"/>
        </w:rPr>
        <w:t>人，至少配</w:t>
      </w:r>
      <w:r>
        <w:rPr>
          <w:rFonts w:hint="eastAsia"/>
          <w:u w:val="single"/>
        </w:rPr>
        <w:t>城市规划岗位2人，人文地理、建筑工程、园林景观、道路交通、环境工程、市政工程（含给排水、电力、燃气等相关专业）岗位6人</w:t>
      </w:r>
      <w:r>
        <w:rPr>
          <w:rFonts w:hint="eastAsia"/>
        </w:rPr>
        <w:t>，项目服务小组人员固定，不得随意更换，自行配备服务所需的车辆、设施设备及相关材料。投标单位可根据项目进度增加项目服务人员，但项目服务人员需经过招标单位书面签字盖章同意后方可开展工作。具体人员要求如下：</w:t>
      </w:r>
    </w:p>
    <w:tbl>
      <w:tblPr>
        <w:tblStyle w:val="17"/>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987"/>
        <w:gridCol w:w="1462"/>
        <w:gridCol w:w="3834"/>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9" w:type="pct"/>
            <w:vAlign w:val="center"/>
          </w:tcPr>
          <w:p>
            <w:pPr>
              <w:spacing w:line="480" w:lineRule="exact"/>
              <w:jc w:val="center"/>
              <w:rPr>
                <w:b/>
                <w:bCs/>
              </w:rPr>
            </w:pPr>
            <w:r>
              <w:rPr>
                <w:rFonts w:hint="eastAsia"/>
                <w:b/>
                <w:bCs/>
              </w:rPr>
              <w:t>岗位</w:t>
            </w:r>
          </w:p>
        </w:tc>
        <w:tc>
          <w:tcPr>
            <w:tcW w:w="567" w:type="pct"/>
            <w:vAlign w:val="center"/>
          </w:tcPr>
          <w:p>
            <w:pPr>
              <w:spacing w:line="480" w:lineRule="exact"/>
              <w:jc w:val="center"/>
              <w:rPr>
                <w:b/>
                <w:bCs/>
              </w:rPr>
            </w:pPr>
            <w:r>
              <w:rPr>
                <w:rFonts w:hint="eastAsia"/>
                <w:b/>
                <w:bCs/>
              </w:rPr>
              <w:t>人数</w:t>
            </w:r>
          </w:p>
          <w:p>
            <w:pPr>
              <w:spacing w:line="480" w:lineRule="exact"/>
              <w:jc w:val="center"/>
              <w:rPr>
                <w:b/>
                <w:bCs/>
              </w:rPr>
            </w:pPr>
            <w:r>
              <w:rPr>
                <w:rFonts w:hint="eastAsia"/>
                <w:b/>
                <w:bCs/>
              </w:rPr>
              <w:t>要求</w:t>
            </w:r>
          </w:p>
        </w:tc>
        <w:tc>
          <w:tcPr>
            <w:tcW w:w="840" w:type="pct"/>
            <w:vAlign w:val="center"/>
          </w:tcPr>
          <w:p>
            <w:pPr>
              <w:spacing w:line="480" w:lineRule="exact"/>
              <w:jc w:val="center"/>
              <w:rPr>
                <w:b/>
                <w:bCs/>
              </w:rPr>
            </w:pPr>
            <w:r>
              <w:rPr>
                <w:rFonts w:hint="eastAsia"/>
                <w:b/>
                <w:bCs/>
              </w:rPr>
              <w:t>职称及学历要求</w:t>
            </w:r>
          </w:p>
        </w:tc>
        <w:tc>
          <w:tcPr>
            <w:tcW w:w="2203" w:type="pct"/>
            <w:vAlign w:val="center"/>
          </w:tcPr>
          <w:p>
            <w:pPr>
              <w:spacing w:line="480" w:lineRule="exact"/>
              <w:ind w:firstLine="481" w:firstLineChars="200"/>
              <w:jc w:val="center"/>
              <w:rPr>
                <w:b/>
                <w:bCs/>
              </w:rPr>
            </w:pPr>
            <w:r>
              <w:rPr>
                <w:rFonts w:hint="eastAsia"/>
                <w:b/>
                <w:bCs/>
              </w:rPr>
              <w:t>专业资格基本要求</w:t>
            </w:r>
          </w:p>
        </w:tc>
        <w:tc>
          <w:tcPr>
            <w:tcW w:w="389" w:type="pct"/>
            <w:vAlign w:val="center"/>
          </w:tcPr>
          <w:p>
            <w:pPr>
              <w:spacing w:line="480" w:lineRule="exact"/>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99" w:type="pct"/>
            <w:vAlign w:val="center"/>
          </w:tcPr>
          <w:p>
            <w:pPr>
              <w:spacing w:line="480" w:lineRule="exact"/>
              <w:rPr>
                <w:sz w:val="21"/>
                <w:szCs w:val="21"/>
                <w:u w:val="single"/>
              </w:rPr>
            </w:pPr>
            <w:r>
              <w:rPr>
                <w:rFonts w:hint="eastAsia"/>
                <w:sz w:val="21"/>
                <w:szCs w:val="21"/>
                <w:u w:val="single"/>
              </w:rPr>
              <w:t>项目团队负责人</w:t>
            </w:r>
          </w:p>
        </w:tc>
        <w:tc>
          <w:tcPr>
            <w:tcW w:w="567" w:type="pct"/>
            <w:vAlign w:val="center"/>
          </w:tcPr>
          <w:p>
            <w:pPr>
              <w:spacing w:line="480" w:lineRule="exact"/>
              <w:jc w:val="center"/>
              <w:rPr>
                <w:sz w:val="21"/>
                <w:szCs w:val="21"/>
                <w:u w:val="single"/>
              </w:rPr>
            </w:pPr>
            <w:r>
              <w:rPr>
                <w:rFonts w:hint="eastAsia"/>
                <w:sz w:val="21"/>
                <w:szCs w:val="21"/>
                <w:u w:val="single"/>
              </w:rPr>
              <w:t>1人</w:t>
            </w:r>
          </w:p>
        </w:tc>
        <w:tc>
          <w:tcPr>
            <w:tcW w:w="840" w:type="pct"/>
            <w:vAlign w:val="center"/>
          </w:tcPr>
          <w:p>
            <w:pPr>
              <w:spacing w:line="480" w:lineRule="exact"/>
              <w:rPr>
                <w:sz w:val="21"/>
                <w:szCs w:val="21"/>
                <w:u w:val="single"/>
              </w:rPr>
            </w:pPr>
            <w:r>
              <w:rPr>
                <w:rFonts w:hint="eastAsia"/>
                <w:sz w:val="21"/>
                <w:szCs w:val="21"/>
                <w:u w:val="single"/>
              </w:rPr>
              <w:t>高级职称</w:t>
            </w:r>
          </w:p>
        </w:tc>
        <w:tc>
          <w:tcPr>
            <w:tcW w:w="2203" w:type="pct"/>
            <w:vAlign w:val="center"/>
          </w:tcPr>
          <w:p>
            <w:pPr>
              <w:spacing w:line="480" w:lineRule="exact"/>
              <w:rPr>
                <w:sz w:val="21"/>
                <w:szCs w:val="21"/>
                <w:u w:val="single"/>
              </w:rPr>
            </w:pPr>
            <w:r>
              <w:rPr>
                <w:rFonts w:hint="eastAsia"/>
                <w:sz w:val="21"/>
                <w:szCs w:val="21"/>
              </w:rPr>
              <w:t>具备城市规划高级职称、工作经验十年及以上</w:t>
            </w:r>
          </w:p>
        </w:tc>
        <w:tc>
          <w:tcPr>
            <w:tcW w:w="389" w:type="pct"/>
            <w:vAlign w:val="center"/>
          </w:tcPr>
          <w:p>
            <w:pPr>
              <w:spacing w:line="480" w:lineRule="exact"/>
              <w:ind w:firstLine="480" w:firstLineChars="20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99" w:type="pct"/>
            <w:vMerge w:val="restart"/>
            <w:vAlign w:val="center"/>
          </w:tcPr>
          <w:p>
            <w:pPr>
              <w:spacing w:line="480" w:lineRule="exact"/>
              <w:rPr>
                <w:sz w:val="21"/>
                <w:szCs w:val="21"/>
                <w:u w:val="single"/>
              </w:rPr>
            </w:pPr>
            <w:r>
              <w:rPr>
                <w:rFonts w:hint="eastAsia"/>
                <w:sz w:val="21"/>
                <w:szCs w:val="21"/>
                <w:u w:val="single"/>
              </w:rPr>
              <w:t>项目团队人员</w:t>
            </w:r>
          </w:p>
        </w:tc>
        <w:tc>
          <w:tcPr>
            <w:tcW w:w="567" w:type="pct"/>
            <w:vAlign w:val="center"/>
          </w:tcPr>
          <w:p>
            <w:pPr>
              <w:spacing w:line="480" w:lineRule="exact"/>
              <w:jc w:val="center"/>
              <w:rPr>
                <w:sz w:val="21"/>
                <w:szCs w:val="21"/>
                <w:u w:val="single"/>
              </w:rPr>
            </w:pPr>
            <w:r>
              <w:rPr>
                <w:rFonts w:hint="eastAsia"/>
                <w:sz w:val="21"/>
                <w:szCs w:val="21"/>
                <w:u w:val="single"/>
              </w:rPr>
              <w:t>4人</w:t>
            </w:r>
          </w:p>
        </w:tc>
        <w:tc>
          <w:tcPr>
            <w:tcW w:w="840" w:type="pct"/>
            <w:vAlign w:val="center"/>
          </w:tcPr>
          <w:p>
            <w:pPr>
              <w:spacing w:line="480" w:lineRule="exact"/>
              <w:rPr>
                <w:sz w:val="21"/>
                <w:szCs w:val="21"/>
                <w:u w:val="single"/>
              </w:rPr>
            </w:pPr>
            <w:r>
              <w:rPr>
                <w:rFonts w:hint="eastAsia"/>
                <w:sz w:val="21"/>
                <w:szCs w:val="21"/>
                <w:u w:val="single"/>
              </w:rPr>
              <w:t>中级或以上</w:t>
            </w:r>
          </w:p>
        </w:tc>
        <w:tc>
          <w:tcPr>
            <w:tcW w:w="2203" w:type="pct"/>
            <w:vAlign w:val="center"/>
          </w:tcPr>
          <w:p>
            <w:pPr>
              <w:spacing w:line="480" w:lineRule="exact"/>
              <w:rPr>
                <w:sz w:val="21"/>
                <w:szCs w:val="21"/>
                <w:u w:val="single"/>
              </w:rPr>
            </w:pPr>
            <w:r>
              <w:rPr>
                <w:rFonts w:hint="eastAsia"/>
                <w:sz w:val="21"/>
                <w:szCs w:val="21"/>
              </w:rPr>
              <w:t>具备注册城市规划师等工程类中级职称、工作经验五年及以上</w:t>
            </w:r>
          </w:p>
        </w:tc>
        <w:tc>
          <w:tcPr>
            <w:tcW w:w="389" w:type="pct"/>
            <w:vAlign w:val="center"/>
          </w:tcPr>
          <w:p>
            <w:pPr>
              <w:spacing w:line="480" w:lineRule="exact"/>
              <w:ind w:firstLine="480" w:firstLineChars="20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99" w:type="pct"/>
            <w:vMerge w:val="continue"/>
            <w:vAlign w:val="center"/>
          </w:tcPr>
          <w:p>
            <w:pPr>
              <w:spacing w:line="480" w:lineRule="exact"/>
              <w:rPr>
                <w:sz w:val="21"/>
                <w:szCs w:val="21"/>
                <w:u w:val="single"/>
              </w:rPr>
            </w:pPr>
          </w:p>
        </w:tc>
        <w:tc>
          <w:tcPr>
            <w:tcW w:w="567" w:type="pct"/>
            <w:vAlign w:val="center"/>
          </w:tcPr>
          <w:p>
            <w:pPr>
              <w:spacing w:line="480" w:lineRule="exact"/>
              <w:jc w:val="center"/>
              <w:rPr>
                <w:sz w:val="21"/>
                <w:szCs w:val="21"/>
                <w:u w:val="single"/>
              </w:rPr>
            </w:pPr>
            <w:r>
              <w:rPr>
                <w:rFonts w:hint="eastAsia"/>
                <w:sz w:val="21"/>
                <w:szCs w:val="21"/>
                <w:u w:val="single"/>
              </w:rPr>
              <w:t>3人</w:t>
            </w:r>
          </w:p>
        </w:tc>
        <w:tc>
          <w:tcPr>
            <w:tcW w:w="840" w:type="pct"/>
            <w:vAlign w:val="center"/>
          </w:tcPr>
          <w:p>
            <w:pPr>
              <w:spacing w:line="480" w:lineRule="exact"/>
              <w:rPr>
                <w:sz w:val="21"/>
                <w:szCs w:val="21"/>
                <w:u w:val="single"/>
              </w:rPr>
            </w:pPr>
            <w:r>
              <w:rPr>
                <w:rFonts w:hint="eastAsia"/>
                <w:sz w:val="21"/>
                <w:szCs w:val="21"/>
                <w:u w:val="single"/>
              </w:rPr>
              <w:t>初级职称</w:t>
            </w:r>
          </w:p>
        </w:tc>
        <w:tc>
          <w:tcPr>
            <w:tcW w:w="2203" w:type="pct"/>
            <w:vAlign w:val="center"/>
          </w:tcPr>
          <w:p>
            <w:pPr>
              <w:spacing w:line="480" w:lineRule="exact"/>
              <w:rPr>
                <w:sz w:val="21"/>
                <w:szCs w:val="21"/>
              </w:rPr>
            </w:pPr>
            <w:r>
              <w:rPr>
                <w:rFonts w:hint="eastAsia"/>
                <w:sz w:val="21"/>
                <w:szCs w:val="21"/>
              </w:rPr>
              <w:t>具备工程类初级职称，工作经验三年及以上</w:t>
            </w:r>
          </w:p>
        </w:tc>
        <w:tc>
          <w:tcPr>
            <w:tcW w:w="389" w:type="pct"/>
            <w:vAlign w:val="center"/>
          </w:tcPr>
          <w:p>
            <w:pPr>
              <w:spacing w:line="480" w:lineRule="exact"/>
              <w:ind w:firstLine="480" w:firstLineChars="200"/>
              <w:jc w:val="center"/>
              <w:rPr>
                <w:u w:val="single"/>
              </w:rPr>
            </w:pPr>
          </w:p>
        </w:tc>
      </w:tr>
    </w:tbl>
    <w:p>
      <w:pPr>
        <w:spacing w:line="480" w:lineRule="exact"/>
        <w:ind w:firstLine="480" w:firstLineChars="200"/>
        <w:jc w:val="both"/>
      </w:pPr>
      <w:r>
        <w:rPr>
          <w:rFonts w:hint="eastAsia"/>
        </w:rPr>
        <w:t>3、投标文件中载明的专业人员即为招标单位提供服务实际人员，需提供连续缴纳不少于3个月的社保证明，未经招标单位书面签字盖章同意，中标单位中标后不能更换。投标单位应自行解决工作条件、期间所需费用，招标单位不再另外支付任何费用。</w:t>
      </w:r>
    </w:p>
    <w:p>
      <w:pPr>
        <w:keepNext/>
        <w:keepLines/>
        <w:widowControl w:val="0"/>
        <w:adjustRightInd w:val="0"/>
        <w:spacing w:before="156" w:beforeLines="50" w:after="156" w:afterLines="50" w:line="480" w:lineRule="exact"/>
        <w:textAlignment w:val="baseline"/>
        <w:outlineLvl w:val="1"/>
        <w:rPr>
          <w:rFonts w:ascii="Times New Roman" w:hAnsi="Times New Roman" w:cs="Times New Roman"/>
          <w:b/>
          <w:bCs/>
          <w:kern w:val="44"/>
          <w:szCs w:val="44"/>
        </w:rPr>
      </w:pPr>
      <w:r>
        <w:rPr>
          <w:rFonts w:hint="eastAsia" w:ascii="Times New Roman" w:hAnsi="Times New Roman" w:cs="Times New Roman"/>
          <w:b/>
          <w:bCs/>
          <w:kern w:val="44"/>
          <w:szCs w:val="44"/>
        </w:rPr>
        <w:t>五、考核方式/验收办法</w:t>
      </w:r>
    </w:p>
    <w:p>
      <w:pPr>
        <w:spacing w:line="480" w:lineRule="exact"/>
        <w:ind w:firstLine="480" w:firstLineChars="200"/>
        <w:jc w:val="both"/>
      </w:pPr>
      <w:r>
        <w:rPr>
          <w:rFonts w:hint="eastAsia"/>
        </w:rPr>
        <w:t>（一）服务监督</w:t>
      </w:r>
    </w:p>
    <w:p>
      <w:pPr>
        <w:spacing w:line="480" w:lineRule="exact"/>
        <w:ind w:firstLine="480" w:firstLineChars="200"/>
        <w:jc w:val="both"/>
      </w:pPr>
      <w:r>
        <w:rPr>
          <w:rFonts w:hint="eastAsia"/>
        </w:rPr>
        <w:t>1、投标单位应在履行项目过程中，接受招标单位对工作进行抽查。招标单位有权根据招标文件、投标文件及本合同约定的采购标准、采购内容等事项进行抽查，对抽查中发现的问题，要求中标单位进行纠正并追究有关违约责任。</w:t>
      </w:r>
    </w:p>
    <w:p>
      <w:pPr>
        <w:spacing w:line="480" w:lineRule="exact"/>
        <w:ind w:firstLine="480" w:firstLineChars="200"/>
        <w:jc w:val="both"/>
      </w:pPr>
      <w:r>
        <w:rPr>
          <w:rFonts w:hint="eastAsia"/>
        </w:rPr>
        <w:t>2、中标单位应在服务期结束后向招标单位提交工作成果（报告、台账等）。招标单位负责听取中标单位工作成果，并结合抽查记录对服务过程及最终服务效果进行验收，对投标单位的服务情况及成果运用作出履约评价。</w:t>
      </w:r>
    </w:p>
    <w:p>
      <w:pPr>
        <w:spacing w:line="480" w:lineRule="exact"/>
        <w:ind w:firstLine="480" w:firstLineChars="200"/>
        <w:jc w:val="both"/>
      </w:pPr>
      <w:r>
        <w:rPr>
          <w:rFonts w:hint="eastAsia"/>
        </w:rPr>
        <w:t xml:space="preserve">3、由于投标单位原因，造成在合同约定期限内未能完成服务内容、服务内容未达约定标准或者履约评价不合格的，招标单位有权要求投标单位在指定期限内进行整改，直至招标单位验收通过。 </w:t>
      </w:r>
    </w:p>
    <w:p>
      <w:pPr>
        <w:spacing w:line="480" w:lineRule="exact"/>
        <w:ind w:firstLine="480" w:firstLineChars="200"/>
        <w:jc w:val="both"/>
        <w:rPr>
          <w:sz w:val="21"/>
          <w:szCs w:val="21"/>
          <w:u w:val="single"/>
        </w:rPr>
      </w:pPr>
      <w:r>
        <w:rPr>
          <w:rFonts w:hint="eastAsia"/>
        </w:rPr>
        <w:t>4、</w:t>
      </w:r>
      <w:r>
        <w:rPr>
          <w:rFonts w:hint="eastAsia"/>
          <w:sz w:val="21"/>
          <w:szCs w:val="21"/>
          <w:u w:val="single"/>
        </w:rPr>
        <w:t xml:space="preserve">                                                                                     </w:t>
      </w:r>
    </w:p>
    <w:p>
      <w:pPr>
        <w:spacing w:line="480" w:lineRule="exact"/>
        <w:ind w:firstLine="480" w:firstLineChars="200"/>
        <w:jc w:val="both"/>
      </w:pPr>
      <w:r>
        <w:rPr>
          <w:rFonts w:hint="eastAsia"/>
        </w:rPr>
        <w:t>（二）项目验收</w:t>
      </w:r>
    </w:p>
    <w:p>
      <w:pPr>
        <w:spacing w:line="480" w:lineRule="exact"/>
        <w:ind w:firstLine="480" w:firstLineChars="200"/>
        <w:jc w:val="both"/>
        <w:rPr>
          <w:u w:val="single"/>
        </w:rPr>
      </w:pPr>
      <w:r>
        <w:rPr>
          <w:rFonts w:hint="eastAsia"/>
        </w:rPr>
        <w:t>1、中标单位应当在合同约定的服务期限内完成项目工作并汇总以下工作成果，向招标单位交付以供验收：</w:t>
      </w:r>
    </w:p>
    <w:p>
      <w:pPr>
        <w:spacing w:line="480" w:lineRule="exact"/>
        <w:ind w:firstLine="480" w:firstLineChars="200"/>
        <w:jc w:val="both"/>
      </w:pPr>
      <w:r>
        <w:rPr>
          <w:rFonts w:hint="eastAsia"/>
        </w:rPr>
        <w:t>（1）工作报告；</w:t>
      </w:r>
    </w:p>
    <w:p>
      <w:pPr>
        <w:spacing w:line="480" w:lineRule="exact"/>
        <w:ind w:firstLine="480" w:firstLineChars="200"/>
        <w:jc w:val="both"/>
      </w:pPr>
      <w:r>
        <w:rPr>
          <w:rFonts w:hint="eastAsia"/>
        </w:rPr>
        <w:t>（2）工作记录(包括但不限于：台账、</w:t>
      </w:r>
      <w:r>
        <w:rPr>
          <w:rFonts w:hint="eastAsia"/>
          <w:u w:val="single"/>
        </w:rPr>
        <w:t xml:space="preserve">        </w:t>
      </w:r>
      <w:r>
        <w:rPr>
          <w:rFonts w:hint="eastAsia"/>
        </w:rPr>
        <w:t>、</w:t>
      </w:r>
      <w:r>
        <w:rPr>
          <w:rFonts w:hint="eastAsia"/>
          <w:u w:val="single"/>
        </w:rPr>
        <w:t xml:space="preserve">       </w:t>
      </w:r>
      <w:r>
        <w:rPr>
          <w:rFonts w:hint="eastAsia"/>
        </w:rPr>
        <w:t>等)；</w:t>
      </w:r>
    </w:p>
    <w:p>
      <w:pPr>
        <w:spacing w:line="480" w:lineRule="exact"/>
        <w:ind w:firstLine="480" w:firstLineChars="200"/>
        <w:jc w:val="both"/>
      </w:pPr>
      <w:r>
        <w:rPr>
          <w:rFonts w:hint="eastAsia"/>
        </w:rPr>
        <w:t>（3）</w:t>
      </w:r>
      <w:r>
        <w:rPr>
          <w:rFonts w:hint="eastAsia"/>
          <w:i/>
          <w:iCs/>
          <w:u w:val="single"/>
        </w:rPr>
        <w:t xml:space="preserve">        </w:t>
      </w:r>
      <w:r>
        <w:rPr>
          <w:rFonts w:hint="eastAsia"/>
        </w:rPr>
        <w:t xml:space="preserve">。 </w:t>
      </w:r>
    </w:p>
    <w:p>
      <w:pPr>
        <w:widowControl w:val="0"/>
        <w:spacing w:line="480" w:lineRule="exact"/>
        <w:ind w:firstLine="480" w:firstLineChars="200"/>
      </w:pPr>
      <w:r>
        <w:rPr>
          <w:rFonts w:hint="eastAsia"/>
        </w:rPr>
        <w:t>2、相应工作记录及工作报告等</w:t>
      </w:r>
      <w:r>
        <w:rPr>
          <w:rFonts w:hint="eastAsia"/>
          <w:lang w:eastAsia="zh-CN"/>
        </w:rPr>
        <w:t>按时</w:t>
      </w:r>
      <w:r>
        <w:rPr>
          <w:rFonts w:hint="eastAsia"/>
        </w:rPr>
        <w:t xml:space="preserve">录入深圳市南山区城市建设智能管理平台存档。  </w:t>
      </w:r>
    </w:p>
    <w:p>
      <w:pPr>
        <w:keepNext/>
        <w:keepLines/>
        <w:widowControl w:val="0"/>
        <w:adjustRightInd w:val="0"/>
        <w:spacing w:before="156" w:beforeLines="50" w:after="156" w:afterLines="50" w:line="480" w:lineRule="exact"/>
        <w:textAlignment w:val="baseline"/>
        <w:outlineLvl w:val="1"/>
        <w:rPr>
          <w:rFonts w:ascii="Times New Roman" w:hAnsi="Times New Roman" w:cs="Times New Roman"/>
          <w:b/>
          <w:bCs/>
          <w:kern w:val="44"/>
          <w:szCs w:val="44"/>
        </w:rPr>
      </w:pPr>
      <w:r>
        <w:rPr>
          <w:rFonts w:hint="eastAsia" w:ascii="Times New Roman" w:hAnsi="Times New Roman" w:cs="Times New Roman"/>
          <w:b/>
          <w:bCs/>
          <w:kern w:val="44"/>
          <w:szCs w:val="44"/>
        </w:rPr>
        <w:t>六、服务费用及支付方式</w:t>
      </w:r>
    </w:p>
    <w:p>
      <w:pPr>
        <w:widowControl w:val="0"/>
        <w:spacing w:line="480" w:lineRule="exact"/>
        <w:ind w:firstLine="480" w:firstLineChars="200"/>
      </w:pPr>
      <w:r>
        <w:rPr>
          <w:rFonts w:hint="eastAsia"/>
        </w:rPr>
        <w:t>投标单位的投标报价应包括服务成本、法定税费、自身利润以及其他一切不可预见的费用。投标单位根据招标文件所提供的资料自行测算投标报价，一经中标，投标报价总价作为中标单位与招标单位签订的合同服务费用总额；除另有约定外，合同期限内不作调整。招标单位付款前，投标单位均应开具正规发票给到招标单位。除第一期款外，投标单位须向招标单位提供相应工作成果文件；招标单位须提供对投标单位服务的抽查记录，</w:t>
      </w:r>
      <w:r>
        <w:rPr>
          <w:rFonts w:hint="eastAsia"/>
          <w:lang w:eastAsia="zh-CN"/>
        </w:rPr>
        <w:t>以</w:t>
      </w:r>
      <w:r>
        <w:rPr>
          <w:rFonts w:hint="eastAsia"/>
        </w:rPr>
        <w:t>深圳市南山区城市建设智能管理平台</w:t>
      </w:r>
      <w:r>
        <w:rPr>
          <w:rFonts w:hint="eastAsia"/>
          <w:lang w:eastAsia="zh-CN"/>
        </w:rPr>
        <w:t>成果</w:t>
      </w:r>
      <w:r>
        <w:rPr>
          <w:rFonts w:hint="eastAsia"/>
        </w:rPr>
        <w:t>台账</w:t>
      </w:r>
      <w:r>
        <w:rPr>
          <w:rFonts w:hint="eastAsia"/>
          <w:lang w:eastAsia="zh-CN"/>
        </w:rPr>
        <w:t>记录</w:t>
      </w:r>
      <w:r>
        <w:rPr>
          <w:rFonts w:hint="eastAsia"/>
        </w:rPr>
        <w:t>作为支付证明。本项目服务费用按以下方式支付：</w:t>
      </w:r>
    </w:p>
    <w:p>
      <w:pPr>
        <w:widowControl w:val="0"/>
        <w:spacing w:line="480" w:lineRule="exact"/>
        <w:ind w:firstLine="480" w:firstLineChars="200"/>
      </w:pPr>
      <w:r>
        <w:rPr>
          <w:rFonts w:hint="eastAsia"/>
        </w:rPr>
        <w:t>第一期：</w:t>
      </w:r>
      <w:r>
        <w:rPr>
          <w:rFonts w:hint="eastAsia"/>
          <w:u w:val="single"/>
        </w:rPr>
        <w:t xml:space="preserve"> 项目合同生效且收到中标单位开具的符合财务要求的发票后 10 个工作</w:t>
      </w:r>
      <w:r>
        <w:rPr>
          <w:rFonts w:hint="eastAsia"/>
        </w:rPr>
        <w:t>日内，招标单位向中标单位支付服务费用总额的</w:t>
      </w:r>
      <w:r>
        <w:rPr>
          <w:rFonts w:hint="eastAsia"/>
          <w:u w:val="single"/>
        </w:rPr>
        <w:t>25</w:t>
      </w:r>
      <w:r>
        <w:rPr>
          <w:rFonts w:hint="eastAsia"/>
          <w:i/>
          <w:iCs/>
          <w:u w:val="single"/>
        </w:rPr>
        <w:t xml:space="preserve"> </w:t>
      </w:r>
      <w:r>
        <w:rPr>
          <w:rFonts w:hint="eastAsia"/>
        </w:rPr>
        <w:t>%，即人民币</w:t>
      </w:r>
      <w:r>
        <w:rPr>
          <w:rFonts w:hint="eastAsia"/>
          <w:u w:val="single"/>
        </w:rPr>
        <w:t xml:space="preserve">      </w:t>
      </w:r>
      <w:r>
        <w:rPr>
          <w:rFonts w:hint="eastAsia"/>
        </w:rPr>
        <w:t>元整（大写：</w:t>
      </w:r>
      <w:r>
        <w:rPr>
          <w:rFonts w:hint="eastAsia"/>
          <w:u w:val="single"/>
        </w:rPr>
        <w:t xml:space="preserve">      </w:t>
      </w:r>
      <w:r>
        <w:rPr>
          <w:rFonts w:hint="eastAsia"/>
        </w:rPr>
        <w:t>圆整）；</w:t>
      </w:r>
    </w:p>
    <w:p>
      <w:pPr>
        <w:widowControl w:val="0"/>
        <w:spacing w:line="480" w:lineRule="exact"/>
        <w:ind w:firstLine="480" w:firstLineChars="200"/>
      </w:pPr>
      <w:r>
        <w:rPr>
          <w:rFonts w:hint="eastAsia"/>
        </w:rPr>
        <w:t>第二期：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日前，中标单位</w:t>
      </w:r>
      <w:r>
        <w:rPr>
          <w:rFonts w:hint="eastAsia"/>
          <w:szCs w:val="21"/>
        </w:rPr>
        <w:t>提供验收合格的成果报告及成果文件</w:t>
      </w:r>
      <w:r>
        <w:rPr>
          <w:rFonts w:hint="eastAsia"/>
        </w:rPr>
        <w:t>，招标单位向中标单位支付服务费用总额的</w:t>
      </w:r>
      <w:r>
        <w:rPr>
          <w:rFonts w:hint="eastAsia"/>
          <w:u w:val="single"/>
        </w:rPr>
        <w:t xml:space="preserve"> 50 </w:t>
      </w:r>
      <w:r>
        <w:rPr>
          <w:rFonts w:hint="eastAsia"/>
        </w:rPr>
        <w:t>%，即人民币</w:t>
      </w:r>
      <w:r>
        <w:rPr>
          <w:rFonts w:hint="eastAsia"/>
          <w:u w:val="single"/>
        </w:rPr>
        <w:t xml:space="preserve">      </w:t>
      </w:r>
      <w:r>
        <w:rPr>
          <w:rFonts w:hint="eastAsia"/>
        </w:rPr>
        <w:t>元整（大写：</w:t>
      </w:r>
      <w:r>
        <w:rPr>
          <w:rFonts w:hint="eastAsia"/>
          <w:u w:val="single"/>
        </w:rPr>
        <w:t xml:space="preserve">    </w:t>
      </w:r>
      <w:r>
        <w:rPr>
          <w:rFonts w:hint="eastAsia"/>
        </w:rPr>
        <w:t xml:space="preserve">  圆整）；</w:t>
      </w:r>
    </w:p>
    <w:p>
      <w:pPr>
        <w:widowControl w:val="0"/>
        <w:spacing w:line="480" w:lineRule="exact"/>
        <w:ind w:firstLine="480" w:firstLineChars="200"/>
      </w:pPr>
      <w:r>
        <w:rPr>
          <w:rFonts w:hint="eastAsia"/>
        </w:rPr>
        <w:t>第三期：服务期到期后15日内，中标单位完成本项目全部服务，由招标单位进行验收并进行履约评价，履约评价表（报告）中要完整体现约定的服务内容绩效完成情况。验收通过且履约评价合格的，招标单位在15日内向中标单位支付服务费用总额的</w:t>
      </w:r>
      <w:r>
        <w:rPr>
          <w:rFonts w:hint="eastAsia"/>
          <w:u w:val="single"/>
        </w:rPr>
        <w:t xml:space="preserve"> 25  </w:t>
      </w:r>
      <w:r>
        <w:rPr>
          <w:rFonts w:hint="eastAsia"/>
        </w:rPr>
        <w:t>%，即人民币</w:t>
      </w:r>
      <w:r>
        <w:rPr>
          <w:rFonts w:hint="eastAsia"/>
          <w:u w:val="single"/>
        </w:rPr>
        <w:t xml:space="preserve">      </w:t>
      </w:r>
      <w:r>
        <w:rPr>
          <w:rFonts w:hint="eastAsia"/>
        </w:rPr>
        <w:t>元整（大写：</w:t>
      </w:r>
      <w:r>
        <w:rPr>
          <w:rFonts w:hint="eastAsia"/>
          <w:u w:val="single"/>
        </w:rPr>
        <w:t xml:space="preserve">      </w:t>
      </w:r>
      <w:r>
        <w:rPr>
          <w:rFonts w:hint="eastAsia"/>
        </w:rPr>
        <w:t>圆整）。</w:t>
      </w:r>
    </w:p>
    <w:p>
      <w:pPr>
        <w:widowControl w:val="0"/>
        <w:spacing w:line="480" w:lineRule="exact"/>
        <w:ind w:firstLine="480" w:firstLineChars="200"/>
      </w:pPr>
      <w:r>
        <w:rPr>
          <w:rFonts w:hint="eastAsia"/>
        </w:rPr>
        <w:t>备注：以上金额是中标单位正常履约情况下的支付金额，若履行过程中出现合同所约定违约情形的，当期应付费用须扣除相应违约金后再行支付。</w:t>
      </w:r>
    </w:p>
    <w:p>
      <w:pPr>
        <w:keepNext/>
        <w:keepLines/>
        <w:widowControl w:val="0"/>
        <w:spacing w:before="156" w:beforeLines="50" w:after="156" w:afterLines="50" w:line="480" w:lineRule="exact"/>
        <w:textAlignment w:val="baseline"/>
        <w:outlineLvl w:val="1"/>
        <w:rPr>
          <w:rFonts w:ascii="Times New Roman" w:hAnsi="Times New Roman" w:cs="Times New Roman"/>
          <w:b/>
          <w:bCs/>
          <w:szCs w:val="20"/>
        </w:rPr>
      </w:pPr>
      <w:r>
        <w:rPr>
          <w:rFonts w:hint="eastAsia" w:ascii="Times New Roman" w:hAnsi="Times New Roman" w:cs="Times New Roman"/>
          <w:b/>
          <w:bCs/>
          <w:szCs w:val="20"/>
        </w:rPr>
        <w:t>七、本项目定标方法</w:t>
      </w:r>
    </w:p>
    <w:p>
      <w:pPr>
        <w:spacing w:line="480" w:lineRule="exact"/>
        <w:ind w:firstLine="480" w:firstLineChars="200"/>
        <w:jc w:val="both"/>
      </w:pPr>
      <w:r>
        <w:rPr>
          <w:rFonts w:hint="eastAsia"/>
        </w:rPr>
        <w:t>采用综合评分法，评标结果按评审后得分由高到低顺序排列。得分相同的，按投标报价由低到高顺序排列。得分且投标报价相同的并列，中标单位的确定由招标单位综合考虑单位实力、服务方案、服务人员等进行选定。</w:t>
      </w:r>
    </w:p>
    <w:p>
      <w:pPr>
        <w:keepNext/>
        <w:keepLines/>
        <w:widowControl w:val="0"/>
        <w:spacing w:before="156" w:beforeLines="50" w:after="156" w:afterLines="50" w:line="480" w:lineRule="exact"/>
        <w:textAlignment w:val="baseline"/>
        <w:outlineLvl w:val="1"/>
        <w:rPr>
          <w:rFonts w:ascii="Times New Roman" w:hAnsi="Times New Roman" w:cs="Times New Roman"/>
          <w:b/>
          <w:bCs/>
          <w:szCs w:val="20"/>
        </w:rPr>
      </w:pPr>
      <w:r>
        <w:rPr>
          <w:rFonts w:hint="eastAsia" w:ascii="Times New Roman" w:hAnsi="Times New Roman" w:cs="Times New Roman"/>
          <w:b/>
          <w:bCs/>
          <w:szCs w:val="20"/>
        </w:rPr>
        <w:t>八、注意事项</w:t>
      </w:r>
    </w:p>
    <w:p>
      <w:pPr>
        <w:spacing w:line="480" w:lineRule="exact"/>
        <w:ind w:firstLine="480" w:firstLineChars="200"/>
        <w:jc w:val="both"/>
      </w:pPr>
      <w:r>
        <w:rPr>
          <w:rFonts w:hint="eastAsia"/>
        </w:rPr>
        <w:t>1、中标单位不得将项目非法分包或转包给任何单位和个人。否则，招标单位有权解除合同，并要求中标单位赔偿相应损失。</w:t>
      </w:r>
    </w:p>
    <w:p>
      <w:pPr>
        <w:spacing w:line="480" w:lineRule="exact"/>
        <w:ind w:firstLine="480" w:firstLineChars="200"/>
        <w:jc w:val="both"/>
      </w:pPr>
      <w:r>
        <w:rPr>
          <w:rFonts w:hint="eastAsia"/>
        </w:rPr>
        <w:t>2、投标单位若认为招标文件的技术要求或其他要求有倾向性或不公正性，可向招标单位提出解释请求，以维护招标行为的公平、公正。</w:t>
      </w:r>
    </w:p>
    <w:p>
      <w:pPr>
        <w:spacing w:line="480" w:lineRule="exact"/>
        <w:ind w:firstLine="480" w:firstLineChars="200"/>
        <w:jc w:val="both"/>
      </w:pPr>
      <w:r>
        <w:rPr>
          <w:rFonts w:hint="eastAsia"/>
        </w:rPr>
        <w:t>3、投标单位使用的标准必须是国际公认或国家、或地方政府颁布的同等或更高的标准。如投标单位使用的标准低于上述标准，投标单位必须列表将明显的差异详细说明，招标单位有权不予接受。</w:t>
      </w:r>
    </w:p>
    <w:p>
      <w:pPr>
        <w:spacing w:line="480" w:lineRule="exact"/>
        <w:ind w:firstLine="480" w:firstLineChars="200"/>
        <w:jc w:val="both"/>
      </w:pPr>
      <w:r>
        <w:rPr>
          <w:rFonts w:hint="eastAsia"/>
        </w:rPr>
        <w:t>4、投标单位所提交的投标文件对技术参数和各项要求的响应应当列出具体内容。如果投标单位只注明“符合”或“满足”，将被视为“不符合”，并可能严重影响评标结果。</w:t>
      </w:r>
    </w:p>
    <w:p>
      <w:pPr>
        <w:spacing w:line="480" w:lineRule="exact"/>
        <w:ind w:firstLine="480" w:firstLineChars="200"/>
        <w:jc w:val="both"/>
      </w:pPr>
      <w:r>
        <w:rPr>
          <w:rFonts w:hint="eastAsia"/>
        </w:rPr>
        <w:t>5、《深圳经济特区政府采购条例》规定：供应商在政府采购中，未按该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供应商必须诚信投标，对项目需求响应真实性负责。</w:t>
      </w:r>
    </w:p>
    <w:p>
      <w:pPr>
        <w:spacing w:line="480" w:lineRule="exact"/>
        <w:ind w:firstLine="480" w:firstLineChars="200"/>
        <w:jc w:val="both"/>
      </w:pPr>
      <w:r>
        <w:rPr>
          <w:rFonts w:hint="eastAsia"/>
        </w:rPr>
        <w:t>6、对采购文件中描述有歧义或前后不一致的地方，招标单位有权进行评判，但对同一条款的评判应适用于每个投标单位。</w:t>
      </w:r>
    </w:p>
    <w:p>
      <w:pPr>
        <w:spacing w:line="480" w:lineRule="exact"/>
        <w:ind w:firstLine="480" w:firstLineChars="200"/>
        <w:jc w:val="both"/>
      </w:pPr>
      <w:r>
        <w:rPr>
          <w:rFonts w:hint="eastAsia"/>
        </w:rPr>
        <w:t>7、《政府采购货物和服务招标投标管理办法》（财政部令第87号）规定：采购人认为投标单位的报价明显低于其他通过符合性审查投标单位的报价，有可能影响产品质量或者不能诚信履约的，应当要求其在合理的时间内提供书面说明，必要时提交相关证明材料；投标单位不能证明其报价合理性的，采购人应当将其作为无效投标处理。</w:t>
      </w:r>
    </w:p>
    <w:p>
      <w:pPr>
        <w:spacing w:line="480" w:lineRule="exact"/>
        <w:ind w:firstLine="480" w:firstLineChars="200"/>
        <w:jc w:val="both"/>
      </w:pPr>
      <w:r>
        <w:rPr>
          <w:rFonts w:hint="eastAsia"/>
        </w:rPr>
        <w:t>8、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pPr>
        <w:spacing w:line="480" w:lineRule="exact"/>
        <w:ind w:firstLine="480" w:firstLineChars="200"/>
        <w:jc w:val="both"/>
      </w:pPr>
      <w:r>
        <w:rPr>
          <w:rFonts w:hint="eastAsia"/>
        </w:rPr>
        <w:t>9、根据《深圳市建立清理拖欠民营企业中小企业账款长效工作机制方案》和《南山区进一步完善清理拖欠民营企业中小企业账款长效工作机制方案》，要求各采购人应努力避免各类政府采购项目发生新的拖欠民营企业中小企业账款现象。</w:t>
      </w:r>
    </w:p>
    <w:p>
      <w:pPr>
        <w:spacing w:line="480" w:lineRule="exact"/>
        <w:ind w:firstLine="480" w:firstLineChars="200"/>
        <w:jc w:val="both"/>
      </w:pPr>
      <w:r>
        <w:rPr>
          <w:rFonts w:hint="eastAsia"/>
        </w:rPr>
        <w:t>10、根据《关于促进政府采购公平竞争优化营商环境的通知》，招标单位将依法保障各类市场主体平等参与政府采购活动的权利，各投标单位应积极发挥自身优势，参与投标，充分竞争。</w:t>
      </w:r>
    </w:p>
    <w:p>
      <w:pPr>
        <w:spacing w:line="480" w:lineRule="exact"/>
        <w:ind w:firstLine="480" w:firstLineChars="200"/>
        <w:jc w:val="both"/>
      </w:pPr>
      <w:r>
        <w:rPr>
          <w:rFonts w:hint="eastAsia"/>
        </w:rPr>
        <w:t>若通过资格审查的供应商不足3名的，则本项目第一轮招标失败，须以体现充分竞争为目的，降低招标标准（评分因素）进行第二轮招标。</w:t>
      </w:r>
    </w:p>
    <w:p>
      <w:pPr>
        <w:pStyle w:val="2"/>
        <w:numPr>
          <w:ilvl w:val="0"/>
          <w:numId w:val="1"/>
        </w:numPr>
        <w:ind w:firstLine="241"/>
      </w:pPr>
      <w:r>
        <w:rPr>
          <w:rFonts w:hint="eastAsia"/>
        </w:rPr>
        <w:t>本次招标将通过“南山政府在线网站”发布招标公告。</w:t>
      </w:r>
    </w:p>
    <w:p>
      <w:pPr>
        <w:ind w:firstLine="480" w:firstLineChars="200"/>
        <w:jc w:val="center"/>
      </w:pPr>
    </w:p>
    <w:p>
      <w:pPr>
        <w:ind w:firstLine="642" w:firstLineChars="200"/>
        <w:jc w:val="center"/>
        <w:rPr>
          <w:rFonts w:ascii="Times New Roman" w:hAnsi="Times New Roman" w:cs="Times New Roman"/>
          <w:b/>
          <w:bCs/>
          <w:kern w:val="44"/>
          <w:sz w:val="32"/>
          <w:szCs w:val="52"/>
        </w:rPr>
      </w:pPr>
    </w:p>
    <w:p>
      <w:pPr>
        <w:ind w:firstLine="642" w:firstLineChars="200"/>
        <w:jc w:val="center"/>
        <w:rPr>
          <w:rFonts w:ascii="Times New Roman" w:hAnsi="Times New Roman" w:cs="Times New Roman"/>
          <w:b/>
          <w:bCs/>
          <w:kern w:val="44"/>
          <w:sz w:val="32"/>
          <w:szCs w:val="52"/>
        </w:rPr>
      </w:pPr>
    </w:p>
    <w:p>
      <w:pPr>
        <w:ind w:firstLine="642" w:firstLineChars="200"/>
        <w:jc w:val="center"/>
        <w:rPr>
          <w:rFonts w:ascii="Times New Roman" w:hAnsi="Times New Roman" w:cs="Times New Roman"/>
          <w:b/>
          <w:bCs/>
          <w:kern w:val="44"/>
          <w:sz w:val="32"/>
          <w:szCs w:val="52"/>
        </w:rPr>
      </w:pPr>
    </w:p>
    <w:p>
      <w:pPr>
        <w:ind w:firstLine="642" w:firstLineChars="200"/>
        <w:jc w:val="center"/>
        <w:rPr>
          <w:rFonts w:ascii="Times New Roman" w:hAnsi="Times New Roman" w:cs="Times New Roman"/>
          <w:b/>
          <w:bCs/>
          <w:kern w:val="44"/>
          <w:sz w:val="32"/>
          <w:szCs w:val="52"/>
        </w:rPr>
      </w:pPr>
    </w:p>
    <w:p>
      <w:pPr>
        <w:ind w:firstLine="642" w:firstLineChars="200"/>
        <w:jc w:val="center"/>
        <w:rPr>
          <w:rFonts w:ascii="Times New Roman" w:hAnsi="Times New Roman" w:cs="Times New Roman"/>
          <w:b/>
          <w:bCs/>
          <w:kern w:val="44"/>
          <w:sz w:val="32"/>
          <w:szCs w:val="52"/>
        </w:rPr>
      </w:pPr>
    </w:p>
    <w:p>
      <w:pPr>
        <w:ind w:firstLine="642" w:firstLineChars="200"/>
        <w:jc w:val="center"/>
        <w:rPr>
          <w:rFonts w:ascii="Times New Roman" w:hAnsi="Times New Roman" w:cs="Times New Roman"/>
          <w:b/>
          <w:bCs/>
          <w:kern w:val="44"/>
          <w:sz w:val="32"/>
          <w:szCs w:val="52"/>
        </w:rPr>
      </w:pPr>
    </w:p>
    <w:p>
      <w:pPr>
        <w:pStyle w:val="2"/>
        <w:ind w:firstLine="241"/>
      </w:pPr>
    </w:p>
    <w:p>
      <w:pPr>
        <w:ind w:firstLine="642" w:firstLineChars="200"/>
        <w:jc w:val="center"/>
        <w:rPr>
          <w:rFonts w:ascii="Times New Roman" w:hAnsi="Times New Roman" w:cs="Times New Roman"/>
          <w:b/>
          <w:bCs/>
          <w:kern w:val="44"/>
          <w:sz w:val="32"/>
          <w:szCs w:val="52"/>
        </w:rPr>
      </w:pPr>
      <w:r>
        <w:rPr>
          <w:rFonts w:hint="eastAsia" w:ascii="Times New Roman" w:hAnsi="Times New Roman" w:cs="Times New Roman"/>
          <w:b/>
          <w:bCs/>
          <w:kern w:val="44"/>
          <w:sz w:val="32"/>
          <w:szCs w:val="52"/>
        </w:rPr>
        <w:t>第三章 定标信息</w:t>
      </w:r>
    </w:p>
    <w:p>
      <w:pPr>
        <w:pStyle w:val="3"/>
      </w:pPr>
    </w:p>
    <w:tbl>
      <w:tblPr>
        <w:tblStyle w:val="17"/>
        <w:tblW w:w="9139" w:type="dxa"/>
        <w:jc w:val="center"/>
        <w:tblCellSpacing w:w="0" w:type="dxa"/>
        <w:tblLayout w:type="fixed"/>
        <w:tblCellMar>
          <w:top w:w="36" w:type="dxa"/>
          <w:left w:w="36" w:type="dxa"/>
          <w:bottom w:w="36" w:type="dxa"/>
          <w:right w:w="36" w:type="dxa"/>
        </w:tblCellMar>
      </w:tblPr>
      <w:tblGrid>
        <w:gridCol w:w="7427"/>
        <w:gridCol w:w="1712"/>
      </w:tblGrid>
      <w:tr>
        <w:tblPrEx>
          <w:tblCellMar>
            <w:top w:w="36" w:type="dxa"/>
            <w:left w:w="36" w:type="dxa"/>
            <w:bottom w:w="36" w:type="dxa"/>
            <w:right w:w="36" w:type="dxa"/>
          </w:tblCellMar>
        </w:tblPrEx>
        <w:trPr>
          <w:trHeight w:val="717" w:hRule="atLeast"/>
          <w:tblCellSpacing w:w="0" w:type="dxa"/>
          <w:jc w:val="center"/>
        </w:trPr>
        <w:tc>
          <w:tcPr>
            <w:tcW w:w="7427" w:type="dxa"/>
            <w:tcBorders>
              <w:top w:val="nil"/>
              <w:left w:val="nil"/>
              <w:bottom w:val="nil"/>
              <w:right w:val="nil"/>
            </w:tcBorders>
            <w:vAlign w:val="center"/>
          </w:tcPr>
          <w:p>
            <w:pPr>
              <w:rPr>
                <w:b/>
                <w:bCs/>
              </w:rPr>
            </w:pPr>
            <w:r>
              <w:rPr>
                <w:rFonts w:hint="eastAsia"/>
                <w:b/>
                <w:bCs/>
              </w:rPr>
              <w:t>定</w:t>
            </w:r>
            <w:r>
              <w:rPr>
                <w:b/>
                <w:bCs/>
              </w:rPr>
              <w:t>标方法：综合评分法</w:t>
            </w:r>
          </w:p>
        </w:tc>
        <w:tc>
          <w:tcPr>
            <w:tcW w:w="1712" w:type="dxa"/>
            <w:tcBorders>
              <w:top w:val="nil"/>
              <w:left w:val="nil"/>
              <w:bottom w:val="nil"/>
              <w:right w:val="nil"/>
            </w:tcBorders>
            <w:vAlign w:val="center"/>
          </w:tcPr>
          <w:p>
            <w:pPr>
              <w:jc w:val="right"/>
              <w:rPr>
                <w:b/>
                <w:bCs/>
              </w:rPr>
            </w:pPr>
          </w:p>
        </w:tc>
      </w:tr>
      <w:tr>
        <w:tblPrEx>
          <w:tblCellMar>
            <w:top w:w="36" w:type="dxa"/>
            <w:left w:w="36" w:type="dxa"/>
            <w:bottom w:w="36" w:type="dxa"/>
            <w:right w:w="36" w:type="dxa"/>
          </w:tblCellMar>
        </w:tblPrEx>
        <w:trPr>
          <w:trHeight w:val="9372" w:hRule="atLeast"/>
          <w:tblCellSpacing w:w="0" w:type="dxa"/>
          <w:jc w:val="center"/>
        </w:trPr>
        <w:tc>
          <w:tcPr>
            <w:tcW w:w="9139" w:type="dxa"/>
            <w:gridSpan w:val="2"/>
            <w:tcBorders>
              <w:top w:val="nil"/>
              <w:left w:val="nil"/>
              <w:bottom w:val="nil"/>
              <w:right w:val="nil"/>
            </w:tcBorders>
            <w:vAlign w:val="center"/>
          </w:tcPr>
          <w:p>
            <w:pPr>
              <w:pStyle w:val="14"/>
              <w:spacing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综合评分法，是指投标文件满足招标文件全部实质性要求，且按照评审因素的量化指标评审得分最高的投标单位为中标候选人的评标方法。 </w:t>
            </w:r>
          </w:p>
          <w:p>
            <w:pPr>
              <w:pStyle w:val="14"/>
              <w:spacing w:beforeAutospacing="0" w:afterAutospacing="0"/>
              <w:ind w:firstLine="420"/>
              <w:rPr>
                <w:sz w:val="21"/>
                <w:szCs w:val="21"/>
              </w:rPr>
            </w:pPr>
            <w:r>
              <w:rPr>
                <w:sz w:val="21"/>
                <w:szCs w:val="21"/>
              </w:rPr>
              <w:t xml:space="preserve">价格分计算方法：采用低价优先法计算，即满足招标文件要求且投标价格最低的投标报价为评标基准价，其价格分为满分。其他投标单位的价格分统一按照下列公式计算： </w:t>
            </w:r>
            <w:r>
              <w:rPr>
                <w:sz w:val="21"/>
                <w:szCs w:val="21"/>
              </w:rPr>
              <w:br w:type="textWrapping"/>
            </w:r>
            <w:r>
              <w:rPr>
                <w:sz w:val="21"/>
                <w:szCs w:val="21"/>
              </w:rPr>
              <w:t>投标报价得分=(评标基准价／投标报价)×</w:t>
            </w:r>
            <w:r>
              <w:rPr>
                <w:rFonts w:hint="eastAsia"/>
                <w:sz w:val="21"/>
                <w:szCs w:val="21"/>
              </w:rPr>
              <w:t>权重</w:t>
            </w:r>
            <w:r>
              <w:rPr>
                <w:sz w:val="21"/>
                <w:szCs w:val="21"/>
              </w:rPr>
              <w:t xml:space="preserve">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tbl>
            <w:tblPr>
              <w:tblStyle w:val="17"/>
              <w:tblpPr w:leftFromText="180" w:rightFromText="180" w:vertAnchor="text" w:horzAnchor="page" w:tblpXSpec="center" w:tblpY="335"/>
              <w:tblOverlap w:val="never"/>
              <w:tblW w:w="89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397"/>
              <w:gridCol w:w="323"/>
              <w:gridCol w:w="1095"/>
              <w:gridCol w:w="450"/>
              <w:gridCol w:w="3317"/>
              <w:gridCol w:w="2880"/>
              <w:gridCol w:w="5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jc w:val="center"/>
              </w:trPr>
              <w:tc>
                <w:tcPr>
                  <w:tcW w:w="397" w:type="dxa"/>
                  <w:tcBorders>
                    <w:top w:val="single" w:color="000000" w:sz="8" w:space="0"/>
                    <w:left w:val="single" w:color="000000" w:sz="8" w:space="0"/>
                    <w:bottom w:val="single" w:color="000000" w:sz="8" w:space="0"/>
                    <w:right w:val="single" w:color="auto" w:sz="4" w:space="0"/>
                  </w:tcBorders>
                  <w:shd w:val="clear" w:color="auto" w:fill="E6EFFA"/>
                  <w:vAlign w:val="center"/>
                </w:tcPr>
                <w:p>
                  <w:pPr>
                    <w:wordWrap w:val="0"/>
                    <w:jc w:val="center"/>
                    <w:rPr>
                      <w:b/>
                      <w:bCs/>
                      <w:sz w:val="21"/>
                      <w:szCs w:val="21"/>
                    </w:rPr>
                  </w:pPr>
                  <w:r>
                    <w:rPr>
                      <w:b/>
                      <w:bCs/>
                      <w:sz w:val="21"/>
                      <w:szCs w:val="21"/>
                    </w:rPr>
                    <w:t>序号</w:t>
                  </w:r>
                </w:p>
              </w:tc>
              <w:tc>
                <w:tcPr>
                  <w:tcW w:w="1868" w:type="dxa"/>
                  <w:gridSpan w:val="3"/>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b/>
                      <w:bCs/>
                      <w:sz w:val="21"/>
                      <w:szCs w:val="21"/>
                    </w:rPr>
                  </w:pPr>
                  <w:r>
                    <w:rPr>
                      <w:b/>
                      <w:bCs/>
                      <w:sz w:val="21"/>
                      <w:szCs w:val="21"/>
                    </w:rPr>
                    <w:t>评分项</w:t>
                  </w:r>
                </w:p>
              </w:tc>
              <w:tc>
                <w:tcPr>
                  <w:tcW w:w="3317"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b/>
                      <w:bCs/>
                      <w:sz w:val="21"/>
                      <w:szCs w:val="21"/>
                    </w:rPr>
                  </w:pPr>
                  <w:r>
                    <w:rPr>
                      <w:b/>
                      <w:bCs/>
                      <w:sz w:val="21"/>
                      <w:szCs w:val="21"/>
                    </w:rPr>
                    <w:t>权重(%)</w:t>
                  </w:r>
                </w:p>
              </w:tc>
              <w:tc>
                <w:tcPr>
                  <w:tcW w:w="2880"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b/>
                      <w:bCs/>
                      <w:sz w:val="21"/>
                      <w:szCs w:val="21"/>
                    </w:rPr>
                  </w:pPr>
                  <w:r>
                    <w:rPr>
                      <w:rFonts w:hint="eastAsia"/>
                      <w:b/>
                      <w:bCs/>
                      <w:sz w:val="21"/>
                      <w:szCs w:val="21"/>
                    </w:rPr>
                    <w:t>备注</w:t>
                  </w:r>
                </w:p>
              </w:tc>
              <w:tc>
                <w:tcPr>
                  <w:tcW w:w="508"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b/>
                      <w:bCs/>
                      <w:sz w:val="21"/>
                      <w:szCs w:val="21"/>
                    </w:rPr>
                  </w:pPr>
                  <w:r>
                    <w:rPr>
                      <w:rFonts w:hint="eastAsia"/>
                      <w:b/>
                      <w:bCs/>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jc w:val="center"/>
              </w:trPr>
              <w:tc>
                <w:tcPr>
                  <w:tcW w:w="397" w:type="dxa"/>
                  <w:vMerge w:val="restart"/>
                  <w:tcBorders>
                    <w:top w:val="single" w:color="000000" w:sz="8" w:space="0"/>
                    <w:left w:val="single" w:color="000000" w:sz="8" w:space="0"/>
                    <w:right w:val="single" w:color="auto" w:sz="4" w:space="0"/>
                  </w:tcBorders>
                  <w:vAlign w:val="center"/>
                </w:tcPr>
                <w:p>
                  <w:pPr>
                    <w:wordWrap w:val="0"/>
                    <w:jc w:val="center"/>
                    <w:rPr>
                      <w:b/>
                      <w:bCs/>
                    </w:rPr>
                  </w:pPr>
                  <w:r>
                    <w:rPr>
                      <w:rFonts w:hint="eastAsia"/>
                      <w:b/>
                      <w:bCs/>
                    </w:rPr>
                    <w:t>1</w:t>
                  </w:r>
                </w:p>
              </w:tc>
              <w:tc>
                <w:tcPr>
                  <w:tcW w:w="1868" w:type="dxa"/>
                  <w:gridSpan w:val="3"/>
                  <w:tcBorders>
                    <w:top w:val="single" w:color="auto" w:sz="4" w:space="0"/>
                    <w:left w:val="single" w:color="auto" w:sz="4" w:space="0"/>
                    <w:bottom w:val="single" w:color="auto" w:sz="4" w:space="0"/>
                    <w:right w:val="single" w:color="auto" w:sz="4" w:space="0"/>
                  </w:tcBorders>
                  <w:vAlign w:val="center"/>
                </w:tcPr>
                <w:p>
                  <w:pPr>
                    <w:wordWrap w:val="0"/>
                    <w:jc w:val="center"/>
                    <w:rPr>
                      <w:b/>
                      <w:bCs/>
                    </w:rPr>
                  </w:pPr>
                  <w:r>
                    <w:rPr>
                      <w:rFonts w:hint="eastAsia"/>
                      <w:b/>
                      <w:bCs/>
                    </w:rPr>
                    <w:t>价格</w:t>
                  </w:r>
                </w:p>
              </w:tc>
              <w:tc>
                <w:tcPr>
                  <w:tcW w:w="3317" w:type="dxa"/>
                  <w:tcBorders>
                    <w:top w:val="single" w:color="auto" w:sz="4" w:space="0"/>
                    <w:left w:val="single" w:color="auto" w:sz="4" w:space="0"/>
                    <w:bottom w:val="single" w:color="auto" w:sz="4" w:space="0"/>
                    <w:right w:val="single" w:color="auto" w:sz="4" w:space="0"/>
                  </w:tcBorders>
                  <w:vAlign w:val="center"/>
                </w:tcPr>
                <w:p>
                  <w:pPr>
                    <w:wordWrap w:val="0"/>
                    <w:jc w:val="center"/>
                    <w:rPr>
                      <w:b/>
                      <w:bCs/>
                    </w:rPr>
                  </w:pPr>
                  <w:r>
                    <w:rPr>
                      <w:rFonts w:hint="eastAsia"/>
                      <w:b/>
                      <w:bCs/>
                    </w:rPr>
                    <w:t>20</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b/>
                      <w:bCs/>
                    </w:rPr>
                  </w:pP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jc w:val="center"/>
              </w:trPr>
              <w:tc>
                <w:tcPr>
                  <w:tcW w:w="397" w:type="dxa"/>
                  <w:vMerge w:val="continue"/>
                  <w:tcBorders>
                    <w:left w:val="single" w:color="000000" w:sz="8" w:space="0"/>
                    <w:right w:val="single" w:color="auto" w:sz="4" w:space="0"/>
                  </w:tcBorders>
                  <w:shd w:val="clear" w:color="auto" w:fill="E6EFFA"/>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sz w:val="21"/>
                      <w:szCs w:val="21"/>
                    </w:rPr>
                    <w:t>序号</w:t>
                  </w:r>
                </w:p>
              </w:tc>
              <w:tc>
                <w:tcPr>
                  <w:tcW w:w="1095"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sz w:val="21"/>
                      <w:szCs w:val="21"/>
                    </w:rPr>
                    <w:t>评分因素</w:t>
                  </w:r>
                </w:p>
              </w:tc>
              <w:tc>
                <w:tcPr>
                  <w:tcW w:w="450"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rFonts w:hint="eastAsia"/>
                      <w:sz w:val="21"/>
                      <w:szCs w:val="21"/>
                    </w:rPr>
                    <w:t>总分</w:t>
                  </w:r>
                </w:p>
              </w:tc>
              <w:tc>
                <w:tcPr>
                  <w:tcW w:w="3317"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rFonts w:hint="eastAsia"/>
                      <w:sz w:val="21"/>
                      <w:szCs w:val="21"/>
                    </w:rPr>
                    <w:t>评分准则</w:t>
                  </w:r>
                </w:p>
              </w:tc>
              <w:tc>
                <w:tcPr>
                  <w:tcW w:w="2880"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sz w:val="21"/>
                      <w:szCs w:val="21"/>
                    </w:rPr>
                  </w:pPr>
                  <w:r>
                    <w:rPr>
                      <w:rFonts w:hint="eastAsia"/>
                      <w:sz w:val="21"/>
                      <w:szCs w:val="21"/>
                    </w:rPr>
                    <w:t>备注</w:t>
                  </w:r>
                </w:p>
              </w:tc>
              <w:tc>
                <w:tcPr>
                  <w:tcW w:w="508"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rFonts w:hint="eastAsia"/>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97" w:type="dxa"/>
                  <w:vMerge w:val="continue"/>
                  <w:tcBorders>
                    <w:left w:val="single" w:color="000000" w:sz="8" w:space="0"/>
                    <w:right w:val="single" w:color="auto" w:sz="4" w:space="0"/>
                  </w:tcBorders>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sz w:val="21"/>
                      <w:szCs w:val="21"/>
                    </w:rPr>
                    <w:t>1</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jc w:val="center"/>
                    <w:rPr>
                      <w:i/>
                      <w:iCs/>
                      <w:sz w:val="21"/>
                      <w:szCs w:val="21"/>
                      <w:u w:val="single"/>
                    </w:rPr>
                  </w:pPr>
                  <w:r>
                    <w:rPr>
                      <w:rFonts w:hint="eastAsia"/>
                      <w:i/>
                      <w:iCs/>
                      <w:sz w:val="21"/>
                      <w:szCs w:val="21"/>
                      <w:u w:val="single"/>
                    </w:rPr>
                    <w:t>报价金额</w:t>
                  </w:r>
                </w:p>
              </w:tc>
              <w:tc>
                <w:tcPr>
                  <w:tcW w:w="450"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sz w:val="21"/>
                      <w:szCs w:val="21"/>
                    </w:rPr>
                    <w:t>20</w:t>
                  </w:r>
                </w:p>
              </w:tc>
              <w:tc>
                <w:tcPr>
                  <w:tcW w:w="3317"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得分=评标基准价</w:t>
                  </w:r>
                  <w:r>
                    <w:rPr>
                      <w:rFonts w:hint="eastAsia"/>
                      <w:sz w:val="21"/>
                      <w:szCs w:val="21"/>
                    </w:rPr>
                    <w:t>÷</w:t>
                  </w:r>
                  <w:r>
                    <w:rPr>
                      <w:sz w:val="21"/>
                      <w:szCs w:val="21"/>
                    </w:rPr>
                    <w:t>投标报价×20</w:t>
                  </w:r>
                </w:p>
              </w:tc>
              <w:tc>
                <w:tcPr>
                  <w:tcW w:w="2880" w:type="dxa"/>
                  <w:tcBorders>
                    <w:top w:val="single" w:color="auto" w:sz="4" w:space="0"/>
                    <w:left w:val="single" w:color="auto" w:sz="4" w:space="0"/>
                    <w:bottom w:val="single" w:color="auto" w:sz="4" w:space="0"/>
                    <w:right w:val="single" w:color="auto" w:sz="4" w:space="0"/>
                  </w:tcBorders>
                  <w:vAlign w:val="center"/>
                </w:tcPr>
                <w:p>
                  <w:pPr>
                    <w:rPr>
                      <w:sz w:val="21"/>
                      <w:szCs w:val="21"/>
                    </w:rPr>
                  </w:pPr>
                  <w:r>
                    <w:rPr>
                      <w:sz w:val="21"/>
                      <w:szCs w:val="21"/>
                    </w:rPr>
                    <w:t>评标基准价</w:t>
                  </w:r>
                  <w:r>
                    <w:rPr>
                      <w:rFonts w:hint="eastAsia"/>
                      <w:sz w:val="21"/>
                      <w:szCs w:val="21"/>
                    </w:rPr>
                    <w:t>为投标最低报价</w:t>
                  </w:r>
                </w:p>
              </w:tc>
              <w:tc>
                <w:tcPr>
                  <w:tcW w:w="508"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jc w:val="center"/>
              </w:trPr>
              <w:tc>
                <w:tcPr>
                  <w:tcW w:w="397" w:type="dxa"/>
                  <w:vMerge w:val="restart"/>
                  <w:tcBorders>
                    <w:top w:val="single" w:color="000000" w:sz="8" w:space="0"/>
                    <w:left w:val="single" w:color="000000" w:sz="8" w:space="0"/>
                    <w:right w:val="single" w:color="auto" w:sz="4" w:space="0"/>
                  </w:tcBorders>
                  <w:vAlign w:val="center"/>
                </w:tcPr>
                <w:p>
                  <w:pPr>
                    <w:wordWrap w:val="0"/>
                    <w:jc w:val="center"/>
                    <w:rPr>
                      <w:b/>
                      <w:bCs/>
                    </w:rPr>
                  </w:pPr>
                  <w:r>
                    <w:rPr>
                      <w:b/>
                      <w:bCs/>
                    </w:rPr>
                    <w:t>2</w:t>
                  </w:r>
                </w:p>
              </w:tc>
              <w:tc>
                <w:tcPr>
                  <w:tcW w:w="1868" w:type="dxa"/>
                  <w:gridSpan w:val="3"/>
                  <w:tcBorders>
                    <w:top w:val="single" w:color="auto" w:sz="4" w:space="0"/>
                    <w:left w:val="single" w:color="auto" w:sz="4" w:space="0"/>
                    <w:bottom w:val="single" w:color="auto" w:sz="4" w:space="0"/>
                    <w:right w:val="single" w:color="auto" w:sz="4" w:space="0"/>
                  </w:tcBorders>
                  <w:vAlign w:val="center"/>
                </w:tcPr>
                <w:p>
                  <w:pPr>
                    <w:wordWrap w:val="0"/>
                    <w:jc w:val="center"/>
                    <w:rPr>
                      <w:b/>
                      <w:bCs/>
                    </w:rPr>
                  </w:pPr>
                  <w:r>
                    <w:rPr>
                      <w:b/>
                      <w:bCs/>
                    </w:rPr>
                    <w:t>综合实力</w:t>
                  </w:r>
                </w:p>
              </w:tc>
              <w:tc>
                <w:tcPr>
                  <w:tcW w:w="3317" w:type="dxa"/>
                  <w:tcBorders>
                    <w:top w:val="single" w:color="auto" w:sz="4" w:space="0"/>
                    <w:left w:val="single" w:color="auto" w:sz="4" w:space="0"/>
                    <w:bottom w:val="single" w:color="auto" w:sz="4" w:space="0"/>
                    <w:right w:val="single" w:color="auto" w:sz="4" w:space="0"/>
                  </w:tcBorders>
                  <w:vAlign w:val="center"/>
                </w:tcPr>
                <w:p>
                  <w:pPr>
                    <w:wordWrap w:val="0"/>
                    <w:jc w:val="center"/>
                    <w:rPr>
                      <w:b/>
                      <w:bCs/>
                    </w:rPr>
                  </w:pPr>
                  <w:r>
                    <w:rPr>
                      <w:rFonts w:hint="eastAsia"/>
                      <w:b/>
                      <w:bCs/>
                    </w:rPr>
                    <w:t>25</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b/>
                      <w:bCs/>
                    </w:rPr>
                  </w:pP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jc w:val="center"/>
              </w:trPr>
              <w:tc>
                <w:tcPr>
                  <w:tcW w:w="397" w:type="dxa"/>
                  <w:vMerge w:val="continue"/>
                  <w:tcBorders>
                    <w:left w:val="single" w:color="000000" w:sz="8" w:space="0"/>
                    <w:right w:val="single" w:color="auto" w:sz="4" w:space="0"/>
                  </w:tcBorders>
                  <w:shd w:val="clear" w:color="auto" w:fill="E6EFFA"/>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sz w:val="21"/>
                      <w:szCs w:val="21"/>
                    </w:rPr>
                    <w:t>序号</w:t>
                  </w:r>
                </w:p>
              </w:tc>
              <w:tc>
                <w:tcPr>
                  <w:tcW w:w="1095"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sz w:val="21"/>
                      <w:szCs w:val="21"/>
                    </w:rPr>
                    <w:t>评分因素</w:t>
                  </w:r>
                </w:p>
              </w:tc>
              <w:tc>
                <w:tcPr>
                  <w:tcW w:w="450"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rFonts w:hint="eastAsia"/>
                      <w:sz w:val="21"/>
                      <w:szCs w:val="21"/>
                    </w:rPr>
                    <w:t>总分</w:t>
                  </w:r>
                </w:p>
              </w:tc>
              <w:tc>
                <w:tcPr>
                  <w:tcW w:w="3317"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rFonts w:hint="eastAsia"/>
                      <w:sz w:val="21"/>
                      <w:szCs w:val="21"/>
                    </w:rPr>
                    <w:t>评分准则</w:t>
                  </w:r>
                </w:p>
              </w:tc>
              <w:tc>
                <w:tcPr>
                  <w:tcW w:w="2880"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sz w:val="21"/>
                      <w:szCs w:val="21"/>
                    </w:rPr>
                  </w:pPr>
                  <w:r>
                    <w:rPr>
                      <w:rFonts w:hint="eastAsia"/>
                      <w:sz w:val="21"/>
                      <w:szCs w:val="21"/>
                    </w:rPr>
                    <w:t>备注</w:t>
                  </w:r>
                </w:p>
              </w:tc>
              <w:tc>
                <w:tcPr>
                  <w:tcW w:w="508"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rFonts w:hint="eastAsia"/>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6" w:hRule="atLeast"/>
                <w:jc w:val="center"/>
              </w:trPr>
              <w:tc>
                <w:tcPr>
                  <w:tcW w:w="397" w:type="dxa"/>
                  <w:vMerge w:val="continue"/>
                  <w:tcBorders>
                    <w:left w:val="single" w:color="000000" w:sz="8" w:space="0"/>
                    <w:right w:val="single" w:color="auto" w:sz="4" w:space="0"/>
                  </w:tcBorders>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sz w:val="21"/>
                      <w:szCs w:val="21"/>
                    </w:rPr>
                    <w:t>1</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jc w:val="center"/>
                    <w:rPr>
                      <w:i/>
                      <w:iCs/>
                      <w:sz w:val="21"/>
                      <w:szCs w:val="21"/>
                      <w:u w:val="single"/>
                    </w:rPr>
                  </w:pPr>
                  <w:r>
                    <w:rPr>
                      <w:rFonts w:hint="eastAsia"/>
                      <w:i/>
                      <w:iCs/>
                      <w:sz w:val="21"/>
                      <w:szCs w:val="21"/>
                      <w:u w:val="single"/>
                    </w:rPr>
                    <w:t>投标人同类项目业绩情况</w:t>
                  </w:r>
                </w:p>
              </w:tc>
              <w:tc>
                <w:tcPr>
                  <w:tcW w:w="450"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10</w:t>
                  </w:r>
                </w:p>
              </w:tc>
              <w:tc>
                <w:tcPr>
                  <w:tcW w:w="3317"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sz w:val="21"/>
                      <w:szCs w:val="21"/>
                    </w:rPr>
                    <w:t>近三年（2020年1月1日至投标截止日）承担过区级或以上住建部门城市体检项目服务的（以合同签订时间为准），每个业绩项目提供1项得</w:t>
                  </w:r>
                  <w:r>
                    <w:rPr>
                      <w:color w:val="000000" w:themeColor="text1"/>
                      <w:sz w:val="21"/>
                      <w:szCs w:val="21"/>
                      <w14:textFill>
                        <w14:solidFill>
                          <w14:schemeClr w14:val="tx1"/>
                        </w14:solidFill>
                      </w14:textFill>
                    </w:rPr>
                    <w:t>25分</w:t>
                  </w:r>
                  <w:r>
                    <w:rPr>
                      <w:sz w:val="21"/>
                      <w:szCs w:val="21"/>
                    </w:rPr>
                    <w:t>，最高得100分，未提供不得分。</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rFonts w:hint="eastAsia"/>
                      <w:sz w:val="21"/>
                      <w:szCs w:val="21"/>
                    </w:rPr>
                    <w:t>需提供相关合同关键页复印件</w:t>
                  </w: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16" w:hRule="atLeast"/>
                <w:jc w:val="center"/>
              </w:trPr>
              <w:tc>
                <w:tcPr>
                  <w:tcW w:w="397" w:type="dxa"/>
                  <w:vMerge w:val="continue"/>
                  <w:tcBorders>
                    <w:left w:val="single" w:color="000000" w:sz="8" w:space="0"/>
                    <w:right w:val="single" w:color="auto" w:sz="4" w:space="0"/>
                  </w:tcBorders>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sz w:val="21"/>
                      <w:szCs w:val="21"/>
                    </w:rPr>
                    <w:t>2</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jc w:val="center"/>
                    <w:rPr>
                      <w:i/>
                      <w:iCs/>
                      <w:sz w:val="21"/>
                      <w:szCs w:val="21"/>
                      <w:u w:val="single"/>
                    </w:rPr>
                  </w:pPr>
                  <w:r>
                    <w:rPr>
                      <w:rFonts w:hint="eastAsia"/>
                      <w:i/>
                      <w:iCs/>
                      <w:sz w:val="21"/>
                      <w:szCs w:val="21"/>
                      <w:u w:val="single"/>
                    </w:rPr>
                    <w:t>投标人通过相关认证情况</w:t>
                  </w:r>
                </w:p>
              </w:tc>
              <w:tc>
                <w:tcPr>
                  <w:tcW w:w="450"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sz w:val="21"/>
                      <w:szCs w:val="21"/>
                    </w:rPr>
                    <w:t>5</w:t>
                  </w:r>
                </w:p>
              </w:tc>
              <w:tc>
                <w:tcPr>
                  <w:tcW w:w="3317" w:type="dxa"/>
                  <w:tcBorders>
                    <w:top w:val="single" w:color="auto" w:sz="4" w:space="0"/>
                    <w:left w:val="single" w:color="auto" w:sz="4" w:space="0"/>
                    <w:bottom w:val="single" w:color="auto" w:sz="4" w:space="0"/>
                    <w:right w:val="single" w:color="auto" w:sz="4" w:space="0"/>
                  </w:tcBorders>
                  <w:vAlign w:val="center"/>
                </w:tcPr>
                <w:p>
                  <w:pPr>
                    <w:rPr>
                      <w:sz w:val="21"/>
                      <w:szCs w:val="21"/>
                    </w:rPr>
                  </w:pPr>
                  <w:r>
                    <w:rPr>
                      <w:sz w:val="21"/>
                      <w:szCs w:val="21"/>
                    </w:rPr>
                    <w:t>1.通过质量管理体系认证得50分。</w:t>
                  </w:r>
                </w:p>
                <w:p>
                  <w:pPr>
                    <w:rPr>
                      <w:sz w:val="21"/>
                      <w:szCs w:val="21"/>
                    </w:rPr>
                  </w:pPr>
                  <w:r>
                    <w:rPr>
                      <w:sz w:val="21"/>
                      <w:szCs w:val="21"/>
                    </w:rPr>
                    <w:t>2.通过环境管理体系认证与职业健康安全管理体系认证得50分。</w:t>
                  </w:r>
                </w:p>
                <w:p>
                  <w:pPr>
                    <w:rPr>
                      <w:sz w:val="21"/>
                      <w:szCs w:val="21"/>
                    </w:rPr>
                  </w:pPr>
                  <w:r>
                    <w:rPr>
                      <w:sz w:val="21"/>
                      <w:szCs w:val="21"/>
                    </w:rPr>
                    <w:t xml:space="preserve">3.以上两项合计满分100分。 </w:t>
                  </w:r>
                </w:p>
              </w:tc>
              <w:tc>
                <w:tcPr>
                  <w:tcW w:w="2880" w:type="dxa"/>
                  <w:tcBorders>
                    <w:top w:val="single" w:color="auto" w:sz="4" w:space="0"/>
                    <w:left w:val="single" w:color="auto" w:sz="4" w:space="0"/>
                    <w:bottom w:val="single" w:color="auto" w:sz="4" w:space="0"/>
                    <w:right w:val="single" w:color="auto" w:sz="4" w:space="0"/>
                  </w:tcBorders>
                  <w:vAlign w:val="center"/>
                </w:tcPr>
                <w:p>
                  <w:pPr>
                    <w:rPr>
                      <w:sz w:val="21"/>
                      <w:szCs w:val="21"/>
                    </w:rPr>
                  </w:pPr>
                  <w:r>
                    <w:rPr>
                      <w:sz w:val="21"/>
                      <w:szCs w:val="21"/>
                    </w:rPr>
                    <w:t>1.要求提供有效期内的认证证书扫描件。</w:t>
                  </w:r>
                </w:p>
                <w:p>
                  <w:pPr>
                    <w:wordWrap w:val="0"/>
                    <w:rPr>
                      <w:sz w:val="21"/>
                      <w:szCs w:val="21"/>
                    </w:rPr>
                  </w:pPr>
                  <w:r>
                    <w:rPr>
                      <w:sz w:val="21"/>
                      <w:szCs w:val="21"/>
                    </w:rPr>
                    <w:t>2.以上资料均要求提供扫描件，原件备查。</w:t>
                  </w: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86" w:hRule="atLeast"/>
                <w:jc w:val="center"/>
              </w:trPr>
              <w:tc>
                <w:tcPr>
                  <w:tcW w:w="397" w:type="dxa"/>
                  <w:vMerge w:val="continue"/>
                  <w:tcBorders>
                    <w:left w:val="single" w:color="000000" w:sz="8" w:space="0"/>
                    <w:right w:val="single" w:color="auto" w:sz="4" w:space="0"/>
                  </w:tcBorders>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3</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jc w:val="center"/>
                    <w:rPr>
                      <w:i/>
                      <w:iCs/>
                      <w:sz w:val="21"/>
                      <w:szCs w:val="21"/>
                      <w:u w:val="single"/>
                    </w:rPr>
                  </w:pPr>
                  <w:r>
                    <w:rPr>
                      <w:rFonts w:hint="eastAsia"/>
                      <w:i/>
                      <w:iCs/>
                      <w:sz w:val="21"/>
                      <w:szCs w:val="21"/>
                      <w:u w:val="single"/>
                    </w:rPr>
                    <w:t>投标人获奖情况</w:t>
                  </w:r>
                </w:p>
              </w:tc>
              <w:tc>
                <w:tcPr>
                  <w:tcW w:w="450"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5</w:t>
                  </w:r>
                </w:p>
              </w:tc>
              <w:tc>
                <w:tcPr>
                  <w:tcW w:w="3317" w:type="dxa"/>
                  <w:tcBorders>
                    <w:top w:val="single" w:color="auto" w:sz="4" w:space="0"/>
                    <w:left w:val="single" w:color="auto" w:sz="4" w:space="0"/>
                    <w:bottom w:val="single" w:color="auto" w:sz="4" w:space="0"/>
                    <w:right w:val="single" w:color="auto" w:sz="4" w:space="0"/>
                  </w:tcBorders>
                  <w:vAlign w:val="center"/>
                </w:tcPr>
                <w:p>
                  <w:pPr>
                    <w:rPr>
                      <w:sz w:val="21"/>
                      <w:szCs w:val="21"/>
                    </w:rPr>
                  </w:pPr>
                  <w:r>
                    <w:rPr>
                      <w:sz w:val="21"/>
                      <w:szCs w:val="21"/>
                    </w:rPr>
                    <w:t>1.近三年（2020年1月1日至</w:t>
                  </w:r>
                  <w:r>
                    <w:rPr>
                      <w:rFonts w:hint="eastAsia"/>
                      <w:sz w:val="21"/>
                      <w:szCs w:val="21"/>
                    </w:rPr>
                    <w:t>投标截止日</w:t>
                  </w:r>
                  <w:r>
                    <w:rPr>
                      <w:sz w:val="21"/>
                      <w:szCs w:val="21"/>
                    </w:rPr>
                    <w:t>）获得规划类国家级三等奖（或以上）的项目，每个得10分，最多得100分。</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sz w:val="21"/>
                      <w:szCs w:val="21"/>
                    </w:rPr>
                    <w:t>1.要求提供奖项照片或获奖（荣誉）证书等证明材料作为得分依据。</w:t>
                  </w:r>
                </w:p>
                <w:p>
                  <w:pPr>
                    <w:wordWrap w:val="0"/>
                    <w:rPr>
                      <w:sz w:val="21"/>
                      <w:szCs w:val="21"/>
                    </w:rPr>
                  </w:pPr>
                  <w:r>
                    <w:rPr>
                      <w:sz w:val="21"/>
                      <w:szCs w:val="21"/>
                    </w:rPr>
                    <w:t>2.以上资料均要求提供扫描件，原件备查。</w:t>
                  </w:r>
                </w:p>
                <w:p>
                  <w:pPr>
                    <w:wordWrap w:val="0"/>
                    <w:rPr>
                      <w:sz w:val="21"/>
                      <w:szCs w:val="21"/>
                    </w:rPr>
                  </w:pPr>
                  <w:r>
                    <w:rPr>
                      <w:rFonts w:hint="eastAsia"/>
                      <w:sz w:val="21"/>
                      <w:szCs w:val="21"/>
                    </w:rPr>
                    <w:t>3</w:t>
                  </w:r>
                  <w:r>
                    <w:rPr>
                      <w:sz w:val="21"/>
                      <w:szCs w:val="21"/>
                    </w:rPr>
                    <w:t>.奖项证明资料以奖项颁发时间为准。</w:t>
                  </w: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6" w:hRule="atLeast"/>
                <w:jc w:val="center"/>
              </w:trPr>
              <w:tc>
                <w:tcPr>
                  <w:tcW w:w="397" w:type="dxa"/>
                  <w:vMerge w:val="continue"/>
                  <w:tcBorders>
                    <w:left w:val="single" w:color="000000" w:sz="8" w:space="0"/>
                    <w:right w:val="single" w:color="auto" w:sz="4" w:space="0"/>
                  </w:tcBorders>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4</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jc w:val="center"/>
                    <w:rPr>
                      <w:i/>
                      <w:iCs/>
                      <w:sz w:val="21"/>
                      <w:szCs w:val="21"/>
                      <w:u w:val="single"/>
                    </w:rPr>
                  </w:pPr>
                  <w:r>
                    <w:rPr>
                      <w:rFonts w:hint="eastAsia"/>
                      <w:i/>
                      <w:iCs/>
                      <w:sz w:val="21"/>
                      <w:szCs w:val="21"/>
                      <w:u w:val="single"/>
                    </w:rPr>
                    <w:t>投标人自主知识产权产品（创新、设计）情况</w:t>
                  </w:r>
                </w:p>
              </w:tc>
              <w:tc>
                <w:tcPr>
                  <w:tcW w:w="450"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5</w:t>
                  </w:r>
                </w:p>
              </w:tc>
              <w:tc>
                <w:tcPr>
                  <w:tcW w:w="3317"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具有国家知识产权局颁发的发明专利证书，每</w:t>
                  </w:r>
                  <w:r>
                    <w:rPr>
                      <w:sz w:val="21"/>
                      <w:szCs w:val="21"/>
                    </w:rPr>
                    <w:t>1项得25分，最多得100分。</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rFonts w:hint="eastAsia"/>
                      <w:sz w:val="21"/>
                      <w:szCs w:val="21"/>
                    </w:rPr>
                    <w:t>1</w:t>
                  </w:r>
                  <w:r>
                    <w:rPr>
                      <w:sz w:val="21"/>
                      <w:szCs w:val="21"/>
                    </w:rPr>
                    <w:t>.</w:t>
                  </w:r>
                  <w:r>
                    <w:rPr>
                      <w:rFonts w:hint="eastAsia"/>
                      <w:sz w:val="21"/>
                      <w:szCs w:val="21"/>
                    </w:rPr>
                    <w:t>要求提供有效的产权（专利）证书等证明材料作为得分依据。</w:t>
                  </w:r>
                </w:p>
                <w:p>
                  <w:pPr>
                    <w:wordWrap w:val="0"/>
                    <w:rPr>
                      <w:sz w:val="21"/>
                      <w:szCs w:val="21"/>
                    </w:rPr>
                  </w:pPr>
                  <w:r>
                    <w:rPr>
                      <w:sz w:val="21"/>
                      <w:szCs w:val="21"/>
                    </w:rPr>
                    <w:t>2.以上资料均要求提供扫描件，原件备查。</w:t>
                  </w: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jc w:val="center"/>
              </w:trPr>
              <w:tc>
                <w:tcPr>
                  <w:tcW w:w="397" w:type="dxa"/>
                  <w:vMerge w:val="restart"/>
                  <w:tcBorders>
                    <w:left w:val="single" w:color="000000" w:sz="8" w:space="0"/>
                    <w:right w:val="single" w:color="auto" w:sz="4" w:space="0"/>
                  </w:tcBorders>
                  <w:vAlign w:val="center"/>
                </w:tcPr>
                <w:p>
                  <w:pPr>
                    <w:jc w:val="center"/>
                    <w:rPr>
                      <w:b/>
                      <w:bCs/>
                    </w:rPr>
                  </w:pPr>
                  <w:r>
                    <w:rPr>
                      <w:b/>
                      <w:bCs/>
                    </w:rPr>
                    <w:t>3</w:t>
                  </w:r>
                </w:p>
              </w:tc>
              <w:tc>
                <w:tcPr>
                  <w:tcW w:w="1868" w:type="dxa"/>
                  <w:gridSpan w:val="3"/>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服务人员</w:t>
                  </w:r>
                </w:p>
              </w:tc>
              <w:tc>
                <w:tcPr>
                  <w:tcW w:w="3317" w:type="dxa"/>
                  <w:tcBorders>
                    <w:top w:val="single" w:color="auto" w:sz="4" w:space="0"/>
                    <w:left w:val="single" w:color="auto" w:sz="4" w:space="0"/>
                    <w:bottom w:val="single" w:color="auto" w:sz="4" w:space="0"/>
                    <w:right w:val="single" w:color="auto" w:sz="4" w:space="0"/>
                  </w:tcBorders>
                  <w:vAlign w:val="center"/>
                </w:tcPr>
                <w:p>
                  <w:pPr>
                    <w:wordWrap w:val="0"/>
                    <w:jc w:val="center"/>
                    <w:rPr>
                      <w:b/>
                      <w:bCs/>
                    </w:rPr>
                  </w:pPr>
                  <w:r>
                    <w:rPr>
                      <w:rFonts w:hint="eastAsia"/>
                      <w:b/>
                      <w:bCs/>
                    </w:rPr>
                    <w:t>20</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b/>
                      <w:bCs/>
                    </w:rPr>
                  </w:pP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jc w:val="center"/>
              </w:trPr>
              <w:tc>
                <w:tcPr>
                  <w:tcW w:w="397" w:type="dxa"/>
                  <w:vMerge w:val="continue"/>
                  <w:tcBorders>
                    <w:left w:val="single" w:color="000000" w:sz="8" w:space="0"/>
                    <w:right w:val="single" w:color="auto" w:sz="4" w:space="0"/>
                  </w:tcBorders>
                  <w:shd w:val="clear" w:color="auto" w:fill="auto"/>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shd w:val="clear" w:color="auto" w:fill="DCE6F2"/>
                  <w:vAlign w:val="center"/>
                </w:tcPr>
                <w:p>
                  <w:pPr>
                    <w:wordWrap w:val="0"/>
                    <w:jc w:val="center"/>
                    <w:rPr>
                      <w:sz w:val="21"/>
                      <w:szCs w:val="21"/>
                    </w:rPr>
                  </w:pPr>
                  <w:r>
                    <w:rPr>
                      <w:sz w:val="21"/>
                      <w:szCs w:val="21"/>
                    </w:rPr>
                    <w:t>序号</w:t>
                  </w:r>
                </w:p>
              </w:tc>
              <w:tc>
                <w:tcPr>
                  <w:tcW w:w="1095" w:type="dxa"/>
                  <w:tcBorders>
                    <w:top w:val="single" w:color="auto" w:sz="4" w:space="0"/>
                    <w:left w:val="single" w:color="auto" w:sz="4" w:space="0"/>
                    <w:bottom w:val="single" w:color="auto" w:sz="4" w:space="0"/>
                    <w:right w:val="single" w:color="auto" w:sz="4" w:space="0"/>
                  </w:tcBorders>
                  <w:shd w:val="clear" w:color="auto" w:fill="DCE6F2"/>
                  <w:vAlign w:val="center"/>
                </w:tcPr>
                <w:p>
                  <w:pPr>
                    <w:wordWrap w:val="0"/>
                    <w:jc w:val="center"/>
                    <w:rPr>
                      <w:i/>
                      <w:iCs/>
                      <w:sz w:val="21"/>
                      <w:szCs w:val="21"/>
                      <w:u w:val="single"/>
                    </w:rPr>
                  </w:pPr>
                  <w:r>
                    <w:rPr>
                      <w:sz w:val="21"/>
                      <w:szCs w:val="21"/>
                    </w:rPr>
                    <w:t>评分因素</w:t>
                  </w:r>
                </w:p>
              </w:tc>
              <w:tc>
                <w:tcPr>
                  <w:tcW w:w="450" w:type="dxa"/>
                  <w:tcBorders>
                    <w:top w:val="single" w:color="auto" w:sz="4" w:space="0"/>
                    <w:left w:val="single" w:color="auto" w:sz="4" w:space="0"/>
                    <w:bottom w:val="single" w:color="auto" w:sz="4" w:space="0"/>
                    <w:right w:val="single" w:color="auto" w:sz="4" w:space="0"/>
                  </w:tcBorders>
                  <w:shd w:val="clear" w:color="auto" w:fill="DCE6F2"/>
                  <w:vAlign w:val="center"/>
                </w:tcPr>
                <w:p>
                  <w:pPr>
                    <w:wordWrap w:val="0"/>
                    <w:jc w:val="center"/>
                    <w:rPr>
                      <w:sz w:val="21"/>
                      <w:szCs w:val="21"/>
                    </w:rPr>
                  </w:pPr>
                  <w:r>
                    <w:rPr>
                      <w:rFonts w:hint="eastAsia"/>
                      <w:sz w:val="21"/>
                      <w:szCs w:val="21"/>
                    </w:rPr>
                    <w:t>总分</w:t>
                  </w:r>
                </w:p>
              </w:tc>
              <w:tc>
                <w:tcPr>
                  <w:tcW w:w="3317" w:type="dxa"/>
                  <w:tcBorders>
                    <w:top w:val="single" w:color="auto" w:sz="4" w:space="0"/>
                    <w:left w:val="single" w:color="auto" w:sz="4" w:space="0"/>
                    <w:bottom w:val="single" w:color="auto" w:sz="4" w:space="0"/>
                    <w:right w:val="single" w:color="auto" w:sz="4" w:space="0"/>
                  </w:tcBorders>
                  <w:shd w:val="clear" w:color="auto" w:fill="DCE6F2"/>
                  <w:vAlign w:val="center"/>
                </w:tcPr>
                <w:p>
                  <w:pPr>
                    <w:wordWrap w:val="0"/>
                    <w:jc w:val="center"/>
                    <w:rPr>
                      <w:sz w:val="21"/>
                      <w:szCs w:val="21"/>
                    </w:rPr>
                  </w:pPr>
                  <w:r>
                    <w:rPr>
                      <w:rFonts w:hint="eastAsia"/>
                      <w:sz w:val="21"/>
                      <w:szCs w:val="21"/>
                    </w:rPr>
                    <w:t>评分准则</w:t>
                  </w:r>
                </w:p>
              </w:tc>
              <w:tc>
                <w:tcPr>
                  <w:tcW w:w="2880" w:type="dxa"/>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sz w:val="21"/>
                      <w:szCs w:val="21"/>
                    </w:rPr>
                  </w:pPr>
                  <w:r>
                    <w:rPr>
                      <w:rFonts w:hint="eastAsia"/>
                      <w:sz w:val="21"/>
                      <w:szCs w:val="21"/>
                    </w:rPr>
                    <w:t>备注</w:t>
                  </w:r>
                </w:p>
              </w:tc>
              <w:tc>
                <w:tcPr>
                  <w:tcW w:w="508" w:type="dxa"/>
                  <w:tcBorders>
                    <w:top w:val="single" w:color="auto" w:sz="4" w:space="0"/>
                    <w:left w:val="single" w:color="auto" w:sz="4" w:space="0"/>
                    <w:bottom w:val="single" w:color="auto" w:sz="4" w:space="0"/>
                    <w:right w:val="single" w:color="auto" w:sz="4" w:space="0"/>
                  </w:tcBorders>
                  <w:shd w:val="clear" w:color="auto" w:fill="DCE6F2"/>
                  <w:vAlign w:val="center"/>
                </w:tcPr>
                <w:p>
                  <w:pPr>
                    <w:wordWrap w:val="0"/>
                    <w:jc w:val="center"/>
                    <w:rPr>
                      <w:sz w:val="21"/>
                      <w:szCs w:val="21"/>
                    </w:rPr>
                  </w:pPr>
                  <w:r>
                    <w:rPr>
                      <w:rFonts w:hint="eastAsia"/>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16" w:hRule="atLeast"/>
                <w:jc w:val="center"/>
              </w:trPr>
              <w:tc>
                <w:tcPr>
                  <w:tcW w:w="397" w:type="dxa"/>
                  <w:vMerge w:val="continue"/>
                  <w:tcBorders>
                    <w:left w:val="single" w:color="000000" w:sz="8" w:space="0"/>
                    <w:right w:val="single" w:color="auto" w:sz="4" w:space="0"/>
                  </w:tcBorders>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sz w:val="21"/>
                      <w:szCs w:val="21"/>
                    </w:rPr>
                    <w:t>1</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i/>
                      <w:iCs/>
                      <w:sz w:val="21"/>
                      <w:szCs w:val="21"/>
                      <w:u w:val="single"/>
                    </w:rPr>
                    <w:t>拟安排的项目负责人情况（仅限一人）</w:t>
                  </w:r>
                </w:p>
              </w:tc>
              <w:tc>
                <w:tcPr>
                  <w:tcW w:w="450"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sz w:val="21"/>
                      <w:szCs w:val="21"/>
                    </w:rPr>
                    <w:t>10</w:t>
                  </w:r>
                </w:p>
              </w:tc>
              <w:tc>
                <w:tcPr>
                  <w:tcW w:w="3317"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拟安排的项目负责人须为投标人自有员工（提供社保作为证明材料），否则本项不得分。根据投标人拟派本项目负责人资质、获奖项目情况打分：</w:t>
                  </w:r>
                </w:p>
                <w:p>
                  <w:pPr>
                    <w:rPr>
                      <w:sz w:val="21"/>
                      <w:szCs w:val="21"/>
                    </w:rPr>
                  </w:pPr>
                  <w:r>
                    <w:rPr>
                      <w:sz w:val="21"/>
                      <w:szCs w:val="21"/>
                    </w:rPr>
                    <w:t>1.具有城乡规划教授级职称和国家注册规划师执业资格得40分；具有城乡规划副高级职称和国家注册规划师执业资格得10分；</w:t>
                  </w:r>
                </w:p>
                <w:p>
                  <w:pPr>
                    <w:rPr>
                      <w:sz w:val="21"/>
                      <w:szCs w:val="21"/>
                    </w:rPr>
                  </w:pPr>
                  <w:r>
                    <w:rPr>
                      <w:sz w:val="21"/>
                      <w:szCs w:val="21"/>
                    </w:rPr>
                    <w:t>2．</w:t>
                  </w:r>
                  <w:r>
                    <w:rPr>
                      <w:rFonts w:hint="eastAsia"/>
                      <w:sz w:val="21"/>
                      <w:szCs w:val="21"/>
                    </w:rPr>
                    <w:t>自</w:t>
                  </w:r>
                  <w:r>
                    <w:rPr>
                      <w:sz w:val="21"/>
                      <w:szCs w:val="21"/>
                    </w:rPr>
                    <w:t>2020年1月1日</w:t>
                  </w:r>
                  <w:r>
                    <w:rPr>
                      <w:rFonts w:hint="eastAsia"/>
                      <w:sz w:val="21"/>
                      <w:szCs w:val="21"/>
                    </w:rPr>
                    <w:t>至投标截止日，</w:t>
                  </w:r>
                  <w:r>
                    <w:rPr>
                      <w:sz w:val="21"/>
                      <w:szCs w:val="21"/>
                    </w:rPr>
                    <w:t>项目负责人主持或参与的规划类项目获得国家级二等奖（或以上）项目，每个得15分，最多得60分。</w:t>
                  </w:r>
                </w:p>
                <w:p>
                  <w:pPr>
                    <w:rPr>
                      <w:sz w:val="21"/>
                      <w:szCs w:val="21"/>
                    </w:rPr>
                  </w:pPr>
                  <w:r>
                    <w:rPr>
                      <w:sz w:val="21"/>
                      <w:szCs w:val="21"/>
                    </w:rPr>
                    <w:t>3.以上两项合计满分100分。</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sz w:val="21"/>
                      <w:szCs w:val="21"/>
                    </w:rPr>
                    <w:t>1.须提供投标人为项目负责人缴交的载有社保部门公章的近三个月的社保缴交证明材料（2023年4月至2023年6月，由于社保部门原因最近一个月的社保证明无法提供的可往前顺延一个月，如供应商为新成立企业且成立时间不足三个月可提供加盖公章的情况说明或者证明材料亦视为符合）、职称证书、资格证书、奖项证明资料（以奖项颁发时间为准）作为得分依据，未提供不得分。</w:t>
                  </w: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26" w:hRule="atLeast"/>
                <w:jc w:val="center"/>
              </w:trPr>
              <w:tc>
                <w:tcPr>
                  <w:tcW w:w="397" w:type="dxa"/>
                  <w:vMerge w:val="continue"/>
                  <w:tcBorders>
                    <w:left w:val="single" w:color="000000" w:sz="8" w:space="0"/>
                    <w:right w:val="single" w:color="auto" w:sz="4" w:space="0"/>
                  </w:tcBorders>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sz w:val="21"/>
                      <w:szCs w:val="21"/>
                    </w:rPr>
                    <w:t>2</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i/>
                      <w:iCs/>
                      <w:sz w:val="21"/>
                      <w:szCs w:val="21"/>
                      <w:u w:val="single"/>
                    </w:rPr>
                    <w:t>拟安排的项目主要团队成员（主要技术人员）情况（项目负责人除外）</w:t>
                  </w:r>
                </w:p>
              </w:tc>
              <w:tc>
                <w:tcPr>
                  <w:tcW w:w="450"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10</w:t>
                  </w:r>
                </w:p>
              </w:tc>
              <w:tc>
                <w:tcPr>
                  <w:tcW w:w="3317" w:type="dxa"/>
                  <w:tcBorders>
                    <w:top w:val="single" w:color="auto" w:sz="4" w:space="0"/>
                    <w:left w:val="single" w:color="auto" w:sz="4" w:space="0"/>
                    <w:bottom w:val="single" w:color="auto" w:sz="4" w:space="0"/>
                    <w:right w:val="single" w:color="auto" w:sz="4" w:space="0"/>
                  </w:tcBorders>
                  <w:vAlign w:val="center"/>
                </w:tcPr>
                <w:p>
                  <w:pPr>
                    <w:rPr>
                      <w:color w:val="000000"/>
                      <w:sz w:val="21"/>
                      <w:szCs w:val="21"/>
                    </w:rPr>
                  </w:pPr>
                  <w:r>
                    <w:rPr>
                      <w:rFonts w:hint="eastAsia"/>
                      <w:color w:val="000000"/>
                      <w:sz w:val="21"/>
                      <w:szCs w:val="21"/>
                    </w:rPr>
                    <w:t>拟安排的团队成员须为投标人自有员工（提供社保作为证明材料），否则本项不得分。根据投标人拟派本项目服务人员人数、素质情况打分：</w:t>
                  </w:r>
                </w:p>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1.团队成员中具有国家注册规划师执业资格且为城乡规划副高级（或以上）职称的，每1人得</w:t>
                  </w:r>
                  <w:r>
                    <w:rPr>
                      <w:rFonts w:hint="eastAsia"/>
                      <w:color w:val="000000" w:themeColor="text1"/>
                      <w:sz w:val="21"/>
                      <w:szCs w:val="21"/>
                      <w14:textFill>
                        <w14:solidFill>
                          <w14:schemeClr w14:val="tx1"/>
                        </w14:solidFill>
                      </w14:textFill>
                    </w:rPr>
                    <w:t>25</w:t>
                  </w:r>
                  <w:r>
                    <w:rPr>
                      <w:color w:val="000000" w:themeColor="text1"/>
                      <w:sz w:val="21"/>
                      <w:szCs w:val="21"/>
                      <w14:textFill>
                        <w14:solidFill>
                          <w14:schemeClr w14:val="tx1"/>
                        </w14:solidFill>
                      </w14:textFill>
                    </w:rPr>
                    <w:t>分，最多得</w:t>
                  </w:r>
                  <w:r>
                    <w:rPr>
                      <w:rFonts w:hint="eastAsia"/>
                      <w:color w:val="000000" w:themeColor="text1"/>
                      <w:sz w:val="21"/>
                      <w:szCs w:val="21"/>
                      <w14:textFill>
                        <w14:solidFill>
                          <w14:schemeClr w14:val="tx1"/>
                        </w14:solidFill>
                      </w14:textFill>
                    </w:rPr>
                    <w:t>50</w:t>
                  </w:r>
                  <w:r>
                    <w:rPr>
                      <w:color w:val="000000" w:themeColor="text1"/>
                      <w:sz w:val="21"/>
                      <w:szCs w:val="21"/>
                      <w14:textFill>
                        <w14:solidFill>
                          <w14:schemeClr w14:val="tx1"/>
                        </w14:solidFill>
                      </w14:textFill>
                    </w:rPr>
                    <w:t>分；</w:t>
                  </w:r>
                </w:p>
                <w:p>
                  <w:pPr>
                    <w:rPr>
                      <w:color w:val="000000"/>
                      <w:sz w:val="21"/>
                      <w:szCs w:val="21"/>
                    </w:rPr>
                  </w:pPr>
                  <w:r>
                    <w:rPr>
                      <w:rFonts w:hint="eastAsia"/>
                      <w:color w:val="000000"/>
                      <w:sz w:val="21"/>
                      <w:szCs w:val="21"/>
                    </w:rPr>
                    <w:t>2.团队成员不少于7人（</w:t>
                  </w:r>
                  <w:r>
                    <w:rPr>
                      <w:rFonts w:hint="eastAsia"/>
                      <w:i/>
                      <w:iCs/>
                      <w:sz w:val="21"/>
                      <w:szCs w:val="21"/>
                      <w:u w:val="single"/>
                    </w:rPr>
                    <w:t>项目负责人除外</w:t>
                  </w:r>
                  <w:r>
                    <w:rPr>
                      <w:rFonts w:hint="eastAsia"/>
                      <w:color w:val="000000"/>
                      <w:sz w:val="21"/>
                      <w:szCs w:val="21"/>
                    </w:rPr>
                    <w:t>），其中城市规划、人文地理、建筑工程、园林景观、道路交通、环境工程、市政工程（含给排水、电力、燃气等相关专业）各岗位至少1人，且</w:t>
                  </w:r>
                  <w:r>
                    <w:rPr>
                      <w:rFonts w:hint="eastAsia"/>
                      <w:sz w:val="21"/>
                      <w:szCs w:val="21"/>
                    </w:rPr>
                    <w:t>具备注册城市规划师等工程类中级职称、工作经验五年及以上至少4人</w:t>
                  </w:r>
                  <w:r>
                    <w:rPr>
                      <w:rFonts w:hint="eastAsia"/>
                      <w:color w:val="000000"/>
                      <w:sz w:val="21"/>
                      <w:szCs w:val="21"/>
                    </w:rPr>
                    <w:t>的，得50分，不满足不得分。</w:t>
                  </w:r>
                </w:p>
                <w:p>
                  <w:pPr>
                    <w:rPr>
                      <w:sz w:val="21"/>
                      <w:szCs w:val="21"/>
                    </w:rPr>
                  </w:pPr>
                  <w:r>
                    <w:rPr>
                      <w:rFonts w:hint="eastAsia"/>
                      <w:color w:val="000000"/>
                      <w:sz w:val="21"/>
                      <w:szCs w:val="21"/>
                    </w:rPr>
                    <w:t>3</w:t>
                  </w:r>
                  <w:r>
                    <w:rPr>
                      <w:color w:val="000000"/>
                      <w:sz w:val="21"/>
                      <w:szCs w:val="21"/>
                    </w:rPr>
                    <w:t>.以上</w:t>
                  </w:r>
                  <w:r>
                    <w:rPr>
                      <w:rFonts w:hint="eastAsia"/>
                      <w:color w:val="000000"/>
                      <w:sz w:val="21"/>
                      <w:szCs w:val="21"/>
                    </w:rPr>
                    <w:t>两</w:t>
                  </w:r>
                  <w:r>
                    <w:rPr>
                      <w:color w:val="000000"/>
                      <w:sz w:val="21"/>
                      <w:szCs w:val="21"/>
                    </w:rPr>
                    <w:t>项合计满分100分。</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sz w:val="21"/>
                      <w:szCs w:val="21"/>
                    </w:rPr>
                    <w:t>1.须提供投标截止日前三个月的投标人为项目团队成员缴交的载有社保部门公章的</w:t>
                  </w:r>
                  <w:r>
                    <w:rPr>
                      <w:color w:val="000000"/>
                      <w:sz w:val="21"/>
                      <w:szCs w:val="21"/>
                    </w:rPr>
                    <w:t>近三个月（2023年4月至2023年6月，由于社保部门原因最近一个月的社保证明无法提供的可往前顺延一个月，如供应商为新成立企业且成立时间不足三个月可提供加盖公章的情况说明或者证明材料亦视为符合）</w:t>
                  </w:r>
                  <w:r>
                    <w:rPr>
                      <w:sz w:val="21"/>
                      <w:szCs w:val="21"/>
                    </w:rPr>
                    <w:t>社保缴交证明材料、学历证书、职称证书、资格证书作为得分依据，否则不得分。</w:t>
                  </w:r>
                </w:p>
                <w:p>
                  <w:pPr>
                    <w:wordWrap w:val="0"/>
                    <w:rPr>
                      <w:sz w:val="21"/>
                      <w:szCs w:val="21"/>
                    </w:rPr>
                  </w:pPr>
                  <w:r>
                    <w:rPr>
                      <w:sz w:val="21"/>
                      <w:szCs w:val="21"/>
                    </w:rPr>
                    <w:t>2.以上资料均要求提供扫描件，原件备查。</w:t>
                  </w: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jc w:val="center"/>
              </w:trPr>
              <w:tc>
                <w:tcPr>
                  <w:tcW w:w="397" w:type="dxa"/>
                  <w:vMerge w:val="restart"/>
                  <w:tcBorders>
                    <w:top w:val="single" w:color="000000" w:sz="8" w:space="0"/>
                    <w:left w:val="single" w:color="000000" w:sz="8" w:space="0"/>
                    <w:right w:val="single" w:color="auto" w:sz="4" w:space="0"/>
                  </w:tcBorders>
                  <w:vAlign w:val="center"/>
                </w:tcPr>
                <w:p>
                  <w:pPr>
                    <w:wordWrap w:val="0"/>
                    <w:jc w:val="center"/>
                    <w:rPr>
                      <w:b/>
                      <w:bCs/>
                    </w:rPr>
                  </w:pPr>
                  <w:r>
                    <w:rPr>
                      <w:rFonts w:hint="eastAsia"/>
                      <w:b/>
                      <w:bCs/>
                    </w:rPr>
                    <w:t>4</w:t>
                  </w:r>
                </w:p>
              </w:tc>
              <w:tc>
                <w:tcPr>
                  <w:tcW w:w="1868" w:type="dxa"/>
                  <w:gridSpan w:val="3"/>
                  <w:tcBorders>
                    <w:top w:val="single" w:color="auto" w:sz="4" w:space="0"/>
                    <w:left w:val="single" w:color="auto" w:sz="4" w:space="0"/>
                    <w:bottom w:val="single" w:color="auto" w:sz="4" w:space="0"/>
                    <w:right w:val="single" w:color="auto" w:sz="4" w:space="0"/>
                  </w:tcBorders>
                  <w:vAlign w:val="center"/>
                </w:tcPr>
                <w:p>
                  <w:pPr>
                    <w:wordWrap w:val="0"/>
                    <w:jc w:val="center"/>
                    <w:rPr>
                      <w:b/>
                      <w:bCs/>
                    </w:rPr>
                  </w:pPr>
                  <w:r>
                    <w:rPr>
                      <w:b/>
                      <w:bCs/>
                    </w:rPr>
                    <w:t>技术</w:t>
                  </w:r>
                </w:p>
              </w:tc>
              <w:tc>
                <w:tcPr>
                  <w:tcW w:w="3317" w:type="dxa"/>
                  <w:tcBorders>
                    <w:top w:val="single" w:color="auto" w:sz="4" w:space="0"/>
                    <w:left w:val="single" w:color="auto" w:sz="4" w:space="0"/>
                    <w:bottom w:val="single" w:color="auto" w:sz="4" w:space="0"/>
                    <w:right w:val="single" w:color="auto" w:sz="4" w:space="0"/>
                  </w:tcBorders>
                  <w:vAlign w:val="center"/>
                </w:tcPr>
                <w:p>
                  <w:pPr>
                    <w:wordWrap w:val="0"/>
                    <w:jc w:val="center"/>
                    <w:rPr>
                      <w:b/>
                      <w:bCs/>
                    </w:rPr>
                  </w:pPr>
                  <w:r>
                    <w:rPr>
                      <w:rFonts w:hint="eastAsia"/>
                      <w:b/>
                      <w:bCs/>
                    </w:rPr>
                    <w:t>35</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b/>
                      <w:bCs/>
                    </w:rPr>
                  </w:pP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jc w:val="center"/>
              </w:trPr>
              <w:tc>
                <w:tcPr>
                  <w:tcW w:w="397" w:type="dxa"/>
                  <w:vMerge w:val="continue"/>
                  <w:tcBorders>
                    <w:left w:val="single" w:color="000000" w:sz="8" w:space="0"/>
                    <w:right w:val="single" w:color="auto" w:sz="4" w:space="0"/>
                  </w:tcBorders>
                  <w:shd w:val="clear" w:color="auto" w:fill="E6EFFA"/>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sz w:val="21"/>
                      <w:szCs w:val="21"/>
                    </w:rPr>
                    <w:t>序号</w:t>
                  </w:r>
                </w:p>
              </w:tc>
              <w:tc>
                <w:tcPr>
                  <w:tcW w:w="1095"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sz w:val="21"/>
                      <w:szCs w:val="21"/>
                    </w:rPr>
                    <w:t>评分因素</w:t>
                  </w:r>
                </w:p>
              </w:tc>
              <w:tc>
                <w:tcPr>
                  <w:tcW w:w="450"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rFonts w:hint="eastAsia"/>
                      <w:sz w:val="21"/>
                      <w:szCs w:val="21"/>
                    </w:rPr>
                    <w:t>总分</w:t>
                  </w:r>
                </w:p>
              </w:tc>
              <w:tc>
                <w:tcPr>
                  <w:tcW w:w="3317"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sz w:val="21"/>
                      <w:szCs w:val="21"/>
                    </w:rPr>
                    <w:t>评分准则</w:t>
                  </w:r>
                </w:p>
              </w:tc>
              <w:tc>
                <w:tcPr>
                  <w:tcW w:w="2880" w:type="dxa"/>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sz w:val="21"/>
                      <w:szCs w:val="21"/>
                    </w:rPr>
                  </w:pPr>
                  <w:r>
                    <w:rPr>
                      <w:rFonts w:hint="eastAsia"/>
                      <w:sz w:val="21"/>
                      <w:szCs w:val="21"/>
                    </w:rPr>
                    <w:t>备注</w:t>
                  </w:r>
                </w:p>
              </w:tc>
              <w:tc>
                <w:tcPr>
                  <w:tcW w:w="508" w:type="dxa"/>
                  <w:tcBorders>
                    <w:top w:val="single" w:color="auto" w:sz="4" w:space="0"/>
                    <w:left w:val="single" w:color="auto" w:sz="4" w:space="0"/>
                    <w:bottom w:val="single" w:color="auto" w:sz="4" w:space="0"/>
                    <w:right w:val="single" w:color="auto" w:sz="4" w:space="0"/>
                  </w:tcBorders>
                  <w:shd w:val="clear" w:color="auto" w:fill="E6EFFA"/>
                  <w:vAlign w:val="center"/>
                </w:tcPr>
                <w:p>
                  <w:pPr>
                    <w:wordWrap w:val="0"/>
                    <w:jc w:val="center"/>
                    <w:rPr>
                      <w:sz w:val="21"/>
                      <w:szCs w:val="21"/>
                    </w:rPr>
                  </w:pPr>
                  <w:r>
                    <w:rPr>
                      <w:rFonts w:hint="eastAsia"/>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16" w:hRule="atLeast"/>
                <w:jc w:val="center"/>
              </w:trPr>
              <w:tc>
                <w:tcPr>
                  <w:tcW w:w="397" w:type="dxa"/>
                  <w:vMerge w:val="continue"/>
                  <w:tcBorders>
                    <w:left w:val="single" w:color="000000" w:sz="8" w:space="0"/>
                    <w:right w:val="single" w:color="auto" w:sz="4" w:space="0"/>
                  </w:tcBorders>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1</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jc w:val="center"/>
                    <w:rPr>
                      <w:i/>
                      <w:iCs/>
                      <w:sz w:val="21"/>
                      <w:szCs w:val="21"/>
                      <w:u w:val="single"/>
                    </w:rPr>
                  </w:pPr>
                  <w:r>
                    <w:rPr>
                      <w:rFonts w:hint="eastAsia"/>
                      <w:i/>
                      <w:iCs/>
                      <w:sz w:val="21"/>
                      <w:szCs w:val="21"/>
                      <w:u w:val="single"/>
                    </w:rPr>
                    <w:t>工作实施方案</w:t>
                  </w:r>
                </w:p>
              </w:tc>
              <w:tc>
                <w:tcPr>
                  <w:tcW w:w="450"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20</w:t>
                  </w:r>
                </w:p>
              </w:tc>
              <w:tc>
                <w:tcPr>
                  <w:tcW w:w="3317"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w:t>
                  </w:r>
                  <w:r>
                    <w:rPr>
                      <w:sz w:val="21"/>
                      <w:szCs w:val="21"/>
                    </w:rPr>
                    <w:t>.对本次工作背景分析的深入和理解程度；</w:t>
                  </w:r>
                </w:p>
                <w:p>
                  <w:pPr>
                    <w:rPr>
                      <w:sz w:val="21"/>
                      <w:szCs w:val="21"/>
                    </w:rPr>
                  </w:pPr>
                  <w:r>
                    <w:rPr>
                      <w:rFonts w:hint="eastAsia"/>
                      <w:sz w:val="21"/>
                      <w:szCs w:val="21"/>
                    </w:rPr>
                    <w:t>2</w:t>
                  </w:r>
                  <w:r>
                    <w:rPr>
                      <w:sz w:val="21"/>
                      <w:szCs w:val="21"/>
                    </w:rPr>
                    <w:t>.对主要工作内容理解把握的清晰性、系统性和全面性；</w:t>
                  </w:r>
                </w:p>
                <w:p>
                  <w:pPr>
                    <w:wordWrap w:val="0"/>
                    <w:rPr>
                      <w:sz w:val="21"/>
                      <w:szCs w:val="21"/>
                    </w:rPr>
                  </w:pPr>
                  <w:r>
                    <w:rPr>
                      <w:rFonts w:hint="eastAsia"/>
                      <w:sz w:val="21"/>
                      <w:szCs w:val="21"/>
                    </w:rPr>
                    <w:t>3</w:t>
                  </w:r>
                  <w:r>
                    <w:rPr>
                      <w:sz w:val="21"/>
                      <w:szCs w:val="21"/>
                    </w:rPr>
                    <w:t>.城市体检工作技术路线的合理性、科学性和可行性。</w:t>
                  </w:r>
                </w:p>
                <w:p>
                  <w:pPr>
                    <w:wordWrap w:val="0"/>
                    <w:rPr>
                      <w:sz w:val="21"/>
                      <w:szCs w:val="21"/>
                    </w:rPr>
                  </w:pPr>
                  <w:r>
                    <w:rPr>
                      <w:rFonts w:hint="eastAsia"/>
                      <w:sz w:val="21"/>
                      <w:szCs w:val="21"/>
                    </w:rPr>
                    <w:t>内容包含以上三项要求的，得</w:t>
                  </w:r>
                  <w:r>
                    <w:rPr>
                      <w:sz w:val="21"/>
                      <w:szCs w:val="21"/>
                    </w:rPr>
                    <w:t>60分，每缺少一项内容扣20分；其余40分根据供应商相应情况进行分档评分，最高累计得100分。</w:t>
                  </w:r>
                </w:p>
                <w:p>
                  <w:pPr>
                    <w:pStyle w:val="2"/>
                    <w:wordWrap w:val="0"/>
                    <w:ind w:firstLine="211"/>
                    <w:rPr>
                      <w:sz w:val="21"/>
                    </w:rPr>
                  </w:pP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rFonts w:hint="eastAsia"/>
                      <w:sz w:val="21"/>
                      <w:szCs w:val="21"/>
                    </w:rPr>
                    <w:t>分档评分：</w:t>
                  </w:r>
                </w:p>
                <w:p>
                  <w:pPr>
                    <w:wordWrap w:val="0"/>
                    <w:rPr>
                      <w:sz w:val="21"/>
                      <w:szCs w:val="21"/>
                    </w:rPr>
                  </w:pPr>
                  <w:r>
                    <w:rPr>
                      <w:rFonts w:hint="eastAsia"/>
                      <w:sz w:val="21"/>
                      <w:szCs w:val="21"/>
                    </w:rPr>
                    <w:t>优评分标准：工作背景掌握全面、工作内容理解深刻、技术路线科学合理且具有可行性得</w:t>
                  </w:r>
                  <w:r>
                    <w:rPr>
                      <w:sz w:val="21"/>
                      <w:szCs w:val="21"/>
                    </w:rPr>
                    <w:t>40分；</w:t>
                  </w:r>
                </w:p>
                <w:p>
                  <w:pPr>
                    <w:wordWrap w:val="0"/>
                    <w:rPr>
                      <w:sz w:val="21"/>
                      <w:szCs w:val="21"/>
                    </w:rPr>
                  </w:pPr>
                  <w:r>
                    <w:rPr>
                      <w:rFonts w:hint="eastAsia"/>
                      <w:sz w:val="21"/>
                      <w:szCs w:val="21"/>
                    </w:rPr>
                    <w:t>良评分标准：工作背景掌握较为全面、工作内容理解较为深刻、技术路线较为科学合理，较有可行性得</w:t>
                  </w:r>
                  <w:r>
                    <w:rPr>
                      <w:sz w:val="21"/>
                      <w:szCs w:val="21"/>
                    </w:rPr>
                    <w:t>30分；</w:t>
                  </w:r>
                </w:p>
                <w:p>
                  <w:pPr>
                    <w:wordWrap w:val="0"/>
                    <w:rPr>
                      <w:sz w:val="21"/>
                      <w:szCs w:val="21"/>
                    </w:rPr>
                  </w:pPr>
                  <w:r>
                    <w:rPr>
                      <w:rFonts w:hint="eastAsia"/>
                      <w:sz w:val="21"/>
                      <w:szCs w:val="21"/>
                    </w:rPr>
                    <w:t>中评分标准：工作背景掌握一般、工作内容理解一般、技术路线一般得</w:t>
                  </w:r>
                  <w:r>
                    <w:rPr>
                      <w:sz w:val="21"/>
                      <w:szCs w:val="21"/>
                    </w:rPr>
                    <w:t>20分；</w:t>
                  </w:r>
                </w:p>
                <w:p>
                  <w:pPr>
                    <w:wordWrap w:val="0"/>
                    <w:rPr>
                      <w:sz w:val="21"/>
                      <w:szCs w:val="21"/>
                    </w:rPr>
                  </w:pPr>
                  <w:r>
                    <w:rPr>
                      <w:rFonts w:hint="eastAsia"/>
                      <w:sz w:val="21"/>
                      <w:szCs w:val="21"/>
                    </w:rPr>
                    <w:t>差评分标准：工作背景掌握较差、工作内容理解较差、技术路线不够科学合理不得分。</w:t>
                  </w: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06" w:hRule="atLeast"/>
                <w:jc w:val="center"/>
              </w:trPr>
              <w:tc>
                <w:tcPr>
                  <w:tcW w:w="397" w:type="dxa"/>
                  <w:vMerge w:val="continue"/>
                  <w:tcBorders>
                    <w:left w:val="single" w:color="000000" w:sz="8" w:space="0"/>
                    <w:right w:val="single" w:color="auto" w:sz="4" w:space="0"/>
                  </w:tcBorders>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2</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jc w:val="center"/>
                    <w:rPr>
                      <w:i/>
                      <w:iCs/>
                      <w:sz w:val="21"/>
                      <w:szCs w:val="21"/>
                      <w:u w:val="single"/>
                    </w:rPr>
                  </w:pPr>
                  <w:r>
                    <w:rPr>
                      <w:rFonts w:hint="eastAsia"/>
                      <w:i/>
                      <w:iCs/>
                      <w:sz w:val="21"/>
                      <w:szCs w:val="21"/>
                      <w:u w:val="single"/>
                    </w:rPr>
                    <w:t>质量（完成时间、安全、环保）保障措施及方案</w:t>
                  </w:r>
                </w:p>
              </w:tc>
              <w:tc>
                <w:tcPr>
                  <w:tcW w:w="450"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sz w:val="21"/>
                      <w:szCs w:val="21"/>
                    </w:rPr>
                    <w:t>10</w:t>
                  </w:r>
                </w:p>
              </w:tc>
              <w:tc>
                <w:tcPr>
                  <w:tcW w:w="3317"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rFonts w:hint="eastAsia"/>
                      <w:sz w:val="21"/>
                      <w:szCs w:val="21"/>
                    </w:rPr>
                    <w:t>1</w:t>
                  </w:r>
                  <w:r>
                    <w:rPr>
                      <w:sz w:val="21"/>
                      <w:szCs w:val="21"/>
                    </w:rPr>
                    <w:t>.</w:t>
                  </w:r>
                  <w:r>
                    <w:rPr>
                      <w:rFonts w:hint="eastAsia"/>
                    </w:rPr>
                    <w:t xml:space="preserve"> </w:t>
                  </w:r>
                  <w:r>
                    <w:rPr>
                      <w:rFonts w:hint="eastAsia"/>
                      <w:sz w:val="21"/>
                      <w:szCs w:val="21"/>
                    </w:rPr>
                    <w:t>提供项目进度控制和完成时间安排合理；</w:t>
                  </w:r>
                </w:p>
                <w:p>
                  <w:pPr>
                    <w:wordWrap w:val="0"/>
                    <w:rPr>
                      <w:sz w:val="21"/>
                      <w:szCs w:val="21"/>
                    </w:rPr>
                  </w:pPr>
                  <w:r>
                    <w:rPr>
                      <w:rFonts w:hint="eastAsia"/>
                      <w:sz w:val="21"/>
                      <w:szCs w:val="21"/>
                    </w:rPr>
                    <w:t>2</w:t>
                  </w:r>
                  <w:r>
                    <w:rPr>
                      <w:sz w:val="21"/>
                      <w:szCs w:val="21"/>
                    </w:rPr>
                    <w:t>.提供项目实施涉及的保障措施安排；</w:t>
                  </w:r>
                </w:p>
                <w:p>
                  <w:pPr>
                    <w:wordWrap w:val="0"/>
                    <w:rPr>
                      <w:sz w:val="21"/>
                      <w:szCs w:val="21"/>
                    </w:rPr>
                  </w:pPr>
                  <w:r>
                    <w:rPr>
                      <w:rFonts w:hint="eastAsia"/>
                      <w:sz w:val="21"/>
                      <w:szCs w:val="21"/>
                    </w:rPr>
                    <w:t>3</w:t>
                  </w:r>
                  <w:r>
                    <w:rPr>
                      <w:sz w:val="21"/>
                      <w:szCs w:val="21"/>
                    </w:rPr>
                    <w:t>.项目整体质量控制有完整方案。</w:t>
                  </w:r>
                </w:p>
                <w:p>
                  <w:pPr>
                    <w:wordWrap w:val="0"/>
                    <w:rPr>
                      <w:sz w:val="21"/>
                      <w:szCs w:val="21"/>
                    </w:rPr>
                  </w:pPr>
                  <w:r>
                    <w:rPr>
                      <w:rFonts w:hint="eastAsia"/>
                      <w:sz w:val="21"/>
                      <w:szCs w:val="21"/>
                    </w:rPr>
                    <w:t>内容包含以上两项要求的，得</w:t>
                  </w:r>
                  <w:r>
                    <w:rPr>
                      <w:sz w:val="21"/>
                      <w:szCs w:val="21"/>
                    </w:rPr>
                    <w:t>60分，每缺少一项内容扣30分；其余40分根据供应商响应情况进行分档评分，最高累计得100分。</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rFonts w:hint="eastAsia"/>
                      <w:sz w:val="21"/>
                      <w:szCs w:val="21"/>
                    </w:rPr>
                    <w:t>分档评分：</w:t>
                  </w:r>
                </w:p>
                <w:p>
                  <w:pPr>
                    <w:wordWrap w:val="0"/>
                    <w:rPr>
                      <w:sz w:val="21"/>
                      <w:szCs w:val="21"/>
                    </w:rPr>
                  </w:pPr>
                  <w:r>
                    <w:rPr>
                      <w:rFonts w:hint="eastAsia"/>
                      <w:sz w:val="21"/>
                      <w:szCs w:val="21"/>
                    </w:rPr>
                    <w:t>优评分标准：质量、进度等保障措施及方案科学有效，工作组织和措施全面、合理得</w:t>
                  </w:r>
                  <w:r>
                    <w:rPr>
                      <w:sz w:val="21"/>
                      <w:szCs w:val="21"/>
                    </w:rPr>
                    <w:t>40分。</w:t>
                  </w:r>
                </w:p>
                <w:p>
                  <w:pPr>
                    <w:wordWrap w:val="0"/>
                    <w:rPr>
                      <w:sz w:val="21"/>
                      <w:szCs w:val="21"/>
                    </w:rPr>
                  </w:pPr>
                  <w:r>
                    <w:rPr>
                      <w:rFonts w:hint="eastAsia"/>
                      <w:sz w:val="21"/>
                      <w:szCs w:val="21"/>
                    </w:rPr>
                    <w:t>良评分标准：质量、进度等保障措施及方案比较科学有效，工作组织和措施较为全面、合理得</w:t>
                  </w:r>
                  <w:r>
                    <w:rPr>
                      <w:sz w:val="21"/>
                      <w:szCs w:val="21"/>
                    </w:rPr>
                    <w:t>30分。</w:t>
                  </w:r>
                </w:p>
                <w:p>
                  <w:pPr>
                    <w:wordWrap w:val="0"/>
                    <w:rPr>
                      <w:sz w:val="21"/>
                      <w:szCs w:val="21"/>
                    </w:rPr>
                  </w:pPr>
                  <w:r>
                    <w:rPr>
                      <w:rFonts w:hint="eastAsia"/>
                      <w:sz w:val="21"/>
                      <w:szCs w:val="21"/>
                    </w:rPr>
                    <w:t>中评分标准：质量、进度等保障措施及方案科学有效性一般，工作组织和措施不够全面、合理性一般得</w:t>
                  </w:r>
                  <w:r>
                    <w:rPr>
                      <w:sz w:val="21"/>
                      <w:szCs w:val="21"/>
                    </w:rPr>
                    <w:t>20分。</w:t>
                  </w:r>
                </w:p>
                <w:p>
                  <w:pPr>
                    <w:wordWrap w:val="0"/>
                    <w:rPr>
                      <w:sz w:val="21"/>
                      <w:szCs w:val="21"/>
                    </w:rPr>
                  </w:pPr>
                  <w:r>
                    <w:rPr>
                      <w:rFonts w:hint="eastAsia"/>
                      <w:sz w:val="21"/>
                      <w:szCs w:val="21"/>
                    </w:rPr>
                    <w:t>差评分标准：质量、进度等保障措施及方案完全偏离进度要求，工作组织和措施覆盖面低、不合理不得分。</w:t>
                  </w: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666" w:hRule="atLeast"/>
                <w:jc w:val="center"/>
              </w:trPr>
              <w:tc>
                <w:tcPr>
                  <w:tcW w:w="397" w:type="dxa"/>
                  <w:tcBorders>
                    <w:left w:val="single" w:color="000000" w:sz="8" w:space="0"/>
                    <w:right w:val="single" w:color="auto" w:sz="4" w:space="0"/>
                  </w:tcBorders>
                  <w:vAlign w:val="center"/>
                </w:tcPr>
                <w:p>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3</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jc w:val="center"/>
                    <w:rPr>
                      <w:i/>
                      <w:iCs/>
                      <w:sz w:val="21"/>
                      <w:szCs w:val="21"/>
                      <w:u w:val="single"/>
                    </w:rPr>
                  </w:pPr>
                  <w:r>
                    <w:rPr>
                      <w:rFonts w:hint="eastAsia"/>
                      <w:i/>
                      <w:iCs/>
                      <w:sz w:val="21"/>
                      <w:szCs w:val="21"/>
                      <w:u w:val="single"/>
                    </w:rPr>
                    <w:t>项目完成（服务期满）后的服务承诺</w:t>
                  </w:r>
                </w:p>
              </w:tc>
              <w:tc>
                <w:tcPr>
                  <w:tcW w:w="450"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5</w:t>
                  </w:r>
                </w:p>
              </w:tc>
              <w:tc>
                <w:tcPr>
                  <w:tcW w:w="3317"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rFonts w:hint="eastAsia"/>
                      <w:sz w:val="21"/>
                      <w:szCs w:val="21"/>
                    </w:rPr>
                    <w:t>1</w:t>
                  </w:r>
                  <w:r>
                    <w:rPr>
                      <w:sz w:val="21"/>
                      <w:szCs w:val="21"/>
                    </w:rPr>
                    <w:t>.后续服务内容明确、符合项目需要；</w:t>
                  </w:r>
                </w:p>
                <w:p>
                  <w:pPr>
                    <w:wordWrap w:val="0"/>
                    <w:rPr>
                      <w:sz w:val="21"/>
                      <w:szCs w:val="21"/>
                    </w:rPr>
                  </w:pPr>
                  <w:r>
                    <w:rPr>
                      <w:rFonts w:hint="eastAsia"/>
                      <w:sz w:val="21"/>
                      <w:szCs w:val="21"/>
                    </w:rPr>
                    <w:t>2</w:t>
                  </w:r>
                  <w:r>
                    <w:rPr>
                      <w:sz w:val="21"/>
                      <w:szCs w:val="21"/>
                    </w:rPr>
                    <w:t>.服务响应方式的多样性。</w:t>
                  </w:r>
                </w:p>
                <w:p>
                  <w:pPr>
                    <w:wordWrap w:val="0"/>
                    <w:rPr>
                      <w:sz w:val="21"/>
                      <w:szCs w:val="21"/>
                    </w:rPr>
                  </w:pPr>
                  <w:r>
                    <w:rPr>
                      <w:rFonts w:hint="eastAsia"/>
                      <w:sz w:val="21"/>
                      <w:szCs w:val="21"/>
                    </w:rPr>
                    <w:t>内容包含以上两项要求的，得</w:t>
                  </w:r>
                  <w:r>
                    <w:rPr>
                      <w:sz w:val="21"/>
                      <w:szCs w:val="21"/>
                    </w:rPr>
                    <w:t>60分，每缺少一项内容扣30分；其余40分根据供应商响应情况进行分档评分，最高累计得100分。</w:t>
                  </w:r>
                </w:p>
              </w:tc>
              <w:tc>
                <w:tcPr>
                  <w:tcW w:w="2880" w:type="dxa"/>
                  <w:tcBorders>
                    <w:top w:val="single" w:color="auto" w:sz="4" w:space="0"/>
                    <w:left w:val="single" w:color="auto" w:sz="4" w:space="0"/>
                    <w:bottom w:val="single" w:color="auto" w:sz="4" w:space="0"/>
                    <w:right w:val="single" w:color="auto" w:sz="4" w:space="0"/>
                  </w:tcBorders>
                  <w:vAlign w:val="center"/>
                </w:tcPr>
                <w:p>
                  <w:pPr>
                    <w:wordWrap w:val="0"/>
                    <w:rPr>
                      <w:sz w:val="21"/>
                      <w:szCs w:val="21"/>
                    </w:rPr>
                  </w:pPr>
                  <w:r>
                    <w:rPr>
                      <w:rFonts w:hint="eastAsia"/>
                      <w:sz w:val="21"/>
                      <w:szCs w:val="21"/>
                    </w:rPr>
                    <w:t>分档评分：</w:t>
                  </w:r>
                </w:p>
                <w:p>
                  <w:pPr>
                    <w:wordWrap w:val="0"/>
                    <w:rPr>
                      <w:sz w:val="21"/>
                      <w:szCs w:val="21"/>
                    </w:rPr>
                  </w:pPr>
                  <w:r>
                    <w:rPr>
                      <w:rFonts w:hint="eastAsia"/>
                      <w:sz w:val="21"/>
                      <w:szCs w:val="21"/>
                    </w:rPr>
                    <w:t>优评分标准：在项目完成后，提供相应的咨询服务，服务方案完善，响应迅速，可操作性强得</w:t>
                  </w:r>
                  <w:r>
                    <w:rPr>
                      <w:sz w:val="21"/>
                      <w:szCs w:val="21"/>
                    </w:rPr>
                    <w:t>40分。</w:t>
                  </w:r>
                </w:p>
                <w:p>
                  <w:pPr>
                    <w:wordWrap w:val="0"/>
                    <w:rPr>
                      <w:sz w:val="21"/>
                      <w:szCs w:val="21"/>
                    </w:rPr>
                  </w:pPr>
                  <w:r>
                    <w:rPr>
                      <w:rFonts w:hint="eastAsia"/>
                      <w:sz w:val="21"/>
                      <w:szCs w:val="21"/>
                    </w:rPr>
                    <w:t>良评分标准：在项目完成后，提供相应的咨询服务，服务方案较为完善，响应及时，可操作性较好得</w:t>
                  </w:r>
                  <w:r>
                    <w:rPr>
                      <w:sz w:val="21"/>
                      <w:szCs w:val="21"/>
                    </w:rPr>
                    <w:t>30分。</w:t>
                  </w:r>
                </w:p>
                <w:p>
                  <w:pPr>
                    <w:wordWrap w:val="0"/>
                    <w:rPr>
                      <w:sz w:val="21"/>
                      <w:szCs w:val="21"/>
                    </w:rPr>
                  </w:pPr>
                  <w:r>
                    <w:rPr>
                      <w:rFonts w:hint="eastAsia"/>
                      <w:sz w:val="21"/>
                      <w:szCs w:val="21"/>
                    </w:rPr>
                    <w:t>中评分标准：在项目完成后，提供相应的咨询服务，服务方案一般，响应时间较长，可操作性一般得</w:t>
                  </w:r>
                  <w:r>
                    <w:rPr>
                      <w:sz w:val="21"/>
                      <w:szCs w:val="21"/>
                    </w:rPr>
                    <w:t>20分。</w:t>
                  </w:r>
                  <w:r>
                    <w:rPr>
                      <w:rFonts w:hint="eastAsia"/>
                      <w:sz w:val="21"/>
                      <w:szCs w:val="21"/>
                    </w:rPr>
                    <w:t>差评分标准：在项目完成后，不提供相应的咨询服务不得分。</w:t>
                  </w:r>
                </w:p>
              </w:tc>
              <w:tc>
                <w:tcPr>
                  <w:tcW w:w="508" w:type="dxa"/>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5" w:hRule="atLeast"/>
                <w:jc w:val="center"/>
              </w:trPr>
              <w:tc>
                <w:tcPr>
                  <w:tcW w:w="2265" w:type="dxa"/>
                  <w:gridSpan w:val="4"/>
                  <w:tcBorders>
                    <w:top w:val="single" w:color="auto" w:sz="4" w:space="0"/>
                    <w:left w:val="single" w:color="auto" w:sz="4" w:space="0"/>
                    <w:bottom w:val="single" w:color="auto" w:sz="4" w:space="0"/>
                    <w:right w:val="single" w:color="auto" w:sz="4" w:space="0"/>
                  </w:tcBorders>
                  <w:vAlign w:val="center"/>
                </w:tcPr>
                <w:p>
                  <w:pPr>
                    <w:wordWrap w:val="0"/>
                    <w:jc w:val="center"/>
                    <w:rPr>
                      <w:sz w:val="21"/>
                      <w:szCs w:val="21"/>
                    </w:rPr>
                  </w:pPr>
                  <w:r>
                    <w:rPr>
                      <w:rFonts w:hint="eastAsia"/>
                      <w:sz w:val="21"/>
                      <w:szCs w:val="21"/>
                    </w:rPr>
                    <w:t>总分</w:t>
                  </w:r>
                </w:p>
              </w:tc>
              <w:tc>
                <w:tcPr>
                  <w:tcW w:w="6705" w:type="dxa"/>
                  <w:gridSpan w:val="3"/>
                  <w:tcBorders>
                    <w:top w:val="single" w:color="auto" w:sz="4" w:space="0"/>
                    <w:left w:val="single" w:color="auto" w:sz="4" w:space="0"/>
                    <w:bottom w:val="single" w:color="auto" w:sz="4" w:space="0"/>
                    <w:right w:val="single" w:color="auto" w:sz="4" w:space="0"/>
                  </w:tcBorders>
                  <w:vAlign w:val="center"/>
                </w:tcPr>
                <w:p>
                  <w:pPr>
                    <w:wordWrap w:val="0"/>
                    <w:rPr>
                      <w:sz w:val="21"/>
                      <w:szCs w:val="21"/>
                    </w:rPr>
                  </w:pPr>
                </w:p>
              </w:tc>
            </w:tr>
          </w:tbl>
          <w:p>
            <w:pPr>
              <w:pStyle w:val="14"/>
              <w:rPr>
                <w:sz w:val="21"/>
                <w:szCs w:val="21"/>
              </w:rPr>
            </w:pPr>
            <w:r>
              <w:rPr>
                <w:sz w:val="21"/>
                <w:szCs w:val="21"/>
              </w:rPr>
              <w:t xml:space="preserve"> </w:t>
            </w:r>
          </w:p>
        </w:tc>
      </w:tr>
    </w:tbl>
    <w:p>
      <w:pPr>
        <w:pStyle w:val="3"/>
        <w:rPr>
          <w:rFonts w:cs="宋体"/>
        </w:rPr>
      </w:pPr>
    </w:p>
    <w:p>
      <w:pPr>
        <w:pStyle w:val="14"/>
        <w:jc w:val="center"/>
        <w:outlineLvl w:val="1"/>
        <w:rPr>
          <w:rFonts w:ascii="Times New Roman" w:hAnsi="Times New Roman"/>
          <w:b/>
          <w:bCs/>
          <w:kern w:val="44"/>
          <w:sz w:val="32"/>
          <w:szCs w:val="52"/>
        </w:rPr>
      </w:pPr>
    </w:p>
    <w:p>
      <w:pPr>
        <w:pStyle w:val="14"/>
        <w:jc w:val="center"/>
        <w:outlineLvl w:val="1"/>
        <w:rPr>
          <w:rFonts w:ascii="Times New Roman" w:hAnsi="Times New Roman"/>
          <w:b/>
          <w:bCs/>
          <w:kern w:val="44"/>
          <w:sz w:val="32"/>
          <w:szCs w:val="52"/>
        </w:rPr>
      </w:pPr>
    </w:p>
    <w:p>
      <w:pPr>
        <w:pStyle w:val="14"/>
        <w:jc w:val="center"/>
        <w:outlineLvl w:val="1"/>
        <w:rPr>
          <w:rFonts w:ascii="Times New Roman" w:hAnsi="Times New Roman"/>
          <w:b/>
          <w:bCs/>
          <w:kern w:val="44"/>
          <w:sz w:val="32"/>
          <w:szCs w:val="52"/>
        </w:rPr>
      </w:pPr>
      <w:r>
        <w:rPr>
          <w:rFonts w:hint="eastAsia" w:ascii="Times New Roman" w:hAnsi="Times New Roman"/>
          <w:b/>
          <w:bCs/>
          <w:kern w:val="44"/>
          <w:sz w:val="32"/>
          <w:szCs w:val="52"/>
        </w:rPr>
        <w:t>第四章 服务合同模板</w:t>
      </w:r>
    </w:p>
    <w:p>
      <w:pPr>
        <w:pStyle w:val="3"/>
        <w:rPr>
          <w:rFonts w:cs="宋体"/>
        </w:rPr>
      </w:pPr>
    </w:p>
    <w:p/>
    <w:p>
      <w:pPr>
        <w:adjustRightInd w:val="0"/>
        <w:spacing w:line="480" w:lineRule="auto"/>
        <w:jc w:val="center"/>
        <w:rPr>
          <w:rFonts w:eastAsia="仿宋_GB2312"/>
          <w:b/>
          <w:sz w:val="48"/>
          <w:szCs w:val="52"/>
          <w:u w:val="single"/>
        </w:rPr>
      </w:pPr>
      <w:bookmarkStart w:id="9" w:name="_Hlk533695053"/>
      <w:r>
        <w:rPr>
          <w:rFonts w:hint="eastAsia" w:eastAsia="仿宋_GB2312"/>
          <w:b/>
          <w:sz w:val="48"/>
          <w:szCs w:val="52"/>
          <w:u w:val="single"/>
        </w:rPr>
        <w:t>深圳市南山区住房和建设局</w:t>
      </w:r>
      <w:bookmarkEnd w:id="9"/>
      <w:r>
        <w:rPr>
          <w:rFonts w:eastAsia="仿宋_GB2312"/>
          <w:b/>
          <w:sz w:val="48"/>
          <w:szCs w:val="52"/>
          <w:u w:val="single"/>
        </w:rPr>
        <w:t>2023年</w:t>
      </w:r>
    </w:p>
    <w:p>
      <w:pPr>
        <w:adjustRightInd w:val="0"/>
        <w:spacing w:line="480" w:lineRule="auto"/>
        <w:jc w:val="center"/>
        <w:rPr>
          <w:rFonts w:eastAsia="仿宋_GB2312"/>
          <w:b/>
          <w:sz w:val="48"/>
          <w:szCs w:val="52"/>
          <w:u w:val="single"/>
        </w:rPr>
      </w:pPr>
      <w:r>
        <w:rPr>
          <w:rFonts w:hint="eastAsia" w:eastAsia="仿宋_GB2312"/>
          <w:b/>
          <w:sz w:val="48"/>
          <w:szCs w:val="52"/>
          <w:u w:val="single"/>
        </w:rPr>
        <w:t>南山区城市体检技术服务</w:t>
      </w:r>
    </w:p>
    <w:p>
      <w:pPr>
        <w:adjustRightInd w:val="0"/>
        <w:spacing w:line="480" w:lineRule="auto"/>
        <w:jc w:val="center"/>
        <w:rPr>
          <w:rFonts w:eastAsia="仿宋_GB2312"/>
          <w:b/>
          <w:sz w:val="52"/>
          <w:szCs w:val="52"/>
        </w:rPr>
      </w:pPr>
      <w:r>
        <w:rPr>
          <w:rFonts w:hint="eastAsia" w:eastAsia="仿宋_GB2312"/>
          <w:b/>
          <w:sz w:val="52"/>
          <w:szCs w:val="52"/>
        </w:rPr>
        <w:t>合同</w:t>
      </w:r>
    </w:p>
    <w:p>
      <w:pPr>
        <w:rPr>
          <w:rFonts w:eastAsia="仿宋_GB2312"/>
          <w:b/>
          <w:sz w:val="52"/>
          <w:szCs w:val="52"/>
        </w:rPr>
      </w:pPr>
    </w:p>
    <w:p>
      <w:pPr>
        <w:ind w:firstLine="2891" w:firstLineChars="1200"/>
        <w:rPr>
          <w:rFonts w:ascii="仿宋" w:hAnsi="仿宋" w:eastAsia="仿宋" w:cs="仿宋"/>
          <w:b/>
          <w:bCs/>
        </w:rPr>
      </w:pPr>
    </w:p>
    <w:p>
      <w:pPr>
        <w:rPr>
          <w:rFonts w:ascii="仿宋_GB2312" w:eastAsia="仿宋_GB2312"/>
          <w:b/>
          <w:sz w:val="32"/>
          <w:szCs w:val="32"/>
        </w:rPr>
      </w:pPr>
    </w:p>
    <w:p>
      <w:pPr>
        <w:spacing w:before="100" w:beforeAutospacing="1" w:after="100" w:afterAutospacing="1" w:line="480" w:lineRule="auto"/>
        <w:ind w:firstLine="642" w:firstLineChars="200"/>
        <w:jc w:val="both"/>
        <w:rPr>
          <w:b/>
          <w:sz w:val="32"/>
          <w:szCs w:val="32"/>
        </w:rPr>
      </w:pPr>
      <w:r>
        <w:rPr>
          <w:rFonts w:hint="eastAsia"/>
          <w:b/>
          <w:sz w:val="32"/>
          <w:szCs w:val="32"/>
        </w:rPr>
        <w:t>项目名称：</w:t>
      </w:r>
      <w:r>
        <w:rPr>
          <w:b/>
          <w:sz w:val="32"/>
          <w:szCs w:val="32"/>
          <w:u w:val="single"/>
        </w:rPr>
        <w:t>2023年</w:t>
      </w:r>
      <w:r>
        <w:rPr>
          <w:rFonts w:hint="eastAsia"/>
          <w:b/>
          <w:sz w:val="32"/>
          <w:szCs w:val="32"/>
          <w:u w:val="single"/>
        </w:rPr>
        <w:t xml:space="preserve">南山区城市体检技术服务                               </w:t>
      </w:r>
    </w:p>
    <w:p>
      <w:pPr>
        <w:spacing w:before="100" w:beforeAutospacing="1" w:after="100" w:afterAutospacing="1" w:line="480" w:lineRule="auto"/>
        <w:ind w:firstLine="642" w:firstLineChars="200"/>
        <w:rPr>
          <w:b/>
          <w:sz w:val="32"/>
          <w:szCs w:val="32"/>
        </w:rPr>
      </w:pPr>
      <w:r>
        <w:rPr>
          <w:rFonts w:hint="eastAsia"/>
          <w:b/>
          <w:sz w:val="32"/>
          <w:szCs w:val="32"/>
        </w:rPr>
        <w:t>甲    方：</w:t>
      </w:r>
      <w:r>
        <w:rPr>
          <w:b/>
          <w:sz w:val="32"/>
          <w:szCs w:val="32"/>
          <w:u w:val="single"/>
        </w:rPr>
        <w:t xml:space="preserve"> </w:t>
      </w:r>
      <w:r>
        <w:rPr>
          <w:rFonts w:hint="eastAsia"/>
          <w:b/>
          <w:sz w:val="32"/>
          <w:szCs w:val="32"/>
          <w:u w:val="single"/>
        </w:rPr>
        <w:t xml:space="preserve">深圳市南山区住房和建设局                             </w:t>
      </w:r>
    </w:p>
    <w:p>
      <w:pPr>
        <w:spacing w:before="100" w:beforeAutospacing="1" w:after="100" w:afterAutospacing="1" w:line="480" w:lineRule="auto"/>
        <w:ind w:firstLine="642" w:firstLineChars="200"/>
        <w:rPr>
          <w:b/>
          <w:sz w:val="32"/>
          <w:szCs w:val="32"/>
        </w:rPr>
      </w:pPr>
      <w:r>
        <w:rPr>
          <w:rFonts w:hint="eastAsia"/>
          <w:b/>
          <w:sz w:val="32"/>
          <w:szCs w:val="32"/>
        </w:rPr>
        <w:t>乙    方：</w:t>
      </w:r>
      <w:r>
        <w:rPr>
          <w:rFonts w:hint="eastAsia"/>
          <w:b/>
          <w:sz w:val="32"/>
          <w:szCs w:val="32"/>
          <w:u w:val="single"/>
        </w:rPr>
        <w:t xml:space="preserve">                                      </w:t>
      </w:r>
    </w:p>
    <w:p>
      <w:pPr>
        <w:spacing w:before="100" w:beforeAutospacing="1" w:after="100" w:afterAutospacing="1" w:line="480" w:lineRule="auto"/>
        <w:ind w:firstLine="2891" w:firstLineChars="900"/>
        <w:rPr>
          <w:b/>
          <w:sz w:val="32"/>
          <w:szCs w:val="32"/>
        </w:rPr>
      </w:pPr>
    </w:p>
    <w:p>
      <w:pPr>
        <w:spacing w:before="100" w:after="100" w:line="480" w:lineRule="auto"/>
        <w:jc w:val="center"/>
        <w:rPr>
          <w:b/>
          <w:sz w:val="32"/>
          <w:szCs w:val="32"/>
        </w:rPr>
      </w:pPr>
      <w:r>
        <w:rPr>
          <w:rFonts w:hint="eastAsia"/>
          <w:b/>
          <w:sz w:val="32"/>
          <w:szCs w:val="32"/>
        </w:rPr>
        <w:t xml:space="preserve">南山区住房和建设局 </w:t>
      </w:r>
      <w:r>
        <w:rPr>
          <w:b/>
          <w:sz w:val="32"/>
          <w:szCs w:val="32"/>
        </w:rPr>
        <w:t xml:space="preserve">  </w:t>
      </w:r>
      <w:r>
        <w:rPr>
          <w:rFonts w:hint="eastAsia"/>
          <w:b/>
          <w:sz w:val="32"/>
          <w:szCs w:val="32"/>
        </w:rPr>
        <w:t>制定</w:t>
      </w:r>
    </w:p>
    <w:p>
      <w:pPr>
        <w:spacing w:before="100" w:after="100" w:line="480" w:lineRule="auto"/>
        <w:jc w:val="center"/>
        <w:rPr>
          <w:b/>
          <w:sz w:val="32"/>
          <w:szCs w:val="32"/>
        </w:rPr>
      </w:pPr>
      <w:r>
        <w:rPr>
          <w:b/>
          <w:sz w:val="32"/>
          <w:szCs w:val="32"/>
        </w:rPr>
        <w:t xml:space="preserve"> </w:t>
      </w:r>
      <w:r>
        <w:rPr>
          <w:rFonts w:hint="eastAsia"/>
          <w:b/>
          <w:sz w:val="32"/>
          <w:szCs w:val="32"/>
        </w:rPr>
        <w:t>二〇二三年</w:t>
      </w:r>
      <w:r>
        <w:rPr>
          <w:rFonts w:hint="eastAsia"/>
          <w:b/>
          <w:sz w:val="32"/>
          <w:szCs w:val="32"/>
          <w:u w:val="single"/>
        </w:rPr>
        <w:t xml:space="preserve"> </w:t>
      </w:r>
      <w:r>
        <w:rPr>
          <w:b/>
          <w:sz w:val="32"/>
          <w:szCs w:val="32"/>
          <w:u w:val="single"/>
        </w:rPr>
        <w:t xml:space="preserve">  </w:t>
      </w:r>
      <w:r>
        <w:rPr>
          <w:rFonts w:hint="eastAsia"/>
          <w:b/>
          <w:sz w:val="32"/>
          <w:szCs w:val="32"/>
        </w:rPr>
        <w:t>月</w:t>
      </w:r>
      <w:r>
        <w:rPr>
          <w:b/>
          <w:sz w:val="32"/>
          <w:szCs w:val="32"/>
        </w:rPr>
        <w:t xml:space="preserve"> </w:t>
      </w:r>
    </w:p>
    <w:p>
      <w:pPr>
        <w:pStyle w:val="14"/>
        <w:outlineLvl w:val="1"/>
        <w:rPr>
          <w:rFonts w:cs="宋体"/>
          <w:b/>
          <w:sz w:val="32"/>
          <w:szCs w:val="32"/>
        </w:rPr>
      </w:pPr>
    </w:p>
    <w:p>
      <w:pPr>
        <w:spacing w:line="360" w:lineRule="auto"/>
        <w:rPr>
          <w:b/>
        </w:rPr>
      </w:pPr>
      <w:r>
        <w:rPr>
          <w:rFonts w:hint="eastAsia"/>
          <w:b/>
        </w:rPr>
        <w:t>委托方（甲方）：</w:t>
      </w:r>
      <w:r>
        <w:rPr>
          <w:rFonts w:hint="eastAsia"/>
          <w:u w:val="single"/>
        </w:rPr>
        <w:t xml:space="preserve">深圳市南山区住房和建设局   </w:t>
      </w:r>
      <w:r>
        <w:rPr>
          <w:u w:val="single"/>
        </w:rPr>
        <w:t xml:space="preserve">             </w:t>
      </w:r>
      <w:r>
        <w:rPr>
          <w:rFonts w:hint="eastAsia"/>
          <w:u w:val="single"/>
        </w:rPr>
        <w:t xml:space="preserve"> </w:t>
      </w:r>
    </w:p>
    <w:p>
      <w:pPr>
        <w:spacing w:line="360" w:lineRule="auto"/>
        <w:rPr>
          <w:u w:val="single"/>
        </w:rPr>
      </w:pPr>
      <w:r>
        <w:rPr>
          <w:rFonts w:hint="eastAsia"/>
          <w:b/>
        </w:rPr>
        <w:t>受托方（乙方）：</w:t>
      </w:r>
      <w:r>
        <w:rPr>
          <w:rFonts w:hint="eastAsia"/>
          <w:u w:val="single"/>
        </w:rPr>
        <w:t xml:space="preserve">                                            </w:t>
      </w:r>
    </w:p>
    <w:p>
      <w:pPr>
        <w:spacing w:line="360" w:lineRule="auto"/>
        <w:rPr>
          <w:u w:val="single"/>
        </w:rPr>
      </w:pPr>
    </w:p>
    <w:p>
      <w:pPr>
        <w:spacing w:line="360" w:lineRule="auto"/>
        <w:ind w:firstLine="480" w:firstLineChars="200"/>
      </w:pPr>
      <w:r>
        <w:rPr>
          <w:rFonts w:hint="eastAsia"/>
        </w:rPr>
        <w:t>依照《中华人民共和国民法典》及其它相关法律、法规，结合本项目的招标文件要求，双方就</w:t>
      </w:r>
      <w:r>
        <w:rPr>
          <w:rFonts w:hint="eastAsia"/>
          <w:u w:val="single"/>
        </w:rPr>
        <w:t>甲方委托乙方提供</w:t>
      </w:r>
      <w:r>
        <w:rPr>
          <w:u w:val="single"/>
        </w:rPr>
        <w:t>2023年</w:t>
      </w:r>
      <w:r>
        <w:rPr>
          <w:rFonts w:hint="eastAsia"/>
          <w:u w:val="single"/>
        </w:rPr>
        <w:t>南山区城市体检技术服务项目一事</w:t>
      </w:r>
      <w:r>
        <w:rPr>
          <w:rFonts w:hint="eastAsia"/>
        </w:rPr>
        <w:t>，经双方协商一致，签订本合同。</w:t>
      </w:r>
    </w:p>
    <w:p>
      <w:pPr>
        <w:spacing w:line="360" w:lineRule="auto"/>
        <w:ind w:firstLine="480" w:firstLineChars="200"/>
      </w:pPr>
    </w:p>
    <w:p>
      <w:pPr>
        <w:numPr>
          <w:ilvl w:val="0"/>
          <w:numId w:val="2"/>
        </w:numPr>
        <w:spacing w:before="156" w:beforeLines="50" w:line="360" w:lineRule="auto"/>
        <w:ind w:left="1168" w:hanging="748"/>
        <w:rPr>
          <w:b/>
        </w:rPr>
      </w:pPr>
      <w:r>
        <w:rPr>
          <w:rFonts w:hint="eastAsia"/>
          <w:b/>
        </w:rPr>
        <w:t>项目基本情况</w:t>
      </w:r>
    </w:p>
    <w:p>
      <w:pPr>
        <w:spacing w:line="360" w:lineRule="auto"/>
        <w:ind w:firstLine="420"/>
        <w:rPr>
          <w:u w:val="single"/>
        </w:rPr>
      </w:pPr>
      <w:r>
        <w:rPr>
          <w:rFonts w:hint="eastAsia"/>
        </w:rPr>
        <w:t>1、项目名称：</w:t>
      </w:r>
      <w:r>
        <w:rPr>
          <w:rFonts w:hint="eastAsia"/>
          <w:u w:val="single"/>
        </w:rPr>
        <w:t>深圳市南山区住房和建设局</w:t>
      </w:r>
      <w:r>
        <w:rPr>
          <w:u w:val="single"/>
        </w:rPr>
        <w:t>2023年</w:t>
      </w:r>
      <w:r>
        <w:rPr>
          <w:rFonts w:hint="eastAsia"/>
          <w:u w:val="single"/>
        </w:rPr>
        <w:t>南山区城市体检技术服务</w:t>
      </w:r>
    </w:p>
    <w:p>
      <w:pPr>
        <w:spacing w:line="360" w:lineRule="auto"/>
        <w:ind w:firstLine="420"/>
      </w:pPr>
      <w:r>
        <w:rPr>
          <w:rFonts w:hint="eastAsia"/>
        </w:rPr>
        <w:t>2、合同范围：</w:t>
      </w:r>
    </w:p>
    <w:p>
      <w:pPr>
        <w:spacing w:line="360" w:lineRule="auto"/>
        <w:ind w:firstLine="420"/>
        <w:rPr>
          <w:u w:val="single"/>
        </w:rPr>
      </w:pPr>
      <w:r>
        <w:rPr>
          <w:rFonts w:hint="eastAsia"/>
          <w:u w:val="single"/>
        </w:rPr>
        <w:t>结合南山区特点，一是开展南山区城市体检区级城中村专项体检，以城中村为基本工作单元形成“一表三图”，并汇总形成全区城中村“一表两图”的基本信息台账，排查城中村在建筑安全、消防安全、电气安全、地质安全等方面存在的安全隐患，提供相应解决对策和整改项目报告；二是选取一个街道开展街道体检试点，街道体检从设置完善、环境宜居、管理健全、整洁有序、特色活力等方面查找城市建设存在的问题和短板，提出整改任务和项目清单。体检指标以住建部城市体检基础指标中的小区（社区）、街区两个维度的指标为基础，最终形成南山区街道级城市体检报告。</w:t>
      </w:r>
    </w:p>
    <w:p>
      <w:pPr>
        <w:numPr>
          <w:ilvl w:val="0"/>
          <w:numId w:val="2"/>
        </w:numPr>
        <w:spacing w:before="156" w:beforeLines="50" w:line="360" w:lineRule="auto"/>
        <w:ind w:left="1168" w:hanging="748"/>
        <w:rPr>
          <w:b/>
        </w:rPr>
      </w:pPr>
      <w:r>
        <w:rPr>
          <w:rFonts w:hint="eastAsia"/>
          <w:b/>
        </w:rPr>
        <w:t>工作内容</w:t>
      </w:r>
    </w:p>
    <w:p>
      <w:pPr>
        <w:spacing w:line="360" w:lineRule="auto"/>
        <w:ind w:firstLine="480" w:firstLineChars="200"/>
        <w:rPr>
          <w:szCs w:val="21"/>
        </w:rPr>
      </w:pPr>
      <w:r>
        <w:rPr>
          <w:szCs w:val="21"/>
        </w:rPr>
        <w:t>按照</w:t>
      </w:r>
      <w:r>
        <w:rPr>
          <w:rFonts w:hint="eastAsia"/>
          <w:szCs w:val="21"/>
        </w:rPr>
        <w:t>甲方</w:t>
      </w:r>
      <w:r>
        <w:rPr>
          <w:szCs w:val="21"/>
        </w:rPr>
        <w:t>需要，</w:t>
      </w:r>
      <w:r>
        <w:rPr>
          <w:rFonts w:hint="eastAsia"/>
          <w:szCs w:val="21"/>
        </w:rPr>
        <w:t>本次</w:t>
      </w:r>
      <w:r>
        <w:rPr>
          <w:szCs w:val="21"/>
        </w:rPr>
        <w:t>工作</w:t>
      </w:r>
      <w:r>
        <w:rPr>
          <w:rFonts w:hint="eastAsia"/>
          <w:szCs w:val="21"/>
        </w:rPr>
        <w:t>主要</w:t>
      </w:r>
      <w:r>
        <w:rPr>
          <w:szCs w:val="21"/>
        </w:rPr>
        <w:t>服务内容</w:t>
      </w:r>
      <w:r>
        <w:rPr>
          <w:rFonts w:hint="eastAsia"/>
          <w:szCs w:val="21"/>
        </w:rPr>
        <w:t>包括但不限于以下事项</w:t>
      </w:r>
      <w:r>
        <w:rPr>
          <w:szCs w:val="21"/>
        </w:rPr>
        <w:t>，同时</w:t>
      </w:r>
      <w:r>
        <w:rPr>
          <w:rFonts w:hint="eastAsia"/>
          <w:szCs w:val="21"/>
        </w:rPr>
        <w:t>甲方有权结合</w:t>
      </w:r>
      <w:r>
        <w:rPr>
          <w:szCs w:val="21"/>
        </w:rPr>
        <w:t>今后工作中</w:t>
      </w:r>
      <w:r>
        <w:rPr>
          <w:rFonts w:hint="eastAsia"/>
          <w:szCs w:val="21"/>
        </w:rPr>
        <w:t>遇到的</w:t>
      </w:r>
      <w:r>
        <w:rPr>
          <w:szCs w:val="21"/>
        </w:rPr>
        <w:t>实际情况，</w:t>
      </w:r>
      <w:r>
        <w:rPr>
          <w:rFonts w:hint="eastAsia"/>
          <w:szCs w:val="21"/>
        </w:rPr>
        <w:t>对</w:t>
      </w:r>
      <w:r>
        <w:rPr>
          <w:szCs w:val="21"/>
        </w:rPr>
        <w:t>工作内容进行适当调整。</w:t>
      </w:r>
    </w:p>
    <w:p>
      <w:pPr>
        <w:spacing w:line="360" w:lineRule="auto"/>
        <w:ind w:firstLine="420"/>
        <w:rPr>
          <w:u w:val="single"/>
        </w:rPr>
      </w:pPr>
      <w:r>
        <w:rPr>
          <w:rFonts w:hint="eastAsia"/>
          <w:u w:val="single"/>
        </w:rPr>
        <w:t>（一）城市体检区级城中村专项体检</w:t>
      </w:r>
    </w:p>
    <w:p>
      <w:pPr>
        <w:spacing w:line="360" w:lineRule="auto"/>
        <w:ind w:firstLine="420"/>
        <w:rPr>
          <w:u w:val="single"/>
        </w:rPr>
      </w:pPr>
      <w:r>
        <w:rPr>
          <w:rFonts w:hint="eastAsia"/>
          <w:u w:val="single"/>
        </w:rPr>
        <w:t>1、建立区城中村基本信息台账。以城中村为基本工作单元，开展现状情况调查，摸清各个城中村的空间范围、人口属性、建筑情况、住房及租赁情况、公共服务及市政配套设施情况、公共空间环境等底数，每个城中村形成“一表三图”（城中村基础信息表、卫星影像图、公共及市政设施现状图、公共空间现状和潜力图），汇总形成全区城中村“一表两图”（全区城中村基础信息表、全区公共及市政设施现状图、全区公共空间现状和潜力图）的基本信息台账。</w:t>
      </w:r>
    </w:p>
    <w:p>
      <w:pPr>
        <w:spacing w:line="360" w:lineRule="auto"/>
        <w:ind w:firstLine="420"/>
        <w:rPr>
          <w:u w:val="single"/>
        </w:rPr>
      </w:pPr>
      <w:r>
        <w:rPr>
          <w:rFonts w:hint="eastAsia"/>
          <w:u w:val="single"/>
        </w:rPr>
        <w:t>2、查找并解决城中村存在的安全问题。通过现场调研和基本信息台账分析，排查城中村在建筑安全、消防安全、电气安全、地质安全等方面存在的安全隐患，并提出解决对策和整改项目。</w:t>
      </w:r>
    </w:p>
    <w:p>
      <w:pPr>
        <w:spacing w:line="360" w:lineRule="auto"/>
        <w:ind w:firstLine="420"/>
        <w:rPr>
          <w:u w:val="single"/>
        </w:rPr>
      </w:pPr>
      <w:r>
        <w:rPr>
          <w:rFonts w:hint="eastAsia"/>
          <w:u w:val="single"/>
        </w:rPr>
        <w:t>（二）街道级城市体检</w:t>
      </w:r>
    </w:p>
    <w:p>
      <w:pPr>
        <w:spacing w:line="360" w:lineRule="auto"/>
        <w:ind w:firstLine="420"/>
        <w:rPr>
          <w:u w:val="single"/>
        </w:rPr>
      </w:pPr>
      <w:r>
        <w:rPr>
          <w:rFonts w:hint="eastAsia"/>
          <w:u w:val="single"/>
        </w:rPr>
        <w:t>选取一个街道开展街道体检试点，街道体检从设置完善、环境宜居、管理健全、整洁有序、特色活力等方面查找城市建设存在的问题和短板，提出整改任务和项目清单。体检指标以住建部城市体检基础指标中的小区（社区）、街区两个维度的指标为基础，最终形成南山区街道级城市体检报告。</w:t>
      </w:r>
    </w:p>
    <w:p>
      <w:pPr>
        <w:spacing w:line="360" w:lineRule="auto"/>
        <w:ind w:firstLine="420"/>
        <w:rPr>
          <w:u w:val="single"/>
        </w:rPr>
      </w:pPr>
      <w:r>
        <w:rPr>
          <w:rFonts w:hint="eastAsia"/>
          <w:u w:val="single"/>
        </w:rPr>
        <w:t>（三）后续服务保障</w:t>
      </w:r>
    </w:p>
    <w:p>
      <w:pPr>
        <w:spacing w:line="360" w:lineRule="auto"/>
        <w:ind w:firstLine="420"/>
        <w:rPr>
          <w:u w:val="single"/>
        </w:rPr>
      </w:pPr>
      <w:r>
        <w:rPr>
          <w:rFonts w:hint="eastAsia"/>
          <w:u w:val="single"/>
        </w:rPr>
        <w:t>针对提交的南山区城市体检各项成果，负责解答对报告中的疑问，进行书面回复，提供后续的保障服务等。</w:t>
      </w:r>
    </w:p>
    <w:p>
      <w:pPr>
        <w:numPr>
          <w:ilvl w:val="0"/>
          <w:numId w:val="2"/>
        </w:numPr>
        <w:spacing w:before="156" w:beforeLines="50" w:line="360" w:lineRule="auto"/>
        <w:ind w:left="1168" w:hanging="748"/>
        <w:rPr>
          <w:b/>
        </w:rPr>
      </w:pPr>
      <w:r>
        <w:rPr>
          <w:rFonts w:hint="eastAsia"/>
          <w:b/>
        </w:rPr>
        <w:t>技术及人员要求</w:t>
      </w:r>
    </w:p>
    <w:p>
      <w:pPr>
        <w:spacing w:line="360" w:lineRule="auto"/>
        <w:ind w:firstLine="420"/>
      </w:pPr>
      <w:r>
        <w:rPr>
          <w:rFonts w:hint="eastAsia"/>
        </w:rPr>
        <w:t>1、主要依据：《</w:t>
      </w:r>
      <w:r>
        <w:t>2023年</w:t>
      </w:r>
      <w:r>
        <w:rPr>
          <w:rFonts w:hint="eastAsia"/>
        </w:rPr>
        <w:t>深圳市城市体检工作方案》《</w:t>
      </w:r>
      <w:r>
        <w:t>2023年</w:t>
      </w:r>
      <w:r>
        <w:rPr>
          <w:rFonts w:hint="eastAsia"/>
        </w:rPr>
        <w:t>深圳市城市体检区级体检工作方案》等。</w:t>
      </w:r>
    </w:p>
    <w:p>
      <w:pPr>
        <w:spacing w:line="360" w:lineRule="auto"/>
        <w:ind w:firstLine="480" w:firstLineChars="200"/>
        <w:rPr>
          <w:szCs w:val="21"/>
        </w:rPr>
      </w:pPr>
      <w:r>
        <w:rPr>
          <w:rFonts w:hint="eastAsia"/>
          <w:szCs w:val="21"/>
        </w:rPr>
        <w:t>2、项目人员要求：乙方应成立专门的项目组，设置固定的项目负责人和联系人，满足甲方的工作需求。项目负责人在实施过程中不得更换，如需更换，必须得到甲方的同意。</w:t>
      </w:r>
    </w:p>
    <w:p>
      <w:pPr>
        <w:numPr>
          <w:ilvl w:val="0"/>
          <w:numId w:val="2"/>
        </w:numPr>
        <w:spacing w:before="156" w:beforeLines="50" w:line="360" w:lineRule="auto"/>
        <w:ind w:left="1168" w:hanging="748"/>
        <w:rPr>
          <w:b/>
        </w:rPr>
      </w:pPr>
      <w:r>
        <w:rPr>
          <w:rFonts w:hint="eastAsia"/>
          <w:b/>
        </w:rPr>
        <w:t>服务</w:t>
      </w:r>
      <w:r>
        <w:rPr>
          <w:b/>
        </w:rPr>
        <w:t>周期</w:t>
      </w:r>
    </w:p>
    <w:p>
      <w:pPr>
        <w:adjustRightInd w:val="0"/>
        <w:snapToGrid w:val="0"/>
        <w:spacing w:before="156" w:beforeLines="50" w:line="360" w:lineRule="auto"/>
        <w:ind w:firstLine="480" w:firstLineChars="200"/>
        <w:rPr>
          <w:szCs w:val="21"/>
        </w:rPr>
      </w:pPr>
      <w:r>
        <w:rPr>
          <w:rFonts w:hint="eastAsia"/>
          <w:szCs w:val="21"/>
        </w:rPr>
        <w:t>本</w:t>
      </w:r>
      <w:r>
        <w:rPr>
          <w:szCs w:val="21"/>
        </w:rPr>
        <w:t>项目服务周期为</w:t>
      </w:r>
      <w:r>
        <w:rPr>
          <w:rFonts w:hint="eastAsia"/>
          <w:szCs w:val="21"/>
        </w:rPr>
        <w:t>一年</w:t>
      </w:r>
      <w:r>
        <w:rPr>
          <w:szCs w:val="21"/>
        </w:rPr>
        <w:t>，</w:t>
      </w:r>
      <w:r>
        <w:rPr>
          <w:rFonts w:hint="eastAsia"/>
          <w:szCs w:val="21"/>
        </w:rPr>
        <w:t>自</w:t>
      </w:r>
      <w:r>
        <w:rPr>
          <w:szCs w:val="21"/>
        </w:rPr>
        <w:t>2023年</w:t>
      </w:r>
      <w:r>
        <w:rPr>
          <w:rFonts w:hint="eastAsia"/>
          <w:szCs w:val="21"/>
        </w:rPr>
        <w:t xml:space="preserve">  月  日起至 2024年  月  日止。</w:t>
      </w:r>
      <w:r>
        <w:rPr>
          <w:rFonts w:hint="eastAsia"/>
        </w:rPr>
        <w:t>自合同生效之日起三个月内乙方需提交验收合格的成果报告，后续九个月为服务保障期，此期间需安排专人提供相关咨询、协调、项目审查和报告更新等技术支持</w:t>
      </w:r>
      <w:r>
        <w:rPr>
          <w:rFonts w:hint="eastAsia"/>
          <w:szCs w:val="21"/>
        </w:rPr>
        <w:t xml:space="preserve">。 </w:t>
      </w:r>
    </w:p>
    <w:p>
      <w:pPr>
        <w:numPr>
          <w:ilvl w:val="0"/>
          <w:numId w:val="2"/>
        </w:numPr>
        <w:spacing w:before="156" w:beforeLines="50" w:line="360" w:lineRule="auto"/>
        <w:ind w:left="1168" w:hanging="748"/>
        <w:rPr>
          <w:b/>
        </w:rPr>
      </w:pPr>
      <w:r>
        <w:rPr>
          <w:rFonts w:hint="eastAsia"/>
          <w:b/>
        </w:rPr>
        <w:t>合同价款</w:t>
      </w:r>
    </w:p>
    <w:p>
      <w:pPr>
        <w:pStyle w:val="37"/>
        <w:ind w:firstLine="480"/>
        <w:rPr>
          <w:rFonts w:cs="Times New Roman"/>
          <w:iCs w:val="0"/>
          <w:color w:val="FF0000"/>
          <w:sz w:val="21"/>
          <w:szCs w:val="21"/>
        </w:rPr>
      </w:pPr>
      <w:r>
        <w:rPr>
          <w:rFonts w:hint="eastAsia"/>
          <w:szCs w:val="24"/>
        </w:rPr>
        <w:t>结合合同实际情况，本合同为总价包干合同，</w:t>
      </w:r>
      <w:r>
        <w:rPr>
          <w:rFonts w:hint="eastAsia"/>
          <w:szCs w:val="24"/>
          <w:lang w:eastAsia="zh-Hans"/>
        </w:rPr>
        <w:t>咨询服务费</w:t>
      </w:r>
      <w:r>
        <w:rPr>
          <w:rFonts w:hint="eastAsia"/>
          <w:szCs w:val="24"/>
        </w:rPr>
        <w:t>为人民币(含税）（大写）          ，小写¥      元。该</w:t>
      </w:r>
      <w:r>
        <w:rPr>
          <w:rFonts w:hint="eastAsia"/>
          <w:szCs w:val="24"/>
          <w:lang w:eastAsia="zh-Hans"/>
        </w:rPr>
        <w:t>服务费用</w:t>
      </w:r>
      <w:r>
        <w:rPr>
          <w:rFonts w:hint="eastAsia"/>
          <w:szCs w:val="24"/>
        </w:rPr>
        <w:t>包括完成本合同所有工作量和后续服务的全部费用。</w:t>
      </w:r>
    </w:p>
    <w:p>
      <w:pPr>
        <w:numPr>
          <w:ilvl w:val="0"/>
          <w:numId w:val="2"/>
        </w:numPr>
        <w:spacing w:before="156" w:beforeLines="50" w:line="360" w:lineRule="auto"/>
        <w:ind w:left="1168" w:hanging="748"/>
        <w:rPr>
          <w:b/>
        </w:rPr>
      </w:pPr>
      <w:r>
        <w:rPr>
          <w:rFonts w:hint="eastAsia"/>
          <w:b/>
        </w:rPr>
        <w:t>付款方式</w:t>
      </w:r>
    </w:p>
    <w:p>
      <w:pPr>
        <w:spacing w:line="360" w:lineRule="auto"/>
        <w:ind w:firstLine="420"/>
      </w:pPr>
      <w:r>
        <w:rPr>
          <w:rFonts w:hint="eastAsia"/>
        </w:rPr>
        <w:t>经双方协商，分</w:t>
      </w:r>
      <w:r>
        <w:rPr>
          <w:rFonts w:hint="eastAsia"/>
          <w:u w:val="single"/>
        </w:rPr>
        <w:t>三期</w:t>
      </w:r>
      <w:r>
        <w:rPr>
          <w:rFonts w:hint="eastAsia"/>
        </w:rPr>
        <w:t>付款：</w:t>
      </w:r>
    </w:p>
    <w:p>
      <w:pPr>
        <w:spacing w:line="360" w:lineRule="auto"/>
        <w:ind w:firstLine="480" w:firstLineChars="200"/>
        <w:rPr>
          <w:szCs w:val="21"/>
        </w:rPr>
      </w:pPr>
      <w:r>
        <w:rPr>
          <w:rFonts w:hint="eastAsia"/>
          <w:szCs w:val="21"/>
        </w:rPr>
        <w:t>第一期</w:t>
      </w:r>
      <w:r>
        <w:rPr>
          <w:szCs w:val="21"/>
        </w:rPr>
        <w:t>：</w:t>
      </w:r>
      <w:r>
        <w:rPr>
          <w:rFonts w:hint="eastAsia"/>
          <w:szCs w:val="21"/>
        </w:rPr>
        <w:t>本合同签订之日起</w:t>
      </w:r>
      <w:r>
        <w:rPr>
          <w:rFonts w:hint="eastAsia"/>
          <w:bCs/>
          <w:szCs w:val="21"/>
          <w:u w:val="single"/>
        </w:rPr>
        <w:t xml:space="preserve"> </w:t>
      </w:r>
      <w:r>
        <w:rPr>
          <w:bCs/>
          <w:szCs w:val="21"/>
          <w:u w:val="single"/>
        </w:rPr>
        <w:t>15</w:t>
      </w:r>
      <w:r>
        <w:rPr>
          <w:rFonts w:hint="eastAsia"/>
          <w:szCs w:val="21"/>
        </w:rPr>
        <w:t>日内，且收到乙方开具的符合财务要求的发票后，</w:t>
      </w:r>
      <w:bookmarkStart w:id="10" w:name="_Hlk88209298"/>
      <w:r>
        <w:rPr>
          <w:rFonts w:hint="eastAsia"/>
          <w:szCs w:val="21"/>
        </w:rPr>
        <w:t>甲方向乙方支付服务费用人民币</w:t>
      </w:r>
      <w:r>
        <w:rPr>
          <w:rFonts w:hint="eastAsia"/>
          <w:szCs w:val="21"/>
          <w:u w:val="single"/>
        </w:rPr>
        <w:t xml:space="preserve"> </w:t>
      </w:r>
      <w:r>
        <w:rPr>
          <w:szCs w:val="21"/>
          <w:u w:val="single"/>
        </w:rPr>
        <w:t xml:space="preserve">        </w:t>
      </w:r>
      <w:r>
        <w:rPr>
          <w:rFonts w:hint="eastAsia"/>
          <w:szCs w:val="21"/>
        </w:rPr>
        <w:t>元整，大写</w:t>
      </w:r>
      <w:r>
        <w:rPr>
          <w:rFonts w:hint="eastAsia"/>
          <w:bCs/>
          <w:szCs w:val="21"/>
          <w:u w:val="single"/>
        </w:rPr>
        <w:t xml:space="preserve"> </w:t>
      </w:r>
      <w:r>
        <w:rPr>
          <w:bCs/>
          <w:szCs w:val="21"/>
          <w:u w:val="single"/>
        </w:rPr>
        <w:t xml:space="preserve">     </w:t>
      </w:r>
      <w:r>
        <w:rPr>
          <w:rFonts w:hint="eastAsia"/>
          <w:bCs/>
          <w:szCs w:val="21"/>
          <w:u w:val="single"/>
        </w:rPr>
        <w:t xml:space="preserve"> </w:t>
      </w:r>
      <w:r>
        <w:rPr>
          <w:bCs/>
          <w:szCs w:val="21"/>
          <w:u w:val="single"/>
        </w:rPr>
        <w:t xml:space="preserve">       </w:t>
      </w:r>
      <w:r>
        <w:rPr>
          <w:rFonts w:hint="eastAsia"/>
          <w:szCs w:val="21"/>
        </w:rPr>
        <w:t>元整</w:t>
      </w:r>
      <w:bookmarkEnd w:id="10"/>
      <w:r>
        <w:rPr>
          <w:rFonts w:hint="eastAsia"/>
          <w:szCs w:val="21"/>
        </w:rPr>
        <w:t>（占总费用的25%）</w:t>
      </w:r>
      <w:r>
        <w:rPr>
          <w:rFonts w:hint="eastAsia"/>
          <w:bCs/>
          <w:szCs w:val="21"/>
        </w:rPr>
        <w:t>；</w:t>
      </w:r>
    </w:p>
    <w:p>
      <w:pPr>
        <w:spacing w:line="360" w:lineRule="auto"/>
        <w:ind w:firstLine="480" w:firstLineChars="200"/>
        <w:rPr>
          <w:szCs w:val="21"/>
        </w:rPr>
      </w:pPr>
      <w:r>
        <w:rPr>
          <w:rFonts w:hint="eastAsia"/>
          <w:szCs w:val="21"/>
        </w:rPr>
        <w:t>第二期：</w:t>
      </w:r>
      <w:r>
        <w:rPr>
          <w:szCs w:val="21"/>
        </w:rPr>
        <w:t>2023年</w:t>
      </w:r>
      <w:r>
        <w:rPr>
          <w:rFonts w:hint="eastAsia"/>
          <w:szCs w:val="21"/>
        </w:rPr>
        <w:t xml:space="preserve">  月  日前，乙方提供</w:t>
      </w:r>
      <w:bookmarkStart w:id="11" w:name="_Hlk88207517"/>
      <w:r>
        <w:rPr>
          <w:rFonts w:hint="eastAsia"/>
          <w:szCs w:val="21"/>
        </w:rPr>
        <w:t>验收合格的成果报告及成果文件</w:t>
      </w:r>
      <w:bookmarkEnd w:id="11"/>
      <w:r>
        <w:rPr>
          <w:rFonts w:hint="eastAsia"/>
          <w:szCs w:val="21"/>
          <w:lang w:eastAsia="zh-CN"/>
        </w:rPr>
        <w:t>、</w:t>
      </w:r>
      <w:r>
        <w:rPr>
          <w:rFonts w:hint="eastAsia"/>
          <w:szCs w:val="21"/>
        </w:rPr>
        <w:t>深圳市南山区城市建设智能管理平台工作</w:t>
      </w:r>
      <w:r>
        <w:rPr>
          <w:rFonts w:hint="eastAsia"/>
          <w:szCs w:val="21"/>
          <w:lang w:eastAsia="zh-CN"/>
        </w:rPr>
        <w:t>成果</w:t>
      </w:r>
      <w:r>
        <w:rPr>
          <w:rFonts w:hint="eastAsia"/>
          <w:szCs w:val="21"/>
        </w:rPr>
        <w:t>台账</w:t>
      </w:r>
      <w:r>
        <w:rPr>
          <w:rFonts w:hint="eastAsia"/>
          <w:szCs w:val="21"/>
          <w:lang w:eastAsia="zh-CN"/>
        </w:rPr>
        <w:t>记录</w:t>
      </w:r>
      <w:r>
        <w:rPr>
          <w:rFonts w:hint="eastAsia"/>
          <w:szCs w:val="21"/>
        </w:rPr>
        <w:t>等电子资料，经甲方复核合格后，甲方在2023年  月  日前支付乙方人民币        元整，大写          元整（占总费用的50%）；</w:t>
      </w:r>
    </w:p>
    <w:p>
      <w:pPr>
        <w:ind w:firstLine="480"/>
        <w:rPr>
          <w:szCs w:val="21"/>
        </w:rPr>
      </w:pPr>
      <w:r>
        <w:rPr>
          <w:rFonts w:hint="eastAsia"/>
          <w:szCs w:val="21"/>
        </w:rPr>
        <w:t>第三期：</w:t>
      </w:r>
      <w:bookmarkStart w:id="12" w:name="_Hlk88211247"/>
      <w:r>
        <w:rPr>
          <w:rFonts w:hint="eastAsia"/>
          <w:szCs w:val="21"/>
        </w:rPr>
        <w:t>服务期到期后15日内，乙方完成本项目全部</w:t>
      </w:r>
      <w:r>
        <w:rPr>
          <w:rFonts w:hint="eastAsia"/>
        </w:rPr>
        <w:t>服务</w:t>
      </w:r>
      <w:r>
        <w:rPr>
          <w:rFonts w:hint="eastAsia"/>
          <w:szCs w:val="21"/>
        </w:rPr>
        <w:t>，由甲方进行验收并进行履约评价，履约评价表（报告）中要完整体现约定的服务内容绩效完成情况。验收通过且履约评价合格的，甲方在15日内向乙方支付服务费用人民币        元整，大写                      元整（占总费用的25%）。</w:t>
      </w:r>
      <w:bookmarkEnd w:id="12"/>
    </w:p>
    <w:p>
      <w:pPr>
        <w:spacing w:line="360" w:lineRule="auto"/>
        <w:ind w:firstLine="480" w:firstLineChars="200"/>
        <w:rPr>
          <w:b/>
          <w:szCs w:val="21"/>
        </w:rPr>
      </w:pPr>
      <w:r>
        <w:rPr>
          <w:rFonts w:hint="eastAsia"/>
          <w:szCs w:val="21"/>
        </w:rPr>
        <w:t>备注：以上金额是乙方正常履约情况下的支付金额，若履行过程中乙方出现本合同所述违约情形的，当期应付费用须扣除相应违约金后再行支付。专职服务人员伙食费据实另行扣减。</w:t>
      </w:r>
    </w:p>
    <w:p>
      <w:pPr>
        <w:spacing w:line="360" w:lineRule="auto"/>
        <w:ind w:firstLine="480" w:firstLineChars="200"/>
        <w:rPr>
          <w:rFonts w:cs="微软雅黑"/>
          <w:szCs w:val="21"/>
        </w:rPr>
      </w:pPr>
      <w:bookmarkStart w:id="13" w:name="_Hlk88207644"/>
      <w:r>
        <w:rPr>
          <w:rFonts w:hint="eastAsia" w:cs="微软雅黑"/>
          <w:szCs w:val="21"/>
        </w:rPr>
        <w:t>除双方重新达成协议外，本合同履行过程中的价款支付均通过本合同中指定的乙方银行账户进行</w:t>
      </w:r>
      <w:bookmarkEnd w:id="13"/>
      <w:r>
        <w:rPr>
          <w:rFonts w:hint="eastAsia" w:cs="微软雅黑"/>
          <w:szCs w:val="21"/>
        </w:rPr>
        <w:t>，乙方向甲方申请付款前，需提供等额增值税发票，否则甲方有权拒付款项。</w:t>
      </w:r>
    </w:p>
    <w:p>
      <w:pPr>
        <w:spacing w:line="360" w:lineRule="auto"/>
        <w:ind w:firstLine="480" w:firstLineChars="200"/>
        <w:rPr>
          <w:rFonts w:cs="微软雅黑"/>
          <w:szCs w:val="21"/>
        </w:rPr>
      </w:pPr>
      <w:r>
        <w:rPr>
          <w:rFonts w:hint="eastAsia" w:cs="微软雅黑"/>
          <w:szCs w:val="21"/>
        </w:rPr>
        <w:t>乙方指定的收款银行账户信息如下：</w:t>
      </w:r>
    </w:p>
    <w:p>
      <w:pPr>
        <w:spacing w:line="360" w:lineRule="auto"/>
        <w:ind w:firstLine="480" w:firstLineChars="200"/>
        <w:rPr>
          <w:rFonts w:cs="微软雅黑"/>
          <w:szCs w:val="21"/>
          <w:u w:val="single"/>
        </w:rPr>
      </w:pPr>
      <w:r>
        <w:rPr>
          <w:rFonts w:hint="eastAsia" w:cs="微软雅黑"/>
          <w:szCs w:val="21"/>
        </w:rPr>
        <w:t>开户银行：</w:t>
      </w:r>
      <w:r>
        <w:rPr>
          <w:rFonts w:hint="eastAsia" w:cs="微软雅黑"/>
          <w:szCs w:val="21"/>
          <w:u w:val="single"/>
        </w:rPr>
        <w:t xml:space="preserve"> </w:t>
      </w:r>
      <w:r>
        <w:rPr>
          <w:rFonts w:cs="微软雅黑"/>
          <w:szCs w:val="21"/>
          <w:u w:val="single"/>
        </w:rPr>
        <w:t xml:space="preserve">                                          </w:t>
      </w:r>
    </w:p>
    <w:p>
      <w:pPr>
        <w:spacing w:line="360" w:lineRule="auto"/>
        <w:ind w:firstLine="480" w:firstLineChars="200"/>
        <w:rPr>
          <w:rFonts w:cs="微软雅黑"/>
          <w:szCs w:val="21"/>
          <w:u w:val="single"/>
        </w:rPr>
      </w:pPr>
      <w:r>
        <w:rPr>
          <w:rFonts w:hint="eastAsia" w:cs="微软雅黑"/>
          <w:szCs w:val="21"/>
        </w:rPr>
        <w:t>户名：</w:t>
      </w:r>
      <w:r>
        <w:rPr>
          <w:rFonts w:cs="微软雅黑"/>
          <w:szCs w:val="21"/>
          <w:u w:val="single"/>
        </w:rPr>
        <w:t xml:space="preserve">                                               </w:t>
      </w:r>
    </w:p>
    <w:p>
      <w:pPr>
        <w:spacing w:line="360" w:lineRule="auto"/>
        <w:ind w:firstLine="480" w:firstLineChars="200"/>
        <w:rPr>
          <w:rFonts w:cs="微软雅黑"/>
          <w:szCs w:val="21"/>
          <w:u w:val="single"/>
        </w:rPr>
      </w:pPr>
      <w:r>
        <w:rPr>
          <w:rFonts w:hint="eastAsia" w:cs="微软雅黑"/>
          <w:szCs w:val="21"/>
        </w:rPr>
        <w:t>银行账户：</w:t>
      </w:r>
      <w:r>
        <w:rPr>
          <w:rFonts w:cs="微软雅黑"/>
          <w:szCs w:val="21"/>
          <w:u w:val="single"/>
        </w:rPr>
        <w:t xml:space="preserve">                                           </w:t>
      </w:r>
    </w:p>
    <w:p>
      <w:pPr>
        <w:numPr>
          <w:ilvl w:val="0"/>
          <w:numId w:val="2"/>
        </w:numPr>
        <w:spacing w:before="156" w:beforeLines="50" w:line="360" w:lineRule="auto"/>
        <w:ind w:left="1168" w:hanging="748"/>
        <w:rPr>
          <w:b/>
        </w:rPr>
      </w:pPr>
      <w:r>
        <w:rPr>
          <w:rFonts w:hint="eastAsia"/>
          <w:b/>
        </w:rPr>
        <w:t>保密条款</w:t>
      </w:r>
    </w:p>
    <w:p>
      <w:pPr>
        <w:spacing w:line="360" w:lineRule="auto"/>
        <w:ind w:firstLine="480" w:firstLineChars="200"/>
        <w:rPr>
          <w:szCs w:val="21"/>
        </w:rPr>
      </w:pPr>
      <w:r>
        <w:rPr>
          <w:rFonts w:hint="eastAsia"/>
          <w:szCs w:val="21"/>
        </w:rPr>
        <w:t>1、任何一方在本合同履行的过程中，或为履行本合同的需要，对本合同和相关附件的所有信息内容及首次从对方所获得的、有关对方或属于对方的内部或秘密信息、未经对方同意，不得泄露给任何乙方。</w:t>
      </w:r>
    </w:p>
    <w:p>
      <w:pPr>
        <w:spacing w:line="360" w:lineRule="auto"/>
        <w:ind w:firstLine="480" w:firstLineChars="200"/>
        <w:rPr>
          <w:szCs w:val="21"/>
        </w:rPr>
      </w:pPr>
      <w:r>
        <w:rPr>
          <w:rFonts w:hint="eastAsia"/>
          <w:szCs w:val="21"/>
        </w:rPr>
        <w:t>2、获取对方内部或秘密信息的一方，应当采取适当有效的方式保护所获取的信息；除非有对方的书面许可，或该信息已被对方认为不再是内部或秘密信息，或已在社会上公开，该所获取的信息不得对外透露。</w:t>
      </w:r>
    </w:p>
    <w:p>
      <w:pPr>
        <w:spacing w:line="360" w:lineRule="auto"/>
        <w:ind w:firstLine="480" w:firstLineChars="200"/>
        <w:rPr>
          <w:szCs w:val="21"/>
        </w:rPr>
      </w:pPr>
      <w:r>
        <w:rPr>
          <w:rFonts w:hint="eastAsia"/>
          <w:szCs w:val="21"/>
        </w:rPr>
        <w:t>3、乙方对服务的项目名称、服务内容及因而产生的所有资料和台账，不得泄露给任何乙方。</w:t>
      </w:r>
    </w:p>
    <w:p>
      <w:pPr>
        <w:spacing w:line="360" w:lineRule="auto"/>
        <w:ind w:firstLine="480" w:firstLineChars="200"/>
        <w:rPr>
          <w:szCs w:val="21"/>
        </w:rPr>
      </w:pPr>
      <w:r>
        <w:rPr>
          <w:rFonts w:hint="eastAsia"/>
          <w:szCs w:val="21"/>
        </w:rPr>
        <w:t>4、若因乙方原因导致甲方的信息数据或资料被非法窃取或利用，乙方必须承担由此造成的一切损失，且每发生一次，乙方应按咨询服务费的10%向甲方支付违约金。如事故总数超过3次，甲方有权解除合同，除前款所约定的违约金外，乙方须再支付咨询服务费的30%作为对甲方的赔偿。</w:t>
      </w:r>
    </w:p>
    <w:p>
      <w:pPr>
        <w:spacing w:line="360" w:lineRule="auto"/>
        <w:ind w:firstLine="480" w:firstLineChars="200"/>
        <w:rPr>
          <w:szCs w:val="21"/>
        </w:rPr>
      </w:pPr>
      <w:r>
        <w:rPr>
          <w:rFonts w:hint="eastAsia"/>
          <w:szCs w:val="21"/>
        </w:rPr>
        <w:t>5、本协议中涉及的秘密信息保密期限为永久。</w:t>
      </w:r>
    </w:p>
    <w:p>
      <w:pPr>
        <w:spacing w:line="360" w:lineRule="auto"/>
        <w:ind w:firstLine="480" w:firstLineChars="200"/>
        <w:rPr>
          <w:szCs w:val="21"/>
        </w:rPr>
      </w:pPr>
    </w:p>
    <w:p>
      <w:pPr>
        <w:spacing w:line="360" w:lineRule="auto"/>
        <w:ind w:firstLine="481" w:firstLineChars="200"/>
        <w:rPr>
          <w:b/>
          <w:bCs/>
          <w:szCs w:val="21"/>
        </w:rPr>
      </w:pPr>
      <w:r>
        <w:rPr>
          <w:rFonts w:hint="eastAsia"/>
          <w:b/>
          <w:bCs/>
          <w:szCs w:val="21"/>
        </w:rPr>
        <w:t xml:space="preserve">第八条 </w:t>
      </w:r>
      <w:r>
        <w:rPr>
          <w:b/>
          <w:bCs/>
          <w:szCs w:val="21"/>
        </w:rPr>
        <w:t xml:space="preserve"> </w:t>
      </w:r>
      <w:r>
        <w:rPr>
          <w:rFonts w:hint="eastAsia"/>
          <w:b/>
          <w:bCs/>
          <w:szCs w:val="21"/>
        </w:rPr>
        <w:t>权利义务</w:t>
      </w:r>
    </w:p>
    <w:p>
      <w:pPr>
        <w:spacing w:line="360" w:lineRule="auto"/>
        <w:ind w:firstLine="480" w:firstLineChars="200"/>
        <w:rPr>
          <w:szCs w:val="21"/>
        </w:rPr>
      </w:pPr>
      <w:r>
        <w:rPr>
          <w:rFonts w:hint="eastAsia"/>
          <w:szCs w:val="21"/>
        </w:rPr>
        <w:t>1、甲方权利</w:t>
      </w:r>
    </w:p>
    <w:p>
      <w:pPr>
        <w:spacing w:line="360" w:lineRule="auto"/>
        <w:ind w:firstLine="480" w:firstLineChars="200"/>
        <w:rPr>
          <w:szCs w:val="21"/>
        </w:rPr>
      </w:pPr>
      <w:r>
        <w:rPr>
          <w:szCs w:val="21"/>
        </w:rPr>
        <w:t>甲方有权根据本合同及甲方制定的各项</w:t>
      </w:r>
      <w:r>
        <w:rPr>
          <w:rFonts w:hint="eastAsia"/>
          <w:szCs w:val="21"/>
        </w:rPr>
        <w:t>规章</w:t>
      </w:r>
      <w:r>
        <w:rPr>
          <w:szCs w:val="21"/>
        </w:rPr>
        <w:t>制度、操作流程和技术规范的内容，监督乙方对合同的履行情况及工作质量实施情况,并以此对乙方所提供的服务进行</w:t>
      </w:r>
      <w:r>
        <w:rPr>
          <w:rFonts w:hint="eastAsia"/>
          <w:szCs w:val="21"/>
        </w:rPr>
        <w:t>履约评价</w:t>
      </w:r>
      <w:r>
        <w:rPr>
          <w:szCs w:val="21"/>
        </w:rPr>
        <w:t>。</w:t>
      </w:r>
    </w:p>
    <w:p>
      <w:pPr>
        <w:spacing w:line="360" w:lineRule="auto"/>
        <w:ind w:firstLine="480" w:firstLineChars="200"/>
        <w:rPr>
          <w:szCs w:val="21"/>
        </w:rPr>
      </w:pPr>
      <w:r>
        <w:rPr>
          <w:szCs w:val="21"/>
        </w:rPr>
        <w:t>甲方有权监督</w:t>
      </w:r>
      <w:bookmarkStart w:id="14" w:name="_Hlk87622693"/>
      <w:r>
        <w:rPr>
          <w:szCs w:val="21"/>
        </w:rPr>
        <w:t>乙方</w:t>
      </w:r>
      <w:bookmarkEnd w:id="14"/>
      <w:r>
        <w:rPr>
          <w:szCs w:val="21"/>
        </w:rPr>
        <w:t>项目</w:t>
      </w:r>
      <w:r>
        <w:rPr>
          <w:rFonts w:hint="eastAsia"/>
          <w:szCs w:val="21"/>
        </w:rPr>
        <w:t>服务</w:t>
      </w:r>
      <w:r>
        <w:rPr>
          <w:szCs w:val="21"/>
        </w:rPr>
        <w:t>人员工作质量和效率,</w:t>
      </w:r>
      <w:r>
        <w:rPr>
          <w:rFonts w:hint="eastAsia"/>
          <w:szCs w:val="21"/>
        </w:rPr>
        <w:t>并根据</w:t>
      </w:r>
      <w:r>
        <w:rPr>
          <w:szCs w:val="21"/>
        </w:rPr>
        <w:t>实际工作情况，要求乙方及时更换不合格的</w:t>
      </w:r>
      <w:r>
        <w:rPr>
          <w:rFonts w:hint="eastAsia"/>
          <w:szCs w:val="21"/>
        </w:rPr>
        <w:t>服务</w:t>
      </w:r>
      <w:r>
        <w:rPr>
          <w:szCs w:val="21"/>
        </w:rPr>
        <w:t>人员。</w:t>
      </w:r>
    </w:p>
    <w:p>
      <w:pPr>
        <w:spacing w:line="360" w:lineRule="auto"/>
        <w:ind w:firstLine="480" w:firstLineChars="200"/>
        <w:rPr>
          <w:szCs w:val="21"/>
        </w:rPr>
      </w:pPr>
      <w:r>
        <w:rPr>
          <w:rFonts w:hint="eastAsia"/>
          <w:szCs w:val="21"/>
        </w:rPr>
        <w:t>因政府财政预算和上级部门要求等第三方导致的原因，甲方在征得</w:t>
      </w:r>
      <w:r>
        <w:rPr>
          <w:szCs w:val="21"/>
        </w:rPr>
        <w:t>乙方</w:t>
      </w:r>
      <w:r>
        <w:rPr>
          <w:rFonts w:hint="eastAsia"/>
          <w:szCs w:val="21"/>
        </w:rPr>
        <w:t>书面同意的前提下，可根据实际工作要求调整合同工作内容、服务时间和服务小组人员及数量，并相应的调整合同价和付款方式或者取消合同。</w:t>
      </w:r>
    </w:p>
    <w:p>
      <w:pPr>
        <w:spacing w:line="360" w:lineRule="auto"/>
        <w:ind w:firstLine="480" w:firstLineChars="200"/>
        <w:rPr>
          <w:szCs w:val="21"/>
        </w:rPr>
      </w:pPr>
      <w:r>
        <w:rPr>
          <w:rFonts w:hint="eastAsia"/>
          <w:szCs w:val="21"/>
        </w:rPr>
        <w:t>2、甲方义务</w:t>
      </w:r>
    </w:p>
    <w:p>
      <w:pPr>
        <w:spacing w:line="360" w:lineRule="auto"/>
        <w:ind w:firstLine="480" w:firstLineChars="200"/>
        <w:rPr>
          <w:szCs w:val="21"/>
        </w:rPr>
      </w:pPr>
      <w:r>
        <w:rPr>
          <w:szCs w:val="21"/>
        </w:rPr>
        <w:t>甲方负责协调相关单位</w:t>
      </w:r>
      <w:r>
        <w:rPr>
          <w:rFonts w:hint="eastAsia"/>
          <w:szCs w:val="21"/>
        </w:rPr>
        <w:t>给予便利支持和配合</w:t>
      </w:r>
      <w:r>
        <w:rPr>
          <w:szCs w:val="21"/>
        </w:rPr>
        <w:t>，并统筹安排工作进度。</w:t>
      </w:r>
    </w:p>
    <w:p>
      <w:pPr>
        <w:spacing w:line="360" w:lineRule="auto"/>
        <w:ind w:firstLine="480" w:firstLineChars="200"/>
        <w:rPr>
          <w:szCs w:val="21"/>
        </w:rPr>
      </w:pPr>
      <w:r>
        <w:rPr>
          <w:szCs w:val="21"/>
        </w:rPr>
        <w:t>甲方应当按照本合同约定按时向</w:t>
      </w:r>
      <w:bookmarkStart w:id="15" w:name="_Hlk87622908"/>
      <w:r>
        <w:rPr>
          <w:szCs w:val="21"/>
        </w:rPr>
        <w:t>乙方</w:t>
      </w:r>
      <w:bookmarkEnd w:id="15"/>
      <w:r>
        <w:rPr>
          <w:szCs w:val="21"/>
        </w:rPr>
        <w:t>支付服务费用。</w:t>
      </w:r>
    </w:p>
    <w:p>
      <w:pPr>
        <w:spacing w:line="360" w:lineRule="auto"/>
        <w:ind w:firstLine="480" w:firstLineChars="200"/>
        <w:rPr>
          <w:szCs w:val="21"/>
        </w:rPr>
      </w:pPr>
      <w:r>
        <w:rPr>
          <w:rFonts w:hint="eastAsia"/>
          <w:szCs w:val="21"/>
        </w:rPr>
        <w:t>甲方指定李燕华全权代表甲方作为本项目联系人，与乙方专项对接人建立协作关系，负责转达甲方的指示和要求，并根据乙方要求及时提供文件和资料等。因甲方不能及时提供材料而导致进度拖延，乙方不承担任何责任。甲方更换联系人应当及时通知乙方。</w:t>
      </w:r>
    </w:p>
    <w:p>
      <w:pPr>
        <w:spacing w:line="360" w:lineRule="auto"/>
        <w:ind w:firstLine="420"/>
        <w:rPr>
          <w:szCs w:val="21"/>
        </w:rPr>
      </w:pPr>
      <w:r>
        <w:rPr>
          <w:rFonts w:hint="eastAsia"/>
          <w:szCs w:val="21"/>
        </w:rPr>
        <w:t>3、乙方权利</w:t>
      </w:r>
    </w:p>
    <w:p>
      <w:pPr>
        <w:spacing w:line="360" w:lineRule="auto"/>
        <w:ind w:firstLine="420"/>
        <w:rPr>
          <w:szCs w:val="21"/>
        </w:rPr>
      </w:pPr>
      <w:r>
        <w:rPr>
          <w:rFonts w:hint="eastAsia"/>
          <w:szCs w:val="21"/>
        </w:rPr>
        <w:t>乙方有权按照本合同约定要求甲方按时足额支付项目服务费用。</w:t>
      </w:r>
    </w:p>
    <w:p>
      <w:pPr>
        <w:spacing w:line="360" w:lineRule="auto"/>
        <w:ind w:firstLine="420"/>
        <w:rPr>
          <w:szCs w:val="21"/>
        </w:rPr>
      </w:pPr>
      <w:r>
        <w:rPr>
          <w:rFonts w:hint="eastAsia"/>
          <w:szCs w:val="21"/>
        </w:rPr>
        <w:t>乙方在开展工作过程中需要甲方协调相关单位的，有权要求甲方予以配合并提供便利。</w:t>
      </w:r>
    </w:p>
    <w:p>
      <w:pPr>
        <w:spacing w:line="360" w:lineRule="auto"/>
        <w:ind w:firstLine="420"/>
        <w:rPr>
          <w:szCs w:val="21"/>
        </w:rPr>
      </w:pPr>
      <w:r>
        <w:rPr>
          <w:rFonts w:hint="eastAsia"/>
          <w:szCs w:val="21"/>
        </w:rPr>
        <w:t>4、乙方的义务</w:t>
      </w:r>
    </w:p>
    <w:p>
      <w:pPr>
        <w:spacing w:line="360" w:lineRule="auto"/>
        <w:ind w:firstLine="420"/>
        <w:rPr>
          <w:szCs w:val="21"/>
        </w:rPr>
      </w:pPr>
      <w:r>
        <w:rPr>
          <w:szCs w:val="21"/>
        </w:rPr>
        <w:t>乙方承诺并保证具备履行本合同</w:t>
      </w:r>
      <w:r>
        <w:rPr>
          <w:rFonts w:hint="eastAsia"/>
          <w:szCs w:val="21"/>
        </w:rPr>
        <w:t>服务</w:t>
      </w:r>
      <w:r>
        <w:rPr>
          <w:szCs w:val="21"/>
        </w:rPr>
        <w:t>事项的各项法定资格、并提供相关证明文件。</w:t>
      </w:r>
    </w:p>
    <w:p>
      <w:pPr>
        <w:spacing w:line="360" w:lineRule="auto"/>
        <w:ind w:firstLine="420"/>
        <w:rPr>
          <w:szCs w:val="21"/>
        </w:rPr>
      </w:pPr>
      <w:r>
        <w:rPr>
          <w:szCs w:val="21"/>
        </w:rPr>
        <w:t>乙方不得将其承接</w:t>
      </w:r>
      <w:r>
        <w:rPr>
          <w:rFonts w:hint="eastAsia"/>
          <w:szCs w:val="21"/>
        </w:rPr>
        <w:t>的</w:t>
      </w:r>
      <w:r>
        <w:rPr>
          <w:szCs w:val="21"/>
        </w:rPr>
        <w:t>本合同项下的全部</w:t>
      </w:r>
      <w:r>
        <w:rPr>
          <w:rFonts w:hint="eastAsia"/>
          <w:szCs w:val="21"/>
        </w:rPr>
        <w:t>或部分</w:t>
      </w:r>
      <w:r>
        <w:rPr>
          <w:szCs w:val="21"/>
        </w:rPr>
        <w:t>服务转包、违法分包</w:t>
      </w:r>
      <w:r>
        <w:rPr>
          <w:rFonts w:hint="eastAsia"/>
          <w:szCs w:val="21"/>
        </w:rPr>
        <w:t>给</w:t>
      </w:r>
      <w:r>
        <w:rPr>
          <w:szCs w:val="21"/>
        </w:rPr>
        <w:t>第三人</w:t>
      </w:r>
      <w:r>
        <w:rPr>
          <w:rFonts w:hint="eastAsia"/>
          <w:szCs w:val="21"/>
        </w:rPr>
        <w:t>，否则，甲方有权单方解除本合同，并要求乙方按照本合同总价款的20%向甲方支付违约金</w:t>
      </w:r>
      <w:r>
        <w:rPr>
          <w:szCs w:val="21"/>
        </w:rPr>
        <w:t>。</w:t>
      </w:r>
    </w:p>
    <w:p>
      <w:pPr>
        <w:spacing w:line="360" w:lineRule="auto"/>
        <w:ind w:firstLine="420"/>
        <w:rPr>
          <w:szCs w:val="21"/>
        </w:rPr>
      </w:pPr>
      <w:r>
        <w:rPr>
          <w:rFonts w:hint="eastAsia"/>
          <w:szCs w:val="21"/>
        </w:rPr>
        <w:t>乙方按合同约定的工作内容与</w:t>
      </w:r>
      <w:r>
        <w:rPr>
          <w:szCs w:val="21"/>
        </w:rPr>
        <w:t>工作周期，</w:t>
      </w:r>
      <w:r>
        <w:rPr>
          <w:rFonts w:hint="eastAsia"/>
          <w:szCs w:val="21"/>
        </w:rPr>
        <w:t>按现行规范、标准、条例及专业要求提供规划</w:t>
      </w:r>
      <w:r>
        <w:rPr>
          <w:szCs w:val="21"/>
        </w:rPr>
        <w:t>技术与咨询</w:t>
      </w:r>
      <w:r>
        <w:rPr>
          <w:rFonts w:hint="eastAsia"/>
          <w:szCs w:val="21"/>
        </w:rPr>
        <w:t>服务，并对所提供技术与服务的质量负责。</w:t>
      </w:r>
    </w:p>
    <w:p>
      <w:pPr>
        <w:pStyle w:val="9"/>
        <w:spacing w:line="360" w:lineRule="auto"/>
        <w:ind w:firstLine="480" w:firstLineChars="200"/>
        <w:rPr>
          <w:szCs w:val="21"/>
        </w:rPr>
      </w:pPr>
      <w:r>
        <w:rPr>
          <w:rFonts w:hint="eastAsia"/>
          <w:szCs w:val="21"/>
        </w:rPr>
        <w:t>乙方须以保密方式处理甲方提供的资料、图纸、文件，不得向第三方扩散、转让甲方提供的资料、图纸、文件等。</w:t>
      </w:r>
    </w:p>
    <w:p>
      <w:pPr>
        <w:pStyle w:val="9"/>
        <w:spacing w:line="360" w:lineRule="auto"/>
        <w:ind w:firstLine="480" w:firstLineChars="200"/>
        <w:rPr>
          <w:szCs w:val="21"/>
        </w:rPr>
      </w:pPr>
      <w:r>
        <w:rPr>
          <w:szCs w:val="21"/>
        </w:rPr>
        <w:t>乙方应当按照投标文件人员名单，建立项目</w:t>
      </w:r>
      <w:r>
        <w:rPr>
          <w:rFonts w:hint="eastAsia"/>
          <w:szCs w:val="21"/>
        </w:rPr>
        <w:t>小组</w:t>
      </w:r>
      <w:r>
        <w:rPr>
          <w:szCs w:val="21"/>
        </w:rPr>
        <w:t>，未经甲方同意，不得随意更换。乙方可根据实际项目情况及项目完成时间要求，增加</w:t>
      </w:r>
      <w:r>
        <w:rPr>
          <w:rFonts w:hint="eastAsia"/>
          <w:szCs w:val="21"/>
        </w:rPr>
        <w:t>服务</w:t>
      </w:r>
      <w:r>
        <w:rPr>
          <w:szCs w:val="21"/>
        </w:rPr>
        <w:t>小组和人员数量，增加的人员</w:t>
      </w:r>
      <w:r>
        <w:rPr>
          <w:rFonts w:hint="eastAsia"/>
          <w:szCs w:val="21"/>
        </w:rPr>
        <w:t>须经</w:t>
      </w:r>
      <w:r>
        <w:rPr>
          <w:szCs w:val="21"/>
        </w:rPr>
        <w:t>甲方</w:t>
      </w:r>
      <w:r>
        <w:rPr>
          <w:rFonts w:hint="eastAsia"/>
          <w:szCs w:val="21"/>
        </w:rPr>
        <w:t>书面签字盖章</w:t>
      </w:r>
      <w:r>
        <w:rPr>
          <w:szCs w:val="21"/>
        </w:rPr>
        <w:t>同意。</w:t>
      </w:r>
    </w:p>
    <w:p>
      <w:pPr>
        <w:pStyle w:val="9"/>
        <w:spacing w:line="360" w:lineRule="auto"/>
        <w:ind w:firstLine="240" w:firstLineChars="100"/>
        <w:rPr>
          <w:szCs w:val="21"/>
        </w:rPr>
      </w:pPr>
      <w:r>
        <w:rPr>
          <w:rFonts w:hint="eastAsia"/>
          <w:szCs w:val="21"/>
        </w:rPr>
        <w:t xml:space="preserve"> 乙方应当自行准备工作所需的设备、仪器、车辆、食宿、工作报酬等。</w:t>
      </w:r>
    </w:p>
    <w:p>
      <w:pPr>
        <w:pStyle w:val="9"/>
        <w:spacing w:line="360" w:lineRule="auto"/>
        <w:ind w:firstLine="240" w:firstLineChars="100"/>
        <w:rPr>
          <w:szCs w:val="21"/>
        </w:rPr>
      </w:pPr>
      <w:r>
        <w:rPr>
          <w:rFonts w:hint="eastAsia"/>
          <w:szCs w:val="21"/>
        </w:rPr>
        <w:t xml:space="preserve"> </w:t>
      </w:r>
      <w:r>
        <w:rPr>
          <w:szCs w:val="21"/>
        </w:rPr>
        <w:t>乙方人员不得利用工作关系开展私人业务及违反廉洁的有关规定，一经发现，甲方有权</w:t>
      </w:r>
      <w:r>
        <w:rPr>
          <w:rFonts w:hint="eastAsia"/>
          <w:szCs w:val="21"/>
        </w:rPr>
        <w:t>解除</w:t>
      </w:r>
      <w:r>
        <w:rPr>
          <w:szCs w:val="21"/>
        </w:rPr>
        <w:t>合同</w:t>
      </w:r>
      <w:r>
        <w:rPr>
          <w:rFonts w:hint="eastAsia"/>
          <w:szCs w:val="21"/>
        </w:rPr>
        <w:t>。</w:t>
      </w:r>
    </w:p>
    <w:p>
      <w:pPr>
        <w:pStyle w:val="9"/>
        <w:spacing w:line="360" w:lineRule="auto"/>
        <w:ind w:firstLine="480" w:firstLineChars="200"/>
        <w:rPr>
          <w:szCs w:val="21"/>
          <w:u w:val="single"/>
        </w:rPr>
      </w:pPr>
      <w:r>
        <w:rPr>
          <w:rFonts w:hint="eastAsia"/>
          <w:szCs w:val="21"/>
        </w:rPr>
        <w:t>乙方</w:t>
      </w:r>
      <w:r>
        <w:rPr>
          <w:szCs w:val="21"/>
        </w:rPr>
        <w:t>应当建立</w:t>
      </w:r>
      <w:r>
        <w:rPr>
          <w:rFonts w:hint="eastAsia"/>
          <w:szCs w:val="21"/>
        </w:rPr>
        <w:t>本</w:t>
      </w:r>
      <w:r>
        <w:rPr>
          <w:szCs w:val="21"/>
        </w:rPr>
        <w:t>服务项目台账，依照有关规定或</w:t>
      </w:r>
      <w:r>
        <w:rPr>
          <w:rFonts w:hint="eastAsia"/>
          <w:szCs w:val="21"/>
        </w:rPr>
        <w:t>本</w:t>
      </w:r>
      <w:r>
        <w:rPr>
          <w:szCs w:val="21"/>
        </w:rPr>
        <w:t>合同约定记录保存</w:t>
      </w:r>
      <w:r>
        <w:rPr>
          <w:rFonts w:hint="eastAsia"/>
          <w:szCs w:val="21"/>
        </w:rPr>
        <w:t>付款所需支付证明及项目履约记录，</w:t>
      </w:r>
      <w:r>
        <w:rPr>
          <w:szCs w:val="21"/>
        </w:rPr>
        <w:t>并向</w:t>
      </w:r>
      <w:r>
        <w:rPr>
          <w:rFonts w:hint="eastAsia"/>
          <w:szCs w:val="21"/>
        </w:rPr>
        <w:t>甲方</w:t>
      </w:r>
      <w:r>
        <w:rPr>
          <w:szCs w:val="21"/>
        </w:rPr>
        <w:t>提供项目实施相关</w:t>
      </w:r>
      <w:r>
        <w:rPr>
          <w:rFonts w:hint="eastAsia"/>
          <w:szCs w:val="21"/>
        </w:rPr>
        <w:t>成果等</w:t>
      </w:r>
      <w:r>
        <w:rPr>
          <w:szCs w:val="21"/>
        </w:rPr>
        <w:t>重要资料信息。</w:t>
      </w:r>
    </w:p>
    <w:p>
      <w:pPr>
        <w:pStyle w:val="9"/>
        <w:spacing w:line="360" w:lineRule="auto"/>
        <w:ind w:firstLine="480" w:firstLineChars="200"/>
        <w:rPr>
          <w:szCs w:val="21"/>
        </w:rPr>
      </w:pPr>
    </w:p>
    <w:p>
      <w:pPr>
        <w:pStyle w:val="9"/>
        <w:spacing w:line="360" w:lineRule="auto"/>
        <w:ind w:firstLine="481" w:firstLineChars="200"/>
        <w:rPr>
          <w:b/>
        </w:rPr>
      </w:pPr>
      <w:r>
        <w:rPr>
          <w:rFonts w:hint="eastAsia"/>
          <w:b/>
        </w:rPr>
        <w:t>第九条 违约责任</w:t>
      </w:r>
    </w:p>
    <w:p>
      <w:pPr>
        <w:spacing w:line="360" w:lineRule="auto"/>
        <w:ind w:firstLine="420"/>
        <w:rPr>
          <w:szCs w:val="21"/>
        </w:rPr>
      </w:pPr>
      <w:r>
        <w:rPr>
          <w:rFonts w:hint="eastAsia"/>
          <w:szCs w:val="21"/>
        </w:rPr>
        <w:t>1、乙方应按照甲方的指示，按照甲方指定的时间完成相关工作的，每逾期一日，支付合同总价款万分之二的违约金；逾期超过15日的，甲方有权解除合同，并有权要求乙方支付合同总价款20%的违约金。</w:t>
      </w:r>
    </w:p>
    <w:p>
      <w:pPr>
        <w:spacing w:line="360" w:lineRule="auto"/>
        <w:ind w:firstLine="420"/>
        <w:rPr>
          <w:szCs w:val="21"/>
        </w:rPr>
      </w:pPr>
      <w:r>
        <w:rPr>
          <w:rFonts w:hint="eastAsia"/>
          <w:szCs w:val="21"/>
        </w:rPr>
        <w:t>2、乙方应按照法律法规和本合同约定，保证所提供服务的质量。因乙方提供的服务不符合甲方要求，甲方有权要求其整改。合同结束后，甲方对乙方工作进行履约评价，验收合格后，给乙方支付全部费用，如不合格，甲方有权要求乙方支付合同总价款20%的违约金。</w:t>
      </w:r>
    </w:p>
    <w:p>
      <w:pPr>
        <w:tabs>
          <w:tab w:val="left" w:pos="1170"/>
        </w:tabs>
        <w:spacing w:before="156" w:beforeLines="50" w:line="360" w:lineRule="auto"/>
        <w:ind w:firstLine="481" w:firstLineChars="200"/>
        <w:rPr>
          <w:b/>
        </w:rPr>
      </w:pPr>
      <w:r>
        <w:rPr>
          <w:rFonts w:hint="eastAsia"/>
          <w:b/>
        </w:rPr>
        <w:t xml:space="preserve">第十条 </w:t>
      </w:r>
      <w:r>
        <w:rPr>
          <w:b/>
        </w:rPr>
        <w:t xml:space="preserve"> </w:t>
      </w:r>
      <w:r>
        <w:rPr>
          <w:rFonts w:hint="eastAsia"/>
          <w:b/>
        </w:rPr>
        <w:t>成果验收</w:t>
      </w:r>
    </w:p>
    <w:p>
      <w:pPr>
        <w:spacing w:line="360" w:lineRule="auto"/>
        <w:ind w:firstLine="420"/>
        <w:rPr>
          <w:szCs w:val="21"/>
        </w:rPr>
      </w:pPr>
      <w:r>
        <w:rPr>
          <w:rFonts w:hint="eastAsia"/>
          <w:szCs w:val="21"/>
        </w:rPr>
        <w:t>乙方应在第二期付款前，向甲方提交验收合格的服务成果报告；合同履约完成后，在支付合同尾款前，乙方应向甲方提交工作台账和</w:t>
      </w:r>
      <w:r>
        <w:rPr>
          <w:szCs w:val="21"/>
        </w:rPr>
        <w:t>项目实施相关</w:t>
      </w:r>
      <w:r>
        <w:rPr>
          <w:rFonts w:hint="eastAsia"/>
          <w:szCs w:val="21"/>
        </w:rPr>
        <w:t>成果等</w:t>
      </w:r>
      <w:r>
        <w:rPr>
          <w:szCs w:val="21"/>
        </w:rPr>
        <w:t>重要资料信息</w:t>
      </w:r>
      <w:r>
        <w:rPr>
          <w:rFonts w:hint="eastAsia"/>
          <w:szCs w:val="21"/>
        </w:rPr>
        <w:t>，甲方对乙方提供的书面成果和后续保障服务进行审查，并出具履约评价。</w:t>
      </w:r>
    </w:p>
    <w:p>
      <w:pPr>
        <w:tabs>
          <w:tab w:val="left" w:pos="1170"/>
          <w:tab w:val="left" w:pos="3519"/>
        </w:tabs>
        <w:spacing w:before="156" w:beforeLines="50" w:line="360" w:lineRule="auto"/>
        <w:ind w:left="420"/>
        <w:rPr>
          <w:b/>
        </w:rPr>
      </w:pPr>
      <w:r>
        <w:rPr>
          <w:rFonts w:hint="eastAsia"/>
          <w:b/>
        </w:rPr>
        <w:t xml:space="preserve">第十一条 </w:t>
      </w:r>
      <w:r>
        <w:rPr>
          <w:b/>
        </w:rPr>
        <w:t xml:space="preserve"> </w:t>
      </w:r>
      <w:r>
        <w:rPr>
          <w:rFonts w:hint="eastAsia"/>
          <w:b/>
        </w:rPr>
        <w:t>合同终止</w:t>
      </w:r>
      <w:r>
        <w:rPr>
          <w:b/>
        </w:rPr>
        <w:tab/>
      </w:r>
    </w:p>
    <w:p>
      <w:pPr>
        <w:spacing w:line="360" w:lineRule="auto"/>
        <w:ind w:firstLine="420"/>
        <w:rPr>
          <w:szCs w:val="21"/>
        </w:rPr>
      </w:pPr>
      <w:r>
        <w:rPr>
          <w:rFonts w:hint="eastAsia"/>
          <w:szCs w:val="21"/>
        </w:rPr>
        <w:t>1、甲方因自身原因终止委托、解除本合同，对乙方已完成并提交相应成果的工作，甲方应按乙方的实际工作量支付相应的技术服务费。</w:t>
      </w:r>
    </w:p>
    <w:p>
      <w:pPr>
        <w:spacing w:line="360" w:lineRule="auto"/>
        <w:ind w:firstLine="420"/>
        <w:rPr>
          <w:szCs w:val="21"/>
        </w:rPr>
      </w:pPr>
      <w:r>
        <w:rPr>
          <w:rFonts w:hint="eastAsia"/>
          <w:szCs w:val="21"/>
        </w:rPr>
        <w:t>2、乙方因自身原因无法履行合同，应退还全部技术服务费。</w:t>
      </w:r>
    </w:p>
    <w:p>
      <w:pPr>
        <w:spacing w:line="360" w:lineRule="auto"/>
        <w:ind w:firstLine="420"/>
        <w:rPr>
          <w:szCs w:val="21"/>
        </w:rPr>
      </w:pPr>
      <w:r>
        <w:rPr>
          <w:rFonts w:hint="eastAsia"/>
          <w:szCs w:val="21"/>
        </w:rPr>
        <w:t>3、不可抗力导致的终止合同：如果不可抗力发生，如行政命令、政策法规、罢工、故意破坏、资方停工、禁运、战争、自然灾害（如洪水和地震）或其他超出协议双方控制的事件，因而一方无法履行合同，受到不可抗力影响的一方可以提前十五天书面通知对方终止合同。</w:t>
      </w:r>
    </w:p>
    <w:p>
      <w:pPr>
        <w:spacing w:line="360" w:lineRule="auto"/>
        <w:ind w:firstLine="420"/>
        <w:rPr>
          <w:szCs w:val="21"/>
        </w:rPr>
      </w:pPr>
      <w:r>
        <w:rPr>
          <w:rFonts w:hint="eastAsia"/>
          <w:szCs w:val="21"/>
        </w:rPr>
        <w:t>4、本合同因不可抗力终止的，甲方应按乙方实际完成并提交成功的工作量支付报酬。</w:t>
      </w:r>
    </w:p>
    <w:p>
      <w:pPr>
        <w:spacing w:line="360" w:lineRule="auto"/>
        <w:ind w:firstLine="420"/>
        <w:rPr>
          <w:szCs w:val="21"/>
        </w:rPr>
      </w:pPr>
      <w:r>
        <w:rPr>
          <w:rFonts w:hint="eastAsia"/>
          <w:szCs w:val="21"/>
        </w:rPr>
        <w:t>5、本合同因任何原因终止的，已完成的审核评价报告的著作权等所有权属于甲方所有，但甲方在自己的宣传材料中，应写明乙方为审核单位。乙方在取得甲方书面同意后，可以使用审核报告成果。</w:t>
      </w:r>
    </w:p>
    <w:p>
      <w:pPr>
        <w:tabs>
          <w:tab w:val="left" w:pos="1170"/>
        </w:tabs>
        <w:spacing w:before="156" w:beforeLines="50" w:line="360" w:lineRule="auto"/>
        <w:ind w:firstLine="481" w:firstLineChars="200"/>
        <w:rPr>
          <w:b/>
        </w:rPr>
      </w:pPr>
      <w:r>
        <w:rPr>
          <w:rFonts w:hint="eastAsia"/>
          <w:b/>
        </w:rPr>
        <w:t xml:space="preserve">第十二条 </w:t>
      </w:r>
      <w:r>
        <w:rPr>
          <w:b/>
        </w:rPr>
        <w:t xml:space="preserve"> </w:t>
      </w:r>
      <w:r>
        <w:rPr>
          <w:rFonts w:hint="eastAsia"/>
          <w:b/>
        </w:rPr>
        <w:t>合同争议的解决方式</w:t>
      </w:r>
    </w:p>
    <w:p>
      <w:pPr>
        <w:ind w:firstLine="480" w:firstLineChars="200"/>
        <w:rPr>
          <w:szCs w:val="21"/>
        </w:rPr>
      </w:pPr>
      <w:r>
        <w:rPr>
          <w:szCs w:val="21"/>
        </w:rPr>
        <w:t>凡因本合同引起的或与本合同有关的任何争议、索赔和纠纷（以下合称“争议”），应首先由双方以友好协商方式解决。协商不成或者不予协商的，甲乙双方均有权向深圳市南山区人民法院提起诉讼。</w:t>
      </w:r>
    </w:p>
    <w:p>
      <w:pPr>
        <w:tabs>
          <w:tab w:val="left" w:pos="1170"/>
        </w:tabs>
        <w:spacing w:before="156" w:beforeLines="50" w:line="360" w:lineRule="auto"/>
        <w:ind w:left="420"/>
        <w:rPr>
          <w:b/>
        </w:rPr>
      </w:pPr>
      <w:r>
        <w:rPr>
          <w:rFonts w:hint="eastAsia"/>
          <w:b/>
        </w:rPr>
        <w:t xml:space="preserve">第十三条 </w:t>
      </w:r>
      <w:r>
        <w:rPr>
          <w:b/>
        </w:rPr>
        <w:t xml:space="preserve"> </w:t>
      </w:r>
      <w:r>
        <w:rPr>
          <w:rFonts w:hint="eastAsia"/>
          <w:b/>
        </w:rPr>
        <w:t>其它约定</w:t>
      </w:r>
    </w:p>
    <w:p>
      <w:pPr>
        <w:spacing w:line="360" w:lineRule="auto"/>
        <w:ind w:firstLine="420"/>
      </w:pPr>
      <w:r>
        <w:rPr>
          <w:rFonts w:hint="eastAsia"/>
        </w:rPr>
        <w:t>1、合同未尽事宜，由双方协商签订补充协议，补充协议与本合同相冲突时，以补充协议为准。</w:t>
      </w:r>
    </w:p>
    <w:p>
      <w:pPr>
        <w:spacing w:line="360" w:lineRule="auto"/>
        <w:ind w:firstLine="480" w:firstLineChars="200"/>
      </w:pPr>
      <w:r>
        <w:rPr>
          <w:rFonts w:hint="eastAsia"/>
        </w:rPr>
        <w:t>2、本合同有效期为一年，</w:t>
      </w:r>
      <w:r>
        <w:rPr>
          <w:rFonts w:hint="eastAsia"/>
          <w:szCs w:val="21"/>
        </w:rPr>
        <w:t>自</w:t>
      </w:r>
      <w:r>
        <w:rPr>
          <w:szCs w:val="21"/>
        </w:rPr>
        <w:t>2023年</w:t>
      </w:r>
      <w:r>
        <w:rPr>
          <w:rFonts w:hint="eastAsia"/>
          <w:szCs w:val="21"/>
        </w:rPr>
        <w:t xml:space="preserve">  月   日起至   年   月   日止</w:t>
      </w:r>
      <w:r>
        <w:rPr>
          <w:rFonts w:hint="eastAsia"/>
        </w:rPr>
        <w:t>。</w:t>
      </w:r>
    </w:p>
    <w:p>
      <w:pPr>
        <w:spacing w:line="360" w:lineRule="auto"/>
        <w:ind w:firstLine="480" w:firstLineChars="200"/>
      </w:pPr>
      <w:r>
        <w:rPr>
          <w:rFonts w:hint="eastAsia"/>
        </w:rPr>
        <w:t>3、本合4同壹式</w:t>
      </w:r>
      <w:r>
        <w:rPr>
          <w:rFonts w:hint="eastAsia"/>
          <w:u w:val="single"/>
        </w:rPr>
        <w:t xml:space="preserve"> 捌 </w:t>
      </w:r>
      <w:r>
        <w:rPr>
          <w:rFonts w:hint="eastAsia"/>
        </w:rPr>
        <w:t>份，甲乙各方各执</w:t>
      </w:r>
      <w:r>
        <w:rPr>
          <w:rFonts w:hint="eastAsia"/>
          <w:u w:val="single"/>
        </w:rPr>
        <w:t xml:space="preserve"> 肆 </w:t>
      </w:r>
      <w:r>
        <w:rPr>
          <w:rFonts w:hint="eastAsia"/>
        </w:rPr>
        <w:t>份。</w:t>
      </w:r>
    </w:p>
    <w:p>
      <w:pPr>
        <w:spacing w:line="360" w:lineRule="auto"/>
        <w:ind w:firstLine="480" w:firstLineChars="200"/>
      </w:pPr>
      <w:r>
        <w:rPr>
          <w:rFonts w:hint="eastAsia"/>
        </w:rPr>
        <w:t>4、本合同双方所留联系信息均可用于送达文件。根据本合同发出的通知、信函、同意书、批准或其他通讯文件应由发出方签字盖章并送达至接收方或项目联系人。任何一方在本合同所留联系信息发生变化的，应当在发生变化后的三个工作日内按要求通知对方。因一方联系信息变更未履行提前书面告知义务的，导致对方所发送的文件、资料无法送达、送达被拒收、邮件返回的，视为该文件、资料已送达相对方，且相对方已知悉其中所记载的内容。</w:t>
      </w:r>
    </w:p>
    <w:p>
      <w:pPr>
        <w:spacing w:line="360" w:lineRule="auto"/>
        <w:ind w:firstLine="480" w:firstLineChars="200"/>
      </w:pPr>
      <w:r>
        <w:rPr>
          <w:rFonts w:hint="eastAsia"/>
        </w:rPr>
        <w:t>5、下列文件是本合同的组成部分，应该认为是一个整体，彼此相互解释，相互补充。组成合同的多个文件的优先地位次序如下：(1)本合同书；（2）中标通知书 ；（3）投标文件；（4）解释、联络文件。</w:t>
      </w:r>
    </w:p>
    <w:p>
      <w:pPr>
        <w:spacing w:line="360" w:lineRule="auto"/>
        <w:ind w:left="435"/>
      </w:pPr>
    </w:p>
    <w:p>
      <w:pPr>
        <w:spacing w:line="360" w:lineRule="auto"/>
        <w:ind w:firstLine="481" w:firstLineChars="200"/>
        <w:rPr>
          <w:b/>
        </w:rPr>
      </w:pPr>
      <w:r>
        <w:rPr>
          <w:rFonts w:hint="eastAsia"/>
          <w:b/>
        </w:rPr>
        <w:t>委托方（甲方）名称</w:t>
      </w:r>
      <w:r>
        <w:rPr>
          <w:b/>
        </w:rPr>
        <w:t>（</w:t>
      </w:r>
      <w:r>
        <w:rPr>
          <w:rFonts w:hint="eastAsia"/>
          <w:b/>
        </w:rPr>
        <w:t>盖章</w:t>
      </w:r>
      <w:r>
        <w:rPr>
          <w:b/>
        </w:rPr>
        <w:t>）</w:t>
      </w:r>
      <w:r>
        <w:rPr>
          <w:rFonts w:hint="eastAsia"/>
          <w:b/>
        </w:rPr>
        <w:t>：</w:t>
      </w:r>
    </w:p>
    <w:p>
      <w:pPr>
        <w:spacing w:line="360" w:lineRule="auto"/>
        <w:ind w:firstLine="480" w:firstLineChars="200"/>
      </w:pPr>
      <w:r>
        <w:rPr>
          <w:rFonts w:hint="eastAsia"/>
        </w:rPr>
        <w:t>单位：深圳市南山区住房和建设局</w:t>
      </w:r>
    </w:p>
    <w:p>
      <w:pPr>
        <w:spacing w:line="360" w:lineRule="auto"/>
        <w:ind w:firstLine="480" w:firstLineChars="200"/>
      </w:pPr>
      <w:r>
        <w:rPr>
          <w:rFonts w:hint="eastAsia"/>
        </w:rPr>
        <w:t>地址：</w:t>
      </w:r>
      <w:r>
        <w:rPr>
          <w:rFonts w:hint="eastAsia"/>
          <w:szCs w:val="21"/>
        </w:rPr>
        <w:t>深圳市南山区桃园路2号区委大楼3楼</w:t>
      </w:r>
    </w:p>
    <w:p>
      <w:pPr>
        <w:spacing w:line="360" w:lineRule="auto"/>
        <w:ind w:firstLine="480" w:firstLineChars="200"/>
      </w:pPr>
      <w:r>
        <w:rPr>
          <w:rFonts w:hint="eastAsia"/>
        </w:rPr>
        <w:t>法定代表人（签名或盖章）：</w:t>
      </w:r>
    </w:p>
    <w:p>
      <w:pPr>
        <w:spacing w:line="360" w:lineRule="auto"/>
        <w:ind w:firstLine="480" w:firstLineChars="200"/>
      </w:pPr>
      <w:r>
        <w:rPr>
          <w:rFonts w:hint="eastAsia"/>
        </w:rPr>
        <w:t>委托代理人（签名或盖章）：</w:t>
      </w:r>
    </w:p>
    <w:p>
      <w:pPr>
        <w:spacing w:line="360" w:lineRule="auto"/>
        <w:ind w:firstLine="480" w:firstLineChars="200"/>
      </w:pPr>
      <w:r>
        <w:rPr>
          <w:rFonts w:hint="eastAsia"/>
        </w:rPr>
        <w:t xml:space="preserve">联系人： </w:t>
      </w:r>
    </w:p>
    <w:p>
      <w:pPr>
        <w:spacing w:line="360" w:lineRule="auto"/>
        <w:ind w:firstLine="480" w:firstLineChars="200"/>
      </w:pPr>
      <w:r>
        <w:rPr>
          <w:rFonts w:hint="eastAsia"/>
        </w:rPr>
        <w:t>电  话：</w:t>
      </w:r>
    </w:p>
    <w:p>
      <w:pPr>
        <w:spacing w:line="360" w:lineRule="auto"/>
        <w:ind w:firstLine="480" w:firstLineChars="200"/>
      </w:pPr>
      <w:r>
        <w:rPr>
          <w:rFonts w:hint="eastAsia"/>
        </w:rPr>
        <w:t>时间：</w:t>
      </w:r>
    </w:p>
    <w:p>
      <w:pPr>
        <w:spacing w:line="360" w:lineRule="auto"/>
        <w:ind w:firstLine="481" w:firstLineChars="200"/>
        <w:rPr>
          <w:b/>
        </w:rPr>
      </w:pPr>
      <w:r>
        <w:rPr>
          <w:rFonts w:hint="eastAsia"/>
          <w:b/>
        </w:rPr>
        <w:t>受托方（乙方）名称（盖章）：</w:t>
      </w:r>
    </w:p>
    <w:p>
      <w:pPr>
        <w:spacing w:line="360" w:lineRule="auto"/>
        <w:ind w:firstLine="480" w:firstLineChars="200"/>
      </w:pPr>
      <w:r>
        <w:rPr>
          <w:rFonts w:hint="eastAsia"/>
        </w:rPr>
        <w:t xml:space="preserve">                    公司</w:t>
      </w:r>
    </w:p>
    <w:p>
      <w:pPr>
        <w:spacing w:line="360" w:lineRule="auto"/>
        <w:ind w:firstLine="480" w:firstLineChars="200"/>
      </w:pPr>
      <w:r>
        <w:rPr>
          <w:rFonts w:hint="eastAsia"/>
        </w:rPr>
        <w:t>地址：</w:t>
      </w:r>
    </w:p>
    <w:p>
      <w:pPr>
        <w:spacing w:line="360" w:lineRule="auto"/>
        <w:ind w:firstLine="480" w:firstLineChars="200"/>
      </w:pPr>
      <w:r>
        <w:rPr>
          <w:rFonts w:hint="eastAsia"/>
        </w:rPr>
        <w:t>法定代表人（签名或盖章）：</w:t>
      </w:r>
    </w:p>
    <w:p>
      <w:pPr>
        <w:spacing w:line="360" w:lineRule="auto"/>
        <w:ind w:firstLine="480" w:firstLineChars="200"/>
      </w:pPr>
      <w:r>
        <w:rPr>
          <w:rFonts w:hint="eastAsia"/>
        </w:rPr>
        <w:t>委托代理人（签名或盖章）：</w:t>
      </w:r>
    </w:p>
    <w:p>
      <w:pPr>
        <w:spacing w:line="360" w:lineRule="auto"/>
        <w:ind w:firstLine="480" w:firstLineChars="200"/>
      </w:pPr>
      <w:r>
        <w:rPr>
          <w:rFonts w:hint="eastAsia"/>
        </w:rPr>
        <w:t>联系人：</w:t>
      </w:r>
    </w:p>
    <w:p>
      <w:pPr>
        <w:spacing w:line="360" w:lineRule="auto"/>
        <w:ind w:firstLine="480" w:firstLineChars="200"/>
      </w:pPr>
      <w:r>
        <w:rPr>
          <w:rFonts w:hint="eastAsia"/>
        </w:rPr>
        <w:t>电  话：</w:t>
      </w:r>
    </w:p>
    <w:p>
      <w:pPr>
        <w:spacing w:line="360" w:lineRule="auto"/>
        <w:ind w:firstLine="480" w:firstLineChars="200"/>
      </w:pPr>
      <w:r>
        <w:rPr>
          <w:rFonts w:hint="eastAsia"/>
        </w:rPr>
        <w:t>时间：</w:t>
      </w:r>
    </w:p>
    <w:p>
      <w:pPr>
        <w:pStyle w:val="14"/>
        <w:jc w:val="center"/>
        <w:outlineLvl w:val="1"/>
        <w:rPr>
          <w:rFonts w:ascii="Times New Roman" w:hAnsi="Times New Roman"/>
          <w:b/>
          <w:bCs/>
          <w:kern w:val="44"/>
          <w:sz w:val="32"/>
          <w:szCs w:val="52"/>
        </w:rPr>
      </w:pPr>
      <w:r>
        <w:rPr>
          <w:rFonts w:hint="eastAsia" w:ascii="Times New Roman" w:hAnsi="Times New Roman"/>
          <w:b/>
          <w:bCs/>
          <w:kern w:val="44"/>
          <w:sz w:val="32"/>
          <w:szCs w:val="52"/>
        </w:rPr>
        <w:t>第五章  投标文件格式</w:t>
      </w:r>
    </w:p>
    <w:p>
      <w:pPr>
        <w:pStyle w:val="5"/>
        <w:spacing w:before="120" w:after="120" w:line="600" w:lineRule="exact"/>
        <w:jc w:val="both"/>
        <w:rPr>
          <w:b/>
          <w:bCs/>
        </w:rPr>
      </w:pPr>
      <w:r>
        <w:rPr>
          <w:rFonts w:hint="eastAsia"/>
          <w:b/>
          <w:bCs/>
        </w:rPr>
        <w:t>一、招标文件响应声明书（模板）</w:t>
      </w:r>
    </w:p>
    <w:p>
      <w:pPr>
        <w:autoSpaceDE w:val="0"/>
        <w:autoSpaceDN w:val="0"/>
        <w:adjustRightInd w:val="0"/>
        <w:snapToGrid w:val="0"/>
        <w:spacing w:line="300" w:lineRule="auto"/>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（招标人）</w:t>
      </w:r>
      <w:r>
        <w:rPr>
          <w:rFonts w:hint="eastAsia" w:ascii="仿宋_GB2312" w:hAnsi="仿宋_GB2312" w:eastAsia="仿宋_GB2312" w:cs="仿宋_GB2312"/>
        </w:rPr>
        <w:t>：</w:t>
      </w:r>
    </w:p>
    <w:p>
      <w:p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u w:val="single"/>
        </w:rPr>
        <w:t>（投标单位全称）</w:t>
      </w:r>
      <w:r>
        <w:rPr>
          <w:rFonts w:hint="eastAsia" w:ascii="仿宋_GB2312" w:hAnsi="仿宋_GB2312" w:eastAsia="仿宋_GB2312" w:cs="仿宋_GB2312"/>
        </w:rPr>
        <w:t>授权</w:t>
      </w:r>
      <w:r>
        <w:rPr>
          <w:rFonts w:hint="eastAsia" w:ascii="仿宋_GB2312" w:hAnsi="仿宋_GB2312" w:eastAsia="仿宋_GB2312" w:cs="仿宋_GB2312"/>
          <w:u w:val="single"/>
        </w:rPr>
        <w:t>（全名、职务）</w:t>
      </w:r>
      <w:r>
        <w:rPr>
          <w:rFonts w:hint="eastAsia" w:ascii="仿宋_GB2312" w:hAnsi="仿宋_GB2312" w:eastAsia="仿宋_GB2312" w:cs="仿宋_GB2312"/>
        </w:rPr>
        <w:t>为全权代表，参加贵方组织的</w:t>
      </w:r>
      <w:r>
        <w:rPr>
          <w:rFonts w:hint="eastAsia" w:ascii="仿宋_GB2312" w:hAnsi="仿宋_GB2312" w:eastAsia="仿宋_GB2312" w:cs="仿宋_GB2312"/>
          <w:u w:val="single"/>
        </w:rPr>
        <w:t>（项目）</w:t>
      </w:r>
      <w:r>
        <w:rPr>
          <w:rFonts w:hint="eastAsia" w:ascii="仿宋_GB2312" w:hAnsi="仿宋_GB2312" w:eastAsia="仿宋_GB2312" w:cs="仿宋_GB2312"/>
        </w:rPr>
        <w:t>招标活动并投标，根据贵方</w:t>
      </w:r>
      <w:r>
        <w:rPr>
          <w:rFonts w:hint="eastAsia" w:ascii="仿宋_GB2312" w:hAnsi="仿宋_GB2312" w:eastAsia="仿宋_GB2312" w:cs="仿宋_GB2312"/>
          <w:u w:val="single"/>
        </w:rPr>
        <w:t xml:space="preserve">                    </w:t>
      </w:r>
      <w:r>
        <w:rPr>
          <w:rFonts w:hint="eastAsia" w:ascii="仿宋_GB2312" w:hAnsi="仿宋_GB2312" w:eastAsia="仿宋_GB2312" w:cs="仿宋_GB2312"/>
        </w:rPr>
        <w:t>的招标文件，我方针对该项目的投标报价为人民币</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元（大写：</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元），服务周期为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日历天。</w:t>
      </w:r>
    </w:p>
    <w:p>
      <w:p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为此：</w:t>
      </w:r>
    </w:p>
    <w:p>
      <w:pPr>
        <w:numPr>
          <w:ilvl w:val="0"/>
          <w:numId w:val="3"/>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我方已详细阅读了全部招标文件，包括修改文件（如有）及全部参考资料和附件。我们完全理解并同意放弃对这方面有不明及误解的权利。愿意接受招标文件中的各项要求。</w:t>
      </w:r>
    </w:p>
    <w:p>
      <w:pPr>
        <w:numPr>
          <w:ilvl w:val="0"/>
          <w:numId w:val="3"/>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我方提供招标文件要求的全部资料，并保证真实性、合法性。</w:t>
      </w:r>
    </w:p>
    <w:p>
      <w:pPr>
        <w:numPr>
          <w:ilvl w:val="0"/>
          <w:numId w:val="3"/>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若中标，我方将按照招标文件规定，履行合同责任和义务。</w:t>
      </w:r>
    </w:p>
    <w:p>
      <w:pPr>
        <w:numPr>
          <w:ilvl w:val="0"/>
          <w:numId w:val="3"/>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询价响应书自开标日起有效期为30天。</w:t>
      </w:r>
    </w:p>
    <w:p>
      <w:pPr>
        <w:numPr>
          <w:ilvl w:val="0"/>
          <w:numId w:val="3"/>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我方与本招标文件响应有关的一切正式往来通讯请寄：</w:t>
      </w:r>
    </w:p>
    <w:p>
      <w:pPr>
        <w:autoSpaceDE w:val="0"/>
        <w:autoSpaceDN w:val="0"/>
        <w:adjustRightInd w:val="0"/>
        <w:snapToGrid w:val="0"/>
        <w:spacing w:line="300" w:lineRule="auto"/>
        <w:ind w:firstLine="960" w:firstLineChars="400"/>
        <w:rPr>
          <w:rFonts w:ascii="仿宋_GB2312" w:hAnsi="仿宋_GB2312" w:eastAsia="仿宋_GB2312" w:cs="仿宋_GB2312"/>
          <w:u w:val="single"/>
        </w:rPr>
      </w:pPr>
      <w:r>
        <w:rPr>
          <w:rFonts w:hint="eastAsia" w:ascii="仿宋_GB2312" w:hAnsi="仿宋_GB2312" w:eastAsia="仿宋_GB2312" w:cs="仿宋_GB2312"/>
        </w:rPr>
        <w:t>地址：                邮编：</w:t>
      </w:r>
    </w:p>
    <w:p>
      <w:pPr>
        <w:autoSpaceDE w:val="0"/>
        <w:autoSpaceDN w:val="0"/>
        <w:adjustRightInd w:val="0"/>
        <w:snapToGrid w:val="0"/>
        <w:spacing w:line="300" w:lineRule="auto"/>
        <w:ind w:firstLine="960" w:firstLineChars="400"/>
        <w:rPr>
          <w:rFonts w:ascii="仿宋_GB2312" w:hAnsi="仿宋_GB2312" w:eastAsia="仿宋_GB2312" w:cs="仿宋_GB2312"/>
          <w:u w:val="single"/>
        </w:rPr>
      </w:pPr>
      <w:r>
        <w:rPr>
          <w:rFonts w:hint="eastAsia" w:ascii="仿宋_GB2312" w:hAnsi="仿宋_GB2312" w:eastAsia="仿宋_GB2312" w:cs="仿宋_GB2312"/>
        </w:rPr>
        <w:t>电话：                传真：</w:t>
      </w:r>
    </w:p>
    <w:p>
      <w:pPr>
        <w:numPr>
          <w:ilvl w:val="0"/>
          <w:numId w:val="3"/>
        </w:numPr>
        <w:autoSpaceDE w:val="0"/>
        <w:autoSpaceDN w:val="0"/>
        <w:adjustRightInd w:val="0"/>
        <w:snapToGrid w:val="0"/>
        <w:spacing w:line="300" w:lineRule="auto"/>
        <w:ind w:firstLine="560"/>
        <w:rPr>
          <w:rFonts w:ascii="仿宋_GB2312" w:hAnsi="仿宋_GB2312" w:eastAsia="仿宋_GB2312" w:cs="仿宋_GB2312"/>
        </w:rPr>
      </w:pPr>
      <w:r>
        <w:rPr>
          <w:rFonts w:hint="eastAsia" w:ascii="仿宋_GB2312" w:hAnsi="仿宋_GB2312" w:eastAsia="仿宋_GB2312" w:cs="仿宋_GB2312"/>
        </w:rPr>
        <w:t>我方同意招标人不一定接受最低报价的投标。</w:t>
      </w:r>
    </w:p>
    <w:p>
      <w:pPr>
        <w:autoSpaceDE w:val="0"/>
        <w:autoSpaceDN w:val="0"/>
        <w:adjustRightInd w:val="0"/>
        <w:snapToGrid w:val="0"/>
        <w:spacing w:line="300" w:lineRule="auto"/>
        <w:rPr>
          <w:rFonts w:ascii="仿宋_GB2312" w:hAnsi="仿宋_GB2312" w:eastAsia="仿宋_GB2312" w:cs="仿宋_GB2312"/>
        </w:rPr>
      </w:pPr>
    </w:p>
    <w:p>
      <w:pPr>
        <w:autoSpaceDE w:val="0"/>
        <w:autoSpaceDN w:val="0"/>
        <w:adjustRightInd w:val="0"/>
        <w:snapToGrid w:val="0"/>
        <w:spacing w:line="30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rPr>
        <w:t>投标单位名称（公章）：</w:t>
      </w:r>
    </w:p>
    <w:p>
      <w:pPr>
        <w:autoSpaceDE w:val="0"/>
        <w:autoSpaceDN w:val="0"/>
        <w:adjustRightInd w:val="0"/>
        <w:snapToGrid w:val="0"/>
        <w:spacing w:line="30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rPr>
        <w:t>授权代表签字：</w:t>
      </w:r>
    </w:p>
    <w:p>
      <w:p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 xml:space="preserve">投标响应日期：  </w:t>
      </w:r>
    </w:p>
    <w:p>
      <w:pPr>
        <w:pStyle w:val="5"/>
        <w:spacing w:before="120" w:after="120" w:line="600" w:lineRule="exact"/>
        <w:jc w:val="left"/>
        <w:rPr>
          <w:b/>
          <w:bCs/>
        </w:rPr>
      </w:pPr>
      <w:r>
        <w:rPr>
          <w:rFonts w:hint="eastAsia"/>
          <w:b/>
          <w:bCs/>
        </w:rPr>
        <w:t>二、投标一览表</w:t>
      </w:r>
    </w:p>
    <w:p>
      <w:pPr>
        <w:spacing w:line="600" w:lineRule="exact"/>
        <w:ind w:left="480" w:leftChars="200"/>
        <w:rPr>
          <w:rStyle w:val="36"/>
          <w:rFonts w:ascii="仿宋_GB2312" w:hAnsi="仿宋_GB2312" w:eastAsia="仿宋_GB2312" w:cs="仿宋_GB2312"/>
          <w:sz w:val="24"/>
          <w:szCs w:val="24"/>
          <w:u w:val="single"/>
        </w:rPr>
      </w:pPr>
      <w:r>
        <w:rPr>
          <w:rStyle w:val="36"/>
          <w:rFonts w:hint="eastAsia" w:ascii="仿宋_GB2312" w:hAnsi="仿宋_GB2312" w:eastAsia="仿宋_GB2312" w:cs="仿宋_GB2312"/>
          <w:sz w:val="24"/>
          <w:szCs w:val="24"/>
        </w:rPr>
        <w:t>项目名称：</w:t>
      </w:r>
    </w:p>
    <w:p>
      <w:pPr>
        <w:spacing w:line="600" w:lineRule="exact"/>
        <w:ind w:left="480" w:leftChars="200"/>
        <w:rPr>
          <w:rStyle w:val="36"/>
          <w:rFonts w:ascii="仿宋_GB2312" w:hAnsi="仿宋_GB2312" w:eastAsia="仿宋_GB2312" w:cs="仿宋_GB2312"/>
          <w:sz w:val="24"/>
          <w:szCs w:val="24"/>
        </w:rPr>
      </w:pPr>
      <w:r>
        <w:rPr>
          <w:rStyle w:val="36"/>
          <w:rFonts w:hint="eastAsia" w:ascii="仿宋_GB2312" w:hAnsi="仿宋_GB2312" w:eastAsia="仿宋_GB2312" w:cs="仿宋_GB2312"/>
          <w:sz w:val="24"/>
          <w:szCs w:val="24"/>
        </w:rPr>
        <w:t>投标单位名称：</w:t>
      </w:r>
    </w:p>
    <w:tbl>
      <w:tblPr>
        <w:tblStyle w:val="17"/>
        <w:tblW w:w="5000" w:type="pct"/>
        <w:jc w:val="center"/>
        <w:tblLayout w:type="fixed"/>
        <w:tblCellMar>
          <w:top w:w="0" w:type="dxa"/>
          <w:left w:w="108" w:type="dxa"/>
          <w:bottom w:w="0" w:type="dxa"/>
          <w:right w:w="108" w:type="dxa"/>
        </w:tblCellMar>
      </w:tblPr>
      <w:tblGrid>
        <w:gridCol w:w="5689"/>
        <w:gridCol w:w="1786"/>
        <w:gridCol w:w="1047"/>
      </w:tblGrid>
      <w:tr>
        <w:tblPrEx>
          <w:tblCellMar>
            <w:top w:w="0" w:type="dxa"/>
            <w:left w:w="108" w:type="dxa"/>
            <w:bottom w:w="0" w:type="dxa"/>
            <w:right w:w="108" w:type="dxa"/>
          </w:tblCellMar>
        </w:tblPrEx>
        <w:trPr>
          <w:cantSplit/>
          <w:trHeight w:val="490" w:hRule="atLeast"/>
          <w:jc w:val="center"/>
        </w:trPr>
        <w:tc>
          <w:tcPr>
            <w:tcW w:w="56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项目名称</w:t>
            </w:r>
          </w:p>
        </w:tc>
        <w:tc>
          <w:tcPr>
            <w:tcW w:w="1783" w:type="dxa"/>
            <w:tcBorders>
              <w:top w:val="single" w:color="auto" w:sz="4" w:space="0"/>
              <w:left w:val="nil"/>
              <w:bottom w:val="single" w:color="auto" w:sz="4" w:space="0"/>
              <w:right w:val="single" w:color="auto" w:sz="4" w:space="0"/>
            </w:tcBorders>
            <w:vAlign w:val="center"/>
          </w:tcPr>
          <w:p>
            <w:pPr>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投标总价</w:t>
            </w:r>
          </w:p>
        </w:tc>
        <w:tc>
          <w:tcPr>
            <w:tcW w:w="1046" w:type="dxa"/>
            <w:tcBorders>
              <w:top w:val="single" w:color="auto" w:sz="4" w:space="0"/>
              <w:left w:val="nil"/>
              <w:bottom w:val="single" w:color="auto" w:sz="4" w:space="0"/>
              <w:right w:val="single" w:color="auto" w:sz="4" w:space="0"/>
            </w:tcBorders>
            <w:vAlign w:val="center"/>
          </w:tcPr>
          <w:p>
            <w:pPr>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备注</w:t>
            </w:r>
          </w:p>
        </w:tc>
      </w:tr>
      <w:tr>
        <w:tblPrEx>
          <w:tblCellMar>
            <w:top w:w="0" w:type="dxa"/>
            <w:left w:w="108" w:type="dxa"/>
            <w:bottom w:w="0" w:type="dxa"/>
            <w:right w:w="108" w:type="dxa"/>
          </w:tblCellMar>
        </w:tblPrEx>
        <w:trPr>
          <w:cantSplit/>
          <w:trHeight w:val="357" w:hRule="atLeast"/>
          <w:jc w:val="center"/>
        </w:trPr>
        <w:tc>
          <w:tcPr>
            <w:tcW w:w="56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36"/>
              </w:rPr>
            </w:pPr>
          </w:p>
        </w:tc>
        <w:tc>
          <w:tcPr>
            <w:tcW w:w="1783" w:type="dxa"/>
            <w:tcBorders>
              <w:top w:val="single" w:color="auto" w:sz="4" w:space="0"/>
              <w:left w:val="nil"/>
              <w:bottom w:val="single" w:color="auto" w:sz="4" w:space="0"/>
              <w:right w:val="single" w:color="auto" w:sz="4" w:space="0"/>
            </w:tcBorders>
            <w:vAlign w:val="center"/>
          </w:tcPr>
          <w:p>
            <w:pPr>
              <w:spacing w:line="400" w:lineRule="exact"/>
              <w:jc w:val="center"/>
              <w:rPr>
                <w:rStyle w:val="36"/>
              </w:rPr>
            </w:pPr>
          </w:p>
        </w:tc>
        <w:tc>
          <w:tcPr>
            <w:tcW w:w="1046" w:type="dxa"/>
            <w:tcBorders>
              <w:top w:val="single" w:color="auto" w:sz="4" w:space="0"/>
              <w:left w:val="nil"/>
              <w:bottom w:val="single" w:color="auto" w:sz="4" w:space="0"/>
              <w:right w:val="single" w:color="auto" w:sz="4" w:space="0"/>
            </w:tcBorders>
            <w:vAlign w:val="center"/>
          </w:tcPr>
          <w:p>
            <w:pPr>
              <w:spacing w:line="400" w:lineRule="exact"/>
              <w:jc w:val="center"/>
              <w:rPr>
                <w:rStyle w:val="36"/>
              </w:rPr>
            </w:pPr>
          </w:p>
        </w:tc>
      </w:tr>
    </w:tbl>
    <w:p>
      <w:pPr>
        <w:spacing w:line="600" w:lineRule="exact"/>
        <w:ind w:left="480" w:leftChars="200"/>
        <w:rPr>
          <w:rStyle w:val="36"/>
          <w:rFonts w:ascii="仿宋_GB2312" w:hAnsi="仿宋_GB2312" w:eastAsia="仿宋_GB2312" w:cs="仿宋_GB2312"/>
          <w:szCs w:val="24"/>
        </w:rPr>
      </w:pPr>
      <w:r>
        <w:rPr>
          <w:rStyle w:val="36"/>
          <w:rFonts w:ascii="仿宋_GB2312" w:hAnsi="仿宋_GB2312" w:eastAsia="仿宋_GB2312" w:cs="仿宋_GB2312"/>
          <w:szCs w:val="24"/>
        </w:rPr>
        <w:t>拟安排的项目负责人情况（仅限</w:t>
      </w:r>
      <w:r>
        <w:rPr>
          <w:rStyle w:val="36"/>
          <w:rFonts w:hint="eastAsia" w:ascii="仿宋_GB2312" w:hAnsi="仿宋_GB2312" w:eastAsia="仿宋_GB2312" w:cs="仿宋_GB2312"/>
          <w:szCs w:val="24"/>
        </w:rPr>
        <w:t>1人）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01"/>
        <w:gridCol w:w="2141"/>
        <w:gridCol w:w="2190"/>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76" w:type="dxa"/>
            <w:vAlign w:val="center"/>
          </w:tcPr>
          <w:p>
            <w:pPr>
              <w:widowControl w:val="0"/>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序号</w:t>
            </w:r>
          </w:p>
        </w:tc>
        <w:tc>
          <w:tcPr>
            <w:tcW w:w="1569" w:type="dxa"/>
            <w:vAlign w:val="center"/>
          </w:tcPr>
          <w:p>
            <w:pPr>
              <w:widowControl w:val="0"/>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姓名</w:t>
            </w:r>
          </w:p>
        </w:tc>
        <w:tc>
          <w:tcPr>
            <w:tcW w:w="2099" w:type="dxa"/>
            <w:vAlign w:val="center"/>
          </w:tcPr>
          <w:p>
            <w:pPr>
              <w:widowControl w:val="0"/>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职称</w:t>
            </w:r>
          </w:p>
        </w:tc>
        <w:tc>
          <w:tcPr>
            <w:tcW w:w="2147" w:type="dxa"/>
            <w:vAlign w:val="center"/>
          </w:tcPr>
          <w:p>
            <w:pPr>
              <w:widowControl w:val="0"/>
              <w:spacing w:line="400" w:lineRule="exact"/>
              <w:jc w:val="center"/>
              <w:rPr>
                <w:rStyle w:val="36"/>
                <w:rFonts w:ascii="仿宋_GB2312" w:hAnsi="仿宋_GB2312" w:eastAsia="仿宋_GB2312" w:cs="仿宋_GB2312"/>
              </w:rPr>
            </w:pPr>
            <w:r>
              <w:rPr>
                <w:rStyle w:val="36"/>
                <w:rFonts w:ascii="仿宋_GB2312" w:hAnsi="仿宋_GB2312" w:eastAsia="仿宋_GB2312" w:cs="仿宋_GB2312"/>
              </w:rPr>
              <w:t>学历</w:t>
            </w:r>
          </w:p>
        </w:tc>
        <w:tc>
          <w:tcPr>
            <w:tcW w:w="1562" w:type="dxa"/>
            <w:vAlign w:val="center"/>
          </w:tcPr>
          <w:p>
            <w:pPr>
              <w:widowControl w:val="0"/>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76" w:type="dxa"/>
          </w:tcPr>
          <w:p>
            <w:pPr>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1</w:t>
            </w:r>
          </w:p>
        </w:tc>
        <w:tc>
          <w:tcPr>
            <w:tcW w:w="1569" w:type="dxa"/>
          </w:tcPr>
          <w:p>
            <w:pPr>
              <w:spacing w:line="400" w:lineRule="exact"/>
              <w:jc w:val="center"/>
              <w:rPr>
                <w:rStyle w:val="36"/>
                <w:rFonts w:ascii="仿宋_GB2312" w:hAnsi="仿宋_GB2312" w:eastAsia="仿宋_GB2312" w:cs="仿宋_GB2312"/>
              </w:rPr>
            </w:pPr>
          </w:p>
        </w:tc>
        <w:tc>
          <w:tcPr>
            <w:tcW w:w="2099" w:type="dxa"/>
          </w:tcPr>
          <w:p>
            <w:pPr>
              <w:spacing w:line="400" w:lineRule="exact"/>
              <w:jc w:val="center"/>
              <w:rPr>
                <w:rStyle w:val="36"/>
                <w:rFonts w:ascii="仿宋_GB2312" w:hAnsi="仿宋_GB2312" w:eastAsia="仿宋_GB2312" w:cs="仿宋_GB2312"/>
              </w:rPr>
            </w:pPr>
          </w:p>
        </w:tc>
        <w:tc>
          <w:tcPr>
            <w:tcW w:w="2147" w:type="dxa"/>
          </w:tcPr>
          <w:p>
            <w:pPr>
              <w:spacing w:line="400" w:lineRule="exact"/>
              <w:jc w:val="center"/>
              <w:rPr>
                <w:rStyle w:val="36"/>
                <w:rFonts w:ascii="仿宋_GB2312" w:hAnsi="仿宋_GB2312" w:eastAsia="仿宋_GB2312" w:cs="仿宋_GB2312"/>
              </w:rPr>
            </w:pPr>
          </w:p>
        </w:tc>
        <w:tc>
          <w:tcPr>
            <w:tcW w:w="1562" w:type="dxa"/>
          </w:tcPr>
          <w:p>
            <w:pPr>
              <w:spacing w:line="400" w:lineRule="exact"/>
              <w:jc w:val="center"/>
              <w:rPr>
                <w:rStyle w:val="36"/>
                <w:rFonts w:ascii="仿宋_GB2312" w:hAnsi="仿宋_GB2312" w:eastAsia="仿宋_GB2312" w:cs="仿宋_GB2312"/>
              </w:rPr>
            </w:pPr>
          </w:p>
        </w:tc>
      </w:tr>
    </w:tbl>
    <w:p>
      <w:pPr>
        <w:spacing w:line="600" w:lineRule="exact"/>
        <w:ind w:left="480" w:leftChars="200"/>
        <w:rPr>
          <w:rStyle w:val="36"/>
          <w:rFonts w:ascii="仿宋_GB2312" w:hAnsi="仿宋_GB2312" w:eastAsia="仿宋_GB2312" w:cs="仿宋_GB2312"/>
          <w:szCs w:val="24"/>
        </w:rPr>
      </w:pPr>
      <w:r>
        <w:rPr>
          <w:rStyle w:val="36"/>
          <w:rFonts w:hint="eastAsia" w:ascii="仿宋_GB2312" w:hAnsi="仿宋_GB2312" w:eastAsia="仿宋_GB2312" w:cs="仿宋_GB2312"/>
          <w:szCs w:val="24"/>
        </w:rPr>
        <w:t>拟安排的项目团队成员（项目负</w:t>
      </w:r>
      <w:r>
        <w:rPr>
          <w:rStyle w:val="36"/>
          <w:rFonts w:ascii="仿宋_GB2312" w:hAnsi="仿宋_GB2312" w:eastAsia="仿宋_GB2312" w:cs="仿宋_GB2312"/>
          <w:szCs w:val="24"/>
        </w:rPr>
        <w:t>责人除外）情况</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01"/>
        <w:gridCol w:w="2141"/>
        <w:gridCol w:w="2190"/>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76" w:type="dxa"/>
            <w:vAlign w:val="center"/>
          </w:tcPr>
          <w:p>
            <w:pPr>
              <w:widowControl w:val="0"/>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序号</w:t>
            </w:r>
          </w:p>
        </w:tc>
        <w:tc>
          <w:tcPr>
            <w:tcW w:w="1569" w:type="dxa"/>
            <w:vAlign w:val="center"/>
          </w:tcPr>
          <w:p>
            <w:pPr>
              <w:widowControl w:val="0"/>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姓名</w:t>
            </w:r>
          </w:p>
        </w:tc>
        <w:tc>
          <w:tcPr>
            <w:tcW w:w="2099" w:type="dxa"/>
            <w:vAlign w:val="center"/>
          </w:tcPr>
          <w:p>
            <w:pPr>
              <w:widowControl w:val="0"/>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职称</w:t>
            </w:r>
          </w:p>
        </w:tc>
        <w:tc>
          <w:tcPr>
            <w:tcW w:w="2147" w:type="dxa"/>
            <w:vAlign w:val="center"/>
          </w:tcPr>
          <w:p>
            <w:pPr>
              <w:widowControl w:val="0"/>
              <w:spacing w:line="400" w:lineRule="exact"/>
              <w:jc w:val="center"/>
              <w:rPr>
                <w:rStyle w:val="36"/>
                <w:rFonts w:ascii="仿宋_GB2312" w:hAnsi="仿宋_GB2312" w:eastAsia="仿宋_GB2312" w:cs="仿宋_GB2312"/>
              </w:rPr>
            </w:pPr>
            <w:r>
              <w:rPr>
                <w:rStyle w:val="36"/>
                <w:rFonts w:ascii="仿宋_GB2312" w:hAnsi="仿宋_GB2312" w:eastAsia="仿宋_GB2312" w:cs="仿宋_GB2312"/>
              </w:rPr>
              <w:t>学历</w:t>
            </w:r>
          </w:p>
        </w:tc>
        <w:tc>
          <w:tcPr>
            <w:tcW w:w="1562" w:type="dxa"/>
            <w:vAlign w:val="center"/>
          </w:tcPr>
          <w:p>
            <w:pPr>
              <w:widowControl w:val="0"/>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6" w:type="dxa"/>
          </w:tcPr>
          <w:p>
            <w:pPr>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1</w:t>
            </w:r>
          </w:p>
        </w:tc>
        <w:tc>
          <w:tcPr>
            <w:tcW w:w="1569" w:type="dxa"/>
          </w:tcPr>
          <w:p>
            <w:pPr>
              <w:spacing w:line="400" w:lineRule="exact"/>
              <w:jc w:val="center"/>
              <w:rPr>
                <w:rStyle w:val="36"/>
                <w:rFonts w:ascii="仿宋_GB2312" w:hAnsi="仿宋_GB2312" w:eastAsia="仿宋_GB2312" w:cs="仿宋_GB2312"/>
              </w:rPr>
            </w:pPr>
          </w:p>
        </w:tc>
        <w:tc>
          <w:tcPr>
            <w:tcW w:w="2099" w:type="dxa"/>
          </w:tcPr>
          <w:p>
            <w:pPr>
              <w:spacing w:line="400" w:lineRule="exact"/>
              <w:jc w:val="center"/>
              <w:rPr>
                <w:rStyle w:val="36"/>
                <w:rFonts w:ascii="仿宋_GB2312" w:hAnsi="仿宋_GB2312" w:eastAsia="仿宋_GB2312" w:cs="仿宋_GB2312"/>
              </w:rPr>
            </w:pPr>
          </w:p>
        </w:tc>
        <w:tc>
          <w:tcPr>
            <w:tcW w:w="2147" w:type="dxa"/>
          </w:tcPr>
          <w:p>
            <w:pPr>
              <w:spacing w:line="400" w:lineRule="exact"/>
              <w:jc w:val="center"/>
              <w:rPr>
                <w:rStyle w:val="36"/>
                <w:rFonts w:ascii="仿宋_GB2312" w:hAnsi="仿宋_GB2312" w:eastAsia="仿宋_GB2312" w:cs="仿宋_GB2312"/>
              </w:rPr>
            </w:pPr>
          </w:p>
        </w:tc>
        <w:tc>
          <w:tcPr>
            <w:tcW w:w="1562" w:type="dxa"/>
          </w:tcPr>
          <w:p>
            <w:pPr>
              <w:spacing w:line="400" w:lineRule="exact"/>
              <w:jc w:val="center"/>
              <w:rPr>
                <w:rStyle w:val="36"/>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76" w:type="dxa"/>
          </w:tcPr>
          <w:p>
            <w:pPr>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2</w:t>
            </w:r>
          </w:p>
        </w:tc>
        <w:tc>
          <w:tcPr>
            <w:tcW w:w="1569" w:type="dxa"/>
          </w:tcPr>
          <w:p>
            <w:pPr>
              <w:spacing w:line="400" w:lineRule="exact"/>
              <w:jc w:val="center"/>
              <w:rPr>
                <w:rStyle w:val="36"/>
                <w:rFonts w:ascii="仿宋_GB2312" w:hAnsi="仿宋_GB2312" w:eastAsia="仿宋_GB2312" w:cs="仿宋_GB2312"/>
              </w:rPr>
            </w:pPr>
          </w:p>
        </w:tc>
        <w:tc>
          <w:tcPr>
            <w:tcW w:w="2099" w:type="dxa"/>
          </w:tcPr>
          <w:p>
            <w:pPr>
              <w:spacing w:line="400" w:lineRule="exact"/>
              <w:jc w:val="center"/>
              <w:rPr>
                <w:rStyle w:val="36"/>
                <w:rFonts w:ascii="仿宋_GB2312" w:hAnsi="仿宋_GB2312" w:eastAsia="仿宋_GB2312" w:cs="仿宋_GB2312"/>
              </w:rPr>
            </w:pPr>
          </w:p>
        </w:tc>
        <w:tc>
          <w:tcPr>
            <w:tcW w:w="2147" w:type="dxa"/>
          </w:tcPr>
          <w:p>
            <w:pPr>
              <w:spacing w:line="400" w:lineRule="exact"/>
              <w:jc w:val="center"/>
              <w:rPr>
                <w:rStyle w:val="36"/>
                <w:rFonts w:ascii="仿宋_GB2312" w:hAnsi="仿宋_GB2312" w:eastAsia="仿宋_GB2312" w:cs="仿宋_GB2312"/>
              </w:rPr>
            </w:pPr>
          </w:p>
        </w:tc>
        <w:tc>
          <w:tcPr>
            <w:tcW w:w="1562" w:type="dxa"/>
          </w:tcPr>
          <w:p>
            <w:pPr>
              <w:spacing w:line="400" w:lineRule="exact"/>
              <w:jc w:val="center"/>
              <w:rPr>
                <w:rStyle w:val="36"/>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76" w:type="dxa"/>
          </w:tcPr>
          <w:p>
            <w:pPr>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3</w:t>
            </w:r>
          </w:p>
        </w:tc>
        <w:tc>
          <w:tcPr>
            <w:tcW w:w="1569" w:type="dxa"/>
          </w:tcPr>
          <w:p>
            <w:pPr>
              <w:spacing w:line="400" w:lineRule="exact"/>
              <w:jc w:val="center"/>
              <w:rPr>
                <w:rStyle w:val="36"/>
                <w:rFonts w:ascii="仿宋_GB2312" w:hAnsi="仿宋_GB2312" w:eastAsia="仿宋_GB2312" w:cs="仿宋_GB2312"/>
              </w:rPr>
            </w:pPr>
          </w:p>
        </w:tc>
        <w:tc>
          <w:tcPr>
            <w:tcW w:w="2099" w:type="dxa"/>
          </w:tcPr>
          <w:p>
            <w:pPr>
              <w:spacing w:line="400" w:lineRule="exact"/>
              <w:jc w:val="center"/>
              <w:rPr>
                <w:rStyle w:val="36"/>
                <w:rFonts w:ascii="仿宋_GB2312" w:hAnsi="仿宋_GB2312" w:eastAsia="仿宋_GB2312" w:cs="仿宋_GB2312"/>
              </w:rPr>
            </w:pPr>
          </w:p>
        </w:tc>
        <w:tc>
          <w:tcPr>
            <w:tcW w:w="2147" w:type="dxa"/>
          </w:tcPr>
          <w:p>
            <w:pPr>
              <w:spacing w:line="400" w:lineRule="exact"/>
              <w:jc w:val="center"/>
              <w:rPr>
                <w:rStyle w:val="36"/>
                <w:rFonts w:ascii="仿宋_GB2312" w:hAnsi="仿宋_GB2312" w:eastAsia="仿宋_GB2312" w:cs="仿宋_GB2312"/>
              </w:rPr>
            </w:pPr>
          </w:p>
        </w:tc>
        <w:tc>
          <w:tcPr>
            <w:tcW w:w="1562" w:type="dxa"/>
          </w:tcPr>
          <w:p>
            <w:pPr>
              <w:spacing w:line="400" w:lineRule="exact"/>
              <w:jc w:val="center"/>
              <w:rPr>
                <w:rStyle w:val="36"/>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tcPr>
          <w:p>
            <w:pPr>
              <w:spacing w:line="400" w:lineRule="exact"/>
              <w:jc w:val="center"/>
              <w:rPr>
                <w:rStyle w:val="36"/>
                <w:rFonts w:ascii="仿宋_GB2312" w:hAnsi="仿宋_GB2312" w:eastAsia="仿宋_GB2312" w:cs="仿宋_GB2312"/>
              </w:rPr>
            </w:pPr>
            <w:r>
              <w:rPr>
                <w:rStyle w:val="36"/>
                <w:rFonts w:hint="eastAsia" w:ascii="仿宋_GB2312" w:hAnsi="仿宋_GB2312" w:eastAsia="仿宋_GB2312" w:cs="仿宋_GB2312"/>
              </w:rPr>
              <w:t>…</w:t>
            </w:r>
          </w:p>
        </w:tc>
        <w:tc>
          <w:tcPr>
            <w:tcW w:w="1569" w:type="dxa"/>
          </w:tcPr>
          <w:p>
            <w:pPr>
              <w:spacing w:line="400" w:lineRule="exact"/>
              <w:jc w:val="center"/>
              <w:rPr>
                <w:rStyle w:val="36"/>
                <w:rFonts w:ascii="仿宋_GB2312" w:hAnsi="仿宋_GB2312" w:eastAsia="仿宋_GB2312" w:cs="仿宋_GB2312"/>
              </w:rPr>
            </w:pPr>
          </w:p>
        </w:tc>
        <w:tc>
          <w:tcPr>
            <w:tcW w:w="2099" w:type="dxa"/>
          </w:tcPr>
          <w:p>
            <w:pPr>
              <w:spacing w:line="400" w:lineRule="exact"/>
              <w:jc w:val="center"/>
              <w:rPr>
                <w:rStyle w:val="36"/>
                <w:rFonts w:ascii="仿宋_GB2312" w:hAnsi="仿宋_GB2312" w:eastAsia="仿宋_GB2312" w:cs="仿宋_GB2312"/>
              </w:rPr>
            </w:pPr>
          </w:p>
        </w:tc>
        <w:tc>
          <w:tcPr>
            <w:tcW w:w="2147" w:type="dxa"/>
          </w:tcPr>
          <w:p>
            <w:pPr>
              <w:spacing w:line="400" w:lineRule="exact"/>
              <w:jc w:val="center"/>
              <w:rPr>
                <w:rStyle w:val="36"/>
                <w:rFonts w:ascii="仿宋_GB2312" w:hAnsi="仿宋_GB2312" w:eastAsia="仿宋_GB2312" w:cs="仿宋_GB2312"/>
              </w:rPr>
            </w:pPr>
          </w:p>
        </w:tc>
        <w:tc>
          <w:tcPr>
            <w:tcW w:w="1562" w:type="dxa"/>
          </w:tcPr>
          <w:p>
            <w:pPr>
              <w:spacing w:line="400" w:lineRule="exact"/>
              <w:jc w:val="center"/>
              <w:rPr>
                <w:rStyle w:val="36"/>
                <w:rFonts w:ascii="仿宋_GB2312" w:hAnsi="仿宋_GB2312" w:eastAsia="仿宋_GB2312" w:cs="仿宋_GB2312"/>
              </w:rPr>
            </w:pPr>
          </w:p>
        </w:tc>
      </w:tr>
    </w:tbl>
    <w:p>
      <w:pPr>
        <w:spacing w:line="400" w:lineRule="exact"/>
        <w:ind w:firstLine="480" w:firstLineChars="200"/>
        <w:rPr>
          <w:rStyle w:val="36"/>
          <w:rFonts w:ascii="仿宋_GB2312" w:hAnsi="仿宋_GB2312" w:eastAsia="仿宋_GB2312" w:cs="仿宋_GB2312"/>
          <w:sz w:val="24"/>
          <w:szCs w:val="24"/>
        </w:rPr>
      </w:pPr>
      <w:r>
        <w:rPr>
          <w:rStyle w:val="36"/>
          <w:rFonts w:hint="eastAsia" w:ascii="仿宋_GB2312" w:hAnsi="仿宋_GB2312" w:eastAsia="仿宋_GB2312" w:cs="仿宋_GB2312"/>
          <w:sz w:val="24"/>
          <w:szCs w:val="24"/>
        </w:rPr>
        <w:t>注：</w:t>
      </w:r>
    </w:p>
    <w:p>
      <w:pPr>
        <w:spacing w:line="400" w:lineRule="exact"/>
        <w:ind w:firstLine="480" w:firstLineChars="200"/>
        <w:rPr>
          <w:rStyle w:val="36"/>
          <w:rFonts w:ascii="仿宋_GB2312" w:hAnsi="仿宋_GB2312" w:eastAsia="仿宋_GB2312" w:cs="仿宋_GB2312"/>
          <w:sz w:val="24"/>
          <w:szCs w:val="24"/>
        </w:rPr>
      </w:pPr>
      <w:r>
        <w:rPr>
          <w:rStyle w:val="36"/>
          <w:rFonts w:hint="eastAsia" w:ascii="仿宋_GB2312" w:hAnsi="仿宋_GB2312" w:eastAsia="仿宋_GB2312" w:cs="仿宋_GB2312"/>
          <w:sz w:val="24"/>
          <w:szCs w:val="24"/>
        </w:rPr>
        <w:t>1.请按以上表格填写相关内容，并明确内容相关证明材料的所在投标文件中的页码。</w:t>
      </w:r>
    </w:p>
    <w:p>
      <w:pPr>
        <w:spacing w:line="400" w:lineRule="exact"/>
        <w:ind w:firstLine="480" w:firstLineChars="200"/>
        <w:rPr>
          <w:rStyle w:val="36"/>
          <w:rFonts w:ascii="仿宋_GB2312" w:hAnsi="仿宋_GB2312" w:eastAsia="仿宋_GB2312" w:cs="仿宋_GB2312"/>
          <w:sz w:val="24"/>
          <w:szCs w:val="24"/>
        </w:rPr>
      </w:pPr>
      <w:r>
        <w:rPr>
          <w:rStyle w:val="36"/>
          <w:rFonts w:ascii="仿宋_GB2312" w:hAnsi="仿宋_GB2312" w:eastAsia="仿宋_GB2312" w:cs="仿宋_GB2312"/>
          <w:sz w:val="24"/>
          <w:szCs w:val="24"/>
        </w:rPr>
        <w:t>2.</w:t>
      </w:r>
      <w:r>
        <w:rPr>
          <w:rStyle w:val="36"/>
          <w:rFonts w:hint="eastAsia" w:ascii="仿宋_GB2312" w:hAnsi="仿宋_GB2312" w:eastAsia="仿宋_GB2312" w:cs="仿宋_GB2312"/>
          <w:sz w:val="24"/>
          <w:szCs w:val="24"/>
        </w:rPr>
        <w:t>要求提供投标人工作单位所开出的在职证明，并承诺该员工在本公司</w:t>
      </w:r>
      <w:r>
        <w:rPr>
          <w:rStyle w:val="36"/>
          <w:rFonts w:ascii="仿宋_GB2312" w:hAnsi="仿宋_GB2312" w:eastAsia="仿宋_GB2312" w:cs="仿宋_GB2312"/>
          <w:sz w:val="24"/>
          <w:szCs w:val="24"/>
        </w:rPr>
        <w:t>截标前</w:t>
      </w:r>
      <w:r>
        <w:rPr>
          <w:rStyle w:val="36"/>
          <w:rFonts w:hint="eastAsia" w:ascii="仿宋_GB2312" w:hAnsi="仿宋_GB2312" w:eastAsia="仿宋_GB2312" w:cs="仿宋_GB2312"/>
          <w:sz w:val="24"/>
          <w:szCs w:val="24"/>
        </w:rPr>
        <w:t>任职并在本公司连续缴纳社保3个月以上作为依据</w:t>
      </w:r>
      <w:r>
        <w:rPr>
          <w:rStyle w:val="36"/>
          <w:rFonts w:ascii="仿宋_GB2312" w:hAnsi="仿宋_GB2312" w:eastAsia="仿宋_GB2312" w:cs="仿宋_GB2312"/>
          <w:sz w:val="24"/>
          <w:szCs w:val="24"/>
        </w:rPr>
        <w:t>。</w:t>
      </w:r>
    </w:p>
    <w:p>
      <w:pPr>
        <w:spacing w:line="400" w:lineRule="exact"/>
        <w:ind w:firstLine="480" w:firstLineChars="200"/>
        <w:rPr>
          <w:rFonts w:ascii="仿宋_GB2312" w:hAnsi="仿宋_GB2312" w:eastAsia="仿宋_GB2312" w:cs="仿宋_GB2312"/>
        </w:rPr>
      </w:pPr>
      <w:r>
        <w:rPr>
          <w:rStyle w:val="36"/>
          <w:rFonts w:ascii="仿宋_GB2312" w:hAnsi="仿宋_GB2312" w:eastAsia="仿宋_GB2312" w:cs="仿宋_GB2312"/>
          <w:sz w:val="24"/>
          <w:szCs w:val="24"/>
        </w:rPr>
        <w:t>3.</w:t>
      </w:r>
      <w:r>
        <w:rPr>
          <w:rStyle w:val="36"/>
          <w:rFonts w:hint="eastAsia" w:ascii="仿宋_GB2312" w:hAnsi="仿宋_GB2312" w:eastAsia="仿宋_GB2312" w:cs="仿宋_GB2312"/>
          <w:sz w:val="24"/>
          <w:szCs w:val="24"/>
        </w:rPr>
        <w:t>提供相关职业资格证书、</w:t>
      </w:r>
      <w:r>
        <w:rPr>
          <w:rStyle w:val="36"/>
          <w:rFonts w:ascii="仿宋_GB2312" w:hAnsi="仿宋_GB2312" w:eastAsia="仿宋_GB2312" w:cs="仿宋_GB2312"/>
          <w:sz w:val="24"/>
          <w:szCs w:val="24"/>
        </w:rPr>
        <w:t>职称证书、</w:t>
      </w:r>
      <w:r>
        <w:rPr>
          <w:rStyle w:val="36"/>
          <w:rFonts w:hint="eastAsia" w:ascii="仿宋_GB2312" w:hAnsi="仿宋_GB2312" w:eastAsia="仿宋_GB2312" w:cs="仿宋_GB2312"/>
          <w:sz w:val="24"/>
          <w:szCs w:val="24"/>
        </w:rPr>
        <w:t>工作经验证明材料扫描件及能证明相关人员经验的政府类项目相关证明文件扫描件，原件备查。以合同签订时间为准，工作经验证明材料为项目合同关键信息或合同招标单位出具的证明文件。</w:t>
      </w:r>
    </w:p>
    <w:p>
      <w:pPr>
        <w:spacing w:line="360" w:lineRule="auto"/>
        <w:ind w:left="480" w:leftChars="200"/>
        <w:rPr>
          <w:rFonts w:ascii="仿宋_GB2312" w:hAnsi="仿宋_GB2312" w:eastAsia="仿宋_GB2312" w:cs="仿宋_GB2312"/>
        </w:rPr>
      </w:pPr>
      <w:r>
        <w:rPr>
          <w:rFonts w:hint="eastAsia" w:ascii="仿宋_GB2312" w:hAnsi="仿宋_GB2312" w:eastAsia="仿宋_GB2312" w:cs="仿宋_GB2312"/>
        </w:rPr>
        <w:t>4.附价格核算明细及依据。</w:t>
      </w:r>
    </w:p>
    <w:p>
      <w:pPr>
        <w:spacing w:line="360" w:lineRule="auto"/>
        <w:ind w:left="480" w:leftChars="200"/>
        <w:rPr>
          <w:rFonts w:ascii="仿宋_GB2312" w:hAnsi="仿宋_GB2312" w:eastAsia="仿宋_GB2312" w:cs="仿宋_GB2312"/>
        </w:rPr>
      </w:pPr>
    </w:p>
    <w:p>
      <w:pPr>
        <w:spacing w:line="360" w:lineRule="exact"/>
        <w:ind w:left="480" w:leftChars="200"/>
        <w:rPr>
          <w:rStyle w:val="36"/>
          <w:rFonts w:ascii="仿宋_GB2312" w:hAnsi="仿宋_GB2312" w:eastAsia="仿宋_GB2312" w:cs="仿宋_GB2312"/>
          <w:sz w:val="24"/>
          <w:szCs w:val="24"/>
        </w:rPr>
      </w:pPr>
      <w:r>
        <w:rPr>
          <w:rStyle w:val="36"/>
          <w:rFonts w:hint="eastAsia" w:ascii="仿宋_GB2312" w:hAnsi="仿宋_GB2312" w:eastAsia="仿宋_GB2312" w:cs="仿宋_GB2312"/>
          <w:sz w:val="24"/>
          <w:szCs w:val="24"/>
        </w:rPr>
        <w:t xml:space="preserve">投标单位代表签字：             </w:t>
      </w:r>
    </w:p>
    <w:p>
      <w:pPr>
        <w:spacing w:line="360" w:lineRule="exact"/>
        <w:rPr>
          <w:rStyle w:val="36"/>
          <w:rFonts w:ascii="仿宋_GB2312" w:hAnsi="仿宋_GB2312" w:eastAsia="仿宋_GB2312" w:cs="仿宋_GB2312"/>
          <w:sz w:val="24"/>
          <w:szCs w:val="24"/>
        </w:rPr>
      </w:pPr>
    </w:p>
    <w:p>
      <w:pPr>
        <w:spacing w:line="360" w:lineRule="exact"/>
        <w:ind w:left="480" w:leftChars="200"/>
        <w:rPr>
          <w:sz w:val="22"/>
          <w:szCs w:val="22"/>
        </w:rPr>
      </w:pPr>
      <w:r>
        <w:rPr>
          <w:rStyle w:val="36"/>
          <w:rFonts w:hint="eastAsia" w:ascii="仿宋_GB2312" w:hAnsi="仿宋_GB2312" w:eastAsia="仿宋_GB2312" w:cs="仿宋_GB2312"/>
          <w:sz w:val="24"/>
          <w:szCs w:val="24"/>
        </w:rPr>
        <w:t>单位盖章：</w:t>
      </w:r>
    </w:p>
    <w:p>
      <w:pPr>
        <w:pStyle w:val="7"/>
        <w:ind w:firstLine="480"/>
        <w:rPr>
          <w:rFonts w:ascii="仿宋_GB2312" w:hAnsi="仿宋_GB2312" w:eastAsia="仿宋_GB2312" w:cs="仿宋_GB2312"/>
        </w:rPr>
      </w:pPr>
    </w:p>
    <w:p>
      <w:pPr>
        <w:pStyle w:val="7"/>
        <w:ind w:firstLine="480"/>
        <w:rPr>
          <w:rFonts w:ascii="仿宋_GB2312" w:hAnsi="仿宋_GB2312" w:eastAsia="仿宋_GB2312" w:cs="仿宋_GB2312"/>
        </w:rPr>
      </w:pPr>
      <w:r>
        <w:rPr>
          <w:rFonts w:hint="eastAsia" w:ascii="仿宋_GB2312" w:hAnsi="仿宋_GB2312" w:eastAsia="仿宋_GB2312" w:cs="仿宋_GB2312"/>
        </w:rPr>
        <w:t>日期：</w:t>
      </w:r>
    </w:p>
    <w:p>
      <w:pPr>
        <w:pStyle w:val="5"/>
        <w:spacing w:before="120" w:after="120" w:line="600" w:lineRule="exact"/>
        <w:jc w:val="left"/>
        <w:rPr>
          <w:b/>
          <w:bCs/>
          <w:sz w:val="28"/>
          <w:szCs w:val="28"/>
        </w:rPr>
      </w:pPr>
      <w:r>
        <w:rPr>
          <w:rFonts w:hint="eastAsia"/>
          <w:b/>
          <w:bCs/>
        </w:rPr>
        <w:t>三、投标单位资格证明文件</w:t>
      </w:r>
    </w:p>
    <w:p>
      <w:pPr>
        <w:spacing w:line="360" w:lineRule="auto"/>
        <w:rPr>
          <w:rFonts w:ascii="仿宋_GB2312" w:hAnsi="仿宋_GB2312" w:eastAsia="仿宋_GB2312" w:cs="仿宋_GB2312"/>
        </w:rPr>
      </w:pPr>
      <w:r>
        <w:rPr>
          <w:rFonts w:hint="eastAsia" w:ascii="仿宋_GB2312" w:hAnsi="仿宋_GB2312" w:eastAsia="仿宋_GB2312" w:cs="仿宋_GB2312"/>
        </w:rPr>
        <w:t>1、执业许可证、税务登记证、组织机构代码证。</w:t>
      </w:r>
    </w:p>
    <w:p>
      <w:pPr>
        <w:spacing w:line="360" w:lineRule="auto"/>
        <w:rPr>
          <w:rFonts w:ascii="仿宋_GB2312" w:hAnsi="仿宋_GB2312" w:eastAsia="仿宋_GB2312" w:cs="仿宋_GB2312"/>
        </w:rPr>
      </w:pPr>
      <w:r>
        <w:rPr>
          <w:rFonts w:hint="eastAsia" w:ascii="仿宋_GB2312" w:hAnsi="仿宋_GB2312" w:eastAsia="仿宋_GB2312" w:cs="仿宋_GB2312"/>
        </w:rPr>
        <w:t>2、法定代表人身份证明书、法定代表人授权委托书。</w:t>
      </w:r>
    </w:p>
    <w:p>
      <w:pPr>
        <w:spacing w:line="360" w:lineRule="auto"/>
        <w:rPr>
          <w:rFonts w:ascii="仿宋_GB2312" w:hAnsi="仿宋_GB2312" w:eastAsia="仿宋_GB2312" w:cs="仿宋_GB2312"/>
        </w:rPr>
      </w:pPr>
      <w:r>
        <w:rPr>
          <w:rFonts w:hint="eastAsia" w:ascii="仿宋_GB2312" w:hAnsi="仿宋_GB2312" w:eastAsia="仿宋_GB2312" w:cs="仿宋_GB2312"/>
        </w:rPr>
        <w:t>3、项目负责人资质证明文件及社保证明。</w:t>
      </w:r>
    </w:p>
    <w:p>
      <w:pPr>
        <w:spacing w:line="360" w:lineRule="auto"/>
        <w:rPr>
          <w:rFonts w:ascii="仿宋_GB2312" w:hAnsi="仿宋_GB2312" w:eastAsia="仿宋_GB2312" w:cs="仿宋_GB2312"/>
        </w:rPr>
      </w:pPr>
      <w:r>
        <w:rPr>
          <w:rFonts w:hint="eastAsia" w:ascii="仿宋_GB2312" w:hAnsi="仿宋_GB2312" w:eastAsia="仿宋_GB2312" w:cs="仿宋_GB2312"/>
        </w:rPr>
        <w:t>4、项目服务人员资质文件及社保证明。</w:t>
      </w:r>
    </w:p>
    <w:p>
      <w:pPr>
        <w:spacing w:line="360" w:lineRule="auto"/>
        <w:rPr>
          <w:rFonts w:ascii="仿宋_GB2312" w:hAnsi="仿宋_GB2312" w:eastAsia="仿宋_GB2312" w:cs="仿宋_GB2312"/>
        </w:rPr>
      </w:pPr>
    </w:p>
    <w:p>
      <w:pPr>
        <w:spacing w:line="360" w:lineRule="auto"/>
        <w:rPr>
          <w:rFonts w:ascii="仿宋_GB2312" w:hAnsi="仿宋_GB2312" w:eastAsia="仿宋_GB2312" w:cs="仿宋_GB2312"/>
        </w:rPr>
      </w:pPr>
      <w:r>
        <w:rPr>
          <w:rFonts w:hint="eastAsia" w:ascii="仿宋_GB2312" w:hAnsi="仿宋_GB2312" w:eastAsia="仿宋_GB2312" w:cs="仿宋_GB2312"/>
        </w:rPr>
        <w:t>投标单位代表签字：</w:t>
      </w:r>
    </w:p>
    <w:p>
      <w:pPr>
        <w:spacing w:line="360" w:lineRule="auto"/>
        <w:rPr>
          <w:rFonts w:ascii="仿宋_GB2312" w:hAnsi="仿宋_GB2312" w:eastAsia="仿宋_GB2312" w:cs="仿宋_GB2312"/>
        </w:rPr>
      </w:pPr>
    </w:p>
    <w:p>
      <w:pPr>
        <w:spacing w:line="360" w:lineRule="auto"/>
        <w:rPr>
          <w:rFonts w:ascii="仿宋_GB2312" w:hAnsi="仿宋_GB2312" w:eastAsia="仿宋_GB2312" w:cs="仿宋_GB2312"/>
        </w:rPr>
      </w:pPr>
      <w:r>
        <w:rPr>
          <w:rFonts w:hint="eastAsia" w:ascii="仿宋_GB2312" w:hAnsi="仿宋_GB2312" w:eastAsia="仿宋_GB2312" w:cs="仿宋_GB2312"/>
        </w:rPr>
        <w:t>单位盖章：</w:t>
      </w:r>
    </w:p>
    <w:p>
      <w:pPr>
        <w:pStyle w:val="7"/>
        <w:ind w:firstLine="0" w:firstLineChars="0"/>
        <w:rPr>
          <w:rFonts w:ascii="仿宋_GB2312" w:hAnsi="仿宋_GB2312" w:eastAsia="仿宋_GB2312" w:cs="仿宋_GB2312"/>
        </w:rPr>
      </w:pPr>
    </w:p>
    <w:p>
      <w:pPr>
        <w:pStyle w:val="7"/>
        <w:ind w:firstLine="0" w:firstLineChars="0"/>
        <w:rPr>
          <w:rFonts w:ascii="仿宋_GB2312" w:hAnsi="仿宋_GB2312" w:eastAsia="仿宋_GB2312" w:cs="仿宋_GB2312"/>
        </w:rPr>
      </w:pPr>
      <w:r>
        <w:rPr>
          <w:rFonts w:hint="eastAsia" w:ascii="仿宋_GB2312" w:hAnsi="仿宋_GB2312" w:eastAsia="仿宋_GB2312" w:cs="仿宋_GB2312"/>
        </w:rPr>
        <w:t>日期：</w:t>
      </w:r>
    </w:p>
    <w:p>
      <w:pPr>
        <w:spacing w:line="360" w:lineRule="auto"/>
        <w:jc w:val="both"/>
        <w:rPr>
          <w:b/>
          <w:bCs/>
        </w:rPr>
      </w:pPr>
      <w:r>
        <w:rPr>
          <w:rFonts w:hint="eastAsia"/>
          <w:b/>
          <w:bCs/>
          <w:szCs w:val="20"/>
        </w:rPr>
        <w:t>四、《政府采购投标及履约承诺函》</w:t>
      </w:r>
    </w:p>
    <w:p>
      <w:pPr>
        <w:jc w:val="center"/>
        <w:rPr>
          <w:b/>
          <w:bCs/>
        </w:rPr>
      </w:pPr>
    </w:p>
    <w:p>
      <w:pPr>
        <w:rPr>
          <w:rFonts w:ascii="仿宋_GB2312" w:hAnsi="仿宋_GB2312" w:eastAsia="仿宋_GB2312" w:cs="仿宋_GB2312"/>
          <w:b/>
          <w:bCs/>
        </w:rPr>
      </w:pPr>
      <w:r>
        <w:rPr>
          <w:rFonts w:hint="eastAsia" w:ascii="仿宋_GB2312" w:hAnsi="仿宋_GB2312" w:eastAsia="仿宋_GB2312" w:cs="仿宋_GB2312"/>
          <w:b/>
          <w:bCs/>
        </w:rPr>
        <w:t>致：深圳市南山区住房和建设局</w:t>
      </w:r>
    </w:p>
    <w:p>
      <w:pPr>
        <w:rPr>
          <w:rFonts w:ascii="仿宋_GB2312" w:hAnsi="仿宋_GB2312" w:eastAsia="仿宋_GB2312" w:cs="仿宋_GB2312"/>
          <w:b/>
          <w:bCs/>
        </w:rPr>
      </w:pPr>
    </w:p>
    <w:p>
      <w:pPr>
        <w:ind w:firstLine="480" w:firstLineChars="200"/>
      </w:pPr>
      <w:r>
        <w:rPr>
          <w:rFonts w:hint="eastAsia"/>
        </w:rPr>
        <w:t xml:space="preserve">致：                    </w:t>
      </w:r>
    </w:p>
    <w:p>
      <w:pPr>
        <w:ind w:firstLine="480" w:firstLineChars="200"/>
      </w:pPr>
      <w:r>
        <w:rPr>
          <w:rFonts w:hint="eastAsia"/>
        </w:rPr>
        <w:t>我公司承诺：</w:t>
      </w:r>
    </w:p>
    <w:p>
      <w:pPr>
        <w:ind w:firstLine="480" w:firstLineChars="200"/>
      </w:pPr>
      <w:r>
        <w:rPr>
          <w:rFonts w:hint="eastAsia"/>
        </w:rPr>
        <w:t>1.我公司本招标项目所提供的货物或服务未侵犯他人知识产权。</w:t>
      </w:r>
    </w:p>
    <w:p>
      <w:pPr>
        <w:ind w:firstLine="480" w:firstLineChars="200"/>
      </w:pPr>
      <w:r>
        <w:rPr>
          <w:rFonts w:hint="eastAsia"/>
        </w:rPr>
        <w:t>2.我公司参与本项目投标前三年内，在经营活动中没有重大违法记录。</w:t>
      </w:r>
    </w:p>
    <w:p>
      <w:pPr>
        <w:ind w:firstLine="480" w:firstLineChars="200"/>
      </w:pPr>
      <w:r>
        <w:rPr>
          <w:rFonts w:hint="eastAsia"/>
        </w:rPr>
        <w:t>3.我公司参与本项目政府采购活动时不存在被有关部门禁止参与政府采购活动且在有效期内的情况。</w:t>
      </w:r>
    </w:p>
    <w:p>
      <w:pPr>
        <w:ind w:firstLine="480" w:firstLineChars="200"/>
      </w:pPr>
      <w:r>
        <w:rPr>
          <w:rFonts w:hint="eastAsia"/>
        </w:rPr>
        <w:t>4.我公司具备《中华人民共和国政府采购法》第二十二条第一款的条件。</w:t>
      </w:r>
    </w:p>
    <w:p>
      <w:pPr>
        <w:ind w:firstLine="480" w:firstLineChars="200"/>
      </w:pPr>
      <w:r>
        <w:rPr>
          <w:rFonts w:hint="eastAsia"/>
        </w:rPr>
        <w:t>5.我公司未被列入失信被执行人、重大税收违法案件当事人名单、政府采购严重违法失信行为记录名单。</w:t>
      </w:r>
    </w:p>
    <w:p>
      <w:pPr>
        <w:ind w:firstLine="480" w:firstLineChars="200"/>
      </w:pPr>
      <w:r>
        <w:rPr>
          <w:rFonts w:hint="eastAsia"/>
        </w:rPr>
        <w:t>6.我公司参与该项目投标，严格遵循公平竞争的原则，不恶意串通，不妨碍其他投标人的竞争行为，不损害采购人或者其他投标人的合法权益。我公司已清楚，如违反上述要求，将作投标无效处理。</w:t>
      </w:r>
    </w:p>
    <w:p>
      <w:pPr>
        <w:ind w:firstLine="480" w:firstLineChars="200"/>
      </w:pPr>
      <w:r>
        <w:rPr>
          <w:rFonts w:hint="eastAsia"/>
        </w:rPr>
        <w:t>7.我公司如果中标，做到守信，不弄虚作假，依照本项目招标文件需求内容、签署的采购合同及本公司在投标中所作的一切承诺履约。</w:t>
      </w:r>
    </w:p>
    <w:p>
      <w:pPr>
        <w:ind w:firstLine="480" w:firstLineChars="200"/>
      </w:pPr>
      <w:r>
        <w:rPr>
          <w:rFonts w:hint="eastAsia"/>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ind w:firstLine="480" w:firstLineChars="200"/>
      </w:pPr>
      <w:r>
        <w:rPr>
          <w:rFonts w:hint="eastAsia"/>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ind w:firstLine="480" w:firstLineChars="200"/>
      </w:pPr>
      <w:r>
        <w:rPr>
          <w:rFonts w:hint="eastAsia"/>
        </w:rPr>
        <w:t>10.我公司承诺不转包、非法分包。</w:t>
      </w:r>
    </w:p>
    <w:p>
      <w:pPr>
        <w:ind w:firstLine="480" w:firstLineChars="200"/>
      </w:pPr>
      <w:r>
        <w:rPr>
          <w:rFonts w:hint="eastAsia"/>
        </w:rPr>
        <w:t>以上承诺，如有违反，愿依照国家相关法律处理，并承担由此给采购人带来的损失。</w:t>
      </w:r>
    </w:p>
    <w:p>
      <w:pPr>
        <w:ind w:firstLine="480" w:firstLineChars="200"/>
      </w:pPr>
      <w:r>
        <w:rPr>
          <w:rFonts w:hint="eastAsia"/>
        </w:rPr>
        <w:t xml:space="preserve">投标人：                       单位地址：               </w:t>
      </w:r>
    </w:p>
    <w:p>
      <w:pPr>
        <w:ind w:firstLine="480" w:firstLineChars="200"/>
      </w:pPr>
      <w:r>
        <w:rPr>
          <w:rFonts w:hint="eastAsia"/>
        </w:rPr>
        <w:t xml:space="preserve">法定代表人或其委托代理人：                   </w:t>
      </w:r>
    </w:p>
    <w:p>
      <w:pPr>
        <w:ind w:firstLine="480" w:firstLineChars="200"/>
      </w:pPr>
      <w:r>
        <w:rPr>
          <w:rFonts w:hint="eastAsia"/>
        </w:rPr>
        <w:t>日期：    年    月    日</w:t>
      </w:r>
    </w:p>
    <w:p>
      <w:pPr>
        <w:ind w:firstLine="420" w:firstLineChars="200"/>
        <w:rPr>
          <w:sz w:val="21"/>
          <w:szCs w:val="21"/>
        </w:rPr>
      </w:pPr>
    </w:p>
    <w:p>
      <w:pPr>
        <w:pStyle w:val="7"/>
        <w:ind w:firstLine="0" w:firstLineChars="0"/>
        <w:rPr>
          <w:sz w:val="21"/>
          <w:szCs w:val="21"/>
        </w:rPr>
      </w:pPr>
    </w:p>
    <w:p>
      <w:pPr>
        <w:pStyle w:val="7"/>
        <w:rPr>
          <w:sz w:val="21"/>
          <w:szCs w:val="21"/>
        </w:rPr>
      </w:pPr>
    </w:p>
    <w:p>
      <w:pPr>
        <w:rPr>
          <w:sz w:val="21"/>
          <w:szCs w:val="21"/>
        </w:rPr>
      </w:pPr>
    </w:p>
    <w:p>
      <w:pPr>
        <w:rPr>
          <w:b/>
          <w:bCs/>
          <w:sz w:val="22"/>
          <w:szCs w:val="22"/>
        </w:rPr>
      </w:pPr>
      <w:r>
        <w:rPr>
          <w:rFonts w:hint="eastAsia"/>
          <w:b/>
          <w:bCs/>
          <w:sz w:val="21"/>
          <w:szCs w:val="21"/>
        </w:rPr>
        <w:t>备注：本函所称的“公司”由各投标单位根据自身主体性质进行修改。</w:t>
      </w:r>
    </w:p>
    <w:p>
      <w:pPr>
        <w:keepNext/>
        <w:keepLines/>
        <w:widowControl w:val="0"/>
        <w:adjustRightInd w:val="0"/>
        <w:spacing w:before="156" w:beforeLines="50" w:after="156"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rPr>
        <w:t>五</w:t>
      </w:r>
      <w:r>
        <w:rPr>
          <w:rFonts w:ascii="Times New Roman" w:hAnsi="Times New Roman" w:cs="Times New Roman"/>
          <w:b/>
          <w:bCs/>
          <w:szCs w:val="20"/>
        </w:rPr>
        <w:t>、</w:t>
      </w:r>
      <w:r>
        <w:rPr>
          <w:rFonts w:hint="eastAsia" w:ascii="Times New Roman" w:hAnsi="Times New Roman" w:cs="Times New Roman"/>
          <w:b/>
          <w:bCs/>
          <w:szCs w:val="20"/>
        </w:rPr>
        <w:t>项目</w:t>
      </w:r>
      <w:r>
        <w:rPr>
          <w:rFonts w:ascii="Times New Roman" w:hAnsi="Times New Roman" w:cs="Times New Roman"/>
          <w:b/>
          <w:bCs/>
          <w:szCs w:val="20"/>
        </w:rPr>
        <w:t>服务方案</w:t>
      </w:r>
    </w:p>
    <w:p>
      <w:pPr>
        <w:keepNext/>
        <w:keepLines/>
        <w:widowControl w:val="0"/>
        <w:adjustRightInd w:val="0"/>
        <w:spacing w:before="156" w:beforeLines="50" w:after="156"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rPr>
        <w:t>六</w:t>
      </w:r>
      <w:r>
        <w:rPr>
          <w:rFonts w:ascii="Times New Roman" w:hAnsi="Times New Roman" w:cs="Times New Roman"/>
          <w:b/>
          <w:bCs/>
          <w:szCs w:val="20"/>
        </w:rPr>
        <w:t>、项目重点难点分析、应对措施及相关的合理化建议（格式自定）</w:t>
      </w:r>
    </w:p>
    <w:p>
      <w:pPr>
        <w:keepNext/>
        <w:keepLines/>
        <w:widowControl w:val="0"/>
        <w:adjustRightInd w:val="0"/>
        <w:spacing w:before="156" w:beforeLines="50" w:after="156"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rPr>
        <w:t>七</w:t>
      </w:r>
      <w:r>
        <w:rPr>
          <w:rFonts w:ascii="Times New Roman" w:hAnsi="Times New Roman" w:cs="Times New Roman"/>
          <w:b/>
          <w:bCs/>
          <w:szCs w:val="20"/>
        </w:rPr>
        <w:t>、质量（完成时间、安全、环保）保障措施及方案（格式自定）</w:t>
      </w:r>
    </w:p>
    <w:p>
      <w:pPr>
        <w:keepNext/>
        <w:keepLines/>
        <w:widowControl w:val="0"/>
        <w:adjustRightInd w:val="0"/>
        <w:spacing w:before="156" w:beforeLines="50" w:after="156" w:afterLines="50"/>
        <w:textAlignment w:val="baseline"/>
        <w:outlineLvl w:val="1"/>
        <w:rPr>
          <w:rFonts w:ascii="黑体" w:hAnsi="黑体" w:eastAsia="黑体"/>
          <w:sz w:val="40"/>
          <w:szCs w:val="40"/>
        </w:rPr>
      </w:pPr>
      <w:r>
        <w:rPr>
          <w:rFonts w:hint="eastAsia" w:ascii="Times New Roman" w:hAnsi="Times New Roman" w:cs="Times New Roman"/>
          <w:b/>
          <w:bCs/>
          <w:szCs w:val="20"/>
        </w:rPr>
        <w:t>八、</w:t>
      </w:r>
      <w:r>
        <w:rPr>
          <w:rFonts w:ascii="Times New Roman" w:hAnsi="Times New Roman" w:cs="Times New Roman"/>
          <w:b/>
          <w:bCs/>
          <w:szCs w:val="20"/>
        </w:rPr>
        <w:t>其他招标文件要求的资料或投标人认为需要补充的资料（格式自定）</w:t>
      </w:r>
      <w:bookmarkStart w:id="16" w:name="bt合同的授予"/>
      <w:bookmarkEnd w:id="16"/>
    </w:p>
    <w:p>
      <w:pPr>
        <w:pStyle w:val="7"/>
        <w:ind w:firstLine="0" w:firstLineChars="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2000000" w:usb3="00000000" w:csb0="0000019F" w:csb1="00000000"/>
  </w:font>
  <w:font w:name="微软雅黑">
    <w:altName w:val="方正黑体_GBK"/>
    <w:panose1 w:val="020B0503020204020204"/>
    <w:charset w:val="00"/>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I1QoscYBAACbAwAADgAAAAAAAAAB&#10;ACAAAAA0AQAAZHJzL2Uyb0RvYy54bWxQSwUGAAAAAAYABgBZAQAAbAU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99C"/>
    <w:multiLevelType w:val="singleLevel"/>
    <w:tmpl w:val="ADEF299C"/>
    <w:lvl w:ilvl="0" w:tentative="0">
      <w:start w:val="11"/>
      <w:numFmt w:val="decimal"/>
      <w:suff w:val="nothing"/>
      <w:lvlText w:val="%1、"/>
      <w:lvlJc w:val="left"/>
    </w:lvl>
  </w:abstractNum>
  <w:abstractNum w:abstractNumId="1">
    <w:nsid w:val="38C10E5F"/>
    <w:multiLevelType w:val="multilevel"/>
    <w:tmpl w:val="38C10E5F"/>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4C6204E4"/>
    <w:multiLevelType w:val="multilevel"/>
    <w:tmpl w:val="4C6204E4"/>
    <w:lvl w:ilvl="0" w:tentative="0">
      <w:start w:val="1"/>
      <w:numFmt w:val="japaneseCounting"/>
      <w:lvlText w:val="第%1条"/>
      <w:lvlJc w:val="left"/>
      <w:pPr>
        <w:tabs>
          <w:tab w:val="left" w:pos="1170"/>
        </w:tabs>
        <w:ind w:left="1170" w:hanging="750"/>
      </w:pPr>
      <w:rPr>
        <w:rFonts w:hint="eastAsia"/>
        <w:lang w:val="en-US"/>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eastAsia"/>
      </w:rPr>
    </w:lvl>
    <w:lvl w:ilvl="3" w:tentative="0">
      <w:start w:val="1"/>
      <w:numFmt w:val="decimal"/>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LY">
    <w15:presenceInfo w15:providerId="None" w15:userId="H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120"/>
  <w:drawingGridVerticalSpacing w:val="23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304"/>
    <w:rsid w:val="003763CC"/>
    <w:rsid w:val="003C3CE5"/>
    <w:rsid w:val="00405B13"/>
    <w:rsid w:val="004D16C6"/>
    <w:rsid w:val="0054464E"/>
    <w:rsid w:val="005D5071"/>
    <w:rsid w:val="00612CF7"/>
    <w:rsid w:val="006C554A"/>
    <w:rsid w:val="00777D51"/>
    <w:rsid w:val="007D5423"/>
    <w:rsid w:val="00852BDF"/>
    <w:rsid w:val="008F4644"/>
    <w:rsid w:val="00951C78"/>
    <w:rsid w:val="00A86A70"/>
    <w:rsid w:val="00CC7304"/>
    <w:rsid w:val="00E23555"/>
    <w:rsid w:val="00F53AB3"/>
    <w:rsid w:val="00FC5DDB"/>
    <w:rsid w:val="01D7180B"/>
    <w:rsid w:val="02D77195"/>
    <w:rsid w:val="04C5265C"/>
    <w:rsid w:val="073A5FB2"/>
    <w:rsid w:val="07B715E0"/>
    <w:rsid w:val="087D574D"/>
    <w:rsid w:val="08981E86"/>
    <w:rsid w:val="0AE31A2E"/>
    <w:rsid w:val="0BF55E04"/>
    <w:rsid w:val="0ED47BAC"/>
    <w:rsid w:val="0F1B1618"/>
    <w:rsid w:val="10BF28F1"/>
    <w:rsid w:val="117E1141"/>
    <w:rsid w:val="139A16C4"/>
    <w:rsid w:val="15232D98"/>
    <w:rsid w:val="154E7F91"/>
    <w:rsid w:val="167A3B12"/>
    <w:rsid w:val="190B634A"/>
    <w:rsid w:val="1BC03DB0"/>
    <w:rsid w:val="1C172A31"/>
    <w:rsid w:val="1E1B1B53"/>
    <w:rsid w:val="1E473DD9"/>
    <w:rsid w:val="1F3768AD"/>
    <w:rsid w:val="2077CEC4"/>
    <w:rsid w:val="22501CD2"/>
    <w:rsid w:val="25412922"/>
    <w:rsid w:val="28563A46"/>
    <w:rsid w:val="28981DED"/>
    <w:rsid w:val="2A270B69"/>
    <w:rsid w:val="2CE56ADE"/>
    <w:rsid w:val="2D301F87"/>
    <w:rsid w:val="2D377CB9"/>
    <w:rsid w:val="2DF04122"/>
    <w:rsid w:val="2F3841E1"/>
    <w:rsid w:val="30B22432"/>
    <w:rsid w:val="30FFF0B9"/>
    <w:rsid w:val="31DDCA17"/>
    <w:rsid w:val="33FE6C06"/>
    <w:rsid w:val="39C90E3B"/>
    <w:rsid w:val="3AF493AD"/>
    <w:rsid w:val="3AFC3027"/>
    <w:rsid w:val="3BC71C53"/>
    <w:rsid w:val="3CDB6A34"/>
    <w:rsid w:val="3E536AC8"/>
    <w:rsid w:val="3F635F01"/>
    <w:rsid w:val="3F6DB341"/>
    <w:rsid w:val="3F963C27"/>
    <w:rsid w:val="3FFFF100"/>
    <w:rsid w:val="429B639E"/>
    <w:rsid w:val="475E2534"/>
    <w:rsid w:val="48530AC1"/>
    <w:rsid w:val="489D0B82"/>
    <w:rsid w:val="49773A1E"/>
    <w:rsid w:val="4A0050F8"/>
    <w:rsid w:val="4A69757A"/>
    <w:rsid w:val="4E1513AC"/>
    <w:rsid w:val="4EF61080"/>
    <w:rsid w:val="504D3381"/>
    <w:rsid w:val="51974E0E"/>
    <w:rsid w:val="536137E9"/>
    <w:rsid w:val="56057761"/>
    <w:rsid w:val="561B4563"/>
    <w:rsid w:val="59F91C1C"/>
    <w:rsid w:val="5ABC71C0"/>
    <w:rsid w:val="5AF68C36"/>
    <w:rsid w:val="5B7AB182"/>
    <w:rsid w:val="5CAB5E8D"/>
    <w:rsid w:val="5E1F1CB5"/>
    <w:rsid w:val="5E7F41C2"/>
    <w:rsid w:val="5FE00FF1"/>
    <w:rsid w:val="5FF7DD65"/>
    <w:rsid w:val="5FFFB211"/>
    <w:rsid w:val="60DD4408"/>
    <w:rsid w:val="610E0005"/>
    <w:rsid w:val="62230F2F"/>
    <w:rsid w:val="6670357B"/>
    <w:rsid w:val="66B74A3E"/>
    <w:rsid w:val="686509AC"/>
    <w:rsid w:val="6908104D"/>
    <w:rsid w:val="69FECA91"/>
    <w:rsid w:val="6B6DE5C0"/>
    <w:rsid w:val="6DC9740A"/>
    <w:rsid w:val="6EA60D2B"/>
    <w:rsid w:val="6F7FE1B9"/>
    <w:rsid w:val="71F14957"/>
    <w:rsid w:val="746F626B"/>
    <w:rsid w:val="749469E6"/>
    <w:rsid w:val="75863DD3"/>
    <w:rsid w:val="75E447B9"/>
    <w:rsid w:val="77DEFE11"/>
    <w:rsid w:val="77FF44C0"/>
    <w:rsid w:val="786B4F68"/>
    <w:rsid w:val="78AE5C2A"/>
    <w:rsid w:val="79904AA1"/>
    <w:rsid w:val="7B357D14"/>
    <w:rsid w:val="7B7E1869"/>
    <w:rsid w:val="7BBD0D50"/>
    <w:rsid w:val="7C9E64D7"/>
    <w:rsid w:val="7E4D3C99"/>
    <w:rsid w:val="7E75070D"/>
    <w:rsid w:val="7E7F3334"/>
    <w:rsid w:val="7ECFAFF1"/>
    <w:rsid w:val="7ED55142"/>
    <w:rsid w:val="7F35E62A"/>
    <w:rsid w:val="7FABB126"/>
    <w:rsid w:val="7FF9A9E2"/>
    <w:rsid w:val="7FFE3546"/>
    <w:rsid w:val="9AE53037"/>
    <w:rsid w:val="A3244350"/>
    <w:rsid w:val="AF77EC37"/>
    <w:rsid w:val="AF7F2535"/>
    <w:rsid w:val="AF97C23B"/>
    <w:rsid w:val="AFF7C395"/>
    <w:rsid w:val="B7DF809F"/>
    <w:rsid w:val="B7F422BD"/>
    <w:rsid w:val="B9FFEECF"/>
    <w:rsid w:val="BB4B7F85"/>
    <w:rsid w:val="BC3CB9C5"/>
    <w:rsid w:val="BE2F9B2E"/>
    <w:rsid w:val="BEF975A9"/>
    <w:rsid w:val="BFEB83EA"/>
    <w:rsid w:val="D1FF0D50"/>
    <w:rsid w:val="DDBAA227"/>
    <w:rsid w:val="DDFF72C3"/>
    <w:rsid w:val="DFA37EA7"/>
    <w:rsid w:val="DFDD372D"/>
    <w:rsid w:val="EA5F4727"/>
    <w:rsid w:val="EAEF4929"/>
    <w:rsid w:val="EDA88444"/>
    <w:rsid w:val="EDB70DEF"/>
    <w:rsid w:val="EDCDA93D"/>
    <w:rsid w:val="EF7FCC93"/>
    <w:rsid w:val="EFFE9215"/>
    <w:rsid w:val="F5C095E4"/>
    <w:rsid w:val="F67BD5A8"/>
    <w:rsid w:val="F7FB7916"/>
    <w:rsid w:val="F7FCA932"/>
    <w:rsid w:val="F9FF52B0"/>
    <w:rsid w:val="FAF3B857"/>
    <w:rsid w:val="FB3F0A5E"/>
    <w:rsid w:val="FBFBD433"/>
    <w:rsid w:val="FC7D5B66"/>
    <w:rsid w:val="FD49665C"/>
    <w:rsid w:val="FDFB82A2"/>
    <w:rsid w:val="FDFF3F5C"/>
    <w:rsid w:val="FEEEFA98"/>
    <w:rsid w:val="FF2E52FE"/>
    <w:rsid w:val="FF7F7FA9"/>
    <w:rsid w:val="FFBBD83B"/>
    <w:rsid w:val="FFBE8D68"/>
    <w:rsid w:val="FFBF297A"/>
    <w:rsid w:val="FFE21ED8"/>
    <w:rsid w:val="FFEF900D"/>
    <w:rsid w:val="FFF7533A"/>
    <w:rsid w:val="FFFEDE1A"/>
    <w:rsid w:val="FFFF7CD6"/>
    <w:rsid w:val="FFFFE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0"/>
    <w:pPr>
      <w:spacing w:before="340" w:after="330" w:line="360" w:lineRule="auto"/>
      <w:ind w:left="472" w:hanging="472" w:hangingChars="196"/>
      <w:jc w:val="center"/>
      <w:outlineLvl w:val="0"/>
    </w:pPr>
    <w:rPr>
      <w:kern w:val="44"/>
      <w:szCs w:val="44"/>
    </w:rPr>
  </w:style>
  <w:style w:type="paragraph" w:styleId="5">
    <w:name w:val="heading 2"/>
    <w:basedOn w:val="1"/>
    <w:next w:val="1"/>
    <w:qFormat/>
    <w:uiPriority w:val="0"/>
    <w:pPr>
      <w:adjustRightInd w:val="0"/>
      <w:jc w:val="center"/>
      <w:textAlignment w:val="baseline"/>
      <w:outlineLvl w:val="1"/>
    </w:pPr>
    <w:rPr>
      <w:szCs w:val="20"/>
    </w:rPr>
  </w:style>
  <w:style w:type="paragraph" w:styleId="6">
    <w:name w:val="heading 3"/>
    <w:basedOn w:val="1"/>
    <w:next w:val="1"/>
    <w:link w:val="26"/>
    <w:qFormat/>
    <w:uiPriority w:val="9"/>
    <w:pPr>
      <w:spacing w:before="260" w:after="260" w:line="416" w:lineRule="auto"/>
      <w:outlineLvl w:val="2"/>
    </w:pPr>
    <w:rPr>
      <w:rFonts w:ascii="Times New Roman" w:hAnsi="Times New Roman" w:cs="Times New Roman"/>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line="360" w:lineRule="auto"/>
    </w:pPr>
    <w:rPr>
      <w:rFonts w:cs="Times New Roman"/>
      <w:b/>
      <w:bCs/>
    </w:rPr>
  </w:style>
  <w:style w:type="paragraph" w:styleId="7">
    <w:name w:val="Normal Indent"/>
    <w:basedOn w:val="1"/>
    <w:qFormat/>
    <w:uiPriority w:val="0"/>
    <w:pPr>
      <w:ind w:firstLine="420" w:firstLineChars="200"/>
    </w:pPr>
  </w:style>
  <w:style w:type="paragraph" w:styleId="8">
    <w:name w:val="Document Map"/>
    <w:basedOn w:val="1"/>
    <w:link w:val="27"/>
    <w:qFormat/>
    <w:uiPriority w:val="0"/>
    <w:rPr>
      <w:sz w:val="18"/>
      <w:szCs w:val="18"/>
    </w:rPr>
  </w:style>
  <w:style w:type="paragraph" w:styleId="9">
    <w:name w:val="annotation text"/>
    <w:basedOn w:val="1"/>
    <w:qFormat/>
    <w:uiPriority w:val="0"/>
  </w:style>
  <w:style w:type="paragraph" w:styleId="10">
    <w:name w:val="Body Text Indent"/>
    <w:basedOn w:val="1"/>
    <w:unhideWhenUsed/>
    <w:qFormat/>
    <w:uiPriority w:val="0"/>
    <w:pPr>
      <w:spacing w:after="120"/>
      <w:ind w:left="420" w:leftChars="200"/>
    </w:pPr>
  </w:style>
  <w:style w:type="paragraph" w:styleId="11">
    <w:name w:val="footer"/>
    <w:basedOn w:val="1"/>
    <w:unhideWhenUsed/>
    <w:qFormat/>
    <w:uiPriority w:val="99"/>
    <w:pPr>
      <w:tabs>
        <w:tab w:val="center" w:pos="4153"/>
        <w:tab w:val="right" w:pos="8306"/>
      </w:tabs>
      <w:snapToGrid w:val="0"/>
    </w:pPr>
    <w:rPr>
      <w:rFonts w:ascii="Times New Roman" w:hAnsi="Times New Roman" w:cs="Times New Roman"/>
      <w:sz w:val="18"/>
      <w:szCs w:val="18"/>
    </w:rPr>
  </w:style>
  <w:style w:type="paragraph" w:styleId="12">
    <w:name w:val="header"/>
    <w:basedOn w:val="1"/>
    <w:next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toc 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4">
    <w:name w:val="Normal (Web)"/>
    <w:basedOn w:val="1"/>
    <w:qFormat/>
    <w:uiPriority w:val="99"/>
    <w:pPr>
      <w:spacing w:beforeAutospacing="1" w:afterAutospacing="1"/>
    </w:pPr>
    <w:rPr>
      <w:rFonts w:cs="Times New Roman"/>
    </w:rPr>
  </w:style>
  <w:style w:type="paragraph" w:styleId="15">
    <w:name w:val="Title"/>
    <w:basedOn w:val="1"/>
    <w:next w:val="1"/>
    <w:qFormat/>
    <w:uiPriority w:val="0"/>
    <w:pPr>
      <w:spacing w:before="240" w:after="60"/>
      <w:jc w:val="center"/>
      <w:outlineLvl w:val="0"/>
    </w:pPr>
    <w:rPr>
      <w:rFonts w:ascii="Cambria" w:hAnsi="Cambria" w:cs="Times New Roman"/>
      <w:b/>
      <w:bCs/>
      <w:sz w:val="32"/>
      <w:szCs w:val="32"/>
    </w:rPr>
  </w:style>
  <w:style w:type="paragraph" w:styleId="16">
    <w:name w:val="Body Text First Indent 2"/>
    <w:basedOn w:val="10"/>
    <w:qFormat/>
    <w:uiPriority w:val="0"/>
    <w:pPr>
      <w:ind w:firstLine="420" w:firstLineChars="200"/>
    </w:pPr>
    <w:rPr>
      <w:rFonts w:ascii="Calibri" w:hAnsi="Calibri" w:cs="Times New Roman"/>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llowedHyperlink"/>
    <w:basedOn w:val="19"/>
    <w:qFormat/>
    <w:uiPriority w:val="0"/>
    <w:rPr>
      <w:rFonts w:hint="eastAsia" w:ascii="微软雅黑" w:hAnsi="微软雅黑" w:eastAsia="微软雅黑" w:cs="微软雅黑"/>
      <w:color w:val="333333"/>
      <w:sz w:val="21"/>
      <w:szCs w:val="21"/>
      <w:u w:val="none"/>
    </w:rPr>
  </w:style>
  <w:style w:type="character" w:styleId="22">
    <w:name w:val="Emphasis"/>
    <w:basedOn w:val="19"/>
    <w:qFormat/>
    <w:uiPriority w:val="0"/>
  </w:style>
  <w:style w:type="character" w:styleId="23">
    <w:name w:val="Hyperlink"/>
    <w:basedOn w:val="19"/>
    <w:qFormat/>
    <w:uiPriority w:val="0"/>
    <w:rPr>
      <w:rFonts w:hint="eastAsia" w:ascii="微软雅黑" w:hAnsi="微软雅黑" w:eastAsia="微软雅黑" w:cs="微软雅黑"/>
      <w:color w:val="333333"/>
      <w:sz w:val="21"/>
      <w:szCs w:val="21"/>
      <w:u w:val="none"/>
    </w:rPr>
  </w:style>
  <w:style w:type="character" w:styleId="24">
    <w:name w:val="annotation reference"/>
    <w:unhideWhenUsed/>
    <w:qFormat/>
    <w:uiPriority w:val="99"/>
    <w:rPr>
      <w:sz w:val="21"/>
      <w:szCs w:val="21"/>
    </w:rPr>
  </w:style>
  <w:style w:type="character" w:styleId="25">
    <w:name w:val="HTML Cite"/>
    <w:basedOn w:val="19"/>
    <w:qFormat/>
    <w:uiPriority w:val="0"/>
  </w:style>
  <w:style w:type="character" w:customStyle="1" w:styleId="26">
    <w:name w:val="标题 3 字符"/>
    <w:link w:val="6"/>
    <w:qFormat/>
    <w:uiPriority w:val="9"/>
    <w:rPr>
      <w:rFonts w:ascii="Times New Roman" w:hAnsi="Times New Roman" w:cs="Times New Roman"/>
      <w:b/>
      <w:bCs/>
      <w:sz w:val="32"/>
      <w:szCs w:val="32"/>
    </w:rPr>
  </w:style>
  <w:style w:type="character" w:customStyle="1" w:styleId="27">
    <w:name w:val="文档结构图 字符"/>
    <w:basedOn w:val="19"/>
    <w:link w:val="8"/>
    <w:qFormat/>
    <w:uiPriority w:val="0"/>
    <w:rPr>
      <w:rFonts w:ascii="宋体" w:hAnsi="宋体" w:cs="宋体"/>
      <w:sz w:val="18"/>
      <w:szCs w:val="18"/>
    </w:rPr>
  </w:style>
  <w:style w:type="character" w:customStyle="1" w:styleId="28">
    <w:name w:val="页眉 字符"/>
    <w:basedOn w:val="19"/>
    <w:link w:val="12"/>
    <w:qFormat/>
    <w:uiPriority w:val="0"/>
    <w:rPr>
      <w:rFonts w:ascii="宋体" w:hAnsi="宋体" w:cs="宋体"/>
      <w:sz w:val="18"/>
      <w:szCs w:val="18"/>
    </w:rPr>
  </w:style>
  <w:style w:type="character" w:customStyle="1" w:styleId="29">
    <w:name w:val="layui-layer-tabnow"/>
    <w:basedOn w:val="19"/>
    <w:qFormat/>
    <w:uiPriority w:val="0"/>
    <w:rPr>
      <w:bdr w:val="single" w:color="CCCCCC" w:sz="6" w:space="0"/>
      <w:shd w:val="clear" w:color="auto" w:fill="FFFFFF"/>
    </w:rPr>
  </w:style>
  <w:style w:type="character" w:customStyle="1" w:styleId="30">
    <w:name w:val="labelname"/>
    <w:basedOn w:val="19"/>
    <w:qFormat/>
    <w:uiPriority w:val="0"/>
  </w:style>
  <w:style w:type="character" w:customStyle="1" w:styleId="31">
    <w:name w:val="seacher_btn4"/>
    <w:basedOn w:val="19"/>
    <w:qFormat/>
    <w:uiPriority w:val="0"/>
    <w:rPr>
      <w:color w:val="FFFFFF"/>
      <w:shd w:val="clear" w:color="auto" w:fill="008DF9"/>
    </w:rPr>
  </w:style>
  <w:style w:type="character" w:customStyle="1" w:styleId="32">
    <w:name w:val="layui-laypage-curr"/>
    <w:basedOn w:val="19"/>
    <w:qFormat/>
    <w:uiPriority w:val="0"/>
  </w:style>
  <w:style w:type="character" w:customStyle="1" w:styleId="33">
    <w:name w:val="first-child"/>
    <w:basedOn w:val="19"/>
    <w:qFormat/>
    <w:uiPriority w:val="0"/>
  </w:style>
  <w:style w:type="paragraph" w:styleId="34">
    <w:name w:val="List Paragraph"/>
    <w:basedOn w:val="1"/>
    <w:qFormat/>
    <w:uiPriority w:val="99"/>
    <w:pPr>
      <w:ind w:firstLine="420" w:firstLineChars="200"/>
    </w:pPr>
  </w:style>
  <w:style w:type="paragraph" w:customStyle="1" w:styleId="35">
    <w:name w:val="111111"/>
    <w:basedOn w:val="1"/>
    <w:qFormat/>
    <w:uiPriority w:val="0"/>
    <w:pPr>
      <w:ind w:firstLine="470" w:firstLineChars="196"/>
    </w:pPr>
  </w:style>
  <w:style w:type="character" w:customStyle="1" w:styleId="36">
    <w:name w:val="15"/>
    <w:basedOn w:val="19"/>
    <w:qFormat/>
    <w:uiPriority w:val="99"/>
    <w:rPr>
      <w:rFonts w:ascii="Calibri" w:hAnsi="Calibri" w:cs="Calibri"/>
      <w:sz w:val="22"/>
      <w:szCs w:val="22"/>
    </w:rPr>
  </w:style>
  <w:style w:type="paragraph" w:customStyle="1" w:styleId="37">
    <w:name w:val="样式 行距: 1.5 倍行距"/>
    <w:basedOn w:val="1"/>
    <w:qFormat/>
    <w:uiPriority w:val="0"/>
    <w:pPr>
      <w:spacing w:line="360" w:lineRule="auto"/>
      <w:ind w:firstLine="482" w:firstLineChars="200"/>
    </w:pPr>
    <w:rPr>
      <w:bCs/>
      <w:iCs/>
      <w:szCs w:val="20"/>
    </w:rPr>
  </w:style>
  <w:style w:type="paragraph" w:customStyle="1" w:styleId="38">
    <w:name w:val="大分"/>
    <w:basedOn w:val="1"/>
    <w:qFormat/>
    <w:uiPriority w:val="0"/>
    <w:pPr>
      <w:autoSpaceDE w:val="0"/>
      <w:autoSpaceDN w:val="0"/>
      <w:adjustRightInd w:val="0"/>
      <w:spacing w:line="288" w:lineRule="auto"/>
      <w:ind w:firstLine="480"/>
      <w:textAlignment w:val="baseline"/>
    </w:pPr>
    <w:rPr>
      <w:szCs w:val="20"/>
    </w:rPr>
  </w:style>
  <w:style w:type="paragraph" w:customStyle="1" w:styleId="39">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2243</Words>
  <Characters>12787</Characters>
  <Lines>106</Lines>
  <Paragraphs>29</Paragraphs>
  <TotalTime>0</TotalTime>
  <ScaleCrop>false</ScaleCrop>
  <LinksUpToDate>false</LinksUpToDate>
  <CharactersWithSpaces>15001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2021-01-02T18:55:00Z</dcterms:created>
  <dc:creator>LZQ</dc:creator>
  <cp:lastModifiedBy>HLY</cp:lastModifiedBy>
  <cp:lastPrinted>2021-06-16T15:22:00Z</cp:lastPrinted>
  <dcterms:modified xsi:type="dcterms:W3CDTF">2023-07-26T09:16:17Z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F1112C1180FA451AB2F7A6A6CC01BBBC</vt:lpwstr>
  </property>
</Properties>
</file>