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779" w:firstLineChars="1700"/>
        <w:rPr>
          <w:rFonts w:ascii="方正大黑简体" w:eastAsia="方正大黑简体"/>
          <w:sz w:val="44"/>
        </w:rPr>
      </w:pPr>
      <w:r>
        <w:rPr>
          <w:rFonts w:hint="eastAsia"/>
          <w:b/>
          <w:bCs/>
          <w:sz w:val="28"/>
        </w:rPr>
        <w:t>标段编号：</w:t>
      </w:r>
      <w:r>
        <w:rPr>
          <w:sz w:val="28"/>
          <w:u w:val="single"/>
        </w:rPr>
        <w:t xml:space="preserve">       </w:t>
      </w:r>
      <w:r>
        <w:rPr>
          <w:bCs/>
          <w:sz w:val="28"/>
          <w:u w:val="single"/>
        </w:rPr>
        <w:fldChar w:fldCharType="begin"/>
      </w:r>
      <w:r>
        <w:rPr>
          <w:bCs/>
          <w:sz w:val="28"/>
          <w:u w:val="single"/>
        </w:rPr>
        <w:instrText xml:space="preserve"> AUTOTEXT  input1 \* MERGEFORMAT </w:instrText>
      </w:r>
      <w:r>
        <w:rPr>
          <w:bCs/>
          <w:sz w:val="28"/>
          <w:u w:val="single"/>
        </w:rPr>
        <w:fldChar w:fldCharType="end"/>
      </w:r>
    </w:p>
    <w:p>
      <w:pPr>
        <w:adjustRightInd w:val="0"/>
        <w:snapToGrid w:val="0"/>
        <w:spacing w:line="360" w:lineRule="auto"/>
        <w:rPr>
          <w:rFonts w:ascii="黑体" w:eastAsia="黑体"/>
          <w:b/>
          <w:bCs/>
          <w:sz w:val="28"/>
          <w:szCs w:val="28"/>
        </w:rPr>
      </w:pPr>
    </w:p>
    <w:p>
      <w:pPr>
        <w:adjustRightInd w:val="0"/>
        <w:snapToGrid w:val="0"/>
        <w:spacing w:line="360" w:lineRule="auto"/>
        <w:jc w:val="center"/>
        <w:rPr>
          <w:rFonts w:ascii="黑体" w:eastAsia="黑体"/>
          <w:b/>
          <w:bCs/>
          <w:sz w:val="72"/>
        </w:rPr>
      </w:pPr>
      <w:r>
        <w:rPr>
          <w:rFonts w:hint="eastAsia" w:ascii="黑体" w:eastAsia="黑体"/>
          <w:b/>
          <w:bCs/>
          <w:sz w:val="72"/>
        </w:rPr>
        <w:t>深圳市建设工程</w:t>
      </w:r>
    </w:p>
    <w:p>
      <w:pPr>
        <w:adjustRightInd w:val="0"/>
        <w:snapToGrid w:val="0"/>
        <w:spacing w:line="360" w:lineRule="auto"/>
        <w:jc w:val="center"/>
        <w:rPr>
          <w:rFonts w:ascii="黑体" w:eastAsia="黑体"/>
          <w:b/>
          <w:bCs/>
          <w:sz w:val="72"/>
        </w:rPr>
      </w:pPr>
      <w:r>
        <w:rPr>
          <w:rFonts w:hint="eastAsia" w:ascii="黑体" w:eastAsia="黑体"/>
          <w:b/>
          <w:bCs/>
          <w:sz w:val="72"/>
        </w:rPr>
        <w:t>其他类招标文件</w:t>
      </w:r>
    </w:p>
    <w:p>
      <w:pPr>
        <w:adjustRightInd w:val="0"/>
        <w:snapToGrid w:val="0"/>
        <w:spacing w:line="360" w:lineRule="auto"/>
        <w:ind w:firstLine="1084" w:firstLineChars="300"/>
        <w:rPr>
          <w:b/>
          <w:sz w:val="36"/>
          <w:szCs w:val="36"/>
        </w:rPr>
      </w:pPr>
    </w:p>
    <w:p>
      <w:pPr>
        <w:adjustRightInd w:val="0"/>
        <w:snapToGrid w:val="0"/>
        <w:spacing w:line="360" w:lineRule="auto"/>
        <w:ind w:firstLine="843" w:firstLineChars="300"/>
        <w:rPr>
          <w:b/>
          <w:bCs/>
          <w:sz w:val="28"/>
        </w:rPr>
      </w:pPr>
    </w:p>
    <w:p>
      <w:pPr>
        <w:adjustRightInd w:val="0"/>
        <w:snapToGrid w:val="0"/>
        <w:spacing w:line="360" w:lineRule="auto"/>
        <w:ind w:firstLine="843" w:firstLineChars="300"/>
        <w:rPr>
          <w:b/>
          <w:bCs/>
          <w:sz w:val="28"/>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adjustRightInd w:val="0"/>
        <w:snapToGrid w:val="0"/>
        <w:spacing w:line="360" w:lineRule="auto"/>
        <w:ind w:firstLine="843" w:firstLineChars="300"/>
        <w:rPr>
          <w:b/>
          <w:bCs/>
          <w:sz w:val="28"/>
          <w:szCs w:val="28"/>
        </w:rPr>
      </w:pPr>
      <w:r>
        <w:rPr>
          <w:rFonts w:hint="eastAsia"/>
          <w:b/>
          <w:bCs/>
          <w:sz w:val="28"/>
        </w:rPr>
        <w:t>标段名称：</w:t>
      </w:r>
      <w:r>
        <w:rPr>
          <w:rFonts w:hint="eastAsia"/>
          <w:snapToGrid w:val="0"/>
          <w:color w:val="0000FF"/>
          <w:sz w:val="28"/>
          <w:szCs w:val="28"/>
          <w:u w:val="single"/>
          <w:lang w:bidi="ar"/>
        </w:rPr>
        <w:t>半岛花园A区老旧小区改造工程设计</w:t>
      </w:r>
      <w:r>
        <w:rPr>
          <w:bCs/>
          <w:sz w:val="28"/>
          <w:szCs w:val="28"/>
          <w:u w:val="single"/>
        </w:rPr>
        <w:fldChar w:fldCharType="begin"/>
      </w:r>
      <w:r>
        <w:rPr>
          <w:bCs/>
          <w:sz w:val="28"/>
          <w:szCs w:val="28"/>
          <w:u w:val="single"/>
        </w:rPr>
        <w:instrText xml:space="preserve"> AUTOTEXT  input2 \* MERGEFORMAT </w:instrText>
      </w:r>
      <w:r>
        <w:rPr>
          <w:bCs/>
          <w:sz w:val="28"/>
          <w:szCs w:val="28"/>
          <w:u w:val="single"/>
        </w:rPr>
        <w:fldChar w:fldCharType="end"/>
      </w:r>
    </w:p>
    <w:p>
      <w:pPr>
        <w:adjustRightInd w:val="0"/>
        <w:snapToGrid w:val="0"/>
        <w:spacing w:line="360" w:lineRule="auto"/>
        <w:ind w:firstLine="843" w:firstLineChars="300"/>
        <w:rPr>
          <w:b/>
          <w:bCs/>
          <w:sz w:val="28"/>
        </w:rPr>
      </w:pPr>
      <w:r>
        <w:rPr>
          <w:rFonts w:hint="eastAsia"/>
          <w:b/>
          <w:bCs/>
          <w:sz w:val="28"/>
        </w:rPr>
        <w:t>招 标 人：</w:t>
      </w:r>
      <w:r>
        <w:rPr>
          <w:rFonts w:hint="eastAsia"/>
          <w:snapToGrid w:val="0"/>
          <w:color w:val="0000FF"/>
          <w:sz w:val="28"/>
          <w:szCs w:val="28"/>
          <w:u w:val="single"/>
          <w:lang w:bidi="ar"/>
        </w:rPr>
        <w:t>深圳市南山区招商街道办事处</w:t>
      </w:r>
      <w:r>
        <w:rPr>
          <w:bCs/>
          <w:sz w:val="28"/>
          <w:u w:val="single"/>
        </w:rPr>
        <w:fldChar w:fldCharType="begin"/>
      </w:r>
      <w:r>
        <w:rPr>
          <w:bCs/>
          <w:sz w:val="28"/>
          <w:u w:val="single"/>
        </w:rPr>
        <w:instrText xml:space="preserve"> AUTOTEXT  input4 \* MERGEFORMAT </w:instrText>
      </w:r>
      <w:r>
        <w:rPr>
          <w:bCs/>
          <w:sz w:val="28"/>
          <w:u w:val="single"/>
        </w:rPr>
        <w:fldChar w:fldCharType="end"/>
      </w:r>
    </w:p>
    <w:p>
      <w:pPr>
        <w:adjustRightInd w:val="0"/>
        <w:snapToGrid w:val="0"/>
        <w:spacing w:line="360" w:lineRule="auto"/>
        <w:ind w:firstLine="843" w:firstLineChars="300"/>
        <w:rPr>
          <w:b/>
          <w:bCs/>
          <w:sz w:val="28"/>
        </w:rPr>
      </w:pPr>
      <w:r>
        <w:rPr>
          <w:rFonts w:hint="eastAsia"/>
          <w:b/>
          <w:bCs/>
          <w:sz w:val="28"/>
        </w:rPr>
        <w:t>法定代表人或其委托代理人：</w:t>
      </w:r>
      <w:r>
        <w:rPr>
          <w:snapToGrid w:val="0"/>
          <w:color w:val="0000FF"/>
          <w:sz w:val="28"/>
          <w:szCs w:val="28"/>
          <w:u w:val="single"/>
          <w:lang w:bidi="ar"/>
        </w:rPr>
        <w:t>管蔚</w:t>
      </w:r>
      <w:r>
        <w:rPr>
          <w:bCs/>
          <w:sz w:val="28"/>
          <w:u w:val="single"/>
        </w:rPr>
        <w:fldChar w:fldCharType="begin"/>
      </w:r>
      <w:r>
        <w:rPr>
          <w:bCs/>
          <w:sz w:val="28"/>
          <w:u w:val="single"/>
        </w:rPr>
        <w:instrText xml:space="preserve"> AUTOTEXT  input5 \* MERGEFORMAT </w:instrText>
      </w:r>
      <w:r>
        <w:rPr>
          <w:bCs/>
          <w:sz w:val="28"/>
          <w:u w:val="single"/>
        </w:rPr>
        <w:fldChar w:fldCharType="end"/>
      </w:r>
    </w:p>
    <w:p>
      <w:pPr>
        <w:adjustRightInd w:val="0"/>
        <w:snapToGrid w:val="0"/>
        <w:spacing w:line="360" w:lineRule="auto"/>
        <w:jc w:val="center"/>
      </w:pPr>
      <w:r>
        <w:br w:type="page"/>
      </w:r>
    </w:p>
    <w:p>
      <w:pPr>
        <w:adjustRightInd w:val="0"/>
        <w:snapToGrid w:val="0"/>
        <w:spacing w:line="360" w:lineRule="auto"/>
        <w:jc w:val="center"/>
        <w:outlineLvl w:val="0"/>
        <w:rPr>
          <w:rFonts w:ascii="黑体" w:eastAsia="黑体"/>
          <w:b/>
          <w:bCs/>
          <w:sz w:val="36"/>
        </w:rPr>
      </w:pPr>
      <w:r>
        <w:rPr>
          <w:rFonts w:hint="eastAsia"/>
          <w:b/>
          <w:sz w:val="52"/>
          <w:szCs w:val="52"/>
        </w:rPr>
        <w:t>第一章  使用说明</w:t>
      </w:r>
    </w:p>
    <w:p>
      <w:pPr>
        <w:adjustRightInd w:val="0"/>
        <w:snapToGrid w:val="0"/>
        <w:spacing w:line="360" w:lineRule="auto"/>
        <w:ind w:firstLine="480" w:firstLineChars="200"/>
      </w:pPr>
      <w:r>
        <w:rPr>
          <w:rFonts w:hint="eastAsia"/>
        </w:rPr>
        <w:t>一、本招标文件示范文本的主要编写依据：</w:t>
      </w:r>
    </w:p>
    <w:p>
      <w:pPr>
        <w:adjustRightInd w:val="0"/>
        <w:snapToGrid w:val="0"/>
        <w:spacing w:line="360" w:lineRule="auto"/>
        <w:ind w:firstLine="480" w:firstLineChars="200"/>
      </w:pPr>
      <w:r>
        <w:rPr>
          <w:rFonts w:hint="eastAsia"/>
        </w:rPr>
        <w:t>1．《中华人民共和国建筑法》；</w:t>
      </w:r>
    </w:p>
    <w:p>
      <w:pPr>
        <w:adjustRightInd w:val="0"/>
        <w:snapToGrid w:val="0"/>
        <w:spacing w:line="360" w:lineRule="auto"/>
        <w:ind w:firstLine="480" w:firstLineChars="200"/>
      </w:pPr>
      <w:r>
        <w:rPr>
          <w:rFonts w:hint="eastAsia"/>
        </w:rPr>
        <w:t>2．《中华人民共和国招标投标法》；</w:t>
      </w:r>
    </w:p>
    <w:p>
      <w:pPr>
        <w:adjustRightInd w:val="0"/>
        <w:snapToGrid w:val="0"/>
        <w:spacing w:line="360" w:lineRule="auto"/>
        <w:ind w:firstLine="480" w:firstLineChars="200"/>
      </w:pPr>
      <w:r>
        <w:rPr>
          <w:rFonts w:hint="eastAsia"/>
        </w:rPr>
        <w:t>3．《中华人民共和国民法典》；</w:t>
      </w:r>
    </w:p>
    <w:p>
      <w:pPr>
        <w:adjustRightInd w:val="0"/>
        <w:snapToGrid w:val="0"/>
        <w:spacing w:line="360" w:lineRule="auto"/>
        <w:ind w:firstLine="480" w:firstLineChars="200"/>
      </w:pPr>
      <w:r>
        <w:rPr>
          <w:rFonts w:hint="eastAsia"/>
        </w:rPr>
        <w:t>4</w:t>
      </w:r>
      <w:r>
        <w:t>.</w:t>
      </w:r>
      <w:r>
        <w:rPr>
          <w:rFonts w:hint="eastAsia"/>
        </w:rPr>
        <w:t xml:space="preserve"> 《保障农民工工资支付条例》；</w:t>
      </w:r>
    </w:p>
    <w:p>
      <w:pPr>
        <w:adjustRightInd w:val="0"/>
        <w:snapToGrid w:val="0"/>
        <w:spacing w:line="360" w:lineRule="auto"/>
        <w:ind w:firstLine="480" w:firstLineChars="200"/>
      </w:pPr>
      <w:r>
        <w:rPr>
          <w:rFonts w:hint="eastAsia"/>
        </w:rPr>
        <w:t>5．《深圳经济特区建设工程施工招标投标条例》；</w:t>
      </w:r>
    </w:p>
    <w:p>
      <w:pPr>
        <w:adjustRightInd w:val="0"/>
        <w:snapToGrid w:val="0"/>
        <w:spacing w:line="360" w:lineRule="auto"/>
        <w:ind w:firstLine="480" w:firstLineChars="200"/>
      </w:pPr>
      <w:r>
        <w:rPr>
          <w:rFonts w:hint="eastAsia"/>
        </w:rPr>
        <w:t>6．《建设工程工程量清单计价规范》（GB50500-2013）；</w:t>
      </w:r>
    </w:p>
    <w:p>
      <w:pPr>
        <w:adjustRightInd w:val="0"/>
        <w:snapToGrid w:val="0"/>
        <w:spacing w:line="360" w:lineRule="auto"/>
        <w:ind w:firstLine="480" w:firstLineChars="200"/>
      </w:pPr>
      <w:r>
        <w:rPr>
          <w:rFonts w:hint="eastAsia"/>
        </w:rPr>
        <w:t>7．《关于建设工程招标投标改革的若干规定》(深府〔2015〕73号)；</w:t>
      </w:r>
    </w:p>
    <w:p>
      <w:pPr>
        <w:adjustRightInd w:val="0"/>
        <w:snapToGrid w:val="0"/>
        <w:spacing w:line="360" w:lineRule="auto"/>
        <w:ind w:firstLine="480" w:firstLineChars="200"/>
      </w:pPr>
      <w:r>
        <w:rPr>
          <w:rFonts w:hint="eastAsia"/>
        </w:rPr>
        <w:t>8.《关于进一步完善建设工程招标投标制度的若干措施》；</w:t>
      </w:r>
    </w:p>
    <w:p>
      <w:pPr>
        <w:adjustRightInd w:val="0"/>
        <w:snapToGrid w:val="0"/>
        <w:spacing w:line="360" w:lineRule="auto"/>
        <w:ind w:firstLine="480" w:firstLineChars="200"/>
      </w:pPr>
      <w:r>
        <w:rPr>
          <w:rFonts w:hint="eastAsia"/>
        </w:rPr>
        <w:t>9．《深圳市建筑废弃物管理办法》（市政府令第</w:t>
      </w:r>
      <w:r>
        <w:t>330号）</w:t>
      </w:r>
      <w:r>
        <w:rPr>
          <w:rFonts w:hint="eastAsia"/>
        </w:rPr>
        <w:t>；</w:t>
      </w:r>
    </w:p>
    <w:p>
      <w:pPr>
        <w:adjustRightInd w:val="0"/>
        <w:snapToGrid w:val="0"/>
        <w:spacing w:line="360" w:lineRule="auto"/>
        <w:ind w:firstLine="480" w:firstLineChars="200"/>
      </w:pPr>
      <w:r>
        <w:t>1</w:t>
      </w:r>
      <w:r>
        <w:rPr>
          <w:rFonts w:hint="eastAsia"/>
        </w:rPr>
        <w:t>0</w:t>
      </w:r>
      <w:r>
        <w:t>.</w:t>
      </w:r>
      <w:r>
        <w:rPr>
          <w:rFonts w:hint="eastAsia"/>
        </w:rPr>
        <w:t>其他有关工程建设的法律、法规、规章和规范性文件。</w:t>
      </w:r>
    </w:p>
    <w:p>
      <w:pPr>
        <w:adjustRightInd w:val="0"/>
        <w:snapToGrid w:val="0"/>
        <w:spacing w:line="360" w:lineRule="auto"/>
        <w:ind w:firstLine="480" w:firstLineChars="200"/>
      </w:pPr>
      <w:r>
        <w:rPr>
          <w:rFonts w:hint="eastAsia"/>
        </w:rPr>
        <w:t>二、本工程招标投标活动在</w:t>
      </w:r>
      <w:bookmarkStart w:id="0" w:name="龙岗分公司"/>
      <w:bookmarkEnd w:id="0"/>
      <w:bookmarkStart w:id="1" w:name="宝安分公司"/>
      <w:bookmarkEnd w:id="1"/>
      <w:r>
        <w:rPr>
          <w:rFonts w:hint="eastAsia"/>
        </w:rPr>
        <w:t>深圳市南山区招商街道办事处、深圳利盛管理咨询有限公司</w:t>
      </w:r>
      <w:r>
        <w:t>进行。</w:t>
      </w:r>
    </w:p>
    <w:p>
      <w:pPr>
        <w:adjustRightInd w:val="0"/>
        <w:snapToGrid w:val="0"/>
        <w:spacing w:line="360" w:lineRule="auto"/>
        <w:ind w:firstLine="480" w:firstLineChars="200"/>
      </w:pPr>
      <w:r>
        <w:rPr>
          <w:rFonts w:hint="eastAsia"/>
        </w:rPr>
        <w:t>三、本招标文件所指相关网站为：深圳市南山区政府信息公开平台（招商街道办事处）、深圳利盛管理咨询有限公司官网。</w:t>
      </w:r>
    </w:p>
    <w:p>
      <w:pPr>
        <w:adjustRightInd w:val="0"/>
        <w:snapToGrid w:val="0"/>
        <w:spacing w:line="360" w:lineRule="auto"/>
        <w:ind w:firstLine="480" w:firstLineChars="200"/>
      </w:pPr>
      <w:r>
        <w:rPr>
          <w:rFonts w:hint="eastAsia"/>
        </w:rPr>
        <w:t>四、有关投标问题的说明</w:t>
      </w:r>
    </w:p>
    <w:p>
      <w:pPr>
        <w:adjustRightInd w:val="0"/>
        <w:snapToGrid w:val="0"/>
        <w:spacing w:line="360" w:lineRule="auto"/>
        <w:ind w:firstLine="480" w:firstLineChars="200"/>
      </w:pPr>
      <w:r>
        <w:rPr>
          <w:rFonts w:hint="eastAsia"/>
        </w:rPr>
        <w:t>1.参加投标的单位（包含联合体投标的各成员）须符合投标须知前附表的资格要求。</w:t>
      </w:r>
    </w:p>
    <w:p>
      <w:pPr>
        <w:adjustRightInd w:val="0"/>
        <w:snapToGrid w:val="0"/>
        <w:spacing w:line="360" w:lineRule="auto"/>
        <w:ind w:firstLine="480" w:firstLineChars="200"/>
      </w:pPr>
      <w:r>
        <w:rPr>
          <w:rFonts w:hint="eastAsia"/>
        </w:rPr>
        <w:t>2.投标人获取招标文件后，应仔细阅读招标文件及附件的全部内容，附件与招标文件具有同等效力。</w:t>
      </w:r>
    </w:p>
    <w:p>
      <w:pPr>
        <w:adjustRightInd w:val="0"/>
        <w:snapToGrid w:val="0"/>
        <w:spacing w:line="360" w:lineRule="auto"/>
        <w:ind w:firstLine="480" w:firstLineChars="200"/>
      </w:pPr>
      <w:r>
        <w:rPr>
          <w:rFonts w:hint="eastAsia"/>
        </w:rPr>
        <w:t>3.投标人应在投标截止时间前，登记并购买招标文件、获取答疑及招标文件补充通知；招标人不接受未购买招标文件的投标人递交的投标文件。</w:t>
      </w:r>
    </w:p>
    <w:p>
      <w:pPr>
        <w:adjustRightInd w:val="0"/>
        <w:snapToGrid w:val="0"/>
        <w:spacing w:line="360" w:lineRule="auto"/>
        <w:ind w:firstLine="480" w:firstLineChars="200"/>
      </w:pPr>
      <w:r>
        <w:rPr>
          <w:rFonts w:hint="eastAsia"/>
        </w:rPr>
        <w:t>4.投标人对招标文件有不同意见或不明之处，应通过邮箱向招标代理提出。</w:t>
      </w:r>
    </w:p>
    <w:p>
      <w:pPr>
        <w:adjustRightInd w:val="0"/>
        <w:snapToGrid w:val="0"/>
        <w:spacing w:line="360" w:lineRule="auto"/>
        <w:ind w:firstLine="480" w:firstLineChars="200"/>
      </w:pPr>
      <w:r>
        <w:rPr>
          <w:rFonts w:hint="eastAsia"/>
        </w:rPr>
        <w:t>5.投标人应在遵循招标文件的各项规定和要求的前提下，编制投标文件。投标文件必须满足招标文件中的实质性要求和条件。投标文件若出现否决性条款的情形其投标将会被否决。</w:t>
      </w:r>
    </w:p>
    <w:p>
      <w:pPr>
        <w:adjustRightInd w:val="0"/>
        <w:snapToGrid w:val="0"/>
        <w:spacing w:line="360" w:lineRule="auto"/>
        <w:ind w:firstLine="480" w:firstLineChars="200"/>
      </w:pPr>
      <w:r>
        <w:rPr>
          <w:rFonts w:hint="eastAsia"/>
        </w:rPr>
        <w:t>6.投标人应严格按招标文件要求，在投标文件递交截止时间及开标时间前按要求递交投标文件。</w:t>
      </w:r>
    </w:p>
    <w:p>
      <w:pPr>
        <w:adjustRightInd w:val="0"/>
        <w:snapToGrid w:val="0"/>
        <w:spacing w:line="360" w:lineRule="auto"/>
        <w:ind w:firstLine="480" w:firstLineChars="200"/>
      </w:pPr>
      <w:r>
        <w:rPr>
          <w:rFonts w:hint="eastAsia"/>
        </w:rPr>
        <w:t>7.投标人须对投标资料的真实性负责。招标人有权将投标文件的部分或全部内容向外公示，若公示期间收到有关弄虚作假投诉的，招标人将提请建设行政主管部门或有关行政管理部门查处。一旦查实将严格按照法律法规以及《施工投标承诺函》的有关承诺作出处理。</w:t>
      </w:r>
    </w:p>
    <w:p>
      <w:pPr>
        <w:adjustRightInd w:val="0"/>
        <w:snapToGrid w:val="0"/>
        <w:spacing w:line="360" w:lineRule="auto"/>
        <w:ind w:firstLine="480" w:firstLineChars="200"/>
      </w:pPr>
      <w:r>
        <w:rPr>
          <w:rFonts w:hint="eastAsia"/>
        </w:rPr>
        <w:t>8.若投标人资质证书或安全生产许可证被暂扣或吊销，但仍参与投标的，招标人将取消其投标或中标资格、没收其投标保证金，建设行政主管部门或有关行政管理部门将按弄虚作假行为对其进行行政处罚。</w:t>
      </w:r>
    </w:p>
    <w:p>
      <w:pPr>
        <w:adjustRightInd w:val="0"/>
        <w:snapToGrid w:val="0"/>
        <w:spacing w:line="360" w:lineRule="auto"/>
        <w:ind w:firstLine="480" w:firstLineChars="200"/>
      </w:pPr>
    </w:p>
    <w:tbl>
      <w:tblPr>
        <w:tblStyle w:val="8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2835"/>
        <w:gridCol w:w="1872"/>
        <w:gridCol w:w="2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招 标 人：</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深圳市南山区招商街道办事处</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input423 \* MERGEFORMAT </w:instrText>
            </w:r>
            <w:r>
              <w:rPr>
                <w:snapToGrid w:val="0"/>
                <w:color w:val="0000FF"/>
                <w:sz w:val="21"/>
                <w:szCs w:val="21"/>
                <w:u w:val="single"/>
                <w:lang w:bidi="ar"/>
              </w:rPr>
              <w:fldChar w:fldCharType="end"/>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招标代理机构：</w:t>
            </w:r>
          </w:p>
        </w:tc>
        <w:tc>
          <w:tcPr>
            <w:tcW w:w="1568"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深圳利盛管理咨询有限公司</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input424 \* MERGEFORMAT </w:instrText>
            </w:r>
            <w:r>
              <w:rPr>
                <w:snapToGrid w:val="0"/>
                <w:color w:val="0000FF"/>
                <w:sz w:val="21"/>
                <w:szCs w:val="21"/>
                <w:u w:val="single"/>
                <w:lang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法定代表人：</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snapToGrid w:val="0"/>
                <w:color w:val="0000FF"/>
                <w:sz w:val="21"/>
                <w:szCs w:val="21"/>
                <w:u w:val="single"/>
                <w:lang w:bidi="ar"/>
              </w:rPr>
              <w:t>管蔚</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input425 \* MERGEFORMAT </w:instrText>
            </w:r>
            <w:r>
              <w:rPr>
                <w:snapToGrid w:val="0"/>
                <w:color w:val="0000FF"/>
                <w:sz w:val="21"/>
                <w:szCs w:val="21"/>
                <w:u w:val="single"/>
                <w:lang w:bidi="ar"/>
              </w:rPr>
              <w:fldChar w:fldCharType="end"/>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法定代表人：</w:t>
            </w:r>
          </w:p>
        </w:tc>
        <w:tc>
          <w:tcPr>
            <w:tcW w:w="1568"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方俊雄</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input426 \* MERGEFORMAT </w:instrText>
            </w:r>
            <w:r>
              <w:rPr>
                <w:snapToGrid w:val="0"/>
                <w:color w:val="0000FF"/>
                <w:sz w:val="21"/>
                <w:szCs w:val="21"/>
                <w:u w:val="single"/>
                <w:lang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联系地址：</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深圳市南山区招商街道蛇口荔园东路</w:t>
            </w:r>
            <w:r>
              <w:rPr>
                <w:snapToGrid w:val="0"/>
                <w:color w:val="0000FF"/>
                <w:sz w:val="21"/>
                <w:szCs w:val="21"/>
                <w:u w:val="single"/>
                <w:lang w:bidi="ar"/>
              </w:rPr>
              <w:t>118号</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input351 \* MERGEFORMAT </w:instrText>
            </w:r>
            <w:r>
              <w:rPr>
                <w:snapToGrid w:val="0"/>
                <w:color w:val="0000FF"/>
                <w:sz w:val="21"/>
                <w:szCs w:val="21"/>
                <w:u w:val="single"/>
                <w:lang w:bidi="ar"/>
              </w:rPr>
              <w:fldChar w:fldCharType="end"/>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联系地址：</w:t>
            </w:r>
          </w:p>
        </w:tc>
        <w:tc>
          <w:tcPr>
            <w:tcW w:w="1568"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深圳市南山区南头街道马家龙社区南山大道</w:t>
            </w:r>
            <w:r>
              <w:rPr>
                <w:snapToGrid w:val="0"/>
                <w:color w:val="0000FF"/>
                <w:sz w:val="21"/>
                <w:szCs w:val="21"/>
                <w:u w:val="single"/>
                <w:lang w:bidi="ar"/>
              </w:rPr>
              <w:t>3838号设计产业园设计产业园金栋318</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input352 \* MERGEFORMAT </w:instrText>
            </w:r>
            <w:r>
              <w:rPr>
                <w:snapToGrid w:val="0"/>
                <w:color w:val="0000FF"/>
                <w:sz w:val="21"/>
                <w:szCs w:val="21"/>
                <w:u w:val="single"/>
                <w:lang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联系电话：</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 xml:space="preserve">            </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input359 \* MERGEFORMAT </w:instrText>
            </w:r>
            <w:r>
              <w:rPr>
                <w:snapToGrid w:val="0"/>
                <w:color w:val="0000FF"/>
                <w:sz w:val="21"/>
                <w:szCs w:val="21"/>
                <w:u w:val="single"/>
                <w:lang w:bidi="ar"/>
              </w:rPr>
              <w:fldChar w:fldCharType="end"/>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联系电话：</w:t>
            </w:r>
          </w:p>
        </w:tc>
        <w:tc>
          <w:tcPr>
            <w:tcW w:w="1568"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 xml:space="preserve">           </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input360 \* MERGEFORMAT </w:instrText>
            </w:r>
            <w:r>
              <w:rPr>
                <w:snapToGrid w:val="0"/>
                <w:color w:val="0000FF"/>
                <w:sz w:val="21"/>
                <w:szCs w:val="21"/>
                <w:u w:val="single"/>
                <w:lang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传真电话：</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 xml:space="preserve">     /      </w:t>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传真电话：</w:t>
            </w:r>
          </w:p>
        </w:tc>
        <w:tc>
          <w:tcPr>
            <w:tcW w:w="1568" w:type="pct"/>
            <w:shd w:val="clear" w:color="auto" w:fill="auto"/>
            <w:vAlign w:val="center"/>
          </w:tcPr>
          <w:p>
            <w:pPr>
              <w:widowControl w:val="0"/>
              <w:adjustRightInd w:val="0"/>
              <w:snapToGrid w:val="0"/>
              <w:spacing w:line="360" w:lineRule="auto"/>
              <w:jc w:val="both"/>
              <w:rPr>
                <w:rFonts w:cs="Courier New"/>
                <w:u w:val="single"/>
              </w:rPr>
            </w:pPr>
            <w:r>
              <w:rPr>
                <w:rFonts w:hint="eastAsia"/>
                <w:u w:val="single"/>
              </w:rPr>
              <w:t xml:space="preserve">     /      </w:t>
            </w:r>
            <w:r>
              <w:rPr>
                <w:rFonts w:cs="Courier New"/>
                <w:bCs/>
                <w:u w:val="single"/>
              </w:rPr>
              <w:fldChar w:fldCharType="begin"/>
            </w:r>
            <w:r>
              <w:rPr>
                <w:rFonts w:cs="Courier New"/>
                <w:bCs/>
                <w:u w:val="single"/>
              </w:rPr>
              <w:instrText xml:space="preserve"> AUTOTEXT  input356 \* MERGEFORMAT </w:instrText>
            </w:r>
            <w:r>
              <w:rPr>
                <w:rFonts w:cs="Courier New"/>
                <w:bCs/>
                <w:u w:val="singl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电子信箱：</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 xml:space="preserve">     /      </w:t>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电子信箱：</w:t>
            </w:r>
          </w:p>
        </w:tc>
        <w:tc>
          <w:tcPr>
            <w:tcW w:w="1568" w:type="pct"/>
            <w:shd w:val="clear" w:color="auto" w:fill="auto"/>
            <w:vAlign w:val="center"/>
          </w:tcPr>
          <w:p>
            <w:pPr>
              <w:widowControl w:val="0"/>
              <w:adjustRightInd w:val="0"/>
              <w:snapToGrid w:val="0"/>
              <w:spacing w:line="360" w:lineRule="auto"/>
              <w:jc w:val="both"/>
              <w:rPr>
                <w:rFonts w:cs="Courier New"/>
                <w:u w:val="single"/>
              </w:rPr>
            </w:pPr>
            <w:r>
              <w:rPr>
                <w:rFonts w:hint="eastAsia"/>
                <w:u w:val="single"/>
              </w:rPr>
              <w:t xml:space="preserve">     /      </w:t>
            </w:r>
            <w:r>
              <w:rPr>
                <w:rFonts w:cs="Courier New"/>
                <w:u w:val="single"/>
              </w:rPr>
              <w:fldChar w:fldCharType="begin"/>
            </w:r>
            <w:r>
              <w:rPr>
                <w:rFonts w:cs="Courier New"/>
                <w:u w:val="single"/>
              </w:rPr>
              <w:instrText xml:space="preserve"> AUTOTEXT  input428 \* MERGEFORMAT </w:instrText>
            </w:r>
            <w:r>
              <w:rPr>
                <w:rFonts w:cs="Courier New"/>
                <w:u w:val="singl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898" w:type="pct"/>
            <w:shd w:val="clear" w:color="auto" w:fill="auto"/>
            <w:vAlign w:val="center"/>
          </w:tcPr>
          <w:p>
            <w:pPr>
              <w:widowControl w:val="0"/>
              <w:adjustRightInd w:val="0"/>
              <w:snapToGrid w:val="0"/>
              <w:spacing w:line="360" w:lineRule="auto"/>
              <w:jc w:val="both"/>
              <w:rPr>
                <w:rFonts w:cs="Courier New"/>
              </w:rPr>
            </w:pPr>
            <w:r>
              <w:rPr>
                <w:rFonts w:hint="eastAsia" w:cs="Courier New"/>
              </w:rPr>
              <w:t>日    期：</w:t>
            </w:r>
          </w:p>
        </w:tc>
        <w:tc>
          <w:tcPr>
            <w:tcW w:w="1526"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snapToGrid w:val="0"/>
                <w:color w:val="0000FF"/>
                <w:sz w:val="21"/>
                <w:szCs w:val="21"/>
                <w:u w:val="single"/>
                <w:lang w:bidi="ar"/>
              </w:rPr>
              <w:t xml:space="preserve">       </w:t>
            </w:r>
            <w:r>
              <w:rPr>
                <w:snapToGrid w:val="0"/>
                <w:color w:val="0000FF"/>
                <w:sz w:val="21"/>
                <w:szCs w:val="21"/>
                <w:u w:val="single"/>
                <w:lang w:bidi="ar"/>
              </w:rPr>
              <w:fldChar w:fldCharType="begin"/>
            </w:r>
            <w:r>
              <w:rPr>
                <w:snapToGrid w:val="0"/>
                <w:color w:val="0000FF"/>
                <w:sz w:val="21"/>
                <w:szCs w:val="21"/>
                <w:u w:val="single"/>
                <w:lang w:bidi="ar"/>
              </w:rPr>
              <w:instrText xml:space="preserve"> AUTOTEXT  input361 \* MERGEFORMAT </w:instrText>
            </w:r>
            <w:r>
              <w:rPr>
                <w:snapToGrid w:val="0"/>
                <w:color w:val="0000FF"/>
                <w:sz w:val="21"/>
                <w:szCs w:val="21"/>
                <w:u w:val="single"/>
                <w:lang w:bidi="ar"/>
              </w:rPr>
              <w:fldChar w:fldCharType="end"/>
            </w:r>
          </w:p>
        </w:tc>
        <w:tc>
          <w:tcPr>
            <w:tcW w:w="1008" w:type="pct"/>
            <w:shd w:val="clear" w:color="auto" w:fill="auto"/>
            <w:vAlign w:val="center"/>
          </w:tcPr>
          <w:p>
            <w:pPr>
              <w:widowControl w:val="0"/>
              <w:adjustRightInd w:val="0"/>
              <w:snapToGrid w:val="0"/>
              <w:spacing w:line="360" w:lineRule="auto"/>
              <w:jc w:val="both"/>
              <w:rPr>
                <w:rFonts w:cs="Courier New"/>
              </w:rPr>
            </w:pPr>
            <w:r>
              <w:rPr>
                <w:rFonts w:hint="eastAsia" w:cs="Courier New"/>
              </w:rPr>
              <w:t>日    期：</w:t>
            </w:r>
          </w:p>
        </w:tc>
        <w:tc>
          <w:tcPr>
            <w:tcW w:w="1568" w:type="pct"/>
            <w:shd w:val="clear" w:color="auto" w:fill="auto"/>
            <w:vAlign w:val="center"/>
          </w:tcPr>
          <w:p>
            <w:pPr>
              <w:widowControl w:val="0"/>
              <w:adjustRightInd w:val="0"/>
              <w:snapToGrid w:val="0"/>
              <w:spacing w:line="360" w:lineRule="auto"/>
              <w:jc w:val="both"/>
              <w:rPr>
                <w:rFonts w:cs="Courier New"/>
                <w:u w:val="single"/>
              </w:rPr>
            </w:pPr>
            <w:r>
              <w:rPr>
                <w:u w:val="single"/>
              </w:rPr>
              <w:t xml:space="preserve">       </w:t>
            </w:r>
            <w:r>
              <w:rPr>
                <w:rFonts w:cs="Courier New"/>
                <w:bCs/>
                <w:u w:val="single"/>
              </w:rPr>
              <w:fldChar w:fldCharType="begin"/>
            </w:r>
            <w:r>
              <w:rPr>
                <w:rFonts w:cs="Courier New"/>
                <w:bCs/>
                <w:u w:val="single"/>
              </w:rPr>
              <w:instrText xml:space="preserve"> AUTOTEXT  input362 \* MERGEFORMAT </w:instrText>
            </w:r>
            <w:r>
              <w:rPr>
                <w:rFonts w:cs="Courier New"/>
                <w:bCs/>
                <w:u w:val="single"/>
              </w:rPr>
              <w:fldChar w:fldCharType="end"/>
            </w:r>
          </w:p>
        </w:tc>
      </w:tr>
    </w:tbl>
    <w:p>
      <w:pPr>
        <w:spacing w:line="360" w:lineRule="auto"/>
      </w:pPr>
    </w:p>
    <w:p>
      <w:pPr>
        <w:adjustRightInd w:val="0"/>
        <w:snapToGrid w:val="0"/>
        <w:spacing w:line="360" w:lineRule="auto"/>
        <w:ind w:firstLine="480" w:firstLineChars="200"/>
      </w:pPr>
    </w:p>
    <w:p>
      <w:pPr>
        <w:adjustRightInd w:val="0"/>
        <w:snapToGrid w:val="0"/>
        <w:spacing w:line="360" w:lineRule="auto"/>
      </w:pPr>
      <w:r>
        <w:br w:type="page"/>
      </w:r>
    </w:p>
    <w:p>
      <w:pPr>
        <w:adjustRightInd w:val="0"/>
        <w:snapToGrid w:val="0"/>
        <w:spacing w:line="360" w:lineRule="auto"/>
        <w:jc w:val="center"/>
        <w:outlineLvl w:val="0"/>
        <w:rPr>
          <w:b/>
          <w:sz w:val="52"/>
          <w:szCs w:val="52"/>
        </w:rPr>
      </w:pPr>
      <w:r>
        <w:rPr>
          <w:rFonts w:hint="eastAsia"/>
          <w:b/>
          <w:sz w:val="52"/>
          <w:szCs w:val="52"/>
        </w:rPr>
        <w:t>第二章  投标须知</w:t>
      </w:r>
    </w:p>
    <w:p>
      <w:pPr>
        <w:adjustRightInd w:val="0"/>
        <w:snapToGrid w:val="0"/>
        <w:spacing w:line="360" w:lineRule="auto"/>
        <w:jc w:val="center"/>
        <w:outlineLvl w:val="1"/>
        <w:rPr>
          <w:b/>
          <w:sz w:val="44"/>
        </w:rPr>
      </w:pPr>
      <w:r>
        <w:rPr>
          <w:rFonts w:hint="eastAsia"/>
          <w:b/>
          <w:sz w:val="44"/>
        </w:rPr>
        <w:t>一、投标须知前附表</w:t>
      </w:r>
    </w:p>
    <w:tbl>
      <w:tblPr>
        <w:tblStyle w:val="83"/>
        <w:tblW w:w="4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31"/>
        <w:gridCol w:w="5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ascii="黑体" w:hAnsi="黑体" w:eastAsia="黑体" w:cs="Courier New"/>
              </w:rPr>
            </w:pPr>
            <w:r>
              <w:rPr>
                <w:rFonts w:hint="eastAsia" w:ascii="黑体" w:hAnsi="黑体" w:eastAsia="黑体" w:cs="Courier New"/>
              </w:rPr>
              <w:t>项号</w:t>
            </w:r>
          </w:p>
        </w:tc>
        <w:tc>
          <w:tcPr>
            <w:tcW w:w="1283" w:type="pct"/>
            <w:shd w:val="clear" w:color="auto" w:fill="auto"/>
            <w:vAlign w:val="center"/>
          </w:tcPr>
          <w:p>
            <w:pPr>
              <w:widowControl w:val="0"/>
              <w:adjustRightInd w:val="0"/>
              <w:snapToGrid w:val="0"/>
              <w:spacing w:line="360" w:lineRule="auto"/>
              <w:jc w:val="center"/>
              <w:rPr>
                <w:rFonts w:ascii="黑体" w:hAnsi="黑体" w:eastAsia="黑体" w:cs="Courier New"/>
              </w:rPr>
            </w:pPr>
            <w:r>
              <w:rPr>
                <w:rFonts w:hint="eastAsia" w:ascii="黑体" w:hAnsi="黑体" w:eastAsia="黑体" w:cs="Courier New"/>
              </w:rPr>
              <w:t>内</w:t>
            </w:r>
            <w:r>
              <w:rPr>
                <w:rFonts w:ascii="黑体" w:hAnsi="黑体" w:eastAsia="黑体" w:cs="Courier New"/>
              </w:rPr>
              <w:t xml:space="preserve">  </w:t>
            </w:r>
            <w:r>
              <w:rPr>
                <w:rFonts w:hint="eastAsia" w:ascii="黑体" w:hAnsi="黑体" w:eastAsia="黑体" w:cs="Courier New"/>
              </w:rPr>
              <w:t>容</w:t>
            </w:r>
          </w:p>
        </w:tc>
        <w:tc>
          <w:tcPr>
            <w:tcW w:w="3223" w:type="pct"/>
            <w:shd w:val="clear" w:color="auto" w:fill="auto"/>
            <w:vAlign w:val="center"/>
          </w:tcPr>
          <w:p>
            <w:pPr>
              <w:widowControl w:val="0"/>
              <w:adjustRightInd w:val="0"/>
              <w:snapToGrid w:val="0"/>
              <w:spacing w:line="360" w:lineRule="auto"/>
              <w:jc w:val="center"/>
              <w:rPr>
                <w:rFonts w:ascii="黑体" w:hAnsi="黑体" w:eastAsia="黑体" w:cs="Courier New"/>
              </w:rPr>
            </w:pPr>
            <w:r>
              <w:rPr>
                <w:rFonts w:hint="eastAsia" w:ascii="黑体" w:hAnsi="黑体" w:eastAsia="黑体" w:cs="Courier New"/>
              </w:rPr>
              <w:t>规</w:t>
            </w:r>
            <w:r>
              <w:rPr>
                <w:rFonts w:ascii="黑体" w:hAnsi="黑体" w:eastAsia="黑体" w:cs="Courier New"/>
              </w:rPr>
              <w:t xml:space="preserve">       </w:t>
            </w:r>
            <w:r>
              <w:rPr>
                <w:rFonts w:hint="eastAsia" w:ascii="黑体" w:hAnsi="黑体" w:eastAsia="黑体" w:cs="Courier New"/>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1</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标段名称</w:t>
            </w: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snapToGrid w:val="0"/>
                <w:color w:val="0000FF"/>
                <w:sz w:val="21"/>
                <w:szCs w:val="21"/>
                <w:u w:val="single"/>
                <w:lang w:bidi="ar"/>
              </w:rPr>
              <w:t>半岛花园A区老旧小区改造工程设计</w:t>
            </w:r>
            <w:r>
              <w:rPr>
                <w:rFonts w:cs="Courier New"/>
                <w:bCs/>
                <w:szCs w:val="21"/>
                <w:u w:val="single"/>
              </w:rPr>
              <w:fldChar w:fldCharType="begin"/>
            </w:r>
            <w:r>
              <w:rPr>
                <w:rFonts w:cs="Courier New"/>
                <w:bCs/>
                <w:sz w:val="21"/>
                <w:szCs w:val="21"/>
                <w:u w:val="single"/>
              </w:rPr>
              <w:instrText xml:space="preserve"> AUTOTEXT  input363 \* MERGEFORMAT </w:instrText>
            </w:r>
            <w:r>
              <w:rPr>
                <w:rFonts w:cs="Courier New"/>
                <w:bCs/>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工程地点</w:t>
            </w: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snapToGrid w:val="0"/>
                <w:color w:val="0000FF"/>
                <w:sz w:val="21"/>
                <w:szCs w:val="21"/>
                <w:u w:val="single"/>
                <w:lang w:bidi="ar"/>
              </w:rPr>
              <w:t>深圳市南山区</w:t>
            </w:r>
            <w:r>
              <w:rPr>
                <w:rFonts w:hint="eastAsia"/>
                <w:snapToGrid w:val="0"/>
                <w:color w:val="0000FF"/>
                <w:sz w:val="21"/>
                <w:szCs w:val="21"/>
                <w:u w:val="single"/>
                <w:lang w:bidi="ar"/>
              </w:rPr>
              <w:t>招商街道</w:t>
            </w:r>
            <w:r>
              <w:rPr>
                <w:rFonts w:cs="Courier New"/>
                <w:bCs/>
                <w:szCs w:val="21"/>
                <w:u w:val="single"/>
              </w:rPr>
              <w:fldChar w:fldCharType="begin"/>
            </w:r>
            <w:r>
              <w:rPr>
                <w:rFonts w:cs="Courier New"/>
                <w:bCs/>
                <w:sz w:val="21"/>
                <w:szCs w:val="21"/>
                <w:u w:val="single"/>
              </w:rPr>
              <w:instrText xml:space="preserve"> AUTOTEXT  input364 \* MERGEFORMAT </w:instrText>
            </w:r>
            <w:r>
              <w:rPr>
                <w:rFonts w:cs="Courier New"/>
                <w:bCs/>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3</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是否场外工程</w:t>
            </w:r>
          </w:p>
        </w:tc>
        <w:tc>
          <w:tcPr>
            <w:tcW w:w="3223" w:type="pct"/>
            <w:shd w:val="clear" w:color="auto" w:fill="auto"/>
            <w:vAlign w:val="center"/>
          </w:tcPr>
          <w:p>
            <w:pPr>
              <w:widowControl w:val="0"/>
              <w:adjustRightInd w:val="0"/>
              <w:snapToGrid w:val="0"/>
              <w:spacing w:line="360" w:lineRule="auto"/>
              <w:jc w:val="both"/>
              <w:rPr>
                <w:sz w:val="21"/>
              </w:rPr>
            </w:pPr>
            <w:r>
              <w:rPr>
                <w:snapToGrid w:val="0"/>
                <w:color w:val="0000FF"/>
                <w:sz w:val="21"/>
                <w:szCs w:val="21"/>
                <w:lang w:bidi="ar"/>
              </w:rPr>
              <w:t>■</w:t>
            </w:r>
            <w:r>
              <w:rPr>
                <w:rFonts w:hint="eastAsia"/>
                <w:sz w:val="21"/>
              </w:rPr>
              <w:t>是   □</w:t>
            </w:r>
            <w:r>
              <w:rPr>
                <w:sz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4</w:t>
            </w:r>
          </w:p>
        </w:tc>
        <w:tc>
          <w:tcPr>
            <w:tcW w:w="1283" w:type="pct"/>
            <w:shd w:val="clear" w:color="auto" w:fill="auto"/>
            <w:vAlign w:val="center"/>
          </w:tcPr>
          <w:p>
            <w:pPr>
              <w:widowControl w:val="0"/>
              <w:spacing w:line="360" w:lineRule="auto"/>
              <w:jc w:val="center"/>
              <w:rPr>
                <w:snapToGrid w:val="0"/>
                <w:sz w:val="21"/>
                <w:szCs w:val="21"/>
              </w:rPr>
            </w:pPr>
            <w:r>
              <w:rPr>
                <w:rFonts w:hint="eastAsia"/>
                <w:snapToGrid w:val="0"/>
                <w:sz w:val="21"/>
                <w:szCs w:val="21"/>
              </w:rPr>
              <w:t>工程规模及特征</w:t>
            </w:r>
          </w:p>
        </w:tc>
        <w:tc>
          <w:tcPr>
            <w:tcW w:w="3223"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项目总投资3113</w:t>
            </w:r>
            <w:r>
              <w:rPr>
                <w:snapToGrid w:val="0"/>
                <w:color w:val="0000FF"/>
                <w:sz w:val="21"/>
                <w:szCs w:val="21"/>
                <w:u w:val="single"/>
                <w:lang w:bidi="ar"/>
              </w:rPr>
              <w:t>万元</w:t>
            </w:r>
            <w:r>
              <w:rPr>
                <w:rFonts w:hint="eastAsia"/>
                <w:snapToGrid w:val="0"/>
                <w:color w:val="0000FF"/>
                <w:sz w:val="21"/>
                <w:szCs w:val="21"/>
                <w:u w:val="single"/>
                <w:lang w:bidi="ar"/>
              </w:rPr>
              <w:t>，项目位于南山区招商街道工业八路及后海大道交界处东南角。东临海月路，南邻蓬莱花园小区。半岛花园</w:t>
            </w:r>
            <w:r>
              <w:rPr>
                <w:snapToGrid w:val="0"/>
                <w:color w:val="0000FF"/>
                <w:sz w:val="21"/>
                <w:szCs w:val="21"/>
                <w:u w:val="single"/>
                <w:lang w:bidi="ar"/>
              </w:rPr>
              <w:t>A 区于1993 年建成，总建筑面积43783.68 ㎡，建筑共为10 栋，总</w:t>
            </w:r>
            <w:r>
              <w:rPr>
                <w:rFonts w:hint="eastAsia"/>
                <w:snapToGrid w:val="0"/>
                <w:color w:val="0000FF"/>
                <w:sz w:val="21"/>
                <w:szCs w:val="21"/>
                <w:u w:val="single"/>
                <w:lang w:bidi="ar"/>
              </w:rPr>
              <w:t>户数</w:t>
            </w:r>
            <w:r>
              <w:rPr>
                <w:snapToGrid w:val="0"/>
                <w:color w:val="0000FF"/>
                <w:sz w:val="21"/>
                <w:szCs w:val="21"/>
                <w:u w:val="single"/>
                <w:lang w:bidi="ar"/>
              </w:rPr>
              <w:t>644 户。</w:t>
            </w:r>
            <w:r>
              <w:rPr>
                <w:rFonts w:hint="eastAsia"/>
                <w:snapToGrid w:val="0"/>
                <w:color w:val="0000FF"/>
                <w:sz w:val="21"/>
                <w:szCs w:val="21"/>
                <w:u w:val="single"/>
                <w:lang w:bidi="ar"/>
              </w:rPr>
              <w:t>项目改造改造内容：（一）建筑本体修缮：楼梯和公共空间改造；建筑外立面改造、屋面整修、无障碍及适老化设施改造、建筑配套设施改造等；（二）基础设施改造：小区道路整治；给排水设施改造；供配电和照明设施改造；智慧设施改造建设；垃圾分类与环卫设施改造；消防安全保障；无障碍通道设施改造等；（三）小区环境整治：小区风貌整治；公共空间改造；绿化环境整治；停车设施整治；标识系统改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spacing w:line="360" w:lineRule="auto"/>
              <w:jc w:val="center"/>
              <w:rPr>
                <w:sz w:val="21"/>
                <w:u w:val="single"/>
              </w:rPr>
            </w:pPr>
            <w:r>
              <w:rPr>
                <w:snapToGrid w:val="0"/>
                <w:sz w:val="21"/>
                <w:szCs w:val="21"/>
              </w:rPr>
              <w:t>5</w:t>
            </w:r>
          </w:p>
        </w:tc>
        <w:tc>
          <w:tcPr>
            <w:tcW w:w="1283" w:type="pct"/>
            <w:shd w:val="clear" w:color="auto" w:fill="auto"/>
            <w:vAlign w:val="center"/>
          </w:tcPr>
          <w:p>
            <w:pPr>
              <w:widowControl w:val="0"/>
              <w:spacing w:line="360" w:lineRule="auto"/>
              <w:jc w:val="center"/>
              <w:rPr>
                <w:sz w:val="21"/>
                <w:u w:val="single"/>
              </w:rPr>
            </w:pPr>
            <w:r>
              <w:rPr>
                <w:rFonts w:hint="eastAsia"/>
                <w:snapToGrid w:val="0"/>
                <w:sz w:val="21"/>
                <w:szCs w:val="21"/>
              </w:rPr>
              <w:t>招标范围</w:t>
            </w:r>
          </w:p>
        </w:tc>
        <w:tc>
          <w:tcPr>
            <w:tcW w:w="3223" w:type="pct"/>
            <w:shd w:val="clear" w:color="auto" w:fill="auto"/>
            <w:vAlign w:val="center"/>
          </w:tcPr>
          <w:p>
            <w:pPr>
              <w:widowControl w:val="0"/>
              <w:adjustRightInd w:val="0"/>
              <w:snapToGrid w:val="0"/>
              <w:spacing w:line="360" w:lineRule="auto"/>
              <w:jc w:val="both"/>
              <w:rPr>
                <w:sz w:val="21"/>
                <w:u w:val="single"/>
              </w:rPr>
            </w:pPr>
            <w:r>
              <w:rPr>
                <w:rFonts w:hint="eastAsia"/>
                <w:snapToGrid w:val="0"/>
                <w:color w:val="0000FF"/>
                <w:sz w:val="21"/>
                <w:szCs w:val="21"/>
                <w:u w:val="single"/>
                <w:lang w:bidi="ar"/>
              </w:rPr>
              <w:t>包括但不限于：负责半岛花园</w:t>
            </w:r>
            <w:r>
              <w:rPr>
                <w:snapToGrid w:val="0"/>
                <w:color w:val="0000FF"/>
                <w:sz w:val="21"/>
                <w:szCs w:val="21"/>
                <w:u w:val="single"/>
                <w:lang w:bidi="ar"/>
              </w:rPr>
              <w:t>A区老旧小区改造工程方案设计、初步设计、施工图设计、配合办理相关设计成果报建、施工现场配合及竣工图编制等相关服务工作</w:t>
            </w:r>
            <w:r>
              <w:rPr>
                <w:rFonts w:hint="eastAsia"/>
                <w:snapToGrid w:val="0"/>
                <w:color w:val="0000FF"/>
                <w:sz w:val="21"/>
                <w:szCs w:val="21"/>
                <w:u w:val="single"/>
                <w:lang w:bidi="ar"/>
              </w:rPr>
              <w:t>。发包人保留调整发包范围的权利，承包人不得提出异议。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cs="Courier New"/>
                <w:sz w:val="21"/>
                <w:szCs w:val="21"/>
              </w:rPr>
              <w:t>6</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资金来源</w:t>
            </w:r>
          </w:p>
        </w:tc>
        <w:tc>
          <w:tcPr>
            <w:tcW w:w="3223" w:type="pct"/>
            <w:shd w:val="clear" w:color="auto" w:fill="auto"/>
            <w:vAlign w:val="center"/>
          </w:tcPr>
          <w:p>
            <w:pPr>
              <w:widowControl w:val="0"/>
              <w:spacing w:line="360" w:lineRule="auto"/>
              <w:jc w:val="both"/>
              <w:rPr>
                <w:rFonts w:cs="Courier New"/>
                <w:b/>
                <w:bCs/>
                <w:sz w:val="21"/>
                <w:szCs w:val="21"/>
                <w:u w:val="single"/>
              </w:rPr>
            </w:pPr>
            <w:r>
              <w:rPr>
                <w:snapToGrid w:val="0"/>
                <w:color w:val="0000FF"/>
                <w:sz w:val="21"/>
                <w:szCs w:val="21"/>
                <w:u w:val="single"/>
                <w:lang w:bidi="ar"/>
              </w:rPr>
              <w:t>政府投资100%</w:t>
            </w:r>
            <w:r>
              <w:rPr>
                <w:rFonts w:cs="Courier New"/>
                <w:bCs/>
                <w:szCs w:val="21"/>
                <w:u w:val="single"/>
              </w:rPr>
              <w:fldChar w:fldCharType="begin"/>
            </w:r>
            <w:r>
              <w:rPr>
                <w:rFonts w:cs="Courier New"/>
                <w:bCs/>
                <w:sz w:val="21"/>
                <w:szCs w:val="21"/>
                <w:u w:val="single"/>
              </w:rPr>
              <w:instrText xml:space="preserve"> AUTOTEXT  input368 \* MERGEFORMAT </w:instrText>
            </w:r>
            <w:r>
              <w:rPr>
                <w:rFonts w:cs="Courier New"/>
                <w:bCs/>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7</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投标人要求</w:t>
            </w:r>
          </w:p>
        </w:tc>
        <w:tc>
          <w:tcPr>
            <w:tcW w:w="3223"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具备建筑行业（建筑工程）设计乙级及以上资质</w:t>
            </w:r>
            <w:r>
              <w:rPr>
                <w:rFonts w:cs="Courier New"/>
                <w:szCs w:val="21"/>
                <w:u w:val="single"/>
              </w:rPr>
              <w:fldChar w:fldCharType="begin"/>
            </w:r>
            <w:r>
              <w:rPr>
                <w:rFonts w:cs="Courier New"/>
                <w:sz w:val="21"/>
                <w:szCs w:val="21"/>
                <w:u w:val="single"/>
              </w:rPr>
              <w:instrText xml:space="preserve"> </w:instrText>
            </w:r>
            <w:r>
              <w:rPr>
                <w:rFonts w:hint="eastAsia" w:cs="Courier New"/>
                <w:sz w:val="21"/>
                <w:szCs w:val="21"/>
                <w:u w:val="single"/>
              </w:rPr>
              <w:instrText xml:space="preserve">AUTOTEXT  input429 \* MERGEFORMAT</w:instrText>
            </w:r>
            <w:r>
              <w:rPr>
                <w:rFonts w:cs="Courier New"/>
                <w:sz w:val="21"/>
                <w:szCs w:val="21"/>
                <w:u w:val="single"/>
              </w:rPr>
              <w:instrText xml:space="preserve"> </w:instrText>
            </w:r>
            <w:r>
              <w:rPr>
                <w:rFonts w:cs="Courier New"/>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8</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资格审查方式</w:t>
            </w: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cs="Courier New"/>
                <w:sz w:val="21"/>
                <w:szCs w:val="21"/>
              </w:rPr>
              <w:t>□投标报名</w:t>
            </w:r>
            <w:r>
              <w:rPr>
                <w:rFonts w:cs="Courier New"/>
                <w:sz w:val="21"/>
                <w:szCs w:val="21"/>
              </w:rPr>
              <w:t xml:space="preserve">    □资格预审    </w:t>
            </w:r>
            <w:r>
              <w:rPr>
                <w:sz w:val="21"/>
              </w:rPr>
              <w:t xml:space="preserve"> </w:t>
            </w:r>
            <w:r>
              <w:rPr>
                <w:rFonts w:hint="eastAsia"/>
                <w:color w:val="0000FF"/>
                <w:szCs w:val="21"/>
                <w:lang w:bidi="ar"/>
              </w:rPr>
              <w:t>☑</w:t>
            </w:r>
            <w:r>
              <w:rPr>
                <w:rFonts w:cs="Courier New"/>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9</w:t>
            </w:r>
          </w:p>
        </w:tc>
        <w:tc>
          <w:tcPr>
            <w:tcW w:w="1283" w:type="pct"/>
            <w:shd w:val="clear" w:color="auto" w:fill="auto"/>
            <w:vAlign w:val="center"/>
          </w:tcPr>
          <w:p>
            <w:pPr>
              <w:widowControl w:val="0"/>
              <w:spacing w:line="360" w:lineRule="auto"/>
              <w:jc w:val="center"/>
              <w:rPr>
                <w:rFonts w:cs="Courier New"/>
                <w:sz w:val="21"/>
                <w:szCs w:val="21"/>
              </w:rPr>
            </w:pPr>
            <w:r>
              <w:rPr>
                <w:rFonts w:hint="eastAsia" w:cs="Courier New"/>
                <w:sz w:val="21"/>
                <w:szCs w:val="21"/>
              </w:rPr>
              <w:t>是否接受</w:t>
            </w:r>
          </w:p>
          <w:p>
            <w:pPr>
              <w:widowControl w:val="0"/>
              <w:spacing w:line="360" w:lineRule="auto"/>
              <w:jc w:val="center"/>
              <w:rPr>
                <w:rFonts w:cs="Courier New"/>
                <w:sz w:val="21"/>
                <w:szCs w:val="21"/>
              </w:rPr>
            </w:pPr>
            <w:r>
              <w:rPr>
                <w:rFonts w:hint="eastAsia" w:cs="Courier New"/>
                <w:sz w:val="21"/>
                <w:szCs w:val="21"/>
              </w:rPr>
              <w:t>联合体投标</w:t>
            </w:r>
          </w:p>
        </w:tc>
        <w:tc>
          <w:tcPr>
            <w:tcW w:w="3223" w:type="pct"/>
            <w:shd w:val="clear" w:color="auto" w:fill="auto"/>
            <w:vAlign w:val="center"/>
          </w:tcPr>
          <w:p>
            <w:pPr>
              <w:widowControl w:val="0"/>
              <w:spacing w:line="360" w:lineRule="auto"/>
              <w:jc w:val="both"/>
              <w:rPr>
                <w:rFonts w:cs="Courier New"/>
                <w:sz w:val="21"/>
                <w:szCs w:val="21"/>
              </w:rPr>
            </w:pPr>
            <w:r>
              <w:rPr>
                <w:rFonts w:hint="eastAsia" w:ascii="MS Gothic" w:hAnsi="MS Gothic" w:eastAsia="MS Gothic" w:cs="MS Gothic"/>
                <w:color w:val="0000FF"/>
                <w:szCs w:val="21"/>
                <w:lang w:bidi="ar"/>
              </w:rPr>
              <w:t>☑</w:t>
            </w:r>
            <w:r>
              <w:rPr>
                <w:rFonts w:hint="eastAsia" w:cs="Courier New"/>
                <w:sz w:val="21"/>
                <w:szCs w:val="21"/>
              </w:rPr>
              <w:t>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10</w:t>
            </w:r>
          </w:p>
        </w:tc>
        <w:tc>
          <w:tcPr>
            <w:tcW w:w="1283" w:type="pct"/>
            <w:shd w:val="clear" w:color="auto" w:fill="auto"/>
            <w:vAlign w:val="center"/>
          </w:tcPr>
          <w:p>
            <w:pPr>
              <w:widowControl w:val="0"/>
              <w:spacing w:line="360" w:lineRule="auto"/>
              <w:jc w:val="center"/>
              <w:rPr>
                <w:rFonts w:cs="Courier New"/>
                <w:sz w:val="21"/>
                <w:szCs w:val="21"/>
              </w:rPr>
            </w:pPr>
            <w:r>
              <w:rPr>
                <w:rFonts w:hint="eastAsia" w:cs="Courier New"/>
                <w:sz w:val="21"/>
                <w:szCs w:val="21"/>
              </w:rPr>
              <w:t>项目负责人资格要求</w:t>
            </w:r>
          </w:p>
        </w:tc>
        <w:tc>
          <w:tcPr>
            <w:tcW w:w="3223" w:type="pct"/>
            <w:shd w:val="clear" w:color="auto" w:fill="auto"/>
            <w:vAlign w:val="center"/>
          </w:tcPr>
          <w:p>
            <w:pPr>
              <w:widowControl w:val="0"/>
              <w:spacing w:line="360" w:lineRule="auto"/>
              <w:jc w:val="left"/>
              <w:rPr>
                <w:sz w:val="21"/>
                <w:u w:val="single"/>
              </w:rPr>
            </w:pPr>
            <w:r>
              <w:rPr>
                <w:rFonts w:hint="eastAsia"/>
                <w:snapToGrid w:val="0"/>
                <w:color w:val="0000FF"/>
                <w:sz w:val="21"/>
                <w:szCs w:val="21"/>
                <w:u w:val="single"/>
                <w:lang w:bidi="ar"/>
              </w:rPr>
              <w:t>具备一级注册建筑师资格或建筑相关专业高级工程师或以上职称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11</w:t>
            </w:r>
          </w:p>
        </w:tc>
        <w:tc>
          <w:tcPr>
            <w:tcW w:w="1283" w:type="pct"/>
            <w:shd w:val="clear" w:color="auto" w:fill="auto"/>
            <w:vAlign w:val="center"/>
          </w:tcPr>
          <w:p>
            <w:pPr>
              <w:widowControl w:val="0"/>
              <w:adjustRightInd w:val="0"/>
              <w:snapToGrid w:val="0"/>
              <w:jc w:val="center"/>
              <w:rPr>
                <w:rFonts w:cs="Courier New"/>
                <w:sz w:val="21"/>
                <w:szCs w:val="21"/>
              </w:rPr>
            </w:pPr>
            <w:r>
              <w:rPr>
                <w:rFonts w:hint="eastAsia" w:cs="Courier New"/>
                <w:sz w:val="21"/>
                <w:szCs w:val="21"/>
              </w:rPr>
              <w:t>投标报价要求</w:t>
            </w:r>
          </w:p>
        </w:tc>
        <w:tc>
          <w:tcPr>
            <w:tcW w:w="3223" w:type="pct"/>
            <w:shd w:val="clear" w:color="auto" w:fill="auto"/>
            <w:vAlign w:val="center"/>
          </w:tcPr>
          <w:p>
            <w:pPr>
              <w:widowControl w:val="0"/>
              <w:adjustRightInd w:val="0"/>
              <w:snapToGrid w:val="0"/>
              <w:spacing w:line="360" w:lineRule="auto"/>
              <w:jc w:val="both"/>
              <w:rPr>
                <w:snapToGrid w:val="0"/>
                <w:color w:val="0000FF"/>
                <w:sz w:val="21"/>
                <w:szCs w:val="21"/>
                <w:u w:val="single"/>
                <w:lang w:bidi="ar"/>
              </w:rPr>
            </w:pPr>
            <w:r>
              <w:rPr>
                <w:rFonts w:hint="eastAsia"/>
                <w:snapToGrid w:val="0"/>
                <w:color w:val="0000FF"/>
                <w:sz w:val="21"/>
                <w:szCs w:val="21"/>
                <w:u w:val="single"/>
                <w:lang w:bidi="ar"/>
              </w:rPr>
              <w:t>投标报价上限为：</w:t>
            </w:r>
            <w:r>
              <w:rPr>
                <w:snapToGrid w:val="0"/>
                <w:color w:val="0000FF"/>
                <w:sz w:val="21"/>
                <w:szCs w:val="21"/>
                <w:u w:val="single"/>
                <w:lang w:bidi="ar"/>
              </w:rPr>
              <w:t>89.5325万元</w:t>
            </w:r>
            <w:r>
              <w:rPr>
                <w:rFonts w:hint="eastAsia"/>
                <w:snapToGrid w:val="0"/>
                <w:color w:val="0000FF"/>
                <w:sz w:val="21"/>
                <w:szCs w:val="21"/>
                <w:u w:val="single"/>
                <w:lang w:bidi="ar"/>
              </w:rPr>
              <w:t>。</w:t>
            </w:r>
          </w:p>
          <w:p>
            <w:pPr>
              <w:widowControl w:val="0"/>
              <w:adjustRightInd w:val="0"/>
              <w:snapToGrid w:val="0"/>
              <w:spacing w:line="360" w:lineRule="auto"/>
              <w:jc w:val="both"/>
              <w:rPr>
                <w:sz w:val="21"/>
                <w:szCs w:val="21"/>
              </w:rPr>
            </w:pPr>
            <w:r>
              <w:rPr>
                <w:rFonts w:hint="eastAsia"/>
                <w:snapToGrid w:val="0"/>
                <w:color w:val="0000FF"/>
                <w:sz w:val="21"/>
                <w:szCs w:val="21"/>
                <w:u w:val="single"/>
                <w:lang w:bidi="ar"/>
              </w:rPr>
              <w:t>投标报价说明：采用自主报价，下浮率范围为≥</w:t>
            </w:r>
            <w:r>
              <w:rPr>
                <w:snapToGrid w:val="0"/>
                <w:color w:val="0000FF"/>
                <w:sz w:val="21"/>
                <w:szCs w:val="21"/>
                <w:u w:val="single"/>
                <w:lang w:bidi="ar"/>
              </w:rPr>
              <w:t>0%，投标人仅报相对招标估价折算下浮率和投标报价。未按要求报价的，开标阶段其投标文件不予受理。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12</w:t>
            </w:r>
          </w:p>
        </w:tc>
        <w:tc>
          <w:tcPr>
            <w:tcW w:w="1283"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投标文件组成</w:t>
            </w:r>
          </w:p>
        </w:tc>
        <w:tc>
          <w:tcPr>
            <w:tcW w:w="3223" w:type="pct"/>
            <w:shd w:val="clear" w:color="auto" w:fill="auto"/>
            <w:vAlign w:val="center"/>
          </w:tcPr>
          <w:p>
            <w:pPr>
              <w:widowControl w:val="0"/>
              <w:adjustRightInd w:val="0"/>
              <w:snapToGrid w:val="0"/>
              <w:spacing w:line="360" w:lineRule="auto"/>
              <w:jc w:val="left"/>
              <w:rPr>
                <w:rFonts w:cs="Courier New"/>
                <w:sz w:val="21"/>
                <w:szCs w:val="21"/>
              </w:rPr>
            </w:pPr>
            <w:r>
              <w:rPr>
                <w:rFonts w:hint="eastAsia" w:cs="Courier New"/>
                <w:sz w:val="21"/>
                <w:szCs w:val="21"/>
              </w:rPr>
              <w:t>投标文件组成：</w:t>
            </w:r>
          </w:p>
          <w:p>
            <w:pPr>
              <w:widowControl w:val="0"/>
              <w:tabs>
                <w:tab w:val="left" w:pos="360"/>
              </w:tabs>
              <w:spacing w:line="360" w:lineRule="auto"/>
              <w:jc w:val="both"/>
              <w:rPr>
                <w:b/>
                <w:sz w:val="21"/>
                <w:szCs w:val="21"/>
              </w:rPr>
            </w:pPr>
            <w:r>
              <w:rPr>
                <w:rFonts w:hint="eastAsia"/>
                <w:sz w:val="21"/>
                <w:szCs w:val="21"/>
              </w:rPr>
              <w:t>■</w:t>
            </w:r>
            <w:r>
              <w:rPr>
                <w:rFonts w:hint="eastAsia"/>
                <w:b/>
                <w:snapToGrid w:val="0"/>
                <w:sz w:val="21"/>
                <w:szCs w:val="21"/>
              </w:rPr>
              <w:t>资格审查文件</w:t>
            </w:r>
            <w:r>
              <w:rPr>
                <w:rFonts w:hint="eastAsia"/>
                <w:b/>
                <w:sz w:val="21"/>
                <w:szCs w:val="21"/>
              </w:rPr>
              <w:t>1份</w:t>
            </w:r>
          </w:p>
          <w:p>
            <w:pPr>
              <w:widowControl w:val="0"/>
              <w:spacing w:line="360" w:lineRule="auto"/>
              <w:jc w:val="left"/>
              <w:rPr>
                <w:snapToGrid w:val="0"/>
                <w:color w:val="0000FF"/>
                <w:sz w:val="21"/>
                <w:szCs w:val="21"/>
                <w:u w:val="single"/>
                <w:lang w:bidi="ar"/>
              </w:rPr>
            </w:pPr>
            <w:r>
              <w:rPr>
                <w:rFonts w:hint="eastAsia"/>
                <w:snapToGrid w:val="0"/>
                <w:color w:val="0000FF"/>
                <w:sz w:val="21"/>
                <w:szCs w:val="21"/>
                <w:u w:val="single"/>
                <w:lang w:bidi="ar"/>
              </w:rPr>
              <w:t>1、营业执照，或事业单位法人证书，或者工商行政主管部门颁发的工商登记证明（原件扫描件）；</w:t>
            </w:r>
          </w:p>
          <w:p>
            <w:pPr>
              <w:pStyle w:val="2"/>
              <w:widowControl w:val="0"/>
              <w:ind w:firstLine="0" w:firstLineChars="0"/>
              <w:jc w:val="both"/>
              <w:rPr>
                <w:snapToGrid w:val="0"/>
                <w:color w:val="0000FF"/>
                <w:sz w:val="21"/>
                <w:szCs w:val="21"/>
                <w:u w:val="single"/>
                <w:lang w:bidi="ar"/>
              </w:rPr>
            </w:pPr>
            <w:r>
              <w:rPr>
                <w:snapToGrid w:val="0"/>
                <w:color w:val="0000FF"/>
                <w:sz w:val="21"/>
                <w:szCs w:val="21"/>
                <w:u w:val="single"/>
                <w:lang w:bidi="ar"/>
              </w:rPr>
              <w:t>2、企业资质证书</w:t>
            </w:r>
            <w:r>
              <w:rPr>
                <w:rFonts w:hint="eastAsia"/>
                <w:snapToGrid w:val="0"/>
                <w:color w:val="0000FF"/>
                <w:sz w:val="21"/>
                <w:szCs w:val="21"/>
                <w:u w:val="single"/>
                <w:lang w:bidi="ar"/>
              </w:rPr>
              <w:t>（原件扫描件）；</w:t>
            </w:r>
          </w:p>
          <w:p>
            <w:pPr>
              <w:pStyle w:val="2"/>
              <w:widowControl w:val="0"/>
              <w:ind w:firstLine="0" w:firstLineChars="0"/>
              <w:jc w:val="both"/>
              <w:rPr>
                <w:snapToGrid w:val="0"/>
                <w:color w:val="0000FF"/>
                <w:sz w:val="21"/>
                <w:szCs w:val="21"/>
                <w:u w:val="single"/>
                <w:lang w:bidi="ar"/>
              </w:rPr>
            </w:pPr>
            <w:r>
              <w:rPr>
                <w:snapToGrid w:val="0"/>
                <w:color w:val="0000FF"/>
                <w:sz w:val="21"/>
                <w:szCs w:val="21"/>
                <w:u w:val="single"/>
                <w:lang w:bidi="ar"/>
              </w:rPr>
              <w:t>3、</w:t>
            </w:r>
            <w:r>
              <w:rPr>
                <w:rFonts w:hint="eastAsia"/>
                <w:snapToGrid w:val="0"/>
                <w:color w:val="0000FF"/>
                <w:sz w:val="21"/>
                <w:szCs w:val="21"/>
                <w:u w:val="single"/>
                <w:lang w:bidi="ar"/>
              </w:rPr>
              <w:t>项目负责人的资格证明文件（原件扫描件）。</w:t>
            </w:r>
          </w:p>
          <w:p>
            <w:pPr>
              <w:widowControl w:val="0"/>
              <w:tabs>
                <w:tab w:val="left" w:pos="360"/>
              </w:tabs>
              <w:spacing w:line="360" w:lineRule="auto"/>
              <w:jc w:val="both"/>
              <w:rPr>
                <w:b/>
                <w:sz w:val="21"/>
                <w:szCs w:val="21"/>
              </w:rPr>
            </w:pPr>
            <w:r>
              <w:rPr>
                <w:rFonts w:hint="eastAsia"/>
                <w:sz w:val="21"/>
                <w:szCs w:val="21"/>
              </w:rPr>
              <w:t>■</w:t>
            </w:r>
            <w:r>
              <w:rPr>
                <w:rFonts w:hint="eastAsia"/>
                <w:b/>
                <w:snapToGrid w:val="0"/>
                <w:sz w:val="21"/>
                <w:szCs w:val="21"/>
              </w:rPr>
              <w:t>资信标文件</w:t>
            </w:r>
            <w:r>
              <w:rPr>
                <w:rFonts w:hint="eastAsia"/>
                <w:b/>
                <w:sz w:val="21"/>
                <w:szCs w:val="21"/>
              </w:rPr>
              <w:t>1份</w:t>
            </w:r>
          </w:p>
          <w:p>
            <w:pPr>
              <w:pStyle w:val="2"/>
              <w:widowControl w:val="0"/>
              <w:ind w:firstLine="0" w:firstLineChars="0"/>
              <w:jc w:val="both"/>
              <w:rPr>
                <w:snapToGrid w:val="0"/>
                <w:color w:val="0000FF"/>
                <w:sz w:val="21"/>
                <w:szCs w:val="21"/>
                <w:u w:val="single"/>
                <w:lang w:bidi="ar"/>
              </w:rPr>
            </w:pPr>
            <w:r>
              <w:rPr>
                <w:snapToGrid w:val="0"/>
                <w:color w:val="0000FF"/>
                <w:sz w:val="21"/>
                <w:szCs w:val="21"/>
                <w:u w:val="single"/>
                <w:lang w:bidi="ar"/>
              </w:rPr>
              <w:t>详见</w:t>
            </w:r>
            <w:r>
              <w:rPr>
                <w:rFonts w:hint="eastAsia"/>
                <w:snapToGrid w:val="0"/>
                <w:color w:val="0000FF"/>
                <w:sz w:val="21"/>
                <w:szCs w:val="21"/>
                <w:u w:val="single"/>
                <w:lang w:bidi="ar"/>
              </w:rPr>
              <w:t>资信标要求一览表</w:t>
            </w:r>
          </w:p>
          <w:p>
            <w:pPr>
              <w:widowControl w:val="0"/>
              <w:tabs>
                <w:tab w:val="left" w:pos="360"/>
              </w:tabs>
              <w:spacing w:line="360" w:lineRule="auto"/>
              <w:jc w:val="both"/>
              <w:rPr>
                <w:b/>
                <w:sz w:val="21"/>
                <w:szCs w:val="21"/>
              </w:rPr>
            </w:pPr>
            <w:r>
              <w:rPr>
                <w:rFonts w:hint="eastAsia"/>
                <w:sz w:val="21"/>
                <w:szCs w:val="21"/>
              </w:rPr>
              <w:t>■</w:t>
            </w:r>
            <w:r>
              <w:rPr>
                <w:rFonts w:hint="eastAsia"/>
                <w:b/>
                <w:sz w:val="21"/>
                <w:szCs w:val="21"/>
              </w:rPr>
              <w:t>商务标书1份</w:t>
            </w:r>
          </w:p>
          <w:p>
            <w:pPr>
              <w:widowControl w:val="0"/>
              <w:spacing w:line="360" w:lineRule="auto"/>
              <w:jc w:val="left"/>
              <w:rPr>
                <w:snapToGrid w:val="0"/>
                <w:color w:val="0000FF"/>
                <w:sz w:val="21"/>
                <w:szCs w:val="21"/>
                <w:u w:val="single"/>
                <w:lang w:bidi="ar"/>
              </w:rPr>
            </w:pPr>
            <w:r>
              <w:rPr>
                <w:rFonts w:hint="eastAsia"/>
                <w:snapToGrid w:val="0"/>
                <w:color w:val="0000FF"/>
                <w:sz w:val="21"/>
                <w:szCs w:val="21"/>
                <w:u w:val="single"/>
                <w:lang w:bidi="ar"/>
              </w:rPr>
              <w:t>1、投标函；</w:t>
            </w:r>
          </w:p>
          <w:p>
            <w:pPr>
              <w:widowControl w:val="0"/>
              <w:spacing w:line="360" w:lineRule="auto"/>
              <w:jc w:val="left"/>
              <w:rPr>
                <w:snapToGrid w:val="0"/>
                <w:color w:val="0000FF"/>
                <w:sz w:val="21"/>
                <w:szCs w:val="21"/>
                <w:u w:val="single"/>
                <w:lang w:bidi="ar"/>
              </w:rPr>
            </w:pPr>
            <w:r>
              <w:rPr>
                <w:rFonts w:hint="eastAsia"/>
                <w:snapToGrid w:val="0"/>
                <w:color w:val="0000FF"/>
                <w:sz w:val="21"/>
                <w:szCs w:val="21"/>
                <w:u w:val="single"/>
                <w:lang w:bidi="ar"/>
              </w:rPr>
              <w:t>2、</w:t>
            </w:r>
            <w:r>
              <w:rPr>
                <w:snapToGrid w:val="0"/>
                <w:color w:val="0000FF"/>
                <w:sz w:val="21"/>
                <w:szCs w:val="21"/>
                <w:u w:val="single"/>
                <w:lang w:bidi="ar"/>
              </w:rPr>
              <w:t>投标报价一览表</w:t>
            </w:r>
            <w:r>
              <w:rPr>
                <w:rFonts w:hint="eastAsia"/>
                <w:snapToGrid w:val="0"/>
                <w:color w:val="0000FF"/>
                <w:sz w:val="21"/>
                <w:szCs w:val="21"/>
                <w:u w:val="single"/>
                <w:lang w:bidi="ar"/>
              </w:rPr>
              <w:t>。</w:t>
            </w:r>
          </w:p>
          <w:p>
            <w:pPr>
              <w:widowControl w:val="0"/>
              <w:adjustRightInd w:val="0"/>
              <w:snapToGrid w:val="0"/>
              <w:spacing w:line="360" w:lineRule="auto"/>
              <w:jc w:val="left"/>
              <w:rPr>
                <w:b/>
                <w:snapToGrid w:val="0"/>
                <w:sz w:val="21"/>
                <w:szCs w:val="21"/>
              </w:rPr>
            </w:pPr>
            <w:r>
              <w:rPr>
                <w:rFonts w:hint="eastAsia"/>
                <w:sz w:val="21"/>
                <w:szCs w:val="21"/>
              </w:rPr>
              <w:t>■</w:t>
            </w:r>
            <w:r>
              <w:rPr>
                <w:rFonts w:hint="eastAsia"/>
                <w:b/>
                <w:snapToGrid w:val="0"/>
                <w:sz w:val="21"/>
                <w:szCs w:val="21"/>
              </w:rPr>
              <w:t>电子标书1</w:t>
            </w:r>
            <w:r>
              <w:rPr>
                <w:b/>
                <w:snapToGrid w:val="0"/>
                <w:sz w:val="21"/>
                <w:szCs w:val="21"/>
              </w:rPr>
              <w:t>份</w:t>
            </w:r>
            <w:r>
              <w:rPr>
                <w:rFonts w:hint="eastAsia"/>
                <w:b/>
                <w:snapToGrid w:val="0"/>
                <w:sz w:val="21"/>
                <w:szCs w:val="21"/>
              </w:rPr>
              <w:t>（采用u盘形式封装）</w:t>
            </w:r>
          </w:p>
          <w:p>
            <w:pPr>
              <w:widowControl w:val="0"/>
              <w:spacing w:line="360" w:lineRule="auto"/>
              <w:jc w:val="left"/>
              <w:rPr>
                <w:snapToGrid w:val="0"/>
                <w:color w:val="0000FF"/>
                <w:sz w:val="21"/>
                <w:szCs w:val="21"/>
                <w:u w:val="single"/>
                <w:lang w:bidi="ar"/>
              </w:rPr>
            </w:pPr>
            <w:r>
              <w:rPr>
                <w:rFonts w:hint="eastAsia"/>
                <w:snapToGrid w:val="0"/>
                <w:color w:val="0000FF"/>
                <w:sz w:val="21"/>
                <w:szCs w:val="21"/>
                <w:u w:val="single"/>
                <w:lang w:bidi="ar"/>
              </w:rPr>
              <w:t>1、包含以上文件的盖章扫描件及可编辑版本的文件；</w:t>
            </w:r>
          </w:p>
          <w:p>
            <w:pPr>
              <w:widowControl w:val="0"/>
              <w:spacing w:line="360" w:lineRule="auto"/>
              <w:jc w:val="left"/>
              <w:rPr>
                <w:sz w:val="21"/>
                <w:u w:val="single"/>
              </w:rPr>
            </w:pPr>
            <w:r>
              <w:rPr>
                <w:rFonts w:hint="eastAsia"/>
                <w:snapToGrid w:val="0"/>
                <w:color w:val="0000FF"/>
                <w:sz w:val="21"/>
                <w:szCs w:val="21"/>
                <w:u w:val="single"/>
                <w:lang w:bidi="ar"/>
              </w:rPr>
              <w:t>注：以上所有投标文件，均分开装订成册。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1283"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3223" w:type="pct"/>
            <w:shd w:val="clear" w:color="auto" w:fill="auto"/>
            <w:vAlign w:val="center"/>
          </w:tcPr>
          <w:p>
            <w:pPr>
              <w:widowControl w:val="0"/>
              <w:spacing w:line="360" w:lineRule="auto"/>
              <w:jc w:val="left"/>
              <w:rPr>
                <w:snapToGrid w:val="0"/>
                <w:color w:val="0000FF"/>
                <w:sz w:val="21"/>
                <w:szCs w:val="21"/>
                <w:u w:val="single"/>
                <w:lang w:bidi="ar"/>
              </w:rPr>
            </w:pPr>
            <w:r>
              <w:rPr>
                <w:rFonts w:hint="eastAsia"/>
                <w:snapToGrid w:val="0"/>
                <w:color w:val="0000FF"/>
                <w:sz w:val="21"/>
                <w:szCs w:val="21"/>
                <w:u w:val="single"/>
                <w:lang w:bidi="ar"/>
              </w:rPr>
              <w:t>投标文件密封和标记：</w:t>
            </w:r>
          </w:p>
          <w:p>
            <w:pPr>
              <w:widowControl w:val="0"/>
              <w:spacing w:line="360" w:lineRule="auto"/>
              <w:jc w:val="left"/>
              <w:rPr>
                <w:snapToGrid w:val="0"/>
                <w:color w:val="0000FF"/>
                <w:sz w:val="21"/>
                <w:szCs w:val="21"/>
                <w:u w:val="single"/>
                <w:lang w:bidi="ar"/>
              </w:rPr>
            </w:pPr>
            <w:r>
              <w:rPr>
                <w:snapToGrid w:val="0"/>
                <w:color w:val="0000FF"/>
                <w:sz w:val="21"/>
                <w:szCs w:val="21"/>
                <w:u w:val="single"/>
                <w:lang w:bidi="ar"/>
              </w:rPr>
              <w:t>资格审查文件</w:t>
            </w:r>
            <w:r>
              <w:rPr>
                <w:rFonts w:hint="eastAsia"/>
                <w:snapToGrid w:val="0"/>
                <w:color w:val="0000FF"/>
                <w:sz w:val="21"/>
                <w:szCs w:val="21"/>
                <w:u w:val="single"/>
                <w:lang w:bidi="ar"/>
              </w:rPr>
              <w:t>1</w:t>
            </w:r>
            <w:r>
              <w:rPr>
                <w:snapToGrid w:val="0"/>
                <w:color w:val="0000FF"/>
                <w:sz w:val="21"/>
                <w:szCs w:val="21"/>
                <w:u w:val="single"/>
                <w:lang w:bidi="ar"/>
              </w:rPr>
              <w:t>份、</w:t>
            </w:r>
            <w:r>
              <w:rPr>
                <w:rFonts w:hint="eastAsia"/>
                <w:snapToGrid w:val="0"/>
                <w:color w:val="0000FF"/>
                <w:sz w:val="21"/>
                <w:szCs w:val="21"/>
                <w:u w:val="single"/>
                <w:lang w:bidi="ar"/>
              </w:rPr>
              <w:t>资信</w:t>
            </w:r>
            <w:r>
              <w:rPr>
                <w:snapToGrid w:val="0"/>
                <w:color w:val="0000FF"/>
                <w:sz w:val="21"/>
                <w:szCs w:val="21"/>
                <w:u w:val="single"/>
                <w:lang w:bidi="ar"/>
              </w:rPr>
              <w:t>标</w:t>
            </w:r>
            <w:r>
              <w:rPr>
                <w:rFonts w:hint="eastAsia"/>
                <w:snapToGrid w:val="0"/>
                <w:color w:val="0000FF"/>
                <w:sz w:val="21"/>
                <w:szCs w:val="21"/>
                <w:u w:val="single"/>
                <w:lang w:bidi="ar"/>
              </w:rPr>
              <w:t>1</w:t>
            </w:r>
            <w:r>
              <w:rPr>
                <w:snapToGrid w:val="0"/>
                <w:color w:val="0000FF"/>
                <w:sz w:val="21"/>
                <w:szCs w:val="21"/>
                <w:u w:val="single"/>
                <w:lang w:bidi="ar"/>
              </w:rPr>
              <w:t>份</w:t>
            </w:r>
            <w:r>
              <w:rPr>
                <w:rFonts w:hint="eastAsia"/>
                <w:snapToGrid w:val="0"/>
                <w:color w:val="0000FF"/>
                <w:sz w:val="21"/>
                <w:szCs w:val="21"/>
                <w:u w:val="single"/>
                <w:lang w:bidi="ar"/>
              </w:rPr>
              <w:t>、</w:t>
            </w:r>
            <w:r>
              <w:rPr>
                <w:snapToGrid w:val="0"/>
                <w:color w:val="0000FF"/>
                <w:sz w:val="21"/>
                <w:szCs w:val="21"/>
                <w:u w:val="single"/>
                <w:lang w:bidi="ar"/>
              </w:rPr>
              <w:t>商务标</w:t>
            </w:r>
            <w:r>
              <w:rPr>
                <w:rFonts w:hint="eastAsia"/>
                <w:snapToGrid w:val="0"/>
                <w:color w:val="0000FF"/>
                <w:sz w:val="21"/>
                <w:szCs w:val="21"/>
                <w:u w:val="single"/>
                <w:lang w:bidi="ar"/>
              </w:rPr>
              <w:t>1</w:t>
            </w:r>
            <w:r>
              <w:rPr>
                <w:snapToGrid w:val="0"/>
                <w:color w:val="0000FF"/>
                <w:sz w:val="21"/>
                <w:szCs w:val="21"/>
                <w:u w:val="single"/>
                <w:lang w:bidi="ar"/>
              </w:rPr>
              <w:t>份</w:t>
            </w:r>
            <w:r>
              <w:rPr>
                <w:rFonts w:hint="eastAsia"/>
                <w:snapToGrid w:val="0"/>
                <w:color w:val="0000FF"/>
                <w:sz w:val="21"/>
                <w:szCs w:val="21"/>
                <w:u w:val="single"/>
                <w:lang w:bidi="ar"/>
              </w:rPr>
              <w:t>、</w:t>
            </w:r>
            <w:r>
              <w:rPr>
                <w:snapToGrid w:val="0"/>
                <w:color w:val="0000FF"/>
                <w:sz w:val="21"/>
                <w:szCs w:val="21"/>
                <w:u w:val="single"/>
                <w:lang w:bidi="ar"/>
              </w:rPr>
              <w:t>电子标书（一份）</w:t>
            </w:r>
            <w:r>
              <w:rPr>
                <w:rFonts w:hint="eastAsia"/>
                <w:snapToGrid w:val="0"/>
                <w:color w:val="0000FF"/>
                <w:sz w:val="21"/>
                <w:szCs w:val="21"/>
                <w:u w:val="single"/>
                <w:lang w:bidi="ar"/>
              </w:rPr>
              <w:t>均应分开装订，并应注明</w:t>
            </w:r>
            <w:r>
              <w:rPr>
                <w:snapToGrid w:val="0"/>
                <w:color w:val="0000FF"/>
                <w:sz w:val="21"/>
                <w:szCs w:val="21"/>
                <w:u w:val="single"/>
                <w:lang w:bidi="ar"/>
              </w:rPr>
              <w:t>目名称、项目编号、投标人名称</w:t>
            </w:r>
            <w:r>
              <w:rPr>
                <w:rFonts w:hint="eastAsia"/>
                <w:snapToGrid w:val="0"/>
                <w:color w:val="0000FF"/>
                <w:sz w:val="21"/>
                <w:szCs w:val="21"/>
                <w:u w:val="single"/>
                <w:lang w:bidi="ar"/>
              </w:rPr>
              <w:t>、所属那部分投标文件。</w:t>
            </w:r>
          </w:p>
          <w:p>
            <w:pPr>
              <w:widowControl w:val="0"/>
              <w:spacing w:line="360" w:lineRule="auto"/>
              <w:jc w:val="left"/>
              <w:rPr>
                <w:sz w:val="21"/>
                <w:u w:val="single"/>
              </w:rPr>
            </w:pPr>
            <w:r>
              <w:rPr>
                <w:rFonts w:hint="eastAsia"/>
                <w:snapToGrid w:val="0"/>
                <w:color w:val="0000FF"/>
                <w:sz w:val="21"/>
                <w:szCs w:val="21"/>
                <w:u w:val="single"/>
                <w:lang w:bidi="ar"/>
              </w:rPr>
              <w:t>所有投标文件需</w:t>
            </w:r>
            <w:r>
              <w:rPr>
                <w:snapToGrid w:val="0"/>
                <w:color w:val="0000FF"/>
                <w:sz w:val="21"/>
                <w:szCs w:val="21"/>
                <w:u w:val="single"/>
                <w:lang w:bidi="ar"/>
              </w:rPr>
              <w:t>统一封入一个密封袋中，并在密封袋注明项目名称、投标人名称、前附表规定的开标时间以及“在此之前不得开封”字样，封口处应贴封条并骑缝加盖投标人公章。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Cs w:val="21"/>
              </w:rPr>
              <w:t>13</w:t>
            </w:r>
          </w:p>
        </w:tc>
        <w:tc>
          <w:tcPr>
            <w:tcW w:w="1283"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 w:val="21"/>
                <w:szCs w:val="21"/>
              </w:rPr>
              <w:t>踏勘现场</w:t>
            </w:r>
          </w:p>
        </w:tc>
        <w:tc>
          <w:tcPr>
            <w:tcW w:w="3223" w:type="pct"/>
            <w:shd w:val="clear" w:color="auto" w:fill="auto"/>
            <w:vAlign w:val="center"/>
          </w:tcPr>
          <w:p>
            <w:pPr>
              <w:widowControl w:val="0"/>
              <w:adjustRightInd w:val="0"/>
              <w:snapToGrid w:val="0"/>
              <w:spacing w:line="360" w:lineRule="auto"/>
              <w:jc w:val="left"/>
              <w:rPr>
                <w:rFonts w:cs="Courier New"/>
                <w:szCs w:val="21"/>
              </w:rPr>
            </w:pPr>
            <w:r>
              <w:rPr>
                <w:rFonts w:hint="eastAsia" w:cs="Courier New"/>
                <w:sz w:val="21"/>
                <w:szCs w:val="21"/>
              </w:rPr>
              <w:t>详细地点：</w:t>
            </w:r>
            <w:r>
              <w:rPr>
                <w:rFonts w:hint="eastAsia"/>
                <w:snapToGrid w:val="0"/>
                <w:color w:val="0000FF"/>
                <w:sz w:val="21"/>
                <w:szCs w:val="21"/>
                <w:u w:val="single"/>
                <w:lang w:bidi="ar"/>
              </w:rPr>
              <w:t>本</w:t>
            </w:r>
            <w:r>
              <w:rPr>
                <w:snapToGrid w:val="0"/>
                <w:color w:val="0000FF"/>
                <w:sz w:val="21"/>
                <w:szCs w:val="21"/>
                <w:u w:val="single"/>
                <w:lang w:bidi="ar"/>
              </w:rPr>
              <w:t>项目不组织现场踏勘</w:t>
            </w:r>
            <w:r>
              <w:rPr>
                <w:rFonts w:cs="Courier New"/>
                <w:bCs/>
                <w:szCs w:val="21"/>
                <w:u w:val="single"/>
              </w:rPr>
              <w:fldChar w:fldCharType="begin"/>
            </w:r>
            <w:r>
              <w:rPr>
                <w:rFonts w:cs="Courier New"/>
                <w:bCs/>
                <w:sz w:val="21"/>
                <w:szCs w:val="21"/>
                <w:u w:val="single"/>
              </w:rPr>
              <w:instrText xml:space="preserve"> AUTOTEXT  input409 \* MERGEFORMAT </w:instrText>
            </w:r>
            <w:r>
              <w:rPr>
                <w:rFonts w:cs="Courier New"/>
                <w:bCs/>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vMerge w:val="restart"/>
            <w:shd w:val="clear" w:color="auto" w:fill="auto"/>
            <w:vAlign w:val="center"/>
          </w:tcPr>
          <w:p>
            <w:pPr>
              <w:widowControl w:val="0"/>
              <w:spacing w:line="360" w:lineRule="auto"/>
              <w:jc w:val="center"/>
              <w:rPr>
                <w:snapToGrid w:val="0"/>
              </w:rPr>
            </w:pPr>
            <w:r>
              <w:rPr>
                <w:rFonts w:hint="eastAsia"/>
                <w:snapToGrid w:val="0"/>
              </w:rPr>
              <w:t>14</w:t>
            </w:r>
          </w:p>
        </w:tc>
        <w:tc>
          <w:tcPr>
            <w:tcW w:w="1283" w:type="pct"/>
            <w:vMerge w:val="restart"/>
            <w:shd w:val="clear" w:color="auto" w:fill="auto"/>
            <w:vAlign w:val="center"/>
          </w:tcPr>
          <w:p>
            <w:pPr>
              <w:widowControl w:val="0"/>
              <w:spacing w:line="360" w:lineRule="auto"/>
              <w:jc w:val="center"/>
              <w:rPr>
                <w:snapToGrid w:val="0"/>
                <w:sz w:val="21"/>
                <w:szCs w:val="21"/>
              </w:rPr>
            </w:pPr>
            <w:r>
              <w:rPr>
                <w:rFonts w:hint="eastAsia"/>
                <w:snapToGrid w:val="0"/>
                <w:sz w:val="21"/>
                <w:szCs w:val="21"/>
              </w:rPr>
              <w:t>投标担保</w:t>
            </w:r>
          </w:p>
        </w:tc>
        <w:tc>
          <w:tcPr>
            <w:tcW w:w="3223" w:type="pct"/>
            <w:shd w:val="clear" w:color="auto" w:fill="auto"/>
            <w:vAlign w:val="center"/>
          </w:tcPr>
          <w:p>
            <w:pPr>
              <w:widowControl w:val="0"/>
              <w:spacing w:line="360" w:lineRule="auto"/>
              <w:jc w:val="left"/>
              <w:rPr>
                <w:sz w:val="21"/>
                <w:szCs w:val="21"/>
              </w:rPr>
            </w:pPr>
            <w:r>
              <w:rPr>
                <w:rFonts w:hint="eastAsia"/>
                <w:sz w:val="21"/>
                <w:szCs w:val="21"/>
              </w:rPr>
              <w:t>□投标保证金额:</w:t>
            </w:r>
            <w:r>
              <w:rPr>
                <w:rFonts w:hint="eastAsia"/>
                <w:snapToGrid w:val="0"/>
                <w:sz w:val="21"/>
                <w:szCs w:val="21"/>
                <w:u w:val="single"/>
                <w:lang w:bidi="ar"/>
              </w:rPr>
              <w:t xml:space="preserve">      </w:t>
            </w:r>
            <w:r>
              <w:rPr>
                <w:rFonts w:hint="eastAsia"/>
                <w:sz w:val="21"/>
                <w:szCs w:val="21"/>
              </w:rPr>
              <w:t>万元</w:t>
            </w:r>
          </w:p>
          <w:p>
            <w:pPr>
              <w:widowControl w:val="0"/>
              <w:adjustRightInd w:val="0"/>
              <w:snapToGrid w:val="0"/>
              <w:spacing w:line="360" w:lineRule="auto"/>
              <w:jc w:val="both"/>
              <w:rPr>
                <w:rFonts w:cs="Courier New"/>
                <w:sz w:val="21"/>
                <w:szCs w:val="21"/>
              </w:rPr>
            </w:pPr>
            <w:r>
              <w:rPr>
                <w:rFonts w:hint="eastAsia"/>
                <w:snapToGrid w:val="0"/>
                <w:color w:val="0000FF"/>
                <w:sz w:val="21"/>
                <w:szCs w:val="21"/>
                <w:lang w:bidi="ar"/>
              </w:rPr>
              <w:t>■</w:t>
            </w:r>
            <w:r>
              <w:rPr>
                <w:rFonts w:hint="eastAsia"/>
                <w:sz w:val="21"/>
                <w:szCs w:val="21"/>
              </w:rPr>
              <w:t>无需提供投标担保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vMerge w:val="continue"/>
            <w:shd w:val="clear" w:color="auto" w:fill="auto"/>
            <w:vAlign w:val="center"/>
          </w:tcPr>
          <w:p>
            <w:pPr>
              <w:widowControl w:val="0"/>
              <w:adjustRightInd w:val="0"/>
              <w:snapToGrid w:val="0"/>
              <w:spacing w:line="360" w:lineRule="auto"/>
              <w:jc w:val="center"/>
              <w:rPr>
                <w:rFonts w:cs="Courier New"/>
                <w:szCs w:val="21"/>
              </w:rPr>
            </w:pPr>
          </w:p>
        </w:tc>
        <w:tc>
          <w:tcPr>
            <w:tcW w:w="1283"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3223" w:type="pct"/>
            <w:shd w:val="clear" w:color="auto" w:fill="auto"/>
            <w:vAlign w:val="center"/>
          </w:tcPr>
          <w:p>
            <w:pPr>
              <w:widowControl w:val="0"/>
              <w:adjustRightInd w:val="0"/>
              <w:snapToGrid w:val="0"/>
              <w:spacing w:line="360" w:lineRule="auto"/>
              <w:jc w:val="both"/>
              <w:rPr>
                <w:sz w:val="21"/>
                <w:szCs w:val="21"/>
              </w:rPr>
            </w:pPr>
            <w:r>
              <w:rPr>
                <w:rFonts w:hint="eastAsia"/>
                <w:sz w:val="21"/>
                <w:szCs w:val="21"/>
              </w:rPr>
              <w:t>担保形式：</w:t>
            </w:r>
          </w:p>
          <w:p>
            <w:pPr>
              <w:widowControl w:val="0"/>
              <w:adjustRightInd w:val="0"/>
              <w:snapToGrid w:val="0"/>
              <w:spacing w:line="360" w:lineRule="auto"/>
              <w:jc w:val="both"/>
              <w:rPr>
                <w:sz w:val="21"/>
                <w:szCs w:val="21"/>
              </w:rPr>
            </w:pPr>
            <w:r>
              <w:rPr>
                <w:rFonts w:hint="eastAsia"/>
                <w:sz w:val="21"/>
                <w:szCs w:val="21"/>
                <w:lang w:bidi="ar"/>
              </w:rPr>
              <w:t>□</w:t>
            </w:r>
            <w:r>
              <w:rPr>
                <w:rFonts w:hint="eastAsia"/>
                <w:sz w:val="21"/>
                <w:szCs w:val="21"/>
              </w:rPr>
              <w:t>银行保函（电子保函/纸质保函），由投标人基本账户开户银行所在网点或其上级银行机构出具</w:t>
            </w:r>
          </w:p>
          <w:p>
            <w:pPr>
              <w:widowControl w:val="0"/>
              <w:adjustRightInd w:val="0"/>
              <w:snapToGrid w:val="0"/>
              <w:spacing w:line="360" w:lineRule="auto"/>
              <w:jc w:val="both"/>
              <w:rPr>
                <w:sz w:val="21"/>
                <w:szCs w:val="21"/>
                <w:u w:val="single"/>
              </w:rPr>
            </w:pPr>
            <w:r>
              <w:rPr>
                <w:rFonts w:hint="eastAsia"/>
                <w:sz w:val="21"/>
                <w:szCs w:val="21"/>
              </w:rPr>
              <w:t>□保证金（现金/支票），从投标人基本账户汇出</w:t>
            </w:r>
            <w:r>
              <w:rPr>
                <w:rFonts w:hint="eastAsia"/>
                <w:sz w:val="21"/>
                <w:szCs w:val="21"/>
                <w:u w:val="single"/>
              </w:rPr>
              <w:t xml:space="preserve">      </w:t>
            </w:r>
          </w:p>
          <w:p>
            <w:pPr>
              <w:widowControl w:val="0"/>
              <w:adjustRightInd w:val="0"/>
              <w:snapToGrid w:val="0"/>
              <w:spacing w:line="360" w:lineRule="auto"/>
              <w:jc w:val="both"/>
              <w:rPr>
                <w:sz w:val="21"/>
                <w:szCs w:val="21"/>
              </w:rPr>
            </w:pPr>
            <w:r>
              <w:rPr>
                <w:rFonts w:hint="eastAsia"/>
                <w:sz w:val="21"/>
                <w:szCs w:val="21"/>
              </w:rPr>
              <w:t>□保证保险，保费通过投标人基本账户支付</w:t>
            </w:r>
          </w:p>
          <w:p>
            <w:pPr>
              <w:widowControl w:val="0"/>
              <w:adjustRightInd w:val="0"/>
              <w:snapToGrid w:val="0"/>
              <w:spacing w:line="360" w:lineRule="auto"/>
              <w:jc w:val="both"/>
              <w:rPr>
                <w:rFonts w:cs="Courier New"/>
                <w:sz w:val="21"/>
                <w:szCs w:val="21"/>
              </w:rPr>
            </w:pPr>
            <w:r>
              <w:rPr>
                <w:rFonts w:hint="eastAsia"/>
                <w:sz w:val="21"/>
                <w:szCs w:val="21"/>
              </w:rPr>
              <w:t>□其他</w:t>
            </w:r>
            <w:r>
              <w:rPr>
                <w:rFonts w:hint="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Cs w:val="21"/>
              </w:rPr>
              <w:t>15</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公布招标控制价、投标报价上限地址</w:t>
            </w:r>
          </w:p>
        </w:tc>
        <w:tc>
          <w:tcPr>
            <w:tcW w:w="3223" w:type="pct"/>
            <w:shd w:val="clear" w:color="auto" w:fill="auto"/>
            <w:vAlign w:val="center"/>
          </w:tcPr>
          <w:p>
            <w:pPr>
              <w:widowControl w:val="0"/>
              <w:adjustRightInd w:val="0"/>
              <w:snapToGrid w:val="0"/>
              <w:spacing w:line="360" w:lineRule="auto"/>
              <w:jc w:val="left"/>
              <w:rPr>
                <w:rFonts w:cs="Courier New"/>
                <w:sz w:val="21"/>
                <w:szCs w:val="21"/>
              </w:rPr>
            </w:pPr>
            <w:r>
              <w:rPr>
                <w:rFonts w:hint="eastAsia" w:cs="Courier New"/>
                <w:sz w:val="21"/>
                <w:szCs w:val="21"/>
              </w:rPr>
              <w:t>详见招标文件及招标公告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Cs w:val="21"/>
              </w:rPr>
              <w:t>16</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投标文件递交</w:t>
            </w:r>
          </w:p>
        </w:tc>
        <w:tc>
          <w:tcPr>
            <w:tcW w:w="3223" w:type="pct"/>
            <w:shd w:val="clear" w:color="auto" w:fill="auto"/>
            <w:vAlign w:val="center"/>
          </w:tcPr>
          <w:p>
            <w:pPr>
              <w:widowControl/>
              <w:spacing w:line="360" w:lineRule="auto"/>
              <w:jc w:val="left"/>
              <w:rPr>
                <w:rFonts w:cs="Courier New"/>
                <w:sz w:val="21"/>
                <w:szCs w:val="21"/>
              </w:rPr>
            </w:pPr>
            <w:r>
              <w:rPr>
                <w:rFonts w:hint="eastAsia" w:cs="Courier New"/>
                <w:sz w:val="21"/>
                <w:szCs w:val="21"/>
              </w:rPr>
              <w:t>地点：</w:t>
            </w:r>
            <w:r>
              <w:rPr>
                <w:rFonts w:hint="eastAsia"/>
                <w:snapToGrid w:val="0"/>
                <w:color w:val="0000FF"/>
                <w:sz w:val="21"/>
                <w:szCs w:val="21"/>
                <w:u w:val="single"/>
                <w:lang w:bidi="ar"/>
              </w:rPr>
              <w:t>深圳市南山区招商街道办事处城市建设办公室</w:t>
            </w:r>
          </w:p>
          <w:p>
            <w:pPr>
              <w:widowControl w:val="0"/>
              <w:adjustRightInd w:val="0"/>
              <w:snapToGrid w:val="0"/>
              <w:spacing w:line="360" w:lineRule="auto"/>
              <w:jc w:val="left"/>
              <w:rPr>
                <w:rFonts w:cs="Courier New"/>
                <w:sz w:val="21"/>
                <w:szCs w:val="21"/>
              </w:rPr>
            </w:pPr>
            <w:r>
              <w:rPr>
                <w:rFonts w:hint="eastAsia" w:cs="Courier New"/>
                <w:sz w:val="21"/>
                <w:szCs w:val="21"/>
              </w:rPr>
              <w:t>截止时间：</w:t>
            </w:r>
            <w:r>
              <w:rPr>
                <w:rFonts w:hint="eastAsia"/>
                <w:snapToGrid w:val="0"/>
                <w:color w:val="0000FF"/>
                <w:sz w:val="21"/>
                <w:szCs w:val="21"/>
                <w:u w:val="single"/>
                <w:lang w:bidi="ar"/>
              </w:rPr>
              <w:t>2023年07月2</w:t>
            </w:r>
            <w:r>
              <w:rPr>
                <w:rFonts w:hint="eastAsia"/>
                <w:snapToGrid w:val="0"/>
                <w:color w:val="0000FF"/>
                <w:sz w:val="21"/>
                <w:szCs w:val="21"/>
                <w:u w:val="single"/>
                <w:lang w:val="en-US" w:eastAsia="zh-CN" w:bidi="ar"/>
              </w:rPr>
              <w:t>7</w:t>
            </w:r>
            <w:r>
              <w:rPr>
                <w:rFonts w:hint="eastAsia"/>
                <w:snapToGrid w:val="0"/>
                <w:color w:val="0000FF"/>
                <w:sz w:val="21"/>
                <w:szCs w:val="21"/>
                <w:u w:val="single"/>
                <w:lang w:bidi="ar"/>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Cs w:val="21"/>
              </w:rPr>
              <w:t>17</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投标有效期</w:t>
            </w:r>
          </w:p>
        </w:tc>
        <w:tc>
          <w:tcPr>
            <w:tcW w:w="3223" w:type="pct"/>
            <w:shd w:val="clear" w:color="auto" w:fill="auto"/>
            <w:vAlign w:val="center"/>
          </w:tcPr>
          <w:p>
            <w:pPr>
              <w:widowControl w:val="0"/>
              <w:adjustRightInd w:val="0"/>
              <w:snapToGrid w:val="0"/>
              <w:spacing w:line="360" w:lineRule="auto"/>
              <w:jc w:val="left"/>
              <w:rPr>
                <w:rFonts w:cs="Courier New"/>
                <w:sz w:val="21"/>
                <w:szCs w:val="21"/>
              </w:rPr>
            </w:pPr>
            <w:r>
              <w:rPr>
                <w:snapToGrid w:val="0"/>
                <w:color w:val="0000FF"/>
                <w:sz w:val="21"/>
                <w:szCs w:val="21"/>
                <w:u w:val="single"/>
                <w:lang w:bidi="ar"/>
              </w:rPr>
              <w:t>120</w:t>
            </w:r>
            <w:r>
              <w:rPr>
                <w:rFonts w:cs="Courier New"/>
                <w:sz w:val="21"/>
                <w:szCs w:val="21"/>
                <w:u w:val="single"/>
              </w:rPr>
              <w:fldChar w:fldCharType="begin"/>
            </w:r>
            <w:r>
              <w:rPr>
                <w:rFonts w:cs="Courier New"/>
                <w:sz w:val="21"/>
                <w:szCs w:val="21"/>
                <w:u w:val="single"/>
              </w:rPr>
              <w:instrText xml:space="preserve"> </w:instrText>
            </w:r>
            <w:r>
              <w:rPr>
                <w:rFonts w:hint="eastAsia" w:cs="Courier New"/>
                <w:sz w:val="21"/>
                <w:szCs w:val="21"/>
                <w:u w:val="single"/>
              </w:rPr>
              <w:instrText xml:space="preserve">AUTOTEXT  input436 \* MERGEFORMAT</w:instrText>
            </w:r>
            <w:r>
              <w:rPr>
                <w:rFonts w:cs="Courier New"/>
                <w:sz w:val="21"/>
                <w:szCs w:val="21"/>
                <w:u w:val="single"/>
              </w:rPr>
              <w:instrText xml:space="preserve"> </w:instrText>
            </w:r>
            <w:r>
              <w:rPr>
                <w:rFonts w:cs="Courier New"/>
                <w:sz w:val="21"/>
                <w:szCs w:val="21"/>
                <w:u w:val="single"/>
              </w:rPr>
              <w:fldChar w:fldCharType="end"/>
            </w:r>
            <w:r>
              <w:rPr>
                <w:rFonts w:hint="eastAsia" w:cs="Courier New"/>
                <w:sz w:val="21"/>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Cs w:val="21"/>
              </w:rPr>
              <w:t>18</w:t>
            </w:r>
          </w:p>
        </w:tc>
        <w:tc>
          <w:tcPr>
            <w:tcW w:w="1283" w:type="pct"/>
            <w:shd w:val="clear" w:color="auto" w:fill="auto"/>
            <w:vAlign w:val="center"/>
          </w:tcPr>
          <w:p>
            <w:pPr>
              <w:widowControl w:val="0"/>
              <w:spacing w:line="360" w:lineRule="auto"/>
              <w:jc w:val="center"/>
              <w:rPr>
                <w:rFonts w:cs="Courier New"/>
                <w:sz w:val="21"/>
                <w:szCs w:val="21"/>
              </w:rPr>
            </w:pPr>
            <w:r>
              <w:rPr>
                <w:rFonts w:hint="eastAsia" w:cs="Courier New"/>
                <w:sz w:val="21"/>
                <w:szCs w:val="21"/>
              </w:rPr>
              <w:t>招标会议时间</w:t>
            </w:r>
          </w:p>
        </w:tc>
        <w:tc>
          <w:tcPr>
            <w:tcW w:w="3223" w:type="pct"/>
            <w:shd w:val="clear" w:color="auto" w:fill="auto"/>
            <w:vAlign w:val="center"/>
          </w:tcPr>
          <w:p>
            <w:pPr>
              <w:widowControl w:val="0"/>
              <w:spacing w:line="360" w:lineRule="auto"/>
              <w:jc w:val="left"/>
              <w:rPr>
                <w:rFonts w:cs="Courier New"/>
                <w:sz w:val="21"/>
                <w:szCs w:val="21"/>
              </w:rPr>
            </w:pPr>
            <w:r>
              <w:rPr>
                <w:rFonts w:hint="eastAsia" w:cs="Courier New"/>
                <w:sz w:val="21"/>
                <w:szCs w:val="21"/>
              </w:rPr>
              <w:t>开标会、定标会议时间及地点，视本招标项目开展的实际情况确定。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92"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19</w:t>
            </w:r>
          </w:p>
        </w:tc>
        <w:tc>
          <w:tcPr>
            <w:tcW w:w="1283"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过多投标人淘汰</w:t>
            </w:r>
          </w:p>
          <w:p>
            <w:pPr>
              <w:widowControl w:val="0"/>
              <w:adjustRightInd w:val="0"/>
              <w:snapToGrid w:val="0"/>
              <w:spacing w:line="360" w:lineRule="auto"/>
              <w:jc w:val="center"/>
              <w:rPr>
                <w:rFonts w:cs="Courier New"/>
                <w:sz w:val="21"/>
                <w:szCs w:val="21"/>
              </w:rPr>
            </w:pPr>
            <w:r>
              <w:rPr>
                <w:rFonts w:hint="eastAsia" w:cs="Courier New"/>
                <w:sz w:val="21"/>
                <w:szCs w:val="21"/>
              </w:rPr>
              <w:t>环节（资格审查合格的投标人＞</w:t>
            </w:r>
            <w:r>
              <w:rPr>
                <w:rFonts w:cs="Courier New"/>
                <w:sz w:val="21"/>
                <w:szCs w:val="21"/>
              </w:rPr>
              <w:t>20名）</w:t>
            </w: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cs="Courier New"/>
                <w:sz w:val="21"/>
                <w:szCs w:val="21"/>
              </w:rPr>
              <w:t>资格审查合格的投标人＞20名时，经淘汰进入后续招标程序的投标人为15至20名， 具体数量产生方式为：</w:t>
            </w:r>
          </w:p>
          <w:p>
            <w:pPr>
              <w:widowControl w:val="0"/>
              <w:adjustRightInd w:val="0"/>
              <w:snapToGrid w:val="0"/>
              <w:spacing w:line="360" w:lineRule="auto"/>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input452 \* MERGEFORMAT </w:instrText>
            </w:r>
            <w:r>
              <w:rPr>
                <w:rFonts w:cs="Courier New"/>
                <w:sz w:val="21"/>
                <w:szCs w:val="21"/>
              </w:rPr>
              <w:fldChar w:fldCharType="end"/>
            </w:r>
            <w:r>
              <w:rPr>
                <w:rFonts w:hint="eastAsia" w:cs="Courier New"/>
                <w:sz w:val="21"/>
                <w:szCs w:val="21"/>
              </w:rPr>
              <w:t>由计算机随机产生</w:t>
            </w:r>
          </w:p>
          <w:p>
            <w:pPr>
              <w:widowControl w:val="0"/>
              <w:adjustRightInd w:val="0"/>
              <w:snapToGrid w:val="0"/>
              <w:spacing w:line="360" w:lineRule="auto"/>
              <w:jc w:val="both"/>
              <w:rPr>
                <w:rFonts w:cs="Courier New"/>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input453 \* MERGEFORMAT </w:instrText>
            </w:r>
            <w:r>
              <w:rPr>
                <w:rFonts w:cs="Courier New"/>
                <w:sz w:val="21"/>
                <w:szCs w:val="21"/>
              </w:rPr>
              <w:fldChar w:fldCharType="end"/>
            </w:r>
            <w:r>
              <w:rPr>
                <w:rFonts w:hint="eastAsia" w:cs="Courier New"/>
                <w:sz w:val="21"/>
                <w:szCs w:val="21"/>
              </w:rPr>
              <w:t>招标人自行确定：</w:t>
            </w:r>
            <w:r>
              <w:rPr>
                <w:rFonts w:hint="eastAsia"/>
                <w:sz w:val="21"/>
                <w:u w:val="single"/>
              </w:rPr>
              <w:t xml:space="preserve">  </w:t>
            </w:r>
            <w:r>
              <w:rPr>
                <w:rFonts w:cs="Courier New"/>
                <w:sz w:val="21"/>
                <w:szCs w:val="21"/>
                <w:u w:val="single"/>
              </w:rPr>
              <w:fldChar w:fldCharType="begin"/>
            </w:r>
            <w:r>
              <w:rPr>
                <w:rFonts w:cs="Courier New"/>
                <w:sz w:val="21"/>
                <w:szCs w:val="21"/>
                <w:u w:val="single"/>
              </w:rPr>
              <w:instrText xml:space="preserve"> AUTOTEXT  input454 \* MERGEFORMAT </w:instrText>
            </w:r>
            <w:r>
              <w:rPr>
                <w:rFonts w:cs="Courier New"/>
                <w:sz w:val="21"/>
                <w:szCs w:val="21"/>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92"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1283"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cs="Courier New"/>
                <w:sz w:val="21"/>
                <w:szCs w:val="21"/>
              </w:rPr>
              <w:t>过多投标人淘汰方式：</w:t>
            </w:r>
          </w:p>
          <w:p>
            <w:pPr>
              <w:widowControl w:val="0"/>
              <w:adjustRightInd w:val="0"/>
              <w:snapToGrid w:val="0"/>
              <w:spacing w:line="360" w:lineRule="auto"/>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input443 \* MERGEFORMAT </w:instrText>
            </w:r>
            <w:r>
              <w:rPr>
                <w:rFonts w:cs="Courier New"/>
                <w:sz w:val="21"/>
                <w:szCs w:val="21"/>
              </w:rPr>
              <w:fldChar w:fldCharType="end"/>
            </w:r>
            <w:r>
              <w:rPr>
                <w:rFonts w:hint="eastAsia" w:cs="Courier New"/>
                <w:sz w:val="21"/>
                <w:szCs w:val="21"/>
              </w:rPr>
              <w:t>直接票决</w:t>
            </w:r>
            <w:r>
              <w:rPr>
                <w:rFonts w:cs="Courier New"/>
                <w:sz w:val="21"/>
                <w:szCs w:val="21"/>
              </w:rPr>
              <w:t xml:space="preserve">  </w:t>
            </w:r>
            <w:r>
              <w:rPr>
                <w:rFonts w:hint="eastAsia"/>
                <w:sz w:val="21"/>
                <w:szCs w:val="21"/>
                <w:lang w:bidi="ar"/>
              </w:rPr>
              <w:t>□</w:t>
            </w:r>
            <w:r>
              <w:rPr>
                <w:rFonts w:cs="Courier New"/>
                <w:sz w:val="21"/>
                <w:szCs w:val="21"/>
              </w:rPr>
              <w:fldChar w:fldCharType="begin"/>
            </w:r>
            <w:r>
              <w:rPr>
                <w:rFonts w:cs="Courier New"/>
                <w:sz w:val="21"/>
                <w:szCs w:val="21"/>
              </w:rPr>
              <w:instrText xml:space="preserve"> AUTOTEXT  input444 \* MERGEFORMAT </w:instrText>
            </w:r>
            <w:r>
              <w:rPr>
                <w:rFonts w:cs="Courier New"/>
                <w:sz w:val="21"/>
                <w:szCs w:val="21"/>
              </w:rPr>
              <w:fldChar w:fldCharType="end"/>
            </w:r>
            <w:r>
              <w:rPr>
                <w:rFonts w:cs="Courier New"/>
                <w:sz w:val="21"/>
                <w:szCs w:val="21"/>
              </w:rPr>
              <w:t xml:space="preserve">逐轮票决  </w:t>
            </w:r>
            <w:r>
              <w:rPr>
                <w:rFonts w:hint="eastAsia"/>
                <w:sz w:val="21"/>
                <w:szCs w:val="21"/>
                <w:lang w:bidi="ar"/>
              </w:rPr>
              <w:t>□</w:t>
            </w:r>
            <w:r>
              <w:rPr>
                <w:rFonts w:cs="Courier New"/>
                <w:sz w:val="21"/>
                <w:szCs w:val="21"/>
              </w:rPr>
              <w:fldChar w:fldCharType="begin"/>
            </w:r>
            <w:r>
              <w:rPr>
                <w:rFonts w:cs="Courier New"/>
                <w:sz w:val="21"/>
                <w:szCs w:val="21"/>
              </w:rPr>
              <w:instrText xml:space="preserve"> AUTOTEXT  input445 \* MERGEFORMAT </w:instrText>
            </w:r>
            <w:r>
              <w:rPr>
                <w:rFonts w:cs="Courier New"/>
                <w:sz w:val="21"/>
                <w:szCs w:val="21"/>
              </w:rPr>
              <w:fldChar w:fldCharType="end"/>
            </w:r>
            <w:r>
              <w:rPr>
                <w:rFonts w:cs="Courier New"/>
                <w:sz w:val="21"/>
                <w:szCs w:val="21"/>
              </w:rPr>
              <w:t>逐轮淘汰</w:t>
            </w:r>
          </w:p>
          <w:p>
            <w:pPr>
              <w:widowControl w:val="0"/>
              <w:adjustRightInd w:val="0"/>
              <w:snapToGrid w:val="0"/>
              <w:spacing w:line="360" w:lineRule="auto"/>
              <w:ind w:firstLine="420" w:firstLineChars="200"/>
              <w:jc w:val="both"/>
              <w:rPr>
                <w:rFonts w:cs="Courier New"/>
                <w:sz w:val="21"/>
                <w:szCs w:val="21"/>
              </w:rPr>
            </w:pPr>
            <w:r>
              <w:rPr>
                <w:rFonts w:hint="eastAsia" w:cs="Courier New"/>
                <w:sz w:val="21"/>
                <w:szCs w:val="21"/>
              </w:rPr>
              <w:t>计算规则（采用直接票决或逐轮票决的）：</w:t>
            </w:r>
          </w:p>
          <w:p>
            <w:pPr>
              <w:widowControl w:val="0"/>
              <w:adjustRightInd w:val="0"/>
              <w:snapToGrid w:val="0"/>
              <w:spacing w:line="360" w:lineRule="auto"/>
              <w:ind w:firstLine="420" w:firstLineChars="200"/>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w:instrText>
            </w:r>
            <w:r>
              <w:rPr>
                <w:rFonts w:hint="eastAsia" w:cs="Courier New"/>
                <w:sz w:val="21"/>
                <w:szCs w:val="21"/>
              </w:rPr>
              <w:instrText xml:space="preserve">AUTOTEXT  input451 \* MERGEFORMAT</w:instrText>
            </w:r>
            <w:r>
              <w:rPr>
                <w:rFonts w:cs="Courier New"/>
                <w:sz w:val="21"/>
                <w:szCs w:val="21"/>
              </w:rPr>
              <w:instrText xml:space="preserve"> </w:instrText>
            </w:r>
            <w:r>
              <w:rPr>
                <w:rFonts w:cs="Courier New"/>
                <w:sz w:val="21"/>
                <w:szCs w:val="21"/>
              </w:rPr>
              <w:fldChar w:fldCharType="end"/>
            </w:r>
            <w:r>
              <w:rPr>
                <w:rFonts w:hint="eastAsia" w:cs="Courier New"/>
                <w:sz w:val="21"/>
                <w:szCs w:val="21"/>
              </w:rPr>
              <w:t>简单多数。当被淘汰最后一名有并列情况以至超过应淘汰投标人数时，对此并列的投标人采取如下确定方式：</w:t>
            </w:r>
          </w:p>
          <w:p>
            <w:pPr>
              <w:widowControl w:val="0"/>
              <w:adjustRightInd w:val="0"/>
              <w:snapToGrid w:val="0"/>
              <w:spacing w:line="360" w:lineRule="auto"/>
              <w:ind w:firstLine="1050" w:firstLineChars="500"/>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input446 \* MERGEFORMAT </w:instrText>
            </w:r>
            <w:r>
              <w:rPr>
                <w:rFonts w:cs="Courier New"/>
                <w:sz w:val="21"/>
                <w:szCs w:val="21"/>
              </w:rPr>
              <w:fldChar w:fldCharType="end"/>
            </w:r>
            <w:r>
              <w:rPr>
                <w:rFonts w:hint="eastAsia" w:cs="Courier New"/>
                <w:sz w:val="21"/>
                <w:szCs w:val="21"/>
              </w:rPr>
              <w:t>抽签入围</w:t>
            </w:r>
          </w:p>
          <w:p>
            <w:pPr>
              <w:widowControl w:val="0"/>
              <w:adjustRightInd w:val="0"/>
              <w:snapToGrid w:val="0"/>
              <w:spacing w:line="360" w:lineRule="auto"/>
              <w:ind w:firstLine="1050" w:firstLineChars="500"/>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input447 \* MERGEFORMAT </w:instrText>
            </w:r>
            <w:r>
              <w:rPr>
                <w:rFonts w:cs="Courier New"/>
                <w:sz w:val="21"/>
                <w:szCs w:val="21"/>
              </w:rPr>
              <w:fldChar w:fldCharType="end"/>
            </w:r>
            <w:r>
              <w:rPr>
                <w:rFonts w:hint="eastAsia" w:cs="Courier New"/>
                <w:sz w:val="21"/>
                <w:szCs w:val="21"/>
              </w:rPr>
              <w:t>递交投标文件时间靠前者入围</w:t>
            </w:r>
          </w:p>
          <w:p>
            <w:pPr>
              <w:widowControl w:val="0"/>
              <w:adjustRightInd w:val="0"/>
              <w:snapToGrid w:val="0"/>
              <w:spacing w:line="360" w:lineRule="auto"/>
              <w:ind w:firstLine="1050" w:firstLineChars="500"/>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input448 \* MERGEFORMAT </w:instrText>
            </w:r>
            <w:r>
              <w:rPr>
                <w:rFonts w:cs="Courier New"/>
                <w:sz w:val="21"/>
                <w:szCs w:val="21"/>
              </w:rPr>
              <w:fldChar w:fldCharType="end"/>
            </w:r>
            <w:r>
              <w:rPr>
                <w:rFonts w:hint="eastAsia" w:cs="Courier New"/>
                <w:sz w:val="21"/>
                <w:szCs w:val="21"/>
              </w:rPr>
              <w:t>继续票决，再重票则随机抽签</w:t>
            </w:r>
          </w:p>
          <w:p>
            <w:pPr>
              <w:widowControl w:val="0"/>
              <w:adjustRightInd w:val="0"/>
              <w:snapToGrid w:val="0"/>
              <w:spacing w:line="360" w:lineRule="auto"/>
              <w:ind w:firstLine="1050" w:firstLineChars="500"/>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input449 \* MERGEFORMAT </w:instrText>
            </w:r>
            <w:r>
              <w:rPr>
                <w:rFonts w:cs="Courier New"/>
                <w:sz w:val="21"/>
                <w:szCs w:val="21"/>
              </w:rPr>
              <w:fldChar w:fldCharType="end"/>
            </w:r>
            <w:r>
              <w:rPr>
                <w:rFonts w:hint="eastAsia" w:cs="Courier New"/>
                <w:sz w:val="21"/>
                <w:szCs w:val="21"/>
              </w:rPr>
              <w:t>继续票决</w:t>
            </w:r>
          </w:p>
          <w:p>
            <w:pPr>
              <w:widowControl w:val="0"/>
              <w:adjustRightInd w:val="0"/>
              <w:snapToGrid w:val="0"/>
              <w:spacing w:line="360" w:lineRule="auto"/>
              <w:ind w:firstLine="630" w:firstLineChars="300"/>
              <w:jc w:val="both"/>
              <w:rPr>
                <w:rFonts w:cs="Courier New"/>
                <w:sz w:val="21"/>
                <w:szCs w:val="21"/>
              </w:rPr>
            </w:pPr>
            <w:r>
              <w:rPr>
                <w:rFonts w:hint="eastAsia"/>
                <w:sz w:val="21"/>
                <w:szCs w:val="21"/>
                <w:lang w:bidi="ar"/>
              </w:rPr>
              <w:t>□</w:t>
            </w:r>
            <w:r>
              <w:rPr>
                <w:rFonts w:cs="Courier New"/>
                <w:sz w:val="21"/>
                <w:szCs w:val="21"/>
              </w:rPr>
              <w:fldChar w:fldCharType="begin"/>
            </w:r>
            <w:r>
              <w:rPr>
                <w:rFonts w:cs="Courier New"/>
                <w:sz w:val="21"/>
                <w:szCs w:val="21"/>
              </w:rPr>
              <w:instrText xml:space="preserve"> AUTOTEXT  input450 \* MERGEFORMAT </w:instrText>
            </w:r>
            <w:r>
              <w:rPr>
                <w:rFonts w:cs="Courier New"/>
                <w:sz w:val="21"/>
                <w:szCs w:val="21"/>
              </w:rPr>
              <w:fldChar w:fldCharType="end"/>
            </w:r>
            <w:r>
              <w:rPr>
                <w:rFonts w:hint="eastAsia" w:cs="Courier New"/>
                <w:sz w:val="21"/>
                <w:szCs w:val="21"/>
              </w:rPr>
              <w:t>对比胜出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92"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1283"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snapToGrid w:val="0"/>
                <w:color w:val="0000FF"/>
                <w:sz w:val="21"/>
                <w:szCs w:val="21"/>
                <w:lang w:bidi="ar"/>
              </w:rPr>
              <w:t>■</w:t>
            </w:r>
            <w:r>
              <w:rPr>
                <w:rFonts w:cs="Courier New"/>
                <w:sz w:val="21"/>
                <w:szCs w:val="21"/>
              </w:rPr>
              <w:fldChar w:fldCharType="begin"/>
            </w:r>
            <w:r>
              <w:rPr>
                <w:rFonts w:cs="Courier New"/>
                <w:sz w:val="21"/>
                <w:szCs w:val="21"/>
              </w:rPr>
              <w:instrText xml:space="preserve"> AUTOTEXT  input563 \* MERGEFORMAT </w:instrText>
            </w:r>
            <w:r>
              <w:rPr>
                <w:rFonts w:cs="Courier New"/>
                <w:sz w:val="21"/>
                <w:szCs w:val="21"/>
              </w:rPr>
              <w:fldChar w:fldCharType="end"/>
            </w:r>
            <w:r>
              <w:rPr>
                <w:rFonts w:hint="eastAsia" w:cs="Courier New"/>
                <w:sz w:val="21"/>
                <w:szCs w:val="21"/>
              </w:rPr>
              <w:t>本项目不进行过多投标人淘汰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20</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评标方法及标准</w:t>
            </w: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snapToGrid w:val="0"/>
                <w:color w:val="0000FF"/>
                <w:sz w:val="21"/>
                <w:szCs w:val="21"/>
                <w:lang w:bidi="ar"/>
              </w:rPr>
              <w:t>本</w:t>
            </w:r>
            <w:r>
              <w:rPr>
                <w:snapToGrid w:val="0"/>
                <w:color w:val="0000FF"/>
                <w:sz w:val="21"/>
                <w:szCs w:val="21"/>
                <w:lang w:bidi="ar"/>
              </w:rPr>
              <w:t>项目无需评标</w:t>
            </w:r>
            <w:r>
              <w:rPr>
                <w:rFonts w:hint="eastAsia"/>
                <w:snapToGrid w:val="0"/>
                <w:color w:val="0000FF"/>
                <w:sz w:val="21"/>
                <w:szCs w:val="21"/>
                <w:lang w:bidi="ar"/>
              </w:rPr>
              <w:t>，</w:t>
            </w:r>
            <w:r>
              <w:rPr>
                <w:snapToGrid w:val="0"/>
                <w:color w:val="0000FF"/>
                <w:sz w:val="21"/>
                <w:szCs w:val="21"/>
                <w:lang w:bidi="ar"/>
              </w:rPr>
              <w:t>相关条款不适用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21</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评标地点</w:t>
            </w:r>
          </w:p>
        </w:tc>
        <w:tc>
          <w:tcPr>
            <w:tcW w:w="3223" w:type="pct"/>
            <w:shd w:val="clear" w:color="auto" w:fill="auto"/>
            <w:vAlign w:val="center"/>
          </w:tcPr>
          <w:p>
            <w:pPr>
              <w:widowControl w:val="0"/>
              <w:adjustRightInd w:val="0"/>
              <w:snapToGrid w:val="0"/>
              <w:spacing w:line="360" w:lineRule="auto"/>
              <w:jc w:val="left"/>
              <w:rPr>
                <w:rFonts w:cs="Courier New"/>
                <w:sz w:val="21"/>
                <w:szCs w:val="21"/>
              </w:rPr>
            </w:pPr>
            <w:r>
              <w:rPr>
                <w:rFonts w:hint="eastAsia"/>
                <w:snapToGrid w:val="0"/>
                <w:color w:val="0000FF"/>
                <w:sz w:val="21"/>
                <w:szCs w:val="21"/>
                <w:lang w:bidi="ar"/>
              </w:rPr>
              <w:t>本</w:t>
            </w:r>
            <w:r>
              <w:rPr>
                <w:snapToGrid w:val="0"/>
                <w:color w:val="0000FF"/>
                <w:sz w:val="21"/>
                <w:szCs w:val="21"/>
                <w:lang w:bidi="ar"/>
              </w:rPr>
              <w:t>项目无需评标</w:t>
            </w:r>
            <w:r>
              <w:rPr>
                <w:rFonts w:hint="eastAsia"/>
                <w:snapToGrid w:val="0"/>
                <w:color w:val="0000FF"/>
                <w:sz w:val="21"/>
                <w:szCs w:val="21"/>
                <w:lang w:bidi="ar"/>
              </w:rPr>
              <w:t>，</w:t>
            </w:r>
            <w:r>
              <w:rPr>
                <w:snapToGrid w:val="0"/>
                <w:color w:val="0000FF"/>
                <w:sz w:val="21"/>
                <w:szCs w:val="21"/>
                <w:lang w:bidi="ar"/>
              </w:rPr>
              <w:t>相关条款不适用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Cs w:val="21"/>
              </w:rPr>
            </w:pPr>
            <w:r>
              <w:rPr>
                <w:rFonts w:hint="eastAsia" w:cs="Courier New"/>
                <w:szCs w:val="21"/>
              </w:rPr>
              <w:t>22</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评标委员会</w:t>
            </w:r>
          </w:p>
          <w:p>
            <w:pPr>
              <w:widowControl w:val="0"/>
              <w:adjustRightInd w:val="0"/>
              <w:snapToGrid w:val="0"/>
              <w:spacing w:line="360" w:lineRule="auto"/>
              <w:jc w:val="center"/>
              <w:rPr>
                <w:rFonts w:cs="Courier New"/>
                <w:szCs w:val="21"/>
              </w:rPr>
            </w:pPr>
            <w:r>
              <w:rPr>
                <w:rFonts w:hint="eastAsia" w:cs="Courier New"/>
                <w:sz w:val="21"/>
                <w:szCs w:val="21"/>
              </w:rPr>
              <w:t>的人员组成</w:t>
            </w:r>
          </w:p>
        </w:tc>
        <w:tc>
          <w:tcPr>
            <w:tcW w:w="3223" w:type="pct"/>
            <w:shd w:val="clear" w:color="auto" w:fill="auto"/>
            <w:vAlign w:val="center"/>
          </w:tcPr>
          <w:p>
            <w:pPr>
              <w:widowControl w:val="0"/>
              <w:adjustRightInd w:val="0"/>
              <w:snapToGrid w:val="0"/>
              <w:spacing w:line="360" w:lineRule="auto"/>
              <w:jc w:val="left"/>
              <w:rPr>
                <w:rFonts w:cs="Courier New"/>
                <w:sz w:val="21"/>
                <w:szCs w:val="21"/>
              </w:rPr>
            </w:pPr>
            <w:r>
              <w:rPr>
                <w:rFonts w:hint="eastAsia"/>
                <w:snapToGrid w:val="0"/>
                <w:color w:val="0000FF"/>
                <w:sz w:val="21"/>
                <w:szCs w:val="21"/>
                <w:lang w:bidi="ar"/>
              </w:rPr>
              <w:t>本</w:t>
            </w:r>
            <w:r>
              <w:rPr>
                <w:snapToGrid w:val="0"/>
                <w:color w:val="0000FF"/>
                <w:sz w:val="21"/>
                <w:szCs w:val="21"/>
                <w:lang w:bidi="ar"/>
              </w:rPr>
              <w:t>项目无需评标</w:t>
            </w:r>
            <w:r>
              <w:rPr>
                <w:rFonts w:hint="eastAsia"/>
                <w:snapToGrid w:val="0"/>
                <w:color w:val="0000FF"/>
                <w:sz w:val="21"/>
                <w:szCs w:val="21"/>
                <w:lang w:bidi="ar"/>
              </w:rPr>
              <w:t>，</w:t>
            </w:r>
            <w:r>
              <w:rPr>
                <w:snapToGrid w:val="0"/>
                <w:color w:val="0000FF"/>
                <w:sz w:val="21"/>
                <w:szCs w:val="21"/>
                <w:lang w:bidi="ar"/>
              </w:rPr>
              <w:t>相关条款不适用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23</w:t>
            </w:r>
          </w:p>
        </w:tc>
        <w:tc>
          <w:tcPr>
            <w:tcW w:w="1283"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定标方法</w:t>
            </w:r>
          </w:p>
        </w:tc>
        <w:tc>
          <w:tcPr>
            <w:tcW w:w="3223" w:type="pct"/>
            <w:shd w:val="clear" w:color="auto" w:fill="auto"/>
            <w:vAlign w:val="center"/>
          </w:tcPr>
          <w:p>
            <w:pPr>
              <w:widowControl w:val="0"/>
              <w:spacing w:line="360" w:lineRule="auto"/>
              <w:jc w:val="left"/>
              <w:rPr>
                <w:sz w:val="21"/>
                <w:szCs w:val="21"/>
              </w:rPr>
            </w:pPr>
            <w:r>
              <w:rPr>
                <w:rFonts w:hint="eastAsia"/>
                <w:snapToGrid w:val="0"/>
                <w:color w:val="0000FF"/>
                <w:sz w:val="21"/>
                <w:szCs w:val="21"/>
                <w:lang w:bidi="ar"/>
              </w:rPr>
              <w:t>■</w:t>
            </w:r>
            <w:r>
              <w:rPr>
                <w:rFonts w:hint="eastAsia"/>
                <w:sz w:val="21"/>
                <w:szCs w:val="21"/>
              </w:rPr>
              <w:t>票决定标法</w:t>
            </w:r>
          </w:p>
          <w:p>
            <w:pPr>
              <w:widowControl w:val="0"/>
              <w:adjustRightInd w:val="0"/>
              <w:snapToGrid w:val="0"/>
              <w:spacing w:line="360" w:lineRule="auto"/>
              <w:jc w:val="left"/>
              <w:rPr>
                <w:sz w:val="21"/>
                <w:szCs w:val="21"/>
              </w:rPr>
            </w:pPr>
            <w:r>
              <w:rPr>
                <w:rFonts w:hint="eastAsia"/>
                <w:sz w:val="21"/>
                <w:szCs w:val="21"/>
                <w:lang w:bidi="ar"/>
              </w:rPr>
              <w:t>□</w:t>
            </w:r>
            <w:r>
              <w:rPr>
                <w:rFonts w:hint="eastAsia"/>
                <w:sz w:val="21"/>
                <w:szCs w:val="21"/>
              </w:rPr>
              <w:t>票决抽签定标：票决</w:t>
            </w:r>
            <w:r>
              <w:rPr>
                <w:rFonts w:hint="eastAsia"/>
                <w:sz w:val="21"/>
                <w:szCs w:val="21"/>
                <w:u w:val="single"/>
                <w:lang w:bidi="ar"/>
              </w:rPr>
              <w:t xml:space="preserve">      </w:t>
            </w:r>
            <w:r>
              <w:rPr>
                <w:rFonts w:hint="eastAsia"/>
                <w:sz w:val="21"/>
                <w:szCs w:val="21"/>
              </w:rPr>
              <w:t>名投标人后，以随机抽签方式确定中标人。</w:t>
            </w:r>
          </w:p>
          <w:p>
            <w:pPr>
              <w:widowControl w:val="0"/>
              <w:spacing w:line="360" w:lineRule="auto"/>
              <w:jc w:val="both"/>
              <w:rPr>
                <w:sz w:val="21"/>
                <w:szCs w:val="21"/>
              </w:rPr>
            </w:pPr>
            <w:r>
              <w:rPr>
                <w:rFonts w:hint="eastAsia"/>
                <w:sz w:val="21"/>
                <w:szCs w:val="21"/>
                <w:lang w:bidi="ar"/>
              </w:rPr>
              <w:t>□</w:t>
            </w:r>
            <w:r>
              <w:rPr>
                <w:rFonts w:hint="eastAsia"/>
                <w:sz w:val="21"/>
                <w:szCs w:val="21"/>
              </w:rPr>
              <w:t>集体议事法</w:t>
            </w:r>
          </w:p>
          <w:p>
            <w:pPr>
              <w:widowControl w:val="0"/>
              <w:adjustRightInd w:val="0"/>
              <w:snapToGrid w:val="0"/>
              <w:spacing w:line="360" w:lineRule="auto"/>
              <w:jc w:val="left"/>
              <w:rPr>
                <w:sz w:val="21"/>
                <w:szCs w:val="21"/>
              </w:rPr>
            </w:pPr>
            <w:r>
              <w:rPr>
                <w:rFonts w:hint="eastAsia"/>
                <w:sz w:val="21"/>
                <w:szCs w:val="21"/>
                <w:lang w:bidi="ar"/>
              </w:rPr>
              <w:t>□</w:t>
            </w:r>
            <w:r>
              <w:rPr>
                <w:rFonts w:hint="eastAsia"/>
                <w:sz w:val="21"/>
                <w:szCs w:val="21"/>
              </w:rPr>
              <w:t>价格法  确定中标人价格的方式：</w:t>
            </w:r>
            <w:r>
              <w:rPr>
                <w:rFonts w:hint="eastAsia"/>
                <w:sz w:val="21"/>
                <w:szCs w:val="21"/>
                <w:u w:val="single"/>
                <w:lang w:bidi="ar"/>
              </w:rPr>
              <w:t xml:space="preserve">      </w:t>
            </w:r>
          </w:p>
          <w:p>
            <w:pPr>
              <w:widowControl w:val="0"/>
              <w:adjustRightInd w:val="0"/>
              <w:snapToGrid w:val="0"/>
              <w:spacing w:line="360" w:lineRule="auto"/>
              <w:jc w:val="left"/>
              <w:rPr>
                <w:rFonts w:cs="Courier New"/>
                <w:sz w:val="21"/>
                <w:szCs w:val="21"/>
              </w:rPr>
            </w:pPr>
            <w:r>
              <w:rPr>
                <w:rFonts w:hint="eastAsia"/>
                <w:sz w:val="21"/>
                <w:szCs w:val="21"/>
                <w:lang w:bidi="ar"/>
              </w:rPr>
              <w:t>□</w:t>
            </w:r>
            <w:r>
              <w:rPr>
                <w:rFonts w:hint="eastAsia"/>
                <w:sz w:val="21"/>
                <w:szCs w:val="21"/>
              </w:rPr>
              <w:t>其它方法：</w:t>
            </w:r>
            <w:r>
              <w:rPr>
                <w:rFonts w:hint="eastAsia"/>
                <w:sz w:val="21"/>
                <w:szCs w:val="21"/>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1283"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3223" w:type="pct"/>
            <w:shd w:val="clear" w:color="auto" w:fill="auto"/>
            <w:vAlign w:val="center"/>
          </w:tcPr>
          <w:p>
            <w:pPr>
              <w:widowControl w:val="0"/>
              <w:jc w:val="both"/>
              <w:rPr>
                <w:sz w:val="21"/>
                <w:szCs w:val="21"/>
              </w:rPr>
            </w:pPr>
            <w:r>
              <w:rPr>
                <w:rFonts w:hint="eastAsia"/>
                <w:sz w:val="21"/>
                <w:szCs w:val="21"/>
              </w:rPr>
              <w:t>票决定标方式：</w:t>
            </w:r>
          </w:p>
          <w:p>
            <w:pPr>
              <w:widowControl w:val="0"/>
              <w:ind w:firstLine="420" w:firstLineChars="200"/>
              <w:jc w:val="both"/>
              <w:rPr>
                <w:sz w:val="21"/>
                <w:szCs w:val="21"/>
              </w:rPr>
            </w:pPr>
            <w:r>
              <w:rPr>
                <w:rFonts w:hint="eastAsia"/>
                <w:snapToGrid w:val="0"/>
                <w:color w:val="0000FF"/>
                <w:sz w:val="21"/>
                <w:szCs w:val="21"/>
                <w:lang w:bidi="ar"/>
              </w:rPr>
              <w:t>■</w:t>
            </w:r>
            <w:r>
              <w:rPr>
                <w:rFonts w:hint="eastAsia"/>
                <w:sz w:val="21"/>
                <w:szCs w:val="21"/>
              </w:rPr>
              <w:t xml:space="preserve">直接票决    </w:t>
            </w:r>
            <w:r>
              <w:rPr>
                <w:rFonts w:hint="eastAsia"/>
                <w:sz w:val="21"/>
                <w:szCs w:val="21"/>
                <w:lang w:bidi="ar"/>
              </w:rPr>
              <w:t>□</w:t>
            </w:r>
            <w:r>
              <w:rPr>
                <w:rFonts w:hint="eastAsia"/>
                <w:sz w:val="21"/>
                <w:szCs w:val="21"/>
              </w:rPr>
              <w:t>逐轮票决</w:t>
            </w:r>
          </w:p>
          <w:p>
            <w:pPr>
              <w:widowControl w:val="0"/>
              <w:adjustRightInd w:val="0"/>
              <w:snapToGrid w:val="0"/>
              <w:spacing w:line="360" w:lineRule="auto"/>
              <w:jc w:val="both"/>
              <w:rPr>
                <w:sz w:val="21"/>
                <w:szCs w:val="21"/>
              </w:rPr>
            </w:pPr>
            <w:r>
              <w:rPr>
                <w:rFonts w:hint="eastAsia"/>
                <w:sz w:val="21"/>
                <w:szCs w:val="21"/>
              </w:rPr>
              <w:t>票决定标计算规则：</w:t>
            </w:r>
          </w:p>
          <w:p>
            <w:pPr>
              <w:widowControl w:val="0"/>
              <w:spacing w:before="93" w:beforeLines="30" w:line="312" w:lineRule="auto"/>
              <w:ind w:firstLine="420" w:firstLineChars="200"/>
              <w:jc w:val="both"/>
              <w:rPr>
                <w:sz w:val="21"/>
                <w:szCs w:val="21"/>
              </w:rPr>
            </w:pPr>
            <w:r>
              <w:rPr>
                <w:rFonts w:hint="eastAsia"/>
                <w:sz w:val="21"/>
                <w:szCs w:val="21"/>
                <w:lang w:bidi="ar"/>
              </w:rPr>
              <w:t>□</w:t>
            </w:r>
            <w:r>
              <w:rPr>
                <w:rFonts w:hint="eastAsia"/>
                <w:sz w:val="21"/>
                <w:szCs w:val="21"/>
              </w:rPr>
              <w:t xml:space="preserve">简单多数 </w:t>
            </w:r>
          </w:p>
          <w:p>
            <w:pPr>
              <w:widowControl w:val="0"/>
              <w:ind w:firstLine="420" w:firstLineChars="200"/>
              <w:jc w:val="both"/>
              <w:rPr>
                <w:sz w:val="21"/>
                <w:szCs w:val="21"/>
              </w:rPr>
            </w:pPr>
            <w:r>
              <w:rPr>
                <w:rFonts w:hint="eastAsia"/>
                <w:sz w:val="21"/>
                <w:szCs w:val="21"/>
              </w:rPr>
              <w:t>当出现并列情况影响投票结果时，对并列投标人采取如下方式确定：</w:t>
            </w:r>
          </w:p>
          <w:p>
            <w:pPr>
              <w:widowControl w:val="0"/>
              <w:ind w:firstLine="840" w:firstLineChars="400"/>
              <w:jc w:val="both"/>
              <w:rPr>
                <w:sz w:val="21"/>
                <w:szCs w:val="21"/>
              </w:rPr>
            </w:pPr>
            <w:r>
              <w:rPr>
                <w:rFonts w:hint="eastAsia"/>
                <w:sz w:val="21"/>
                <w:szCs w:val="21"/>
                <w:lang w:bidi="ar"/>
              </w:rPr>
              <w:t>□</w:t>
            </w:r>
            <w:r>
              <w:rPr>
                <w:rFonts w:hint="eastAsia"/>
                <w:sz w:val="21"/>
                <w:szCs w:val="21"/>
              </w:rPr>
              <w:t>抽签</w:t>
            </w:r>
          </w:p>
          <w:p>
            <w:pPr>
              <w:widowControl w:val="0"/>
              <w:ind w:firstLine="840" w:firstLineChars="400"/>
              <w:jc w:val="both"/>
              <w:rPr>
                <w:sz w:val="21"/>
                <w:szCs w:val="21"/>
              </w:rPr>
            </w:pPr>
            <w:r>
              <w:rPr>
                <w:rFonts w:hint="eastAsia"/>
                <w:sz w:val="21"/>
                <w:szCs w:val="21"/>
                <w:lang w:bidi="ar"/>
              </w:rPr>
              <w:t>□</w:t>
            </w:r>
            <w:r>
              <w:rPr>
                <w:rFonts w:hint="eastAsia"/>
                <w:sz w:val="21"/>
                <w:szCs w:val="21"/>
              </w:rPr>
              <w:t>递交投标文件时间靠前者入围</w:t>
            </w:r>
          </w:p>
          <w:p>
            <w:pPr>
              <w:widowControl w:val="0"/>
              <w:spacing w:before="93" w:beforeLines="30" w:line="312" w:lineRule="auto"/>
              <w:ind w:firstLine="840" w:firstLineChars="400"/>
              <w:jc w:val="both"/>
              <w:rPr>
                <w:sz w:val="21"/>
                <w:szCs w:val="21"/>
              </w:rPr>
            </w:pPr>
            <w:r>
              <w:rPr>
                <w:rFonts w:hint="eastAsia"/>
                <w:sz w:val="21"/>
                <w:szCs w:val="21"/>
              </w:rPr>
              <w:t>□继续票决，再重票则随机抽签</w:t>
            </w:r>
          </w:p>
          <w:p>
            <w:pPr>
              <w:widowControl w:val="0"/>
              <w:ind w:firstLine="840" w:firstLineChars="400"/>
              <w:jc w:val="both"/>
              <w:rPr>
                <w:sz w:val="21"/>
                <w:szCs w:val="21"/>
              </w:rPr>
            </w:pPr>
            <w:r>
              <w:rPr>
                <w:rFonts w:hint="eastAsia"/>
                <w:sz w:val="21"/>
                <w:szCs w:val="21"/>
              </w:rPr>
              <w:t>□继续票决</w:t>
            </w:r>
          </w:p>
          <w:p>
            <w:pPr>
              <w:widowControl w:val="0"/>
              <w:adjustRightInd w:val="0"/>
              <w:snapToGrid w:val="0"/>
              <w:spacing w:line="360" w:lineRule="auto"/>
              <w:ind w:firstLine="420" w:firstLineChars="200"/>
              <w:jc w:val="both"/>
              <w:rPr>
                <w:sz w:val="21"/>
                <w:szCs w:val="21"/>
              </w:rPr>
            </w:pPr>
            <w:r>
              <w:rPr>
                <w:rFonts w:hint="eastAsia"/>
                <w:snapToGrid w:val="0"/>
                <w:color w:val="0000FF"/>
                <w:sz w:val="21"/>
                <w:szCs w:val="21"/>
                <w:lang w:bidi="ar"/>
              </w:rPr>
              <w:t>■</w:t>
            </w:r>
            <w:r>
              <w:rPr>
                <w:rFonts w:hint="eastAsia"/>
                <w:sz w:val="21"/>
                <w:szCs w:val="21"/>
              </w:rPr>
              <w:t>简单多数（且过半数）</w:t>
            </w:r>
          </w:p>
          <w:p>
            <w:pPr>
              <w:widowControl w:val="0"/>
              <w:adjustRightInd w:val="0"/>
              <w:snapToGrid w:val="0"/>
              <w:spacing w:line="360" w:lineRule="auto"/>
              <w:jc w:val="both"/>
              <w:rPr>
                <w:sz w:val="21"/>
                <w:szCs w:val="21"/>
              </w:rPr>
            </w:pPr>
            <w:r>
              <w:rPr>
                <w:rFonts w:hint="eastAsia"/>
                <w:sz w:val="21"/>
                <w:szCs w:val="21"/>
              </w:rPr>
              <w:t>□对比胜出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24</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履约担保</w:t>
            </w:r>
          </w:p>
        </w:tc>
        <w:tc>
          <w:tcPr>
            <w:tcW w:w="3223" w:type="pct"/>
            <w:shd w:val="clear" w:color="auto" w:fill="auto"/>
            <w:vAlign w:val="center"/>
          </w:tcPr>
          <w:p>
            <w:pPr>
              <w:widowControl w:val="0"/>
              <w:adjustRightInd w:val="0"/>
              <w:snapToGrid w:val="0"/>
              <w:spacing w:line="360" w:lineRule="auto"/>
              <w:jc w:val="left"/>
              <w:rPr>
                <w:sz w:val="21"/>
                <w:szCs w:val="21"/>
              </w:rPr>
            </w:pPr>
            <w:r>
              <w:rPr>
                <w:rFonts w:hint="eastAsia"/>
                <w:sz w:val="21"/>
                <w:szCs w:val="21"/>
              </w:rPr>
              <w:t>金额：</w:t>
            </w:r>
            <w:r>
              <w:rPr>
                <w:rFonts w:hint="eastAsia"/>
                <w:snapToGrid w:val="0"/>
                <w:color w:val="0000FF"/>
                <w:sz w:val="21"/>
                <w:szCs w:val="21"/>
                <w:u w:val="single"/>
                <w:lang w:bidi="ar"/>
              </w:rPr>
              <w:t>/</w:t>
            </w:r>
          </w:p>
          <w:p>
            <w:pPr>
              <w:widowControl w:val="0"/>
              <w:adjustRightInd w:val="0"/>
              <w:snapToGrid w:val="0"/>
              <w:spacing w:line="360" w:lineRule="auto"/>
              <w:jc w:val="left"/>
              <w:rPr>
                <w:sz w:val="21"/>
                <w:szCs w:val="21"/>
              </w:rPr>
            </w:pPr>
            <w:r>
              <w:rPr>
                <w:rFonts w:hint="eastAsia"/>
                <w:sz w:val="21"/>
                <w:szCs w:val="21"/>
              </w:rPr>
              <w:t>担保形式：</w:t>
            </w:r>
          </w:p>
          <w:p>
            <w:pPr>
              <w:widowControl w:val="0"/>
              <w:adjustRightInd w:val="0"/>
              <w:snapToGrid w:val="0"/>
              <w:spacing w:line="360" w:lineRule="auto"/>
              <w:jc w:val="both"/>
              <w:rPr>
                <w:rFonts w:cs="Courier New"/>
                <w:sz w:val="21"/>
                <w:szCs w:val="21"/>
              </w:rPr>
            </w:pPr>
            <w:r>
              <w:rPr>
                <w:rFonts w:hint="eastAsia"/>
                <w:sz w:val="21"/>
                <w:szCs w:val="21"/>
              </w:rPr>
              <w:t xml:space="preserve"> </w:t>
            </w:r>
            <w:r>
              <w:rPr>
                <w:rFonts w:hint="eastAsia"/>
                <w:snapToGrid w:val="0"/>
                <w:color w:val="0000FF"/>
                <w:sz w:val="21"/>
                <w:szCs w:val="21"/>
                <w:lang w:bidi="ar"/>
              </w:rPr>
              <w:t>■</w:t>
            </w:r>
            <w:r>
              <w:rPr>
                <w:rFonts w:hint="eastAsia"/>
                <w:sz w:val="21"/>
                <w:szCs w:val="21"/>
              </w:rPr>
              <w:t xml:space="preserve">银行保函 </w:t>
            </w:r>
            <w:r>
              <w:t>□</w:t>
            </w:r>
            <w:r>
              <w:rPr>
                <w:rFonts w:hint="eastAsia"/>
                <w:sz w:val="21"/>
                <w:szCs w:val="21"/>
              </w:rPr>
              <w:t xml:space="preserve">保证保险 </w:t>
            </w:r>
            <w:r>
              <w:t>□</w:t>
            </w:r>
            <w:r>
              <w:rPr>
                <w:rFonts w:hint="eastAsia"/>
                <w:sz w:val="21"/>
                <w:szCs w:val="21"/>
              </w:rPr>
              <w:t>专业工程担保公司担保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92"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25</w:t>
            </w:r>
          </w:p>
        </w:tc>
        <w:tc>
          <w:tcPr>
            <w:tcW w:w="1283" w:type="pct"/>
            <w:vMerge w:val="restar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支付担保</w:t>
            </w: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cs="Courier New"/>
                <w:sz w:val="21"/>
                <w:szCs w:val="21"/>
              </w:rPr>
              <w:t>金额：</w:t>
            </w:r>
            <w:r>
              <w:rPr>
                <w:rFonts w:hint="eastAsia"/>
                <w:u w:val="single"/>
              </w:rPr>
              <w:t>/</w:t>
            </w:r>
            <w:r>
              <w:rPr>
                <w:rFonts w:cs="Courier New"/>
                <w:sz w:val="21"/>
                <w:szCs w:val="21"/>
                <w:u w:val="single"/>
              </w:rPr>
              <w:fldChar w:fldCharType="begin"/>
            </w:r>
            <w:r>
              <w:rPr>
                <w:rFonts w:cs="Courier New"/>
                <w:sz w:val="21"/>
                <w:szCs w:val="21"/>
                <w:u w:val="single"/>
              </w:rPr>
              <w:instrText xml:space="preserve"> </w:instrText>
            </w:r>
            <w:r>
              <w:rPr>
                <w:rFonts w:hint="eastAsia" w:cs="Courier New"/>
                <w:sz w:val="21"/>
                <w:szCs w:val="21"/>
                <w:u w:val="single"/>
              </w:rPr>
              <w:instrText xml:space="preserve">AUTOTEXT  input440 \* MERGEFORMAT</w:instrText>
            </w:r>
            <w:r>
              <w:rPr>
                <w:rFonts w:cs="Courier New"/>
                <w:sz w:val="21"/>
                <w:szCs w:val="21"/>
                <w:u w:val="single"/>
              </w:rPr>
              <w:instrText xml:space="preserve"> </w:instrText>
            </w:r>
            <w:r>
              <w:rPr>
                <w:rFonts w:cs="Courier New"/>
                <w:sz w:val="21"/>
                <w:szCs w:val="21"/>
                <w:u w:val="single"/>
              </w:rPr>
              <w:fldChar w:fldCharType="end"/>
            </w:r>
            <w:r>
              <w:rPr>
                <w:rFonts w:cs="Courier New"/>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92"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1283" w:type="pct"/>
            <w:vMerge w:val="continue"/>
            <w:shd w:val="clear" w:color="auto" w:fill="auto"/>
            <w:vAlign w:val="center"/>
          </w:tcPr>
          <w:p>
            <w:pPr>
              <w:widowControl w:val="0"/>
              <w:adjustRightInd w:val="0"/>
              <w:snapToGrid w:val="0"/>
              <w:spacing w:line="360" w:lineRule="auto"/>
              <w:jc w:val="center"/>
              <w:rPr>
                <w:rFonts w:cs="Courier New"/>
                <w:sz w:val="21"/>
                <w:szCs w:val="21"/>
              </w:rPr>
            </w:pPr>
          </w:p>
        </w:tc>
        <w:tc>
          <w:tcPr>
            <w:tcW w:w="3223" w:type="pct"/>
            <w:shd w:val="clear" w:color="auto" w:fill="auto"/>
            <w:vAlign w:val="center"/>
          </w:tcPr>
          <w:p>
            <w:pPr>
              <w:widowControl w:val="0"/>
              <w:adjustRightInd w:val="0"/>
              <w:snapToGrid w:val="0"/>
              <w:spacing w:line="360" w:lineRule="auto"/>
              <w:jc w:val="both"/>
              <w:rPr>
                <w:rFonts w:cs="Courier New"/>
                <w:sz w:val="21"/>
                <w:szCs w:val="21"/>
              </w:rPr>
            </w:pPr>
            <w:r>
              <w:rPr>
                <w:rFonts w:hint="eastAsia" w:cs="Courier New"/>
                <w:sz w:val="21"/>
                <w:szCs w:val="21"/>
              </w:rPr>
              <w:t>担保形式：</w:t>
            </w:r>
          </w:p>
          <w:p>
            <w:pPr>
              <w:widowControl w:val="0"/>
              <w:adjustRightInd w:val="0"/>
              <w:snapToGrid w:val="0"/>
              <w:spacing w:line="360" w:lineRule="auto"/>
              <w:jc w:val="both"/>
              <w:rPr>
                <w:rFonts w:cs="Courier New"/>
                <w:sz w:val="21"/>
                <w:szCs w:val="21"/>
              </w:rPr>
            </w:pPr>
            <w:r>
              <w:t>□</w:t>
            </w:r>
            <w:r>
              <w:rPr>
                <w:rFonts w:cs="Courier New"/>
                <w:sz w:val="21"/>
                <w:szCs w:val="21"/>
              </w:rPr>
              <w:fldChar w:fldCharType="begin"/>
            </w:r>
            <w:r>
              <w:rPr>
                <w:rFonts w:cs="Courier New"/>
                <w:sz w:val="21"/>
                <w:szCs w:val="21"/>
              </w:rPr>
              <w:instrText xml:space="preserve"> </w:instrText>
            </w:r>
            <w:r>
              <w:rPr>
                <w:rFonts w:hint="eastAsia" w:cs="Courier New"/>
                <w:sz w:val="21"/>
                <w:szCs w:val="21"/>
              </w:rPr>
              <w:instrText xml:space="preserve">AUTOTEXT  input441 \* MERGEFORMAT</w:instrText>
            </w:r>
            <w:r>
              <w:rPr>
                <w:rFonts w:cs="Courier New"/>
                <w:sz w:val="21"/>
                <w:szCs w:val="21"/>
              </w:rPr>
              <w:instrText xml:space="preserve"> </w:instrText>
            </w:r>
            <w:r>
              <w:rPr>
                <w:rFonts w:cs="Courier New"/>
                <w:sz w:val="21"/>
                <w:szCs w:val="21"/>
              </w:rPr>
              <w:fldChar w:fldCharType="end"/>
            </w:r>
            <w:r>
              <w:rPr>
                <w:rFonts w:hint="eastAsia" w:cs="Courier New"/>
                <w:sz w:val="21"/>
                <w:szCs w:val="21"/>
              </w:rPr>
              <w:t xml:space="preserve">银行保函 </w:t>
            </w:r>
            <w:r>
              <w:t>□</w:t>
            </w:r>
            <w:r>
              <w:rPr>
                <w:rFonts w:cs="Courier New"/>
                <w:sz w:val="21"/>
                <w:szCs w:val="21"/>
              </w:rPr>
              <w:fldChar w:fldCharType="begin"/>
            </w:r>
            <w:r>
              <w:rPr>
                <w:rFonts w:cs="Courier New"/>
                <w:sz w:val="21"/>
                <w:szCs w:val="21"/>
              </w:rPr>
              <w:instrText xml:space="preserve"> </w:instrText>
            </w:r>
            <w:r>
              <w:rPr>
                <w:rFonts w:hint="eastAsia" w:cs="Courier New"/>
                <w:sz w:val="21"/>
                <w:szCs w:val="21"/>
              </w:rPr>
              <w:instrText xml:space="preserve">AUTOTEXT  input573 \* MERGEFORMAT</w:instrText>
            </w:r>
            <w:r>
              <w:rPr>
                <w:rFonts w:cs="Courier New"/>
                <w:sz w:val="21"/>
                <w:szCs w:val="21"/>
              </w:rPr>
              <w:instrText xml:space="preserve"> </w:instrText>
            </w:r>
            <w:r>
              <w:rPr>
                <w:rFonts w:cs="Courier New"/>
                <w:sz w:val="21"/>
                <w:szCs w:val="21"/>
              </w:rPr>
              <w:fldChar w:fldCharType="end"/>
            </w:r>
            <w:r>
              <w:rPr>
                <w:rFonts w:hint="eastAsia" w:cs="Courier New"/>
                <w:sz w:val="21"/>
                <w:szCs w:val="21"/>
              </w:rPr>
              <w:t>保证保险</w:t>
            </w:r>
            <w:r>
              <w:rPr>
                <w:rFonts w:cs="Courier New"/>
                <w:sz w:val="21"/>
                <w:szCs w:val="21"/>
              </w:rPr>
              <w:t xml:space="preserve"> </w:t>
            </w:r>
            <w:r>
              <w:t>□</w:t>
            </w:r>
            <w:r>
              <w:rPr>
                <w:rFonts w:cs="Courier New"/>
                <w:sz w:val="21"/>
                <w:szCs w:val="21"/>
              </w:rPr>
              <w:fldChar w:fldCharType="begin"/>
            </w:r>
            <w:r>
              <w:rPr>
                <w:rFonts w:cs="Courier New"/>
                <w:sz w:val="21"/>
                <w:szCs w:val="21"/>
              </w:rPr>
              <w:instrText xml:space="preserve"> </w:instrText>
            </w:r>
            <w:r>
              <w:rPr>
                <w:rFonts w:hint="eastAsia" w:cs="Courier New"/>
                <w:sz w:val="21"/>
                <w:szCs w:val="21"/>
              </w:rPr>
              <w:instrText xml:space="preserve">AUTOTEXT  input442 \* MERGEFORMAT</w:instrText>
            </w:r>
            <w:r>
              <w:rPr>
                <w:rFonts w:cs="Courier New"/>
                <w:sz w:val="21"/>
                <w:szCs w:val="21"/>
              </w:rPr>
              <w:instrText xml:space="preserve"> </w:instrText>
            </w:r>
            <w:r>
              <w:rPr>
                <w:rFonts w:cs="Courier New"/>
                <w:sz w:val="21"/>
                <w:szCs w:val="21"/>
              </w:rPr>
              <w:fldChar w:fldCharType="end"/>
            </w:r>
            <w:r>
              <w:rPr>
                <w:rFonts w:hint="eastAsia" w:cs="Courier New"/>
                <w:sz w:val="21"/>
                <w:szCs w:val="21"/>
              </w:rPr>
              <w:t>专业工程担保公司担保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26</w:t>
            </w:r>
          </w:p>
        </w:tc>
        <w:tc>
          <w:tcPr>
            <w:tcW w:w="1283" w:type="pct"/>
            <w:shd w:val="clear" w:color="auto" w:fill="auto"/>
            <w:vAlign w:val="center"/>
          </w:tcPr>
          <w:p>
            <w:pPr>
              <w:widowControl w:val="0"/>
              <w:adjustRightInd w:val="0"/>
              <w:snapToGrid w:val="0"/>
              <w:spacing w:line="360" w:lineRule="auto"/>
              <w:jc w:val="center"/>
              <w:rPr>
                <w:rFonts w:cs="Courier New"/>
                <w:sz w:val="21"/>
                <w:szCs w:val="21"/>
              </w:rPr>
            </w:pPr>
            <w:r>
              <w:rPr>
                <w:rFonts w:hint="eastAsia" w:cs="Courier New"/>
                <w:sz w:val="21"/>
                <w:szCs w:val="21"/>
              </w:rPr>
              <w:t>发出中标通知书及</w:t>
            </w:r>
          </w:p>
          <w:p>
            <w:pPr>
              <w:widowControl w:val="0"/>
              <w:adjustRightInd w:val="0"/>
              <w:snapToGrid w:val="0"/>
              <w:spacing w:line="360" w:lineRule="auto"/>
              <w:jc w:val="center"/>
              <w:rPr>
                <w:rFonts w:cs="Courier New"/>
                <w:sz w:val="21"/>
                <w:szCs w:val="21"/>
              </w:rPr>
            </w:pPr>
            <w:r>
              <w:rPr>
                <w:rFonts w:hint="eastAsia" w:cs="Courier New"/>
                <w:sz w:val="21"/>
                <w:szCs w:val="21"/>
              </w:rPr>
              <w:t>签订合同</w:t>
            </w:r>
          </w:p>
        </w:tc>
        <w:tc>
          <w:tcPr>
            <w:tcW w:w="3223" w:type="pct"/>
            <w:shd w:val="clear" w:color="auto" w:fill="auto"/>
            <w:vAlign w:val="center"/>
          </w:tcPr>
          <w:p>
            <w:pPr>
              <w:widowControl w:val="0"/>
              <w:adjustRightInd w:val="0"/>
              <w:snapToGrid w:val="0"/>
              <w:spacing w:line="360" w:lineRule="auto"/>
              <w:jc w:val="both"/>
              <w:rPr>
                <w:sz w:val="21"/>
              </w:rPr>
            </w:pPr>
            <w:r>
              <w:rPr>
                <w:rFonts w:hint="eastAsia" w:cs="Courier New"/>
                <w:sz w:val="21"/>
                <w:szCs w:val="21"/>
              </w:rPr>
              <w:t>中标结果公示期满后</w:t>
            </w:r>
            <w:r>
              <w:rPr>
                <w:rFonts w:cs="Courier New"/>
                <w:sz w:val="21"/>
                <w:szCs w:val="21"/>
              </w:rPr>
              <w:t>30日内（因投诉暂停的除外）。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2" w:type="pct"/>
            <w:shd w:val="clear" w:color="auto" w:fill="auto"/>
            <w:vAlign w:val="center"/>
          </w:tcPr>
          <w:p>
            <w:pPr>
              <w:widowControl w:val="0"/>
              <w:spacing w:line="360" w:lineRule="auto"/>
              <w:jc w:val="center"/>
              <w:rPr>
                <w:snapToGrid w:val="0"/>
                <w:szCs w:val="21"/>
              </w:rPr>
            </w:pPr>
            <w:r>
              <w:rPr>
                <w:rFonts w:hint="eastAsia"/>
                <w:snapToGrid w:val="0"/>
                <w:szCs w:val="21"/>
              </w:rPr>
              <w:t>2</w:t>
            </w:r>
            <w:r>
              <w:rPr>
                <w:snapToGrid w:val="0"/>
                <w:szCs w:val="21"/>
              </w:rPr>
              <w:t>7</w:t>
            </w:r>
          </w:p>
        </w:tc>
        <w:tc>
          <w:tcPr>
            <w:tcW w:w="1283" w:type="pct"/>
            <w:shd w:val="clear" w:color="auto" w:fill="auto"/>
            <w:vAlign w:val="center"/>
          </w:tcPr>
          <w:p>
            <w:pPr>
              <w:widowControl w:val="0"/>
              <w:spacing w:line="360" w:lineRule="auto"/>
              <w:jc w:val="center"/>
              <w:rPr>
                <w:szCs w:val="21"/>
              </w:rPr>
            </w:pPr>
            <w:r>
              <w:rPr>
                <w:rFonts w:hint="eastAsia"/>
                <w:sz w:val="21"/>
                <w:szCs w:val="21"/>
              </w:rPr>
              <w:t>是否使用新产品新技术</w:t>
            </w:r>
          </w:p>
        </w:tc>
        <w:tc>
          <w:tcPr>
            <w:tcW w:w="3223" w:type="pct"/>
            <w:shd w:val="clear" w:color="auto" w:fill="auto"/>
            <w:vAlign w:val="center"/>
          </w:tcPr>
          <w:p>
            <w:pPr>
              <w:widowControl w:val="0"/>
              <w:spacing w:line="360" w:lineRule="auto"/>
              <w:jc w:val="left"/>
              <w:rPr>
                <w:szCs w:val="21"/>
              </w:rPr>
            </w:pPr>
            <w:r>
              <w:rPr>
                <w:rFonts w:hint="eastAsia"/>
                <w:szCs w:val="21"/>
              </w:rPr>
              <w:t>□</w:t>
            </w:r>
            <w:r>
              <w:rPr>
                <w:rFonts w:hint="eastAsia"/>
                <w:sz w:val="21"/>
                <w:szCs w:val="21"/>
              </w:rPr>
              <w:t>是</w:t>
            </w:r>
            <w:r>
              <w:rPr>
                <w:rFonts w:hint="eastAsia"/>
                <w:szCs w:val="21"/>
              </w:rPr>
              <w:t xml:space="preserve">  </w:t>
            </w:r>
            <w:r>
              <w:rPr>
                <w:rFonts w:hint="eastAsia"/>
                <w:snapToGrid w:val="0"/>
                <w:color w:val="0000FF"/>
                <w:sz w:val="21"/>
                <w:szCs w:val="21"/>
                <w:lang w:bidi="ar"/>
              </w:rPr>
              <w:t>■</w:t>
            </w:r>
            <w:r>
              <w:rPr>
                <w:rFonts w:hint="eastAsia"/>
                <w:sz w:val="21"/>
                <w:szCs w:val="21"/>
              </w:rPr>
              <w:t>否</w:t>
            </w:r>
          </w:p>
        </w:tc>
      </w:tr>
    </w:tbl>
    <w:p>
      <w:pPr>
        <w:spacing w:line="360" w:lineRule="auto"/>
        <w:jc w:val="center"/>
        <w:rPr>
          <w:rFonts w:ascii="黑体" w:eastAsia="黑体"/>
          <w:sz w:val="32"/>
          <w:szCs w:val="32"/>
        </w:rPr>
      </w:pPr>
    </w:p>
    <w:p>
      <w:pPr>
        <w:pStyle w:val="2"/>
        <w:ind w:firstLine="480"/>
      </w:pPr>
      <w:r>
        <w:br w:type="page"/>
      </w:r>
    </w:p>
    <w:p>
      <w:pPr>
        <w:spacing w:line="360" w:lineRule="auto"/>
        <w:jc w:val="center"/>
        <w:rPr>
          <w:rFonts w:ascii="黑体" w:eastAsia="黑体"/>
          <w:sz w:val="32"/>
          <w:szCs w:val="32"/>
        </w:rPr>
      </w:pPr>
      <w:r>
        <w:rPr>
          <w:rFonts w:hint="eastAsia" w:ascii="黑体" w:eastAsia="黑体"/>
          <w:sz w:val="32"/>
          <w:szCs w:val="32"/>
        </w:rPr>
        <w:t>（一）招标工程情况介绍</w:t>
      </w:r>
    </w:p>
    <w:p>
      <w:pPr>
        <w:adjustRightInd w:val="0"/>
        <w:snapToGrid w:val="0"/>
        <w:spacing w:line="360" w:lineRule="auto"/>
        <w:ind w:firstLine="482" w:firstLineChars="200"/>
        <w:rPr>
          <w:b/>
          <w:bCs/>
          <w:szCs w:val="21"/>
        </w:rPr>
      </w:pPr>
      <w:r>
        <w:rPr>
          <w:rFonts w:hint="eastAsia"/>
          <w:b/>
          <w:bCs/>
          <w:szCs w:val="21"/>
        </w:rPr>
        <w:t>（提示招标人：本章节为必填内容，招标人应当如实详细填写，并作为投标、评标的重要参考。如因招标人未填写或未如实填写本章节内容，造成的不利后果应由招标人承担。）</w:t>
      </w:r>
    </w:p>
    <w:p>
      <w:pPr>
        <w:adjustRightInd w:val="0"/>
        <w:snapToGrid w:val="0"/>
        <w:spacing w:line="360" w:lineRule="auto"/>
        <w:ind w:firstLine="482" w:firstLineChars="200"/>
        <w:rPr>
          <w:b/>
          <w:szCs w:val="21"/>
        </w:rPr>
      </w:pPr>
      <w:r>
        <w:rPr>
          <w:rFonts w:hint="eastAsia"/>
          <w:b/>
          <w:szCs w:val="21"/>
        </w:rPr>
        <w:t>1.工程概况、工程规模</w:t>
      </w:r>
    </w:p>
    <w:p>
      <w:pPr>
        <w:adjustRightInd w:val="0"/>
        <w:snapToGrid w:val="0"/>
        <w:spacing w:line="360" w:lineRule="auto"/>
        <w:ind w:firstLine="420" w:firstLineChars="200"/>
        <w:rPr>
          <w:snapToGrid w:val="0"/>
          <w:color w:val="0000FF"/>
          <w:sz w:val="21"/>
          <w:szCs w:val="21"/>
          <w:u w:val="single"/>
          <w:lang w:bidi="ar"/>
        </w:rPr>
      </w:pPr>
      <w:r>
        <w:rPr>
          <w:rFonts w:hint="eastAsia"/>
          <w:snapToGrid w:val="0"/>
          <w:color w:val="0000FF"/>
          <w:sz w:val="21"/>
          <w:szCs w:val="21"/>
          <w:u w:val="single"/>
          <w:lang w:bidi="ar"/>
        </w:rPr>
        <w:t>项目总投资</w:t>
      </w:r>
      <w:r>
        <w:rPr>
          <w:snapToGrid w:val="0"/>
          <w:color w:val="0000FF"/>
          <w:sz w:val="21"/>
          <w:szCs w:val="21"/>
          <w:u w:val="single"/>
          <w:lang w:bidi="ar"/>
        </w:rPr>
        <w:t>3113万元，项目位于南山区招商街道工业八路及后海大道交界处东南角。东临海月路，南邻蓬莱花园小区。半岛花园A 区于1993 年建成，总建筑面积43783.68 ㎡，建筑共为10 栋，总户数644 户。项目改造改造内容：（一）建筑本体修缮：楼梯和公共空间改造；建筑外立面改造、屋面整修、无障碍及适老化设施改造、建筑配套设施改造等；（二）基础设施改造：小区道路整治；给排水设施改造；供配电和照明设施改造；智慧设施改造建设；垃圾分类与环卫设施改造；消防安全保障；无障碍通道设施改造等；（三）小区环境整治：小区</w:t>
      </w:r>
      <w:r>
        <w:rPr>
          <w:rFonts w:hint="eastAsia"/>
          <w:snapToGrid w:val="0"/>
          <w:color w:val="0000FF"/>
          <w:sz w:val="21"/>
          <w:szCs w:val="21"/>
          <w:u w:val="single"/>
          <w:lang w:bidi="ar"/>
        </w:rPr>
        <w:t>风貌整治；公共空间改造；绿化环境整治；停车设施整治；标识系统改造等。</w:t>
      </w:r>
    </w:p>
    <w:p>
      <w:pPr>
        <w:adjustRightInd w:val="0"/>
        <w:snapToGrid w:val="0"/>
        <w:spacing w:line="360" w:lineRule="auto"/>
        <w:ind w:firstLine="482" w:firstLineChars="200"/>
        <w:rPr>
          <w:snapToGrid w:val="0"/>
          <w:color w:val="0000FF"/>
          <w:sz w:val="21"/>
          <w:szCs w:val="21"/>
          <w:u w:val="single"/>
          <w:lang w:bidi="ar"/>
        </w:rPr>
      </w:pPr>
      <w:r>
        <w:rPr>
          <w:rFonts w:hint="eastAsia"/>
          <w:b/>
          <w:szCs w:val="21"/>
        </w:rPr>
        <w:t>2.工程主要特点</w:t>
      </w:r>
    </w:p>
    <w:p>
      <w:pPr>
        <w:spacing w:line="360" w:lineRule="auto"/>
        <w:ind w:firstLine="480" w:firstLineChars="200"/>
        <w:rPr>
          <w:snapToGrid w:val="0"/>
          <w:szCs w:val="21"/>
        </w:rPr>
      </w:pPr>
      <w:r>
        <w:rPr>
          <w:rFonts w:hint="eastAsia"/>
          <w:snapToGrid w:val="0"/>
          <w:szCs w:val="21"/>
          <w:u w:val="single"/>
          <w:lang w:bidi="ar"/>
        </w:rPr>
        <w:t xml:space="preserve">   /   </w:t>
      </w:r>
    </w:p>
    <w:p>
      <w:pPr>
        <w:adjustRightInd w:val="0"/>
        <w:snapToGrid w:val="0"/>
        <w:spacing w:line="360" w:lineRule="auto"/>
        <w:ind w:firstLine="482" w:firstLineChars="200"/>
        <w:rPr>
          <w:b/>
          <w:szCs w:val="21"/>
        </w:rPr>
      </w:pPr>
      <w:r>
        <w:rPr>
          <w:rFonts w:hint="eastAsia"/>
          <w:b/>
          <w:szCs w:val="21"/>
        </w:rPr>
        <w:t>3.建议的评标要点</w:t>
      </w:r>
    </w:p>
    <w:p>
      <w:pPr>
        <w:spacing w:line="360" w:lineRule="auto"/>
        <w:ind w:firstLine="480" w:firstLineChars="200"/>
        <w:rPr>
          <w:szCs w:val="21"/>
        </w:rPr>
      </w:pPr>
      <w:r>
        <w:rPr>
          <w:rFonts w:hint="eastAsia"/>
          <w:snapToGrid w:val="0"/>
          <w:szCs w:val="21"/>
          <w:u w:val="single"/>
          <w:lang w:bidi="ar"/>
        </w:rPr>
        <w:t xml:space="preserve">   /   </w:t>
      </w:r>
    </w:p>
    <w:p>
      <w:pPr>
        <w:adjustRightInd w:val="0"/>
        <w:snapToGrid w:val="0"/>
        <w:spacing w:line="360" w:lineRule="auto"/>
        <w:ind w:firstLine="482" w:firstLineChars="200"/>
        <w:rPr>
          <w:b/>
          <w:szCs w:val="21"/>
        </w:rPr>
      </w:pPr>
      <w:r>
        <w:rPr>
          <w:rFonts w:hint="eastAsia"/>
          <w:b/>
          <w:szCs w:val="21"/>
        </w:rPr>
        <w:t>4.其它：</w:t>
      </w:r>
    </w:p>
    <w:p>
      <w:pPr>
        <w:tabs>
          <w:tab w:val="left" w:pos="720"/>
        </w:tabs>
        <w:adjustRightInd w:val="0"/>
        <w:snapToGrid w:val="0"/>
        <w:spacing w:line="360" w:lineRule="auto"/>
        <w:ind w:firstLine="480" w:firstLineChars="200"/>
        <w:rPr>
          <w:b/>
          <w:szCs w:val="21"/>
          <w:u w:val="single"/>
        </w:rPr>
      </w:pPr>
      <w:r>
        <w:rPr>
          <w:rFonts w:hint="eastAsia"/>
          <w:snapToGrid w:val="0"/>
          <w:szCs w:val="21"/>
          <w:u w:val="single"/>
          <w:lang w:bidi="ar"/>
        </w:rPr>
        <w:t xml:space="preserve">   /  </w:t>
      </w:r>
      <w:r>
        <w:rPr>
          <w:szCs w:val="21"/>
        </w:rPr>
        <w:br w:type="page"/>
      </w:r>
    </w:p>
    <w:p>
      <w:pPr>
        <w:adjustRightInd w:val="0"/>
        <w:snapToGrid w:val="0"/>
        <w:spacing w:line="360" w:lineRule="auto"/>
        <w:jc w:val="center"/>
        <w:rPr>
          <w:rFonts w:ascii="黑体" w:hAnsi="黑体" w:eastAsia="黑体"/>
          <w:b/>
          <w:sz w:val="32"/>
          <w:szCs w:val="32"/>
        </w:rPr>
      </w:pPr>
      <w:r>
        <w:rPr>
          <w:rFonts w:hint="eastAsia" w:ascii="黑体" w:hAnsi="黑体" w:eastAsia="黑体"/>
          <w:sz w:val="32"/>
          <w:szCs w:val="32"/>
        </w:rPr>
        <w:t>（二）招标投标分段限时投诉的规定</w:t>
      </w:r>
    </w:p>
    <w:p>
      <w:pPr>
        <w:spacing w:line="360" w:lineRule="auto"/>
        <w:ind w:firstLine="480" w:firstLineChars="200"/>
        <w:rPr>
          <w:bCs/>
          <w:szCs w:val="21"/>
        </w:rPr>
      </w:pPr>
      <w:r>
        <w:rPr>
          <w:rFonts w:hint="eastAsia"/>
          <w:bCs/>
          <w:szCs w:val="21"/>
        </w:rPr>
        <w:t>为提高招标投标活动效率，根据《深圳市工程建设项目招标投标活动异议和投诉处理办法》的规定，本项目招标、投标各阶段的异议处理按“分段限时”原则进行。投诉人在知道或者应当知道其权益受到侵害</w:t>
      </w:r>
      <w:r>
        <w:rPr>
          <w:bCs/>
          <w:szCs w:val="21"/>
        </w:rPr>
        <w:t>,提出书面异议超过下述规定时效的，招标人不受理。</w:t>
      </w:r>
    </w:p>
    <w:p>
      <w:pPr>
        <w:spacing w:line="360" w:lineRule="auto"/>
        <w:ind w:firstLine="480" w:firstLineChars="200"/>
        <w:rPr>
          <w:bCs/>
          <w:szCs w:val="21"/>
        </w:rPr>
      </w:pPr>
      <w:r>
        <w:rPr>
          <w:rFonts w:hint="eastAsia"/>
          <w:bCs/>
          <w:szCs w:val="21"/>
        </w:rPr>
        <w:t>提出异议的期限要求为：</w:t>
      </w:r>
    </w:p>
    <w:p>
      <w:pPr>
        <w:spacing w:line="360" w:lineRule="auto"/>
        <w:ind w:firstLine="480" w:firstLineChars="200"/>
        <w:rPr>
          <w:bCs/>
          <w:szCs w:val="21"/>
        </w:rPr>
      </w:pPr>
      <w:r>
        <w:rPr>
          <w:rFonts w:hint="eastAsia"/>
          <w:bCs/>
          <w:szCs w:val="21"/>
        </w:rPr>
        <w:t>（</w:t>
      </w:r>
      <w:r>
        <w:rPr>
          <w:bCs/>
          <w:szCs w:val="21"/>
        </w:rPr>
        <w:t>1）对投标报名人的资格有异议的，潜在投标人或者其他利害关系人应当在合格投标人公示期间内提出；</w:t>
      </w:r>
    </w:p>
    <w:p>
      <w:pPr>
        <w:spacing w:line="360" w:lineRule="auto"/>
        <w:ind w:firstLine="480" w:firstLineChars="200"/>
        <w:rPr>
          <w:bCs/>
          <w:szCs w:val="21"/>
        </w:rPr>
      </w:pPr>
      <w:r>
        <w:rPr>
          <w:rFonts w:hint="eastAsia"/>
          <w:bCs/>
          <w:szCs w:val="21"/>
        </w:rPr>
        <w:t>（</w:t>
      </w:r>
      <w:r>
        <w:rPr>
          <w:bCs/>
          <w:szCs w:val="21"/>
        </w:rPr>
        <w:t>2）对招标文件内容有异议的，投标人应当在提交投标文件截止时间</w:t>
      </w:r>
      <w:r>
        <w:rPr>
          <w:rFonts w:hint="eastAsia"/>
          <w:bCs/>
          <w:szCs w:val="21"/>
        </w:rPr>
        <w:t>3</w:t>
      </w:r>
      <w:r>
        <w:rPr>
          <w:bCs/>
          <w:szCs w:val="21"/>
        </w:rPr>
        <w:t>日(不含截标当日)前提出；</w:t>
      </w:r>
    </w:p>
    <w:p>
      <w:pPr>
        <w:spacing w:line="360" w:lineRule="auto"/>
        <w:ind w:firstLine="480" w:firstLineChars="200"/>
        <w:rPr>
          <w:bCs/>
          <w:szCs w:val="21"/>
        </w:rPr>
      </w:pPr>
      <w:r>
        <w:rPr>
          <w:rFonts w:hint="eastAsia"/>
          <w:bCs/>
          <w:szCs w:val="21"/>
        </w:rPr>
        <w:t>（</w:t>
      </w:r>
      <w:r>
        <w:rPr>
          <w:bCs/>
          <w:szCs w:val="21"/>
        </w:rPr>
        <w:t>3）对澄清补遗文件或招标人公布的招标控制价有异议的，投标人应当在提交投标文件截止时间3日(不含截标当日)前提出；</w:t>
      </w:r>
    </w:p>
    <w:p>
      <w:pPr>
        <w:spacing w:line="360" w:lineRule="auto"/>
        <w:ind w:firstLine="480" w:firstLineChars="200"/>
        <w:rPr>
          <w:bCs/>
          <w:szCs w:val="21"/>
        </w:rPr>
      </w:pPr>
      <w:r>
        <w:rPr>
          <w:rFonts w:hint="eastAsia"/>
          <w:bCs/>
          <w:szCs w:val="21"/>
        </w:rPr>
        <w:t>（</w:t>
      </w:r>
      <w:r>
        <w:rPr>
          <w:bCs/>
          <w:szCs w:val="21"/>
        </w:rPr>
        <w:t>4）对开标程序、开标的内容和方式等有异议的，投标人应当在开标会现场提出；</w:t>
      </w:r>
    </w:p>
    <w:p>
      <w:pPr>
        <w:spacing w:line="360" w:lineRule="auto"/>
        <w:ind w:firstLine="480" w:firstLineChars="200"/>
        <w:rPr>
          <w:bCs/>
          <w:szCs w:val="21"/>
        </w:rPr>
      </w:pPr>
      <w:r>
        <w:rPr>
          <w:rFonts w:hint="eastAsia"/>
          <w:bCs/>
          <w:szCs w:val="21"/>
        </w:rPr>
        <w:t>（</w:t>
      </w:r>
      <w:r>
        <w:rPr>
          <w:bCs/>
          <w:szCs w:val="21"/>
        </w:rPr>
        <w:t>5）对评标结果有异议的，投标人或者其他利害关系人应当在中标候选人的公示期间内提出。</w:t>
      </w:r>
    </w:p>
    <w:p>
      <w:pPr>
        <w:spacing w:line="360" w:lineRule="auto"/>
        <w:ind w:firstLine="480" w:firstLineChars="200"/>
        <w:rPr>
          <w:bCs/>
          <w:szCs w:val="21"/>
        </w:rPr>
      </w:pPr>
      <w:r>
        <w:rPr>
          <w:rFonts w:hint="eastAsia"/>
          <w:bCs/>
          <w:szCs w:val="21"/>
        </w:rPr>
        <w:t>异议有下列情形之一的，招标人不予受理：</w:t>
      </w:r>
    </w:p>
    <w:p>
      <w:pPr>
        <w:spacing w:line="360" w:lineRule="auto"/>
        <w:ind w:firstLine="480" w:firstLineChars="200"/>
        <w:rPr>
          <w:bCs/>
          <w:szCs w:val="21"/>
        </w:rPr>
      </w:pPr>
      <w:r>
        <w:rPr>
          <w:rFonts w:hint="eastAsia"/>
          <w:bCs/>
          <w:szCs w:val="21"/>
        </w:rPr>
        <w:t>（</w:t>
      </w:r>
      <w:r>
        <w:rPr>
          <w:bCs/>
          <w:szCs w:val="21"/>
        </w:rPr>
        <w:t>1）异议提起人不是投标人、潜在投标人或者其他利害关系人；</w:t>
      </w:r>
    </w:p>
    <w:p>
      <w:pPr>
        <w:spacing w:line="360" w:lineRule="auto"/>
        <w:ind w:firstLine="480" w:firstLineChars="200"/>
        <w:rPr>
          <w:bCs/>
          <w:szCs w:val="21"/>
        </w:rPr>
      </w:pPr>
      <w:r>
        <w:rPr>
          <w:rFonts w:hint="eastAsia"/>
          <w:bCs/>
          <w:szCs w:val="21"/>
        </w:rPr>
        <w:t>（</w:t>
      </w:r>
      <w:r>
        <w:rPr>
          <w:bCs/>
          <w:szCs w:val="21"/>
        </w:rPr>
        <w:t>2）未在上述规定的异议期限内提出的；</w:t>
      </w:r>
    </w:p>
    <w:p>
      <w:pPr>
        <w:spacing w:line="360" w:lineRule="auto"/>
        <w:ind w:firstLine="480" w:firstLineChars="200"/>
        <w:rPr>
          <w:bCs/>
          <w:szCs w:val="21"/>
        </w:rPr>
      </w:pPr>
      <w:r>
        <w:rPr>
          <w:rFonts w:hint="eastAsia"/>
          <w:bCs/>
          <w:szCs w:val="21"/>
        </w:rPr>
        <w:t>（</w:t>
      </w:r>
      <w:r>
        <w:rPr>
          <w:bCs/>
          <w:szCs w:val="21"/>
        </w:rPr>
        <w:t>3）异议应当以书面形式提出但未以书面形式提出的，或异议书未经法定代表人或其授权委托人签署并加盖公章，或未署联系人真实姓名及有效联系方式的；</w:t>
      </w:r>
    </w:p>
    <w:p>
      <w:pPr>
        <w:spacing w:line="360" w:lineRule="auto"/>
        <w:ind w:firstLine="480" w:firstLineChars="200"/>
        <w:rPr>
          <w:bCs/>
          <w:szCs w:val="21"/>
        </w:rPr>
      </w:pPr>
      <w:r>
        <w:rPr>
          <w:rFonts w:hint="eastAsia"/>
          <w:bCs/>
          <w:szCs w:val="21"/>
        </w:rPr>
        <w:t>（</w:t>
      </w:r>
      <w:r>
        <w:rPr>
          <w:bCs/>
          <w:szCs w:val="21"/>
        </w:rPr>
        <w:t>4）招标人已经作出明确答复，无新的事实证据，又就同一问题提出异议的；</w:t>
      </w:r>
    </w:p>
    <w:p>
      <w:pPr>
        <w:spacing w:line="360" w:lineRule="auto"/>
        <w:ind w:firstLine="480" w:firstLineChars="200"/>
        <w:rPr>
          <w:bCs/>
          <w:szCs w:val="21"/>
        </w:rPr>
      </w:pPr>
      <w:r>
        <w:rPr>
          <w:rFonts w:hint="eastAsia"/>
          <w:bCs/>
          <w:szCs w:val="21"/>
        </w:rPr>
        <w:t>（</w:t>
      </w:r>
      <w:r>
        <w:rPr>
          <w:bCs/>
          <w:szCs w:val="21"/>
        </w:rPr>
        <w:t>5）提出异议的事项已经进入行政复议或行政诉讼程序的。</w:t>
      </w:r>
      <w:r>
        <w:rPr>
          <w:bCs/>
          <w:szCs w:val="21"/>
        </w:rPr>
        <w:br w:type="page"/>
      </w:r>
    </w:p>
    <w:p>
      <w:pPr>
        <w:adjustRightInd w:val="0"/>
        <w:snapToGrid w:val="0"/>
        <w:spacing w:line="360" w:lineRule="auto"/>
        <w:jc w:val="center"/>
        <w:outlineLvl w:val="1"/>
        <w:rPr>
          <w:rFonts w:ascii="黑体" w:hAnsi="黑体" w:eastAsia="黑体"/>
          <w:b/>
          <w:sz w:val="32"/>
          <w:szCs w:val="32"/>
        </w:rPr>
      </w:pPr>
      <w:r>
        <w:rPr>
          <w:rFonts w:hint="eastAsia"/>
          <w:b/>
          <w:sz w:val="44"/>
        </w:rPr>
        <w:t>二、投标文件否决性条款</w:t>
      </w:r>
    </w:p>
    <w:p>
      <w:pPr>
        <w:adjustRightInd w:val="0"/>
        <w:snapToGrid w:val="0"/>
        <w:spacing w:line="360" w:lineRule="auto"/>
        <w:ind w:firstLine="482" w:firstLineChars="200"/>
        <w:rPr>
          <w:b/>
          <w:bCs/>
          <w:szCs w:val="21"/>
        </w:rPr>
      </w:pPr>
      <w:r>
        <w:rPr>
          <w:rFonts w:hint="eastAsia"/>
          <w:b/>
          <w:bCs/>
          <w:szCs w:val="21"/>
        </w:rPr>
        <w:t>【提示招标人】</w:t>
      </w:r>
      <w:r>
        <w:rPr>
          <w:rFonts w:hint="eastAsia"/>
          <w:bCs/>
          <w:szCs w:val="21"/>
        </w:rPr>
        <w:t>如招标文件的澄清、答疑、补充文件中增加否决性条款的，招标人应当重新编写本章节内容，将新增否决性条款列入本章节，并发布新的完整的《投标文件否决性条款》。否则，增加的否决性条款无效。</w:t>
      </w:r>
    </w:p>
    <w:p>
      <w:pPr>
        <w:adjustRightInd w:val="0"/>
        <w:snapToGrid w:val="0"/>
        <w:spacing w:line="360" w:lineRule="auto"/>
        <w:ind w:firstLine="482" w:firstLineChars="200"/>
        <w:rPr>
          <w:bCs/>
          <w:szCs w:val="21"/>
        </w:rPr>
      </w:pPr>
      <w:r>
        <w:rPr>
          <w:rFonts w:hint="eastAsia"/>
          <w:b/>
          <w:bCs/>
          <w:szCs w:val="21"/>
        </w:rPr>
        <w:t>【提示投标人和评标委员会】</w:t>
      </w:r>
      <w:r>
        <w:rPr>
          <w:rFonts w:hint="eastAsia"/>
          <w:bCs/>
          <w:szCs w:val="21"/>
        </w:rPr>
        <w:t>本章节是本工程招标文件（含招标文件的澄清、补充文件等）中涉及的所有否决性条款，否决性条款包括：招标文件不予受理（开标阶段）、无效标（初步评审）、废标（详细评审）条款。除出现以下情形外，投标文件的其他任何情形均不得作否决处理。招标文件中有关否决性条款的阐述与本章节不一致的，以本章节内容为准。</w:t>
      </w:r>
    </w:p>
    <w:p>
      <w:pPr>
        <w:snapToGrid w:val="0"/>
        <w:spacing w:line="360" w:lineRule="auto"/>
        <w:rPr>
          <w:snapToGrid w:val="0"/>
          <w:szCs w:val="21"/>
        </w:rPr>
      </w:pPr>
      <w:r>
        <w:rPr>
          <w:rFonts w:hint="eastAsia"/>
          <w:b/>
          <w:snapToGrid w:val="0"/>
          <w:szCs w:val="21"/>
        </w:rPr>
        <w:t>1、开标会上，投标文件不予受理的情形</w:t>
      </w:r>
    </w:p>
    <w:p>
      <w:pPr>
        <w:snapToGrid w:val="0"/>
        <w:spacing w:line="360" w:lineRule="auto"/>
        <w:ind w:firstLine="420" w:firstLineChars="175"/>
        <w:rPr>
          <w:snapToGrid w:val="0"/>
          <w:szCs w:val="21"/>
        </w:rPr>
      </w:pPr>
      <w:r>
        <w:rPr>
          <w:rFonts w:hint="eastAsia"/>
          <w:snapToGrid w:val="0"/>
          <w:szCs w:val="21"/>
        </w:rPr>
        <w:t>（1）在投标截止时间以后</w:t>
      </w:r>
      <w:r>
        <w:rPr>
          <w:snapToGrid w:val="0"/>
          <w:szCs w:val="21"/>
        </w:rPr>
        <w:t>送达的</w:t>
      </w:r>
      <w:r>
        <w:rPr>
          <w:rFonts w:hint="eastAsia"/>
          <w:snapToGrid w:val="0"/>
          <w:szCs w:val="21"/>
        </w:rPr>
        <w:t>，</w:t>
      </w:r>
      <w:r>
        <w:rPr>
          <w:snapToGrid w:val="0"/>
          <w:szCs w:val="21"/>
        </w:rPr>
        <w:t>或者未送达指定地点的</w:t>
      </w:r>
      <w:r>
        <w:rPr>
          <w:rFonts w:hint="eastAsia"/>
          <w:snapToGrid w:val="0"/>
          <w:szCs w:val="21"/>
        </w:rPr>
        <w:t>；</w:t>
      </w:r>
    </w:p>
    <w:p>
      <w:pPr>
        <w:snapToGrid w:val="0"/>
        <w:spacing w:line="360" w:lineRule="auto"/>
        <w:ind w:firstLine="420" w:firstLineChars="175"/>
        <w:rPr>
          <w:snapToGrid w:val="0"/>
          <w:szCs w:val="21"/>
        </w:rPr>
      </w:pPr>
      <w:r>
        <w:rPr>
          <w:rFonts w:hint="eastAsia"/>
          <w:snapToGrid w:val="0"/>
          <w:szCs w:val="21"/>
        </w:rPr>
        <w:t>（2）未按招标文件规定密封、标记和加盖投标人公章的。</w:t>
      </w:r>
    </w:p>
    <w:p>
      <w:pPr>
        <w:snapToGrid w:val="0"/>
        <w:spacing w:line="360" w:lineRule="auto"/>
        <w:ind w:firstLine="420" w:firstLineChars="175"/>
        <w:rPr>
          <w:snapToGrid w:val="0"/>
          <w:szCs w:val="21"/>
        </w:rPr>
      </w:pPr>
      <w:r>
        <w:rPr>
          <w:rFonts w:hint="eastAsia"/>
          <w:snapToGrid w:val="0"/>
          <w:szCs w:val="21"/>
        </w:rPr>
        <w:t>（3）未登记并购买招标文件的。</w:t>
      </w:r>
    </w:p>
    <w:p>
      <w:pPr>
        <w:snapToGrid w:val="0"/>
        <w:spacing w:line="360" w:lineRule="auto"/>
        <w:rPr>
          <w:b/>
          <w:snapToGrid w:val="0"/>
          <w:szCs w:val="21"/>
        </w:rPr>
      </w:pPr>
      <w:r>
        <w:rPr>
          <w:rFonts w:hint="eastAsia"/>
          <w:b/>
          <w:snapToGrid w:val="0"/>
          <w:szCs w:val="21"/>
        </w:rPr>
        <w:t>2、投标文件审核中有关无效标的情形</w:t>
      </w:r>
    </w:p>
    <w:p>
      <w:pPr>
        <w:snapToGrid w:val="0"/>
        <w:spacing w:line="360" w:lineRule="auto"/>
        <w:ind w:firstLine="420" w:firstLineChars="175"/>
        <w:rPr>
          <w:snapToGrid w:val="0"/>
          <w:szCs w:val="21"/>
        </w:rPr>
      </w:pPr>
      <w:r>
        <w:rPr>
          <w:rFonts w:hint="eastAsia"/>
          <w:snapToGrid w:val="0"/>
          <w:szCs w:val="21"/>
        </w:rPr>
        <w:t>（1）资格条件不符合招标文件要求或提供资料不全的；</w:t>
      </w:r>
    </w:p>
    <w:p>
      <w:pPr>
        <w:snapToGrid w:val="0"/>
        <w:spacing w:line="360" w:lineRule="auto"/>
        <w:ind w:firstLine="420" w:firstLineChars="175"/>
        <w:rPr>
          <w:snapToGrid w:val="0"/>
          <w:szCs w:val="21"/>
        </w:rPr>
      </w:pPr>
      <w:r>
        <w:rPr>
          <w:rFonts w:hint="eastAsia"/>
          <w:snapToGrid w:val="0"/>
          <w:szCs w:val="21"/>
        </w:rPr>
        <w:t>（2）投标文件的有关内容未按照招标文件规定加盖投标人公章的，或未经法定代表人或其委托代理人签字的，或由委托代理人签字但未随投标文件一起提供授权委托书原件的；</w:t>
      </w:r>
    </w:p>
    <w:p>
      <w:pPr>
        <w:snapToGrid w:val="0"/>
        <w:spacing w:line="360" w:lineRule="auto"/>
        <w:ind w:firstLine="420" w:firstLineChars="175"/>
        <w:rPr>
          <w:snapToGrid w:val="0"/>
          <w:szCs w:val="21"/>
        </w:rPr>
      </w:pPr>
      <w:r>
        <w:rPr>
          <w:rFonts w:hint="eastAsia"/>
          <w:snapToGrid w:val="0"/>
          <w:szCs w:val="21"/>
        </w:rPr>
        <w:t>（3）《投标函》未按招标文件规定格式和内容填写的；</w:t>
      </w:r>
    </w:p>
    <w:p>
      <w:pPr>
        <w:snapToGrid w:val="0"/>
        <w:spacing w:line="360" w:lineRule="auto"/>
        <w:ind w:firstLine="420" w:firstLineChars="175"/>
        <w:rPr>
          <w:snapToGrid w:val="0"/>
          <w:szCs w:val="21"/>
        </w:rPr>
      </w:pPr>
      <w:r>
        <w:rPr>
          <w:rFonts w:hint="eastAsia"/>
          <w:snapToGrid w:val="0"/>
          <w:szCs w:val="21"/>
        </w:rPr>
        <w:t>（4）投标人投标报价超过所允许的投标报价上限的。</w:t>
      </w:r>
    </w:p>
    <w:p>
      <w:pPr>
        <w:snapToGrid w:val="0"/>
        <w:spacing w:line="360" w:lineRule="auto"/>
        <w:ind w:firstLine="420" w:firstLineChars="175"/>
        <w:rPr>
          <w:snapToGrid w:val="0"/>
          <w:szCs w:val="21"/>
        </w:rPr>
      </w:pPr>
      <w:r>
        <w:rPr>
          <w:rFonts w:hint="eastAsia"/>
          <w:snapToGrid w:val="0"/>
          <w:szCs w:val="21"/>
        </w:rPr>
        <w:t>（5）投标人在《开标情况记录表》中出现“×”的情形。</w:t>
      </w:r>
    </w:p>
    <w:p>
      <w:pPr>
        <w:snapToGrid w:val="0"/>
        <w:spacing w:line="360" w:lineRule="auto"/>
        <w:rPr>
          <w:b/>
          <w:snapToGrid w:val="0"/>
          <w:szCs w:val="21"/>
        </w:rPr>
      </w:pPr>
      <w:r>
        <w:rPr>
          <w:rFonts w:hint="eastAsia"/>
          <w:b/>
          <w:snapToGrid w:val="0"/>
          <w:szCs w:val="21"/>
        </w:rPr>
        <w:t>3、投标文件审核中有关废标的情形</w:t>
      </w:r>
    </w:p>
    <w:p>
      <w:pPr>
        <w:snapToGrid w:val="0"/>
        <w:spacing w:line="360" w:lineRule="auto"/>
        <w:ind w:firstLine="520" w:firstLineChars="217"/>
        <w:rPr>
          <w:snapToGrid w:val="0"/>
          <w:szCs w:val="21"/>
        </w:rPr>
      </w:pPr>
      <w:r>
        <w:rPr>
          <w:rFonts w:hint="eastAsia"/>
          <w:snapToGrid w:val="0"/>
          <w:szCs w:val="21"/>
        </w:rPr>
        <w:t>（1）投标人以他人的名义投标或出现下列串通投标、弄虚作假投标嫌疑的：</w:t>
      </w:r>
    </w:p>
    <w:p>
      <w:pPr>
        <w:snapToGrid w:val="0"/>
        <w:spacing w:line="360" w:lineRule="auto"/>
        <w:ind w:left="821" w:leftChars="342"/>
        <w:rPr>
          <w:snapToGrid w:val="0"/>
          <w:szCs w:val="21"/>
        </w:rPr>
      </w:pPr>
      <w:r>
        <w:rPr>
          <w:rFonts w:hint="eastAsia"/>
          <w:snapToGrid w:val="0"/>
          <w:szCs w:val="21"/>
        </w:rPr>
        <w:t>a.</w:t>
      </w:r>
      <w:r>
        <w:rPr>
          <w:snapToGrid w:val="0"/>
          <w:szCs w:val="21"/>
        </w:rPr>
        <w:t>不同投标人的投标文件内容存在非正常一致</w:t>
      </w:r>
      <w:r>
        <w:rPr>
          <w:rFonts w:hint="eastAsia"/>
          <w:snapToGrid w:val="0"/>
          <w:szCs w:val="21"/>
        </w:rPr>
        <w:t>的</w:t>
      </w:r>
      <w:r>
        <w:rPr>
          <w:snapToGrid w:val="0"/>
          <w:szCs w:val="21"/>
        </w:rPr>
        <w:t>；</w:t>
      </w:r>
    </w:p>
    <w:p>
      <w:pPr>
        <w:snapToGrid w:val="0"/>
        <w:spacing w:line="360" w:lineRule="auto"/>
        <w:ind w:left="821" w:leftChars="342"/>
        <w:rPr>
          <w:snapToGrid w:val="0"/>
          <w:szCs w:val="21"/>
        </w:rPr>
      </w:pPr>
      <w:r>
        <w:rPr>
          <w:rFonts w:hint="eastAsia"/>
          <w:snapToGrid w:val="0"/>
          <w:szCs w:val="21"/>
        </w:rPr>
        <w:t>b.</w:t>
      </w:r>
      <w:r>
        <w:rPr>
          <w:snapToGrid w:val="0"/>
          <w:szCs w:val="21"/>
        </w:rPr>
        <w:t>不同投标人的投标文件错漏之处一致的；</w:t>
      </w:r>
    </w:p>
    <w:p>
      <w:pPr>
        <w:snapToGrid w:val="0"/>
        <w:spacing w:line="360" w:lineRule="auto"/>
        <w:ind w:left="821" w:leftChars="342"/>
        <w:rPr>
          <w:snapToGrid w:val="0"/>
          <w:szCs w:val="21"/>
        </w:rPr>
      </w:pPr>
      <w:r>
        <w:rPr>
          <w:rFonts w:hint="eastAsia"/>
          <w:snapToGrid w:val="0"/>
          <w:szCs w:val="21"/>
        </w:rPr>
        <w:t>c.</w:t>
      </w:r>
      <w:r>
        <w:rPr>
          <w:snapToGrid w:val="0"/>
          <w:szCs w:val="21"/>
        </w:rPr>
        <w:t>不同投标人的投标报价或者报价组成异常一致或者呈规律性变化的；</w:t>
      </w:r>
    </w:p>
    <w:p>
      <w:pPr>
        <w:snapToGrid w:val="0"/>
        <w:spacing w:line="360" w:lineRule="auto"/>
        <w:ind w:left="821" w:leftChars="342"/>
        <w:rPr>
          <w:snapToGrid w:val="0"/>
          <w:szCs w:val="21"/>
        </w:rPr>
      </w:pPr>
      <w:r>
        <w:rPr>
          <w:rFonts w:hint="eastAsia"/>
          <w:snapToGrid w:val="0"/>
          <w:szCs w:val="21"/>
        </w:rPr>
        <w:t>d.</w:t>
      </w:r>
      <w:r>
        <w:rPr>
          <w:snapToGrid w:val="0"/>
          <w:szCs w:val="21"/>
        </w:rPr>
        <w:t>不同投标人的投标文件由同一单位或者同一个人编制的；</w:t>
      </w:r>
    </w:p>
    <w:p>
      <w:pPr>
        <w:snapToGrid w:val="0"/>
        <w:spacing w:line="360" w:lineRule="auto"/>
        <w:ind w:left="821" w:leftChars="342"/>
        <w:rPr>
          <w:snapToGrid w:val="0"/>
          <w:szCs w:val="21"/>
        </w:rPr>
      </w:pPr>
      <w:r>
        <w:rPr>
          <w:rFonts w:hint="eastAsia"/>
          <w:snapToGrid w:val="0"/>
          <w:szCs w:val="21"/>
        </w:rPr>
        <w:t>e.</w:t>
      </w:r>
      <w:r>
        <w:rPr>
          <w:snapToGrid w:val="0"/>
          <w:szCs w:val="21"/>
        </w:rPr>
        <w:t>不同投标人的投标文件载明的</w:t>
      </w:r>
      <w:r>
        <w:rPr>
          <w:rFonts w:hint="eastAsia"/>
          <w:snapToGrid w:val="0"/>
          <w:szCs w:val="21"/>
        </w:rPr>
        <w:t>项目负责人与主要技术人员</w:t>
      </w:r>
      <w:r>
        <w:rPr>
          <w:snapToGrid w:val="0"/>
          <w:szCs w:val="21"/>
        </w:rPr>
        <w:t>出现同一人的；</w:t>
      </w:r>
    </w:p>
    <w:p>
      <w:pPr>
        <w:snapToGrid w:val="0"/>
        <w:spacing w:line="360" w:lineRule="auto"/>
        <w:ind w:left="821" w:leftChars="342"/>
        <w:rPr>
          <w:snapToGrid w:val="0"/>
          <w:szCs w:val="21"/>
        </w:rPr>
      </w:pPr>
      <w:r>
        <w:rPr>
          <w:rFonts w:hint="eastAsia"/>
          <w:snapToGrid w:val="0"/>
          <w:szCs w:val="21"/>
        </w:rPr>
        <w:t>f.</w:t>
      </w:r>
      <w:r>
        <w:rPr>
          <w:snapToGrid w:val="0"/>
          <w:szCs w:val="21"/>
        </w:rPr>
        <w:t>不同投标人的投标文件相互混装的；</w:t>
      </w:r>
    </w:p>
    <w:p>
      <w:pPr>
        <w:snapToGrid w:val="0"/>
        <w:spacing w:line="360" w:lineRule="auto"/>
        <w:ind w:left="821" w:leftChars="342"/>
        <w:rPr>
          <w:snapToGrid w:val="0"/>
          <w:szCs w:val="21"/>
        </w:rPr>
      </w:pPr>
      <w:r>
        <w:rPr>
          <w:rFonts w:hint="eastAsia"/>
          <w:snapToGrid w:val="0"/>
          <w:szCs w:val="21"/>
        </w:rPr>
        <w:t>g.</w:t>
      </w:r>
      <w:r>
        <w:rPr>
          <w:snapToGrid w:val="0"/>
          <w:szCs w:val="21"/>
        </w:rPr>
        <w:t>不同投标人委托同一人投标的</w:t>
      </w:r>
      <w:r>
        <w:rPr>
          <w:rFonts w:hint="eastAsia"/>
          <w:snapToGrid w:val="0"/>
          <w:szCs w:val="21"/>
        </w:rPr>
        <w:t>；</w:t>
      </w:r>
    </w:p>
    <w:p>
      <w:pPr>
        <w:snapToGrid w:val="0"/>
        <w:spacing w:line="360" w:lineRule="auto"/>
        <w:ind w:left="821" w:leftChars="342"/>
        <w:rPr>
          <w:snapToGrid w:val="0"/>
          <w:szCs w:val="21"/>
        </w:rPr>
      </w:pPr>
      <w:r>
        <w:rPr>
          <w:rFonts w:hint="eastAsia"/>
          <w:snapToGrid w:val="0"/>
          <w:szCs w:val="21"/>
        </w:rPr>
        <w:t>h.不同投标人聘请同一人为其投标提供技术或者咨询服务的，但招标工程本身要求采用专有技术的除外；</w:t>
      </w:r>
    </w:p>
    <w:p>
      <w:pPr>
        <w:snapToGrid w:val="0"/>
        <w:spacing w:line="360" w:lineRule="auto"/>
        <w:ind w:left="821" w:leftChars="342"/>
        <w:rPr>
          <w:snapToGrid w:val="0"/>
          <w:szCs w:val="21"/>
        </w:rPr>
      </w:pPr>
      <w:r>
        <w:rPr>
          <w:rFonts w:hint="eastAsia"/>
          <w:snapToGrid w:val="0"/>
          <w:szCs w:val="21"/>
        </w:rPr>
        <w:t>i.</w:t>
      </w:r>
      <w:r>
        <w:rPr>
          <w:snapToGrid w:val="0"/>
          <w:szCs w:val="21"/>
        </w:rPr>
        <w:t>招标</w:t>
      </w:r>
      <w:r>
        <w:rPr>
          <w:rFonts w:hint="eastAsia"/>
          <w:snapToGrid w:val="0"/>
          <w:szCs w:val="21"/>
        </w:rPr>
        <w:t>人</w:t>
      </w:r>
      <w:r>
        <w:rPr>
          <w:snapToGrid w:val="0"/>
          <w:szCs w:val="21"/>
        </w:rPr>
        <w:t>认定的其他串通投标情形。</w:t>
      </w:r>
    </w:p>
    <w:p>
      <w:pPr>
        <w:snapToGrid w:val="0"/>
        <w:spacing w:line="360" w:lineRule="auto"/>
        <w:ind w:firstLine="537" w:firstLineChars="224"/>
        <w:rPr>
          <w:snapToGrid w:val="0"/>
          <w:szCs w:val="21"/>
        </w:rPr>
      </w:pPr>
      <w:r>
        <w:rPr>
          <w:rFonts w:hint="eastAsia"/>
          <w:snapToGrid w:val="0"/>
          <w:szCs w:val="21"/>
        </w:rPr>
        <w:t>（</w:t>
      </w:r>
      <w:r>
        <w:rPr>
          <w:snapToGrid w:val="0"/>
          <w:szCs w:val="21"/>
        </w:rPr>
        <w:t>2</w:t>
      </w:r>
      <w:r>
        <w:rPr>
          <w:rFonts w:hint="eastAsia"/>
          <w:snapToGrid w:val="0"/>
          <w:szCs w:val="21"/>
        </w:rPr>
        <w:t>）招标人根据招标文件的规定对投标文件的投标价格进行调整，投标人不接受调整方式的，或不接受调整后的价格的；</w:t>
      </w:r>
    </w:p>
    <w:p>
      <w:pPr>
        <w:snapToGrid w:val="0"/>
        <w:spacing w:line="360" w:lineRule="auto"/>
        <w:ind w:firstLine="537" w:firstLineChars="224"/>
        <w:rPr>
          <w:sz w:val="32"/>
        </w:rPr>
      </w:pPr>
      <w:r>
        <w:rPr>
          <w:rFonts w:hint="eastAsia"/>
          <w:snapToGrid w:val="0"/>
          <w:szCs w:val="21"/>
        </w:rPr>
        <w:t>（</w:t>
      </w:r>
      <w:r>
        <w:rPr>
          <w:snapToGrid w:val="0"/>
          <w:szCs w:val="21"/>
        </w:rPr>
        <w:t>3</w:t>
      </w:r>
      <w:r>
        <w:rPr>
          <w:rFonts w:hint="eastAsia"/>
          <w:snapToGrid w:val="0"/>
          <w:szCs w:val="21"/>
        </w:rPr>
        <w:t>）投标报价存在缺、漏项的，如果该投标人有相同项目单价的按其单价计算，如果没有相同项目单价的按全部有效投标报价中其它投标人相同项目的最高价计算。</w:t>
      </w:r>
      <w:r>
        <w:br w:type="page"/>
      </w:r>
    </w:p>
    <w:p>
      <w:pPr>
        <w:adjustRightInd w:val="0"/>
        <w:snapToGrid w:val="0"/>
        <w:spacing w:line="360" w:lineRule="auto"/>
        <w:jc w:val="center"/>
        <w:outlineLvl w:val="1"/>
        <w:rPr>
          <w:b/>
          <w:sz w:val="44"/>
        </w:rPr>
      </w:pPr>
      <w:r>
        <w:rPr>
          <w:rFonts w:hint="eastAsia"/>
          <w:b/>
          <w:sz w:val="44"/>
        </w:rPr>
        <w:t>三、招投标须知正文</w:t>
      </w:r>
    </w:p>
    <w:p>
      <w:pPr>
        <w:pStyle w:val="6"/>
        <w:keepNext w:val="0"/>
        <w:keepLines w:val="0"/>
        <w:widowControl w:val="0"/>
        <w:tabs>
          <w:tab w:val="left" w:pos="720"/>
          <w:tab w:val="left" w:pos="4032"/>
        </w:tabs>
        <w:adjustRightInd w:val="0"/>
        <w:snapToGrid w:val="0"/>
        <w:spacing w:before="0" w:after="0" w:line="360" w:lineRule="auto"/>
        <w:jc w:val="center"/>
      </w:pPr>
      <w:bookmarkStart w:id="2" w:name="_Toc381345713"/>
      <w:bookmarkStart w:id="3" w:name="_Toc201997806"/>
      <w:bookmarkStart w:id="4" w:name="_Toc71560599"/>
      <w:bookmarkStart w:id="5" w:name="_Toc27859"/>
      <w:bookmarkStart w:id="6" w:name="_Toc419285554"/>
      <w:bookmarkStart w:id="7" w:name="_Toc201742947"/>
      <w:bookmarkStart w:id="8" w:name="_Toc419285106"/>
      <w:r>
        <w:rPr>
          <w:rFonts w:hint="eastAsia"/>
          <w:lang w:val="en-US"/>
        </w:rPr>
        <w:t>一</w:t>
      </w:r>
      <w:bookmarkStart w:id="9" w:name="_Toc148954449"/>
      <w:bookmarkStart w:id="10" w:name="_Toc148329786"/>
      <w:bookmarkStart w:id="11" w:name="_Toc98817919"/>
      <w:bookmarkStart w:id="12" w:name="_Toc148780223"/>
      <w:bookmarkStart w:id="13" w:name="_Toc148778142"/>
      <w:bookmarkStart w:id="14" w:name="_Toc148779937"/>
      <w:bookmarkStart w:id="15" w:name="_Toc163530288"/>
      <w:bookmarkStart w:id="16" w:name="_Toc135666612"/>
      <w:bookmarkStart w:id="17" w:name="_Toc157847806"/>
      <w:bookmarkStart w:id="18" w:name="_Toc135666799"/>
      <w:bookmarkStart w:id="19" w:name="_Toc143658440"/>
      <w:bookmarkStart w:id="20" w:name="_Toc134852005"/>
      <w:bookmarkStart w:id="21" w:name="_Toc187729563"/>
      <w:bookmarkStart w:id="22" w:name="_Toc148954844"/>
      <w:bookmarkStart w:id="23" w:name="_Toc148413285"/>
      <w:bookmarkStart w:id="24" w:name="_Toc188869262"/>
      <w:r>
        <w:rPr>
          <w:rFonts w:hint="eastAsia"/>
          <w:lang w:val="en-US"/>
        </w:rPr>
        <w:t>、总</w:t>
      </w:r>
      <w:r>
        <w:rPr>
          <w:lang w:val="en-US"/>
        </w:rPr>
        <w:t xml:space="preserve">  </w:t>
      </w:r>
      <w:r>
        <w:rPr>
          <w:rFonts w:hint="eastAsia"/>
          <w:lang w:val="en-US"/>
        </w:rPr>
        <w:t>则</w:t>
      </w:r>
      <w:bookmarkEnd w:id="2"/>
      <w:bookmarkEnd w:id="3"/>
      <w:bookmarkEnd w:id="4"/>
      <w:bookmarkEnd w:id="5"/>
      <w:bookmarkEnd w:id="6"/>
      <w:bookmarkEnd w:id="7"/>
      <w:bookmarkEnd w:id="8"/>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rPr>
          <w:b/>
          <w:sz w:val="28"/>
          <w:szCs w:val="28"/>
        </w:rPr>
      </w:pPr>
      <w:bookmarkStart w:id="25" w:name="_Toc358982631"/>
      <w:bookmarkStart w:id="26" w:name="_Toc358982930"/>
      <w:bookmarkStart w:id="27" w:name="_Toc419285107"/>
      <w:bookmarkStart w:id="28" w:name="_Toc381345714"/>
      <w:bookmarkStart w:id="29" w:name="_Toc419285555"/>
      <w:bookmarkStart w:id="30" w:name="_Toc372481513"/>
      <w:bookmarkStart w:id="31" w:name="_Toc380659208"/>
      <w:bookmarkStart w:id="32" w:name="_Toc380660164"/>
      <w:bookmarkStart w:id="33" w:name="_Toc358982837"/>
      <w:bookmarkStart w:id="34" w:name="_Toc358982552"/>
      <w:r>
        <w:rPr>
          <w:b/>
          <w:sz w:val="28"/>
          <w:szCs w:val="28"/>
        </w:rPr>
        <w:t>1</w:t>
      </w:r>
      <w:r>
        <w:rPr>
          <w:rFonts w:hint="eastAsia"/>
          <w:b/>
          <w:sz w:val="28"/>
          <w:szCs w:val="28"/>
        </w:rPr>
        <w:t>.定义</w:t>
      </w:r>
      <w:bookmarkEnd w:id="25"/>
      <w:bookmarkEnd w:id="26"/>
      <w:bookmarkEnd w:id="27"/>
      <w:bookmarkEnd w:id="28"/>
      <w:bookmarkEnd w:id="29"/>
      <w:bookmarkEnd w:id="30"/>
      <w:bookmarkEnd w:id="31"/>
      <w:bookmarkEnd w:id="32"/>
      <w:bookmarkEnd w:id="33"/>
      <w:bookmarkEnd w:id="34"/>
    </w:p>
    <w:p>
      <w:pPr>
        <w:snapToGrid w:val="0"/>
        <w:spacing w:line="360" w:lineRule="auto"/>
        <w:ind w:firstLine="480" w:firstLineChars="200"/>
        <w:rPr>
          <w:snapToGrid w:val="0"/>
          <w:szCs w:val="21"/>
        </w:rPr>
      </w:pPr>
      <w:r>
        <w:rPr>
          <w:rFonts w:hint="eastAsia"/>
          <w:snapToGrid w:val="0"/>
          <w:szCs w:val="21"/>
        </w:rPr>
        <w:t>本招标文件使用的下列词语具有如下规定的意义：</w:t>
      </w:r>
    </w:p>
    <w:p>
      <w:pPr>
        <w:snapToGrid w:val="0"/>
        <w:spacing w:line="360" w:lineRule="auto"/>
        <w:ind w:firstLine="480" w:firstLineChars="200"/>
        <w:rPr>
          <w:snapToGrid w:val="0"/>
          <w:szCs w:val="21"/>
        </w:rPr>
      </w:pPr>
      <w:r>
        <w:rPr>
          <w:rFonts w:hint="eastAsia"/>
          <w:snapToGrid w:val="0"/>
          <w:szCs w:val="21"/>
        </w:rPr>
        <w:t>（1）“招标人”指深圳市南山区招商街道办事处；</w:t>
      </w:r>
    </w:p>
    <w:p>
      <w:pPr>
        <w:snapToGrid w:val="0"/>
        <w:spacing w:line="360" w:lineRule="auto"/>
        <w:ind w:firstLine="480" w:firstLineChars="200"/>
        <w:rPr>
          <w:snapToGrid w:val="0"/>
          <w:szCs w:val="21"/>
        </w:rPr>
      </w:pPr>
      <w:r>
        <w:rPr>
          <w:rFonts w:hint="eastAsia"/>
          <w:snapToGrid w:val="0"/>
          <w:szCs w:val="21"/>
        </w:rPr>
        <w:t>（2）“投标人”指向招标人提交投标文件的当事人；</w:t>
      </w:r>
    </w:p>
    <w:p>
      <w:pPr>
        <w:snapToGrid w:val="0"/>
        <w:spacing w:line="360" w:lineRule="auto"/>
        <w:ind w:firstLine="480" w:firstLineChars="200"/>
        <w:rPr>
          <w:snapToGrid w:val="0"/>
          <w:szCs w:val="21"/>
        </w:rPr>
      </w:pPr>
      <w:r>
        <w:rPr>
          <w:rFonts w:hint="eastAsia"/>
          <w:snapToGrid w:val="0"/>
          <w:szCs w:val="21"/>
        </w:rPr>
        <w:t>（3）“招标文件”指由招标人发出的本文件，包括全部章节、附件及澄清补充文件；</w:t>
      </w:r>
    </w:p>
    <w:p>
      <w:pPr>
        <w:snapToGrid w:val="0"/>
        <w:spacing w:line="360" w:lineRule="auto"/>
        <w:ind w:firstLine="480" w:firstLineChars="200"/>
        <w:rPr>
          <w:snapToGrid w:val="0"/>
          <w:szCs w:val="21"/>
        </w:rPr>
      </w:pPr>
      <w:r>
        <w:rPr>
          <w:rFonts w:hint="eastAsia"/>
          <w:snapToGrid w:val="0"/>
          <w:szCs w:val="21"/>
        </w:rPr>
        <w:t>（4）“投标文件”指投标人根据本招标文件向招标人提交的全部文件；</w:t>
      </w:r>
    </w:p>
    <w:p>
      <w:pPr>
        <w:snapToGrid w:val="0"/>
        <w:spacing w:line="360" w:lineRule="auto"/>
        <w:ind w:firstLine="480" w:firstLineChars="200"/>
        <w:rPr>
          <w:snapToGrid w:val="0"/>
          <w:szCs w:val="21"/>
        </w:rPr>
      </w:pPr>
      <w:r>
        <w:rPr>
          <w:rFonts w:hint="eastAsia"/>
          <w:snapToGrid w:val="0"/>
          <w:szCs w:val="21"/>
        </w:rPr>
        <w:t>（5）“书面函件”指打字或印刷的函件，包括电传、电报和传真。</w:t>
      </w:r>
    </w:p>
    <w:p>
      <w:pPr>
        <w:rPr>
          <w:b/>
          <w:sz w:val="28"/>
          <w:szCs w:val="28"/>
        </w:rPr>
      </w:pPr>
      <w:bookmarkStart w:id="35" w:name="_Toc358982553"/>
      <w:bookmarkStart w:id="36" w:name="_Toc380660165"/>
      <w:bookmarkStart w:id="37" w:name="_Toc381345715"/>
      <w:bookmarkStart w:id="38" w:name="_Toc358982632"/>
      <w:bookmarkStart w:id="39" w:name="_Toc380659209"/>
      <w:bookmarkStart w:id="40" w:name="_Toc358982931"/>
      <w:bookmarkStart w:id="41" w:name="_Toc419285108"/>
      <w:bookmarkStart w:id="42" w:name="_Toc372481514"/>
      <w:bookmarkStart w:id="43" w:name="_Toc358982838"/>
      <w:bookmarkStart w:id="44" w:name="_Toc419285556"/>
      <w:r>
        <w:rPr>
          <w:rFonts w:hint="eastAsia"/>
          <w:b/>
          <w:sz w:val="28"/>
          <w:szCs w:val="28"/>
        </w:rPr>
        <w:t>2.招标说明</w:t>
      </w:r>
      <w:bookmarkEnd w:id="35"/>
      <w:bookmarkEnd w:id="36"/>
      <w:bookmarkEnd w:id="37"/>
      <w:bookmarkEnd w:id="38"/>
      <w:bookmarkEnd w:id="39"/>
      <w:bookmarkEnd w:id="40"/>
      <w:bookmarkEnd w:id="41"/>
      <w:bookmarkEnd w:id="42"/>
      <w:bookmarkEnd w:id="43"/>
      <w:bookmarkEnd w:id="44"/>
    </w:p>
    <w:p>
      <w:pPr>
        <w:snapToGrid w:val="0"/>
        <w:spacing w:line="360" w:lineRule="auto"/>
        <w:ind w:firstLine="480" w:firstLineChars="200"/>
        <w:rPr>
          <w:snapToGrid w:val="0"/>
          <w:szCs w:val="21"/>
        </w:rPr>
      </w:pPr>
      <w:r>
        <w:rPr>
          <w:rFonts w:hint="eastAsia"/>
          <w:snapToGrid w:val="0"/>
          <w:szCs w:val="21"/>
        </w:rPr>
        <w:t>2.1 招标人就本投标人须知前附表（以下简称“前附表”）所述招标项目进行公开招标。本招标项目名称请参见前附表第1项。本招标项目的资金已经到位，可用于本招标合同项下的合格支付。招标人采取公开招标方式选择有资质、有经验、有实力和诚信守法、社会信誉好的投标人，与之签订合同，完成本合同项目。</w:t>
      </w:r>
    </w:p>
    <w:p>
      <w:pPr>
        <w:snapToGrid w:val="0"/>
        <w:spacing w:line="360" w:lineRule="auto"/>
        <w:ind w:firstLine="480" w:firstLineChars="200"/>
        <w:rPr>
          <w:snapToGrid w:val="0"/>
          <w:szCs w:val="21"/>
        </w:rPr>
      </w:pPr>
      <w:r>
        <w:rPr>
          <w:rFonts w:hint="eastAsia"/>
          <w:snapToGrid w:val="0"/>
          <w:szCs w:val="21"/>
        </w:rPr>
        <w:t>2.2 投标人须认真阅读理解招标文件，特别是有关责任权利规定，按照招标文件的要求填报投标文件。</w:t>
      </w:r>
    </w:p>
    <w:p>
      <w:pPr>
        <w:snapToGrid w:val="0"/>
        <w:spacing w:line="360" w:lineRule="auto"/>
        <w:ind w:firstLine="480" w:firstLineChars="200"/>
        <w:rPr>
          <w:snapToGrid w:val="0"/>
          <w:szCs w:val="21"/>
        </w:rPr>
      </w:pPr>
      <w:r>
        <w:rPr>
          <w:rFonts w:hint="eastAsia"/>
          <w:snapToGrid w:val="0"/>
          <w:szCs w:val="21"/>
        </w:rPr>
        <w:t>2.3 招标人特别要求在投标人投标递交印刷的投标文件时，并同时递交电子文件（Word、</w:t>
      </w:r>
      <w:r>
        <w:rPr>
          <w:snapToGrid w:val="0"/>
          <w:szCs w:val="21"/>
        </w:rPr>
        <w:t>E</w:t>
      </w:r>
      <w:r>
        <w:rPr>
          <w:rFonts w:hint="eastAsia"/>
          <w:snapToGrid w:val="0"/>
          <w:szCs w:val="21"/>
        </w:rPr>
        <w:t>xcel、W</w:t>
      </w:r>
      <w:r>
        <w:rPr>
          <w:snapToGrid w:val="0"/>
          <w:szCs w:val="21"/>
        </w:rPr>
        <w:t>PS</w:t>
      </w:r>
      <w:r>
        <w:rPr>
          <w:rFonts w:hint="eastAsia"/>
          <w:snapToGrid w:val="0"/>
          <w:szCs w:val="21"/>
        </w:rPr>
        <w:t>、</w:t>
      </w:r>
      <w:r>
        <w:rPr>
          <w:snapToGrid w:val="0"/>
          <w:szCs w:val="21"/>
        </w:rPr>
        <w:t>PDF</w:t>
      </w:r>
      <w:r>
        <w:rPr>
          <w:rFonts w:hint="eastAsia"/>
          <w:snapToGrid w:val="0"/>
          <w:szCs w:val="21"/>
        </w:rPr>
        <w:t>等格式）。</w:t>
      </w:r>
    </w:p>
    <w:p>
      <w:pPr>
        <w:rPr>
          <w:b/>
          <w:sz w:val="28"/>
          <w:szCs w:val="28"/>
        </w:rPr>
      </w:pPr>
      <w:bookmarkStart w:id="45" w:name="_Toc380659210"/>
      <w:bookmarkStart w:id="46" w:name="_Toc358982633"/>
      <w:bookmarkStart w:id="47" w:name="_Toc380660166"/>
      <w:bookmarkStart w:id="48" w:name="_Toc419285109"/>
      <w:bookmarkStart w:id="49" w:name="_Toc419285557"/>
      <w:bookmarkStart w:id="50" w:name="_Toc358982554"/>
      <w:bookmarkStart w:id="51" w:name="_Toc358982932"/>
      <w:bookmarkStart w:id="52" w:name="_Toc358982839"/>
      <w:bookmarkStart w:id="53" w:name="_Toc372481515"/>
      <w:bookmarkStart w:id="54" w:name="_Toc381345716"/>
      <w:r>
        <w:rPr>
          <w:rFonts w:hint="eastAsia"/>
          <w:b/>
          <w:sz w:val="28"/>
          <w:szCs w:val="28"/>
        </w:rPr>
        <w:t>3.对投标人的要求</w:t>
      </w:r>
      <w:bookmarkEnd w:id="45"/>
      <w:bookmarkEnd w:id="46"/>
      <w:bookmarkEnd w:id="47"/>
      <w:bookmarkEnd w:id="48"/>
      <w:bookmarkEnd w:id="49"/>
      <w:bookmarkEnd w:id="50"/>
      <w:bookmarkEnd w:id="51"/>
      <w:bookmarkEnd w:id="52"/>
      <w:bookmarkEnd w:id="53"/>
      <w:bookmarkEnd w:id="54"/>
    </w:p>
    <w:p>
      <w:pPr>
        <w:pStyle w:val="33"/>
        <w:ind w:firstLine="480" w:firstLineChars="200"/>
        <w:rPr>
          <w:b w:val="0"/>
          <w:bCs w:val="0"/>
          <w:snapToGrid w:val="0"/>
          <w:szCs w:val="21"/>
        </w:rPr>
      </w:pPr>
      <w:bookmarkStart w:id="55" w:name="_Toc381345717"/>
      <w:bookmarkStart w:id="56" w:name="_Toc419285110"/>
      <w:bookmarkStart w:id="57" w:name="_Toc380660167"/>
      <w:bookmarkStart w:id="58" w:name="_Toc419285558"/>
      <w:r>
        <w:rPr>
          <w:b w:val="0"/>
          <w:bCs w:val="0"/>
          <w:snapToGrid w:val="0"/>
          <w:szCs w:val="21"/>
        </w:rPr>
        <w:t xml:space="preserve">3.1 </w:t>
      </w:r>
      <w:bookmarkEnd w:id="55"/>
      <w:bookmarkEnd w:id="56"/>
      <w:bookmarkEnd w:id="57"/>
      <w:bookmarkEnd w:id="58"/>
      <w:bookmarkStart w:id="59" w:name="_Toc148779938"/>
      <w:bookmarkStart w:id="60" w:name="_Toc148778143"/>
      <w:bookmarkStart w:id="61" w:name="_Toc163530289"/>
      <w:bookmarkStart w:id="62" w:name="_Toc380660168"/>
      <w:bookmarkStart w:id="63" w:name="_Toc188869263"/>
      <w:bookmarkStart w:id="64" w:name="_Toc143658441"/>
      <w:bookmarkStart w:id="65" w:name="_Toc148954450"/>
      <w:bookmarkStart w:id="66" w:name="_Toc148780224"/>
      <w:bookmarkStart w:id="67" w:name="_Toc381345718"/>
      <w:bookmarkStart w:id="68" w:name="_Toc148413286"/>
      <w:bookmarkStart w:id="69" w:name="_Toc148329787"/>
      <w:bookmarkStart w:id="70" w:name="_Toc157847807"/>
      <w:bookmarkStart w:id="71" w:name="_Toc187729564"/>
      <w:bookmarkStart w:id="72" w:name="_Toc148954845"/>
      <w:r>
        <w:rPr>
          <w:b w:val="0"/>
          <w:bCs w:val="0"/>
          <w:snapToGrid w:val="0"/>
          <w:szCs w:val="21"/>
        </w:rPr>
        <w:t>详</w:t>
      </w:r>
      <w:r>
        <w:rPr>
          <w:rFonts w:hint="eastAsia"/>
          <w:b w:val="0"/>
          <w:bCs w:val="0"/>
          <w:snapToGrid w:val="0"/>
          <w:szCs w:val="21"/>
        </w:rPr>
        <w:t>见招标公告及招标文件前附表。</w:t>
      </w:r>
    </w:p>
    <w:p>
      <w:pPr>
        <w:snapToGrid w:val="0"/>
        <w:spacing w:line="360" w:lineRule="auto"/>
        <w:ind w:firstLine="480" w:firstLineChars="200"/>
        <w:rPr>
          <w:snapToGrid w:val="0"/>
          <w:szCs w:val="21"/>
        </w:rPr>
      </w:pPr>
      <w:bookmarkStart w:id="73" w:name="_Toc419285114"/>
      <w:bookmarkStart w:id="74" w:name="_Toc419285562"/>
      <w:r>
        <w:rPr>
          <w:rFonts w:hint="eastAsia"/>
          <w:snapToGrid w:val="0"/>
          <w:szCs w:val="21"/>
        </w:rPr>
        <w:t>3.2 投标人彼此之间存在法律法规规章及规范性文件禁止同时投标的情形的，不得同时投标。</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rPr>
          <w:b/>
          <w:sz w:val="28"/>
          <w:szCs w:val="28"/>
        </w:rPr>
      </w:pPr>
      <w:bookmarkStart w:id="75" w:name="_Toc380659211"/>
      <w:bookmarkStart w:id="76" w:name="_Toc358982555"/>
      <w:bookmarkStart w:id="77" w:name="_Toc381345719"/>
      <w:bookmarkStart w:id="78" w:name="_Toc372481516"/>
      <w:bookmarkStart w:id="79" w:name="_Toc419285563"/>
      <w:bookmarkStart w:id="80" w:name="_Toc358982634"/>
      <w:bookmarkStart w:id="81" w:name="_Toc380660169"/>
      <w:bookmarkStart w:id="82" w:name="_Toc419285115"/>
      <w:bookmarkStart w:id="83" w:name="_Toc358982933"/>
      <w:bookmarkStart w:id="84" w:name="_Toc358982840"/>
      <w:r>
        <w:rPr>
          <w:rFonts w:hint="eastAsia"/>
          <w:b/>
          <w:sz w:val="28"/>
          <w:szCs w:val="28"/>
        </w:rPr>
        <w:t>4.投标费用</w:t>
      </w:r>
      <w:bookmarkEnd w:id="75"/>
      <w:bookmarkEnd w:id="76"/>
      <w:bookmarkEnd w:id="77"/>
      <w:bookmarkEnd w:id="78"/>
      <w:bookmarkEnd w:id="79"/>
      <w:bookmarkEnd w:id="80"/>
      <w:bookmarkEnd w:id="81"/>
      <w:bookmarkEnd w:id="82"/>
      <w:bookmarkEnd w:id="83"/>
      <w:bookmarkEnd w:id="84"/>
    </w:p>
    <w:p>
      <w:pPr>
        <w:snapToGrid w:val="0"/>
        <w:spacing w:line="360" w:lineRule="auto"/>
        <w:ind w:firstLine="480" w:firstLineChars="200"/>
        <w:rPr>
          <w:snapToGrid w:val="0"/>
          <w:szCs w:val="21"/>
        </w:rPr>
      </w:pPr>
      <w:r>
        <w:rPr>
          <w:rFonts w:hint="eastAsia"/>
          <w:snapToGrid w:val="0"/>
          <w:szCs w:val="21"/>
        </w:rPr>
        <w:t>4.1投标人应自行承担所有准备及参加投标相关的费用。不论投标的结果如何，招标人均无承担的义务和责任。</w:t>
      </w:r>
    </w:p>
    <w:p>
      <w:pPr>
        <w:snapToGrid w:val="0"/>
        <w:spacing w:line="360" w:lineRule="auto"/>
        <w:ind w:firstLine="480" w:firstLineChars="200"/>
        <w:rPr>
          <w:snapToGrid w:val="0"/>
          <w:szCs w:val="21"/>
        </w:rPr>
      </w:pPr>
    </w:p>
    <w:p>
      <w:pPr>
        <w:pStyle w:val="6"/>
        <w:keepNext w:val="0"/>
        <w:keepLines w:val="0"/>
        <w:widowControl w:val="0"/>
        <w:tabs>
          <w:tab w:val="left" w:pos="720"/>
          <w:tab w:val="left" w:pos="4032"/>
        </w:tabs>
        <w:adjustRightInd w:val="0"/>
        <w:snapToGrid w:val="0"/>
        <w:spacing w:before="0" w:after="0" w:line="360" w:lineRule="auto"/>
        <w:jc w:val="center"/>
      </w:pPr>
      <w:bookmarkStart w:id="85" w:name="_Toc419285564"/>
      <w:bookmarkStart w:id="86" w:name="_Toc419285116"/>
      <w:bookmarkStart w:id="87" w:name="_Toc71560600"/>
      <w:bookmarkStart w:id="88" w:name="_Toc381345720"/>
      <w:bookmarkStart w:id="89" w:name="_Toc8593"/>
      <w:r>
        <w:rPr>
          <w:rFonts w:hint="eastAsia"/>
          <w:lang w:val="en-US"/>
        </w:rPr>
        <w:t>二、招标文件</w:t>
      </w:r>
      <w:bookmarkEnd w:id="85"/>
      <w:bookmarkEnd w:id="86"/>
      <w:bookmarkEnd w:id="87"/>
      <w:bookmarkEnd w:id="88"/>
      <w:bookmarkEnd w:id="89"/>
    </w:p>
    <w:p>
      <w:pPr>
        <w:rPr>
          <w:b/>
          <w:sz w:val="28"/>
          <w:szCs w:val="28"/>
        </w:rPr>
      </w:pPr>
      <w:bookmarkStart w:id="90" w:name="_Toc419285117"/>
      <w:bookmarkStart w:id="91" w:name="_Toc381345721"/>
      <w:bookmarkStart w:id="92" w:name="_Toc372481517"/>
      <w:bookmarkStart w:id="93" w:name="_Toc380659212"/>
      <w:bookmarkStart w:id="94" w:name="_Toc358982635"/>
      <w:bookmarkStart w:id="95" w:name="_Toc358982841"/>
      <w:bookmarkStart w:id="96" w:name="_Toc380660171"/>
      <w:bookmarkStart w:id="97" w:name="_Toc419285565"/>
      <w:bookmarkStart w:id="98" w:name="_Toc358982556"/>
      <w:bookmarkStart w:id="99" w:name="_Toc358982934"/>
      <w:r>
        <w:rPr>
          <w:rFonts w:hint="eastAsia"/>
          <w:b/>
          <w:sz w:val="28"/>
          <w:szCs w:val="28"/>
        </w:rPr>
        <w:t>5.招标文件的内容</w:t>
      </w:r>
      <w:bookmarkEnd w:id="90"/>
      <w:bookmarkEnd w:id="91"/>
      <w:bookmarkEnd w:id="92"/>
      <w:bookmarkEnd w:id="93"/>
      <w:bookmarkEnd w:id="94"/>
      <w:bookmarkEnd w:id="95"/>
      <w:bookmarkEnd w:id="96"/>
      <w:bookmarkEnd w:id="97"/>
      <w:bookmarkEnd w:id="98"/>
      <w:bookmarkEnd w:id="99"/>
    </w:p>
    <w:p>
      <w:pPr>
        <w:snapToGrid w:val="0"/>
        <w:spacing w:line="360" w:lineRule="auto"/>
        <w:ind w:firstLine="480" w:firstLineChars="200"/>
        <w:rPr>
          <w:snapToGrid w:val="0"/>
          <w:szCs w:val="21"/>
        </w:rPr>
      </w:pPr>
      <w:r>
        <w:rPr>
          <w:rFonts w:hint="eastAsia"/>
          <w:snapToGrid w:val="0"/>
          <w:szCs w:val="21"/>
        </w:rPr>
        <w:t>5.1 本招标文件</w:t>
      </w:r>
    </w:p>
    <w:p>
      <w:pPr>
        <w:snapToGrid w:val="0"/>
        <w:spacing w:line="360" w:lineRule="auto"/>
        <w:ind w:firstLine="1008" w:firstLineChars="420"/>
        <w:rPr>
          <w:snapToGrid w:val="0"/>
          <w:szCs w:val="21"/>
        </w:rPr>
      </w:pPr>
      <w:r>
        <w:fldChar w:fldCharType="begin"/>
      </w:r>
      <w:r>
        <w:instrText xml:space="preserve"> HYPERLINK \l "_Toc17413_" </w:instrText>
      </w:r>
      <w:r>
        <w:fldChar w:fldCharType="separate"/>
      </w:r>
      <w:r>
        <w:rPr>
          <w:rFonts w:hint="eastAsia"/>
          <w:snapToGrid w:val="0"/>
          <w:szCs w:val="21"/>
        </w:rPr>
        <w:t>第一章  使用说明</w:t>
      </w:r>
      <w:r>
        <w:rPr>
          <w:rFonts w:hint="eastAsia"/>
          <w:snapToGrid w:val="0"/>
          <w:szCs w:val="21"/>
        </w:rPr>
        <w:fldChar w:fldCharType="end"/>
      </w:r>
    </w:p>
    <w:p>
      <w:pPr>
        <w:snapToGrid w:val="0"/>
        <w:spacing w:line="360" w:lineRule="auto"/>
        <w:ind w:firstLine="1008" w:firstLineChars="420"/>
        <w:rPr>
          <w:snapToGrid w:val="0"/>
          <w:szCs w:val="21"/>
        </w:rPr>
      </w:pPr>
      <w:r>
        <w:fldChar w:fldCharType="begin"/>
      </w:r>
      <w:r>
        <w:instrText xml:space="preserve"> HYPERLINK \l "_Toc1577_" </w:instrText>
      </w:r>
      <w:r>
        <w:fldChar w:fldCharType="separate"/>
      </w:r>
      <w:r>
        <w:rPr>
          <w:rFonts w:hint="eastAsia"/>
          <w:snapToGrid w:val="0"/>
          <w:szCs w:val="21"/>
        </w:rPr>
        <w:t>第二章  投标须知</w:t>
      </w:r>
      <w:r>
        <w:rPr>
          <w:rFonts w:hint="eastAsia"/>
          <w:snapToGrid w:val="0"/>
          <w:szCs w:val="21"/>
        </w:rPr>
        <w:fldChar w:fldCharType="end"/>
      </w:r>
    </w:p>
    <w:p>
      <w:pPr>
        <w:snapToGrid w:val="0"/>
        <w:spacing w:line="360" w:lineRule="auto"/>
        <w:ind w:firstLine="1008" w:firstLineChars="420"/>
        <w:rPr>
          <w:snapToGrid w:val="0"/>
          <w:szCs w:val="21"/>
        </w:rPr>
      </w:pPr>
      <w:r>
        <w:fldChar w:fldCharType="begin"/>
      </w:r>
      <w:r>
        <w:instrText xml:space="preserve"> HYPERLINK \l "_Toc11288_" </w:instrText>
      </w:r>
      <w:r>
        <w:fldChar w:fldCharType="separate"/>
      </w:r>
      <w:r>
        <w:rPr>
          <w:rFonts w:hint="eastAsia"/>
          <w:snapToGrid w:val="0"/>
          <w:szCs w:val="21"/>
        </w:rPr>
        <w:t>第三章  招标人对招标文件及合同范本的补充</w:t>
      </w:r>
      <w:r>
        <w:rPr>
          <w:snapToGrid w:val="0"/>
          <w:szCs w:val="21"/>
        </w:rPr>
        <w:t>/修改</w:t>
      </w:r>
      <w:r>
        <w:rPr>
          <w:snapToGrid w:val="0"/>
          <w:szCs w:val="21"/>
        </w:rPr>
        <w:fldChar w:fldCharType="end"/>
      </w:r>
    </w:p>
    <w:p>
      <w:pPr>
        <w:snapToGrid w:val="0"/>
        <w:spacing w:line="360" w:lineRule="auto"/>
        <w:ind w:firstLine="1008" w:firstLineChars="420"/>
        <w:rPr>
          <w:snapToGrid w:val="0"/>
          <w:szCs w:val="21"/>
        </w:rPr>
      </w:pPr>
      <w:r>
        <w:fldChar w:fldCharType="begin"/>
      </w:r>
      <w:r>
        <w:instrText xml:space="preserve"> HYPERLINK \l "_Toc18782_" </w:instrText>
      </w:r>
      <w:r>
        <w:fldChar w:fldCharType="separate"/>
      </w:r>
      <w:r>
        <w:rPr>
          <w:rFonts w:hint="eastAsia"/>
          <w:snapToGrid w:val="0"/>
          <w:szCs w:val="21"/>
        </w:rPr>
        <w:t>第四章  投标文件格式</w:t>
      </w:r>
      <w:r>
        <w:rPr>
          <w:rFonts w:hint="eastAsia"/>
          <w:snapToGrid w:val="0"/>
          <w:szCs w:val="21"/>
        </w:rPr>
        <w:fldChar w:fldCharType="end"/>
      </w:r>
    </w:p>
    <w:p>
      <w:pPr>
        <w:snapToGrid w:val="0"/>
        <w:spacing w:line="360" w:lineRule="auto"/>
        <w:ind w:firstLine="1008" w:firstLineChars="420"/>
        <w:rPr>
          <w:snapToGrid w:val="0"/>
          <w:szCs w:val="21"/>
        </w:rPr>
      </w:pPr>
      <w:r>
        <w:fldChar w:fldCharType="begin"/>
      </w:r>
      <w:r>
        <w:instrText xml:space="preserve"> HYPERLINK \l "_Toc5300_" </w:instrText>
      </w:r>
      <w:r>
        <w:fldChar w:fldCharType="separate"/>
      </w:r>
      <w:r>
        <w:rPr>
          <w:rFonts w:hint="eastAsia"/>
          <w:snapToGrid w:val="0"/>
          <w:szCs w:val="21"/>
        </w:rPr>
        <w:t>第五章</w:t>
      </w:r>
      <w:r>
        <w:rPr>
          <w:snapToGrid w:val="0"/>
          <w:szCs w:val="21"/>
        </w:rPr>
        <w:t xml:space="preserve">  </w:t>
      </w:r>
      <w:r>
        <w:rPr>
          <w:rFonts w:hint="eastAsia"/>
          <w:snapToGrid w:val="0"/>
          <w:szCs w:val="21"/>
        </w:rPr>
        <w:t>合同条款及格式</w:t>
      </w:r>
      <w:r>
        <w:rPr>
          <w:rFonts w:hint="eastAsia"/>
          <w:snapToGrid w:val="0"/>
          <w:szCs w:val="21"/>
        </w:rPr>
        <w:fldChar w:fldCharType="end"/>
      </w:r>
    </w:p>
    <w:p>
      <w:pPr>
        <w:snapToGrid w:val="0"/>
        <w:spacing w:line="360" w:lineRule="auto"/>
        <w:rPr>
          <w:snapToGrid w:val="0"/>
          <w:szCs w:val="21"/>
        </w:rPr>
      </w:pPr>
    </w:p>
    <w:p>
      <w:pPr>
        <w:snapToGrid w:val="0"/>
        <w:spacing w:line="360" w:lineRule="auto"/>
        <w:ind w:firstLine="484" w:firstLineChars="202"/>
        <w:rPr>
          <w:snapToGrid w:val="0"/>
          <w:szCs w:val="21"/>
        </w:rPr>
      </w:pPr>
      <w:r>
        <w:rPr>
          <w:rFonts w:hint="eastAsia"/>
          <w:snapToGrid w:val="0"/>
          <w:szCs w:val="21"/>
        </w:rPr>
        <w:t>5.2 投标人应认真检阅招标文件中所有的须知、条件、格式、项目、规范等参考 标须知的规定，招标人有权拒绝没有实质上响应招标文件要求的投标文件。</w:t>
      </w:r>
    </w:p>
    <w:p>
      <w:pPr>
        <w:rPr>
          <w:b/>
          <w:sz w:val="28"/>
          <w:szCs w:val="28"/>
        </w:rPr>
      </w:pPr>
      <w:bookmarkStart w:id="100" w:name="_Toc419285566"/>
      <w:bookmarkStart w:id="101" w:name="_Toc419285118"/>
      <w:bookmarkStart w:id="102" w:name="_Toc381345722"/>
      <w:bookmarkStart w:id="103" w:name="_Toc358982636"/>
      <w:bookmarkStart w:id="104" w:name="_Toc372481518"/>
      <w:bookmarkStart w:id="105" w:name="_Toc358982557"/>
      <w:bookmarkStart w:id="106" w:name="_Toc380659213"/>
      <w:bookmarkStart w:id="107" w:name="_Toc358982842"/>
      <w:bookmarkStart w:id="108" w:name="_Toc358982935"/>
      <w:bookmarkStart w:id="109" w:name="_Toc380660172"/>
      <w:r>
        <w:rPr>
          <w:rFonts w:hint="eastAsia"/>
          <w:b/>
          <w:sz w:val="28"/>
          <w:szCs w:val="28"/>
        </w:rPr>
        <w:t>6.招标文件的澄清</w:t>
      </w:r>
      <w:bookmarkEnd w:id="100"/>
      <w:bookmarkEnd w:id="101"/>
      <w:bookmarkEnd w:id="102"/>
      <w:bookmarkEnd w:id="103"/>
      <w:bookmarkEnd w:id="104"/>
      <w:bookmarkEnd w:id="105"/>
      <w:bookmarkEnd w:id="106"/>
      <w:bookmarkEnd w:id="107"/>
      <w:bookmarkEnd w:id="108"/>
      <w:bookmarkEnd w:id="109"/>
    </w:p>
    <w:p>
      <w:pPr>
        <w:snapToGrid w:val="0"/>
        <w:spacing w:line="360" w:lineRule="auto"/>
        <w:ind w:firstLine="480" w:firstLineChars="200"/>
        <w:rPr>
          <w:snapToGrid w:val="0"/>
          <w:szCs w:val="21"/>
        </w:rPr>
      </w:pPr>
      <w:r>
        <w:rPr>
          <w:rFonts w:hint="eastAsia"/>
          <w:snapToGrid w:val="0"/>
          <w:szCs w:val="21"/>
        </w:rPr>
        <w:t>6.1 投标人如果对招标文件以及其它事项有疑问，应在</w:t>
      </w:r>
      <w:r>
        <w:rPr>
          <w:rFonts w:hint="eastAsia"/>
          <w:snapToGrid w:val="0"/>
          <w:szCs w:val="21"/>
          <w:u w:val="single"/>
        </w:rPr>
        <w:t>投标人须知前附表截止时间之前</w:t>
      </w:r>
      <w:r>
        <w:rPr>
          <w:rFonts w:hint="eastAsia"/>
          <w:snapToGrid w:val="0"/>
          <w:szCs w:val="21"/>
        </w:rPr>
        <w:t>，向招标人书面函件询问。</w:t>
      </w:r>
    </w:p>
    <w:p>
      <w:pPr>
        <w:snapToGrid w:val="0"/>
        <w:spacing w:line="360" w:lineRule="auto"/>
        <w:ind w:firstLine="480" w:firstLineChars="200"/>
        <w:rPr>
          <w:snapToGrid w:val="0"/>
          <w:szCs w:val="21"/>
        </w:rPr>
      </w:pPr>
      <w:r>
        <w:rPr>
          <w:rFonts w:hint="eastAsia"/>
          <w:snapToGrid w:val="0"/>
          <w:szCs w:val="21"/>
        </w:rPr>
        <w:t>6.2 关于上述6</w:t>
      </w:r>
      <w:r>
        <w:rPr>
          <w:snapToGrid w:val="0"/>
          <w:szCs w:val="21"/>
        </w:rPr>
        <w:t>.1</w:t>
      </w:r>
      <w:r>
        <w:rPr>
          <w:rFonts w:hint="eastAsia"/>
          <w:snapToGrid w:val="0"/>
          <w:szCs w:val="21"/>
        </w:rPr>
        <w:t>条款询问的答疑，不能用来解释合同。除非招标人对招标文件作了修改，并以补遗书的形式在编标过程中发给每个投标人。</w:t>
      </w:r>
    </w:p>
    <w:p>
      <w:pPr>
        <w:snapToGrid w:val="0"/>
        <w:spacing w:line="360" w:lineRule="auto"/>
        <w:ind w:firstLine="480" w:firstLineChars="200"/>
        <w:rPr>
          <w:snapToGrid w:val="0"/>
          <w:szCs w:val="21"/>
        </w:rPr>
      </w:pPr>
    </w:p>
    <w:p>
      <w:pPr>
        <w:pStyle w:val="6"/>
        <w:keepNext w:val="0"/>
        <w:keepLines w:val="0"/>
        <w:widowControl w:val="0"/>
        <w:tabs>
          <w:tab w:val="left" w:pos="720"/>
          <w:tab w:val="left" w:pos="4032"/>
        </w:tabs>
        <w:adjustRightInd w:val="0"/>
        <w:snapToGrid w:val="0"/>
        <w:spacing w:before="0" w:after="0" w:line="360" w:lineRule="auto"/>
        <w:jc w:val="center"/>
      </w:pPr>
      <w:bookmarkStart w:id="110" w:name="_Toc419285120"/>
      <w:bookmarkStart w:id="111" w:name="_Toc419285568"/>
      <w:bookmarkStart w:id="112" w:name="_Toc253046957"/>
      <w:bookmarkStart w:id="113" w:name="_Toc71560601"/>
      <w:bookmarkStart w:id="114" w:name="_Toc21399"/>
      <w:bookmarkStart w:id="115" w:name="_Toc381345725"/>
      <w:bookmarkStart w:id="116" w:name="_Toc257713373"/>
      <w:r>
        <w:rPr>
          <w:rFonts w:hint="eastAsia"/>
          <w:lang w:val="en-US"/>
        </w:rPr>
        <w:t>三、投标文件的编制</w:t>
      </w:r>
      <w:bookmarkEnd w:id="110"/>
      <w:bookmarkEnd w:id="111"/>
      <w:bookmarkEnd w:id="112"/>
      <w:bookmarkEnd w:id="113"/>
      <w:bookmarkEnd w:id="114"/>
      <w:bookmarkEnd w:id="115"/>
      <w:bookmarkEnd w:id="116"/>
    </w:p>
    <w:p>
      <w:pPr>
        <w:rPr>
          <w:b/>
          <w:sz w:val="28"/>
          <w:szCs w:val="28"/>
        </w:rPr>
      </w:pPr>
      <w:bookmarkStart w:id="117" w:name="_Toc380660176"/>
      <w:bookmarkStart w:id="118" w:name="_Toc380659215"/>
      <w:bookmarkStart w:id="119" w:name="_Toc358982937"/>
      <w:bookmarkStart w:id="120" w:name="_Toc372481520"/>
      <w:bookmarkStart w:id="121" w:name="_Toc381345726"/>
      <w:bookmarkStart w:id="122" w:name="_Toc358982559"/>
      <w:bookmarkStart w:id="123" w:name="_Toc358982638"/>
      <w:bookmarkStart w:id="124" w:name="_Toc419285569"/>
      <w:bookmarkStart w:id="125" w:name="_Toc419285121"/>
      <w:bookmarkStart w:id="126" w:name="_Toc358982844"/>
      <w:r>
        <w:rPr>
          <w:rFonts w:hint="eastAsia"/>
          <w:b/>
          <w:sz w:val="28"/>
          <w:szCs w:val="28"/>
        </w:rPr>
        <w:t>7.组成投标文件的文件</w:t>
      </w:r>
      <w:bookmarkEnd w:id="117"/>
      <w:bookmarkEnd w:id="118"/>
      <w:bookmarkEnd w:id="119"/>
      <w:bookmarkEnd w:id="120"/>
      <w:bookmarkEnd w:id="121"/>
      <w:bookmarkEnd w:id="122"/>
      <w:bookmarkEnd w:id="123"/>
      <w:bookmarkEnd w:id="124"/>
      <w:bookmarkEnd w:id="125"/>
      <w:bookmarkEnd w:id="126"/>
    </w:p>
    <w:p>
      <w:pPr>
        <w:snapToGrid w:val="0"/>
        <w:spacing w:line="360" w:lineRule="auto"/>
        <w:ind w:firstLine="480" w:firstLineChars="200"/>
        <w:rPr>
          <w:snapToGrid w:val="0"/>
          <w:szCs w:val="21"/>
        </w:rPr>
      </w:pPr>
      <w:bookmarkStart w:id="127" w:name="_Toc380660177"/>
      <w:bookmarkStart w:id="128" w:name="_Toc381345727"/>
      <w:bookmarkStart w:id="129" w:name="_Toc419285570"/>
      <w:bookmarkStart w:id="130" w:name="_Toc419285122"/>
      <w:r>
        <w:rPr>
          <w:rFonts w:hint="eastAsia"/>
          <w:snapToGrid w:val="0"/>
          <w:szCs w:val="21"/>
        </w:rPr>
        <w:t>7</w:t>
      </w:r>
      <w:r>
        <w:rPr>
          <w:snapToGrid w:val="0"/>
          <w:szCs w:val="21"/>
        </w:rPr>
        <w:t>.1</w:t>
      </w:r>
      <w:r>
        <w:rPr>
          <w:rFonts w:hint="eastAsia"/>
          <w:szCs w:val="21"/>
        </w:rPr>
        <w:t>投标文件组成</w:t>
      </w:r>
      <w:bookmarkEnd w:id="127"/>
      <w:bookmarkEnd w:id="128"/>
      <w:bookmarkEnd w:id="129"/>
      <w:bookmarkEnd w:id="130"/>
      <w:r>
        <w:rPr>
          <w:rFonts w:hint="eastAsia"/>
          <w:szCs w:val="21"/>
        </w:rPr>
        <w:t>详见投标须知前附表相关内容要求。</w:t>
      </w:r>
    </w:p>
    <w:p>
      <w:pPr>
        <w:snapToGrid w:val="0"/>
        <w:spacing w:line="360" w:lineRule="auto"/>
        <w:ind w:firstLine="480" w:firstLineChars="200"/>
        <w:rPr>
          <w:snapToGrid w:val="0"/>
          <w:szCs w:val="21"/>
        </w:rPr>
      </w:pPr>
      <w:r>
        <w:rPr>
          <w:rFonts w:hint="eastAsia"/>
          <w:snapToGrid w:val="0"/>
          <w:szCs w:val="21"/>
        </w:rPr>
        <w:t>7</w:t>
      </w:r>
      <w:r>
        <w:rPr>
          <w:snapToGrid w:val="0"/>
          <w:szCs w:val="21"/>
        </w:rPr>
        <w:t xml:space="preserve">.2 </w:t>
      </w:r>
      <w:r>
        <w:rPr>
          <w:rFonts w:hint="eastAsia"/>
          <w:snapToGrid w:val="0"/>
          <w:szCs w:val="21"/>
        </w:rPr>
        <w:t>投标人必须按照招标文件要求的内容、投标文件格式及其它附件、资料的要求如实填写（表格可以按同样格式扩展、缩小，但内容和项目不能变化）。</w:t>
      </w:r>
    </w:p>
    <w:p>
      <w:pPr>
        <w:rPr>
          <w:b/>
          <w:sz w:val="28"/>
          <w:szCs w:val="28"/>
        </w:rPr>
      </w:pPr>
      <w:bookmarkStart w:id="131" w:name="_Toc419285123"/>
      <w:bookmarkStart w:id="132" w:name="_Toc380660178"/>
      <w:bookmarkStart w:id="133" w:name="_Toc381345728"/>
      <w:bookmarkStart w:id="134" w:name="_Toc358982560"/>
      <w:bookmarkStart w:id="135" w:name="_Toc358982845"/>
      <w:bookmarkStart w:id="136" w:name="_Toc358982639"/>
      <w:bookmarkStart w:id="137" w:name="_Toc358982938"/>
      <w:bookmarkStart w:id="138" w:name="_Toc419285571"/>
      <w:bookmarkStart w:id="139" w:name="_Toc372481521"/>
      <w:bookmarkStart w:id="140" w:name="_Toc380659216"/>
      <w:r>
        <w:rPr>
          <w:rFonts w:hint="eastAsia"/>
          <w:b/>
          <w:sz w:val="28"/>
          <w:szCs w:val="28"/>
        </w:rPr>
        <w:t>8.投标价格</w:t>
      </w:r>
      <w:bookmarkEnd w:id="131"/>
      <w:bookmarkEnd w:id="132"/>
      <w:bookmarkEnd w:id="133"/>
      <w:bookmarkEnd w:id="134"/>
      <w:bookmarkEnd w:id="135"/>
      <w:bookmarkEnd w:id="136"/>
      <w:bookmarkEnd w:id="137"/>
      <w:bookmarkEnd w:id="138"/>
      <w:bookmarkEnd w:id="139"/>
      <w:bookmarkEnd w:id="140"/>
    </w:p>
    <w:p>
      <w:pPr>
        <w:snapToGrid w:val="0"/>
        <w:spacing w:line="360" w:lineRule="auto"/>
        <w:ind w:firstLine="480" w:firstLineChars="200"/>
        <w:rPr>
          <w:snapToGrid w:val="0"/>
          <w:szCs w:val="21"/>
        </w:rPr>
      </w:pPr>
      <w:r>
        <w:rPr>
          <w:rFonts w:hint="eastAsia"/>
          <w:snapToGrid w:val="0"/>
          <w:szCs w:val="21"/>
        </w:rPr>
        <w:t>8.1 投标价格</w:t>
      </w:r>
      <w:r>
        <w:rPr>
          <w:snapToGrid w:val="0"/>
          <w:szCs w:val="21"/>
        </w:rPr>
        <w:t>指根据合同规定</w:t>
      </w:r>
      <w:r>
        <w:rPr>
          <w:rFonts w:hint="eastAsia"/>
          <w:snapToGrid w:val="0"/>
          <w:szCs w:val="21"/>
        </w:rPr>
        <w:t>中标方</w:t>
      </w:r>
      <w:r>
        <w:rPr>
          <w:snapToGrid w:val="0"/>
          <w:szCs w:val="21"/>
        </w:rPr>
        <w:t>在正确</w:t>
      </w:r>
      <w:r>
        <w:rPr>
          <w:rFonts w:hint="eastAsia"/>
          <w:snapToGrid w:val="0"/>
          <w:szCs w:val="21"/>
        </w:rPr>
        <w:t>地完全</w:t>
      </w:r>
      <w:r>
        <w:rPr>
          <w:snapToGrid w:val="0"/>
          <w:szCs w:val="21"/>
        </w:rPr>
        <w:t>履行合同义务后，</w:t>
      </w:r>
      <w:r>
        <w:rPr>
          <w:rFonts w:hint="eastAsia"/>
          <w:snapToGrid w:val="0"/>
          <w:szCs w:val="21"/>
        </w:rPr>
        <w:t>甲方</w:t>
      </w:r>
      <w:r>
        <w:rPr>
          <w:snapToGrid w:val="0"/>
          <w:szCs w:val="21"/>
        </w:rPr>
        <w:t>应支付给</w:t>
      </w:r>
      <w:r>
        <w:rPr>
          <w:rFonts w:hint="eastAsia"/>
          <w:snapToGrid w:val="0"/>
          <w:szCs w:val="21"/>
        </w:rPr>
        <w:t>乙方</w:t>
      </w:r>
      <w:r>
        <w:rPr>
          <w:snapToGrid w:val="0"/>
          <w:szCs w:val="21"/>
        </w:rPr>
        <w:t>的</w:t>
      </w:r>
      <w:r>
        <w:rPr>
          <w:rFonts w:hint="eastAsia"/>
          <w:snapToGrid w:val="0"/>
          <w:szCs w:val="21"/>
        </w:rPr>
        <w:t>费用。</w:t>
      </w:r>
    </w:p>
    <w:p>
      <w:pPr>
        <w:snapToGrid w:val="0"/>
        <w:spacing w:line="360" w:lineRule="auto"/>
        <w:ind w:firstLine="480" w:firstLineChars="200"/>
        <w:rPr>
          <w:snapToGrid w:val="0"/>
          <w:szCs w:val="21"/>
        </w:rPr>
      </w:pPr>
      <w:bookmarkStart w:id="141" w:name="_Toc380660179"/>
      <w:bookmarkStart w:id="142" w:name="_Toc419285124"/>
      <w:bookmarkStart w:id="143" w:name="_Toc419285572"/>
      <w:bookmarkStart w:id="144" w:name="_Toc381345729"/>
      <w:r>
        <w:rPr>
          <w:rFonts w:hint="eastAsia"/>
          <w:snapToGrid w:val="0"/>
          <w:szCs w:val="21"/>
        </w:rPr>
        <w:t>8.2 投标文件的价格用人民币表示。</w:t>
      </w:r>
      <w:bookmarkEnd w:id="141"/>
      <w:bookmarkEnd w:id="142"/>
      <w:bookmarkEnd w:id="143"/>
      <w:bookmarkEnd w:id="144"/>
    </w:p>
    <w:p>
      <w:pPr>
        <w:snapToGrid w:val="0"/>
        <w:spacing w:line="360" w:lineRule="auto"/>
        <w:ind w:firstLine="480" w:firstLineChars="200"/>
        <w:rPr>
          <w:snapToGrid w:val="0"/>
          <w:szCs w:val="21"/>
        </w:rPr>
      </w:pPr>
      <w:r>
        <w:rPr>
          <w:rFonts w:hint="eastAsia"/>
          <w:snapToGrid w:val="0"/>
          <w:szCs w:val="21"/>
        </w:rPr>
        <w:t>8.3本合同为总价合同。</w:t>
      </w:r>
    </w:p>
    <w:p>
      <w:pPr>
        <w:rPr>
          <w:b/>
          <w:sz w:val="28"/>
          <w:szCs w:val="28"/>
        </w:rPr>
      </w:pPr>
      <w:bookmarkStart w:id="145" w:name="_Toc358982846"/>
      <w:bookmarkStart w:id="146" w:name="_Toc358982561"/>
      <w:bookmarkStart w:id="147" w:name="_Toc358982939"/>
      <w:bookmarkStart w:id="148" w:name="_Toc372481522"/>
      <w:bookmarkStart w:id="149" w:name="_Toc381345730"/>
      <w:bookmarkStart w:id="150" w:name="_Toc419285573"/>
      <w:bookmarkStart w:id="151" w:name="_Toc419285125"/>
      <w:bookmarkStart w:id="152" w:name="_Toc380660180"/>
      <w:bookmarkStart w:id="153" w:name="_Toc358982640"/>
      <w:bookmarkStart w:id="154" w:name="_Toc380659217"/>
      <w:r>
        <w:rPr>
          <w:rFonts w:hint="eastAsia"/>
          <w:b/>
          <w:sz w:val="28"/>
          <w:szCs w:val="28"/>
        </w:rPr>
        <w:t>9.招标文件的修改</w:t>
      </w:r>
    </w:p>
    <w:p>
      <w:pPr>
        <w:snapToGrid w:val="0"/>
        <w:spacing w:line="360" w:lineRule="auto"/>
        <w:ind w:firstLine="480" w:firstLineChars="200"/>
        <w:rPr>
          <w:snapToGrid w:val="0"/>
          <w:szCs w:val="21"/>
        </w:rPr>
      </w:pPr>
      <w:r>
        <w:rPr>
          <w:rFonts w:hint="eastAsia"/>
          <w:snapToGrid w:val="0"/>
          <w:szCs w:val="21"/>
        </w:rPr>
        <w:t>9.1 在</w:t>
      </w:r>
      <w:r>
        <w:rPr>
          <w:rFonts w:hint="eastAsia"/>
          <w:snapToGrid w:val="0"/>
          <w:szCs w:val="21"/>
          <w:u w:val="single"/>
        </w:rPr>
        <w:t>投标人须知前附表截止时间之前</w:t>
      </w:r>
      <w:r>
        <w:rPr>
          <w:rFonts w:hint="eastAsia"/>
          <w:snapToGrid w:val="0"/>
          <w:szCs w:val="21"/>
        </w:rPr>
        <w:t>，如发现修改招标文件非常必要，招标人则以补遗书形式将修改颁发给每个投标人，并对他们起约束作用。投标人收到补遗书后应以书面的形式告知招标人加以确认。</w:t>
      </w:r>
    </w:p>
    <w:p>
      <w:pPr>
        <w:snapToGrid w:val="0"/>
        <w:spacing w:line="360" w:lineRule="auto"/>
        <w:ind w:firstLine="423"/>
        <w:rPr>
          <w:snapToGrid w:val="0"/>
          <w:szCs w:val="21"/>
        </w:rPr>
      </w:pPr>
      <w:r>
        <w:rPr>
          <w:rFonts w:hint="eastAsia"/>
          <w:snapToGrid w:val="0"/>
          <w:szCs w:val="21"/>
        </w:rPr>
        <w:t>9.2 为了给投标人合理的时间，使其在编制投标文件时能把补遗书的内容考虑进去，招标人可以按照本须知第9.1款的规定，以书面的形式通知所有投标人延长投标文件的截止时间，投标人应确认收到通知，并将回执返回招标人。</w:t>
      </w:r>
    </w:p>
    <w:p>
      <w:pPr>
        <w:rPr>
          <w:b/>
          <w:sz w:val="28"/>
          <w:szCs w:val="28"/>
        </w:rPr>
      </w:pPr>
      <w:r>
        <w:rPr>
          <w:rFonts w:hint="eastAsia"/>
          <w:b/>
          <w:sz w:val="28"/>
          <w:szCs w:val="28"/>
        </w:rPr>
        <w:t>10.投标有效期</w:t>
      </w:r>
      <w:bookmarkEnd w:id="145"/>
      <w:bookmarkEnd w:id="146"/>
      <w:bookmarkEnd w:id="147"/>
      <w:bookmarkEnd w:id="148"/>
      <w:bookmarkEnd w:id="149"/>
      <w:bookmarkEnd w:id="150"/>
      <w:bookmarkEnd w:id="151"/>
      <w:bookmarkEnd w:id="152"/>
      <w:bookmarkEnd w:id="153"/>
      <w:bookmarkEnd w:id="154"/>
    </w:p>
    <w:p>
      <w:pPr>
        <w:snapToGrid w:val="0"/>
        <w:spacing w:line="360" w:lineRule="auto"/>
        <w:ind w:firstLine="480" w:firstLineChars="200"/>
        <w:rPr>
          <w:snapToGrid w:val="0"/>
          <w:szCs w:val="21"/>
        </w:rPr>
      </w:pPr>
      <w:r>
        <w:rPr>
          <w:rFonts w:hint="eastAsia"/>
          <w:snapToGrid w:val="0"/>
          <w:szCs w:val="21"/>
        </w:rPr>
        <w:t>投标有效期为投标须知前附表所规定的期限，在此期限内，所有投标文件均保持有效。</w:t>
      </w:r>
    </w:p>
    <w:p>
      <w:pPr>
        <w:rPr>
          <w:b/>
          <w:sz w:val="28"/>
          <w:szCs w:val="28"/>
        </w:rPr>
      </w:pPr>
      <w:bookmarkStart w:id="155" w:name="_Toc358982643"/>
      <w:bookmarkStart w:id="156" w:name="_Toc380660183"/>
      <w:bookmarkStart w:id="157" w:name="_Toc372481525"/>
      <w:bookmarkStart w:id="158" w:name="_Toc358982942"/>
      <w:bookmarkStart w:id="159" w:name="_Toc358982564"/>
      <w:bookmarkStart w:id="160" w:name="_Toc380659220"/>
      <w:bookmarkStart w:id="161" w:name="_Toc419285575"/>
      <w:bookmarkStart w:id="162" w:name="_Toc381345733"/>
      <w:bookmarkStart w:id="163" w:name="_Toc358982849"/>
      <w:bookmarkStart w:id="164" w:name="_Toc419285127"/>
      <w:r>
        <w:rPr>
          <w:rFonts w:hint="eastAsia"/>
          <w:b/>
          <w:sz w:val="28"/>
          <w:szCs w:val="28"/>
        </w:rPr>
        <w:t>11.投标文件的份数和签署</w:t>
      </w:r>
      <w:bookmarkEnd w:id="155"/>
      <w:bookmarkEnd w:id="156"/>
      <w:bookmarkEnd w:id="157"/>
      <w:bookmarkEnd w:id="158"/>
      <w:bookmarkEnd w:id="159"/>
      <w:bookmarkEnd w:id="160"/>
      <w:bookmarkEnd w:id="161"/>
      <w:bookmarkEnd w:id="162"/>
      <w:bookmarkEnd w:id="163"/>
      <w:bookmarkEnd w:id="164"/>
    </w:p>
    <w:p>
      <w:pPr>
        <w:pStyle w:val="43"/>
        <w:snapToGrid w:val="0"/>
        <w:spacing w:line="360" w:lineRule="auto"/>
        <w:ind w:firstLine="480" w:firstLineChars="200"/>
        <w:rPr>
          <w:rFonts w:hAnsi="宋体"/>
          <w:snapToGrid w:val="0"/>
        </w:rPr>
      </w:pPr>
      <w:r>
        <w:rPr>
          <w:rFonts w:hint="eastAsia" w:hAnsi="宋体"/>
          <w:snapToGrid w:val="0"/>
        </w:rPr>
        <w:t>11.1 投标人按本须知13.款的规定，编制投标文件正本和前附表所述份数的副本，并明确标明：“正本”或“副本”。正本和副本如有不一致之处，以正本为准。</w:t>
      </w:r>
    </w:p>
    <w:p>
      <w:pPr>
        <w:pStyle w:val="43"/>
        <w:snapToGrid w:val="0"/>
        <w:spacing w:line="360" w:lineRule="auto"/>
        <w:ind w:firstLine="480" w:firstLineChars="200"/>
        <w:rPr>
          <w:rFonts w:hAnsi="宋体"/>
          <w:snapToGrid w:val="0"/>
        </w:rPr>
      </w:pPr>
      <w:r>
        <w:rPr>
          <w:rFonts w:hint="eastAsia" w:hAnsi="宋体"/>
          <w:snapToGrid w:val="0"/>
        </w:rPr>
        <w:t>11.2投标文件的正本与副本均应使用不能擦去的墨水打印或书写，并由投标人正式授权的一个或几个人签署，授权书应以书面委托的方式出具，并附在投标文件中。有增加或修正的各项，都应由投标文件签字人签字证明。</w:t>
      </w:r>
    </w:p>
    <w:p>
      <w:pPr>
        <w:pStyle w:val="43"/>
        <w:snapToGrid w:val="0"/>
        <w:spacing w:line="360" w:lineRule="auto"/>
        <w:ind w:firstLine="480" w:firstLineChars="200"/>
        <w:rPr>
          <w:rFonts w:hAnsi="宋体"/>
          <w:snapToGrid w:val="0"/>
        </w:rPr>
      </w:pPr>
      <w:r>
        <w:rPr>
          <w:rFonts w:hint="eastAsia" w:hAnsi="宋体"/>
          <w:snapToGrid w:val="0"/>
        </w:rPr>
        <w:t>11.3全套投标文件应无涂改和行间插字，除非这些删改是根据招标人指示进行的，或者是投标人造成的必须修改的错误。在后一种情况下，修改处应由投标文件签字人签字证明。</w:t>
      </w:r>
    </w:p>
    <w:p>
      <w:pPr>
        <w:pStyle w:val="43"/>
        <w:snapToGrid w:val="0"/>
        <w:spacing w:line="360" w:lineRule="auto"/>
        <w:ind w:firstLine="480" w:firstLineChars="200"/>
        <w:rPr>
          <w:rFonts w:hAnsi="宋体"/>
          <w:snapToGrid w:val="0"/>
        </w:rPr>
      </w:pPr>
      <w:r>
        <w:rPr>
          <w:rFonts w:hint="eastAsia" w:hAnsi="宋体"/>
          <w:snapToGrid w:val="0"/>
        </w:rPr>
        <w:t>11.4每位投标人只能提交一份投标文件。任何投标人都不允许以任何方式参与同一合同的其他投标人的投标。</w:t>
      </w:r>
    </w:p>
    <w:p>
      <w:pPr>
        <w:rPr>
          <w:b/>
          <w:sz w:val="28"/>
          <w:szCs w:val="28"/>
        </w:rPr>
      </w:pPr>
      <w:bookmarkStart w:id="165" w:name="_Toc358982565"/>
      <w:bookmarkStart w:id="166" w:name="_Toc358982943"/>
      <w:bookmarkStart w:id="167" w:name="_Toc419285128"/>
      <w:bookmarkStart w:id="168" w:name="_Toc380660184"/>
      <w:bookmarkStart w:id="169" w:name="_Toc381345734"/>
      <w:bookmarkStart w:id="170" w:name="_Toc372481526"/>
      <w:bookmarkStart w:id="171" w:name="_Toc358982644"/>
      <w:bookmarkStart w:id="172" w:name="_Toc380659221"/>
      <w:bookmarkStart w:id="173" w:name="_Toc419285576"/>
      <w:bookmarkStart w:id="174" w:name="_Toc358982850"/>
      <w:r>
        <w:rPr>
          <w:rFonts w:hint="eastAsia"/>
          <w:b/>
          <w:sz w:val="28"/>
          <w:szCs w:val="28"/>
        </w:rPr>
        <w:t>12.投标文件装订要求</w:t>
      </w:r>
      <w:bookmarkEnd w:id="165"/>
      <w:bookmarkEnd w:id="166"/>
      <w:bookmarkEnd w:id="167"/>
      <w:bookmarkEnd w:id="168"/>
      <w:bookmarkEnd w:id="169"/>
      <w:bookmarkEnd w:id="170"/>
      <w:bookmarkEnd w:id="171"/>
      <w:bookmarkEnd w:id="172"/>
      <w:bookmarkEnd w:id="173"/>
      <w:bookmarkEnd w:id="174"/>
    </w:p>
    <w:p>
      <w:pPr>
        <w:pStyle w:val="43"/>
        <w:snapToGrid w:val="0"/>
        <w:spacing w:line="360" w:lineRule="auto"/>
        <w:ind w:firstLine="480" w:firstLineChars="200"/>
        <w:rPr>
          <w:rFonts w:hAnsi="宋体"/>
          <w:snapToGrid w:val="0"/>
        </w:rPr>
      </w:pPr>
      <w:bookmarkStart w:id="175" w:name="_Toc358982944"/>
      <w:bookmarkStart w:id="176" w:name="_Toc372481527"/>
      <w:bookmarkStart w:id="177" w:name="_Toc358982566"/>
      <w:bookmarkStart w:id="178" w:name="_Toc358982851"/>
      <w:bookmarkStart w:id="179" w:name="_Toc358982645"/>
      <w:r>
        <w:rPr>
          <w:rFonts w:hint="eastAsia" w:hAnsi="宋体"/>
          <w:snapToGrid w:val="0"/>
        </w:rPr>
        <w:t>投标文件应按资格审查文件、投标文件（包括前附表所述商务标、资信标）、电子文件分开装订成册。</w:t>
      </w:r>
      <w:bookmarkEnd w:id="175"/>
      <w:bookmarkEnd w:id="176"/>
      <w:bookmarkEnd w:id="177"/>
      <w:bookmarkEnd w:id="178"/>
      <w:bookmarkEnd w:id="179"/>
    </w:p>
    <w:p>
      <w:pPr>
        <w:pStyle w:val="43"/>
        <w:snapToGrid w:val="0"/>
        <w:spacing w:line="360" w:lineRule="auto"/>
        <w:ind w:firstLine="480" w:firstLineChars="200"/>
        <w:rPr>
          <w:rFonts w:hAnsi="宋体"/>
          <w:snapToGrid w:val="0"/>
        </w:rPr>
      </w:pPr>
    </w:p>
    <w:p>
      <w:pPr>
        <w:pStyle w:val="6"/>
        <w:keepNext w:val="0"/>
        <w:keepLines w:val="0"/>
        <w:widowControl w:val="0"/>
        <w:tabs>
          <w:tab w:val="left" w:pos="720"/>
          <w:tab w:val="left" w:pos="4032"/>
        </w:tabs>
        <w:adjustRightInd w:val="0"/>
        <w:snapToGrid w:val="0"/>
        <w:spacing w:before="0" w:after="0" w:line="360" w:lineRule="auto"/>
        <w:jc w:val="center"/>
      </w:pPr>
      <w:bookmarkStart w:id="180" w:name="_Toc419285577"/>
      <w:bookmarkStart w:id="181" w:name="_Toc257713374"/>
      <w:bookmarkStart w:id="182" w:name="_Toc358982646"/>
      <w:bookmarkStart w:id="183" w:name="_Toc29041"/>
      <w:bookmarkStart w:id="184" w:name="_Toc358982567"/>
      <w:bookmarkStart w:id="185" w:name="_Toc358982852"/>
      <w:bookmarkStart w:id="186" w:name="_Toc358982945"/>
      <w:bookmarkStart w:id="187" w:name="_Toc381345735"/>
      <w:bookmarkStart w:id="188" w:name="_Toc419285129"/>
      <w:bookmarkStart w:id="189" w:name="_Toc71560602"/>
      <w:bookmarkStart w:id="190" w:name="_Toc253046958"/>
      <w:r>
        <w:rPr>
          <w:rFonts w:hint="eastAsia"/>
          <w:lang w:val="en-US"/>
        </w:rPr>
        <w:t>四、</w:t>
      </w:r>
      <w:r>
        <w:rPr>
          <w:lang w:val="en-US"/>
        </w:rPr>
        <w:t xml:space="preserve"> </w:t>
      </w:r>
      <w:r>
        <w:rPr>
          <w:rFonts w:hint="eastAsia"/>
          <w:lang w:val="en-US"/>
        </w:rPr>
        <w:t>投标文件的递交</w:t>
      </w:r>
      <w:bookmarkEnd w:id="180"/>
      <w:bookmarkEnd w:id="181"/>
      <w:bookmarkEnd w:id="182"/>
      <w:bookmarkEnd w:id="183"/>
      <w:bookmarkEnd w:id="184"/>
      <w:bookmarkEnd w:id="185"/>
      <w:bookmarkEnd w:id="186"/>
      <w:bookmarkEnd w:id="187"/>
      <w:bookmarkEnd w:id="188"/>
      <w:bookmarkEnd w:id="189"/>
      <w:bookmarkEnd w:id="190"/>
    </w:p>
    <w:p>
      <w:pPr>
        <w:rPr>
          <w:b/>
          <w:sz w:val="28"/>
          <w:szCs w:val="28"/>
        </w:rPr>
      </w:pPr>
      <w:bookmarkStart w:id="191" w:name="_Toc372481528"/>
      <w:bookmarkStart w:id="192" w:name="_Toc380659222"/>
      <w:bookmarkStart w:id="193" w:name="_Toc381345736"/>
      <w:bookmarkStart w:id="194" w:name="_Toc358982853"/>
      <w:bookmarkStart w:id="195" w:name="_Toc358982647"/>
      <w:bookmarkStart w:id="196" w:name="_Toc419285130"/>
      <w:bookmarkStart w:id="197" w:name="_Toc419285578"/>
      <w:bookmarkStart w:id="198" w:name="_Toc380660186"/>
      <w:bookmarkStart w:id="199" w:name="_Toc358982568"/>
      <w:bookmarkStart w:id="200" w:name="_Toc358982946"/>
      <w:r>
        <w:rPr>
          <w:rFonts w:hint="eastAsia"/>
          <w:b/>
          <w:sz w:val="28"/>
          <w:szCs w:val="28"/>
        </w:rPr>
        <w:t>13.投标文件的密封与标记</w:t>
      </w:r>
      <w:bookmarkEnd w:id="191"/>
      <w:bookmarkEnd w:id="192"/>
      <w:bookmarkEnd w:id="193"/>
      <w:bookmarkEnd w:id="194"/>
      <w:bookmarkEnd w:id="195"/>
      <w:bookmarkEnd w:id="196"/>
      <w:bookmarkEnd w:id="197"/>
      <w:bookmarkEnd w:id="198"/>
      <w:bookmarkEnd w:id="199"/>
      <w:bookmarkEnd w:id="200"/>
    </w:p>
    <w:p>
      <w:pPr>
        <w:spacing w:line="360" w:lineRule="auto"/>
        <w:ind w:firstLine="480" w:firstLineChars="200"/>
        <w:rPr>
          <w:snapToGrid w:val="0"/>
          <w:szCs w:val="21"/>
        </w:rPr>
      </w:pPr>
      <w:r>
        <w:rPr>
          <w:rFonts w:hint="eastAsia"/>
          <w:snapToGrid w:val="0"/>
          <w:szCs w:val="21"/>
        </w:rPr>
        <w:t>13.1投标人的投标文件应密封包装。且密封袋上相应注明：</w:t>
      </w:r>
    </w:p>
    <w:p>
      <w:pPr>
        <w:spacing w:line="360" w:lineRule="auto"/>
        <w:ind w:firstLine="480" w:firstLineChars="200"/>
        <w:rPr>
          <w:snapToGrid w:val="0"/>
          <w:szCs w:val="21"/>
        </w:rPr>
      </w:pPr>
      <w:r>
        <w:rPr>
          <w:rFonts w:hint="eastAsia"/>
          <w:snapToGrid w:val="0"/>
          <w:szCs w:val="21"/>
        </w:rPr>
        <w:t>资格审查文件/投标文件/电子文件</w:t>
      </w:r>
    </w:p>
    <w:p>
      <w:pPr>
        <w:ind w:firstLine="480" w:firstLineChars="200"/>
        <w:rPr>
          <w:snapToGrid w:val="0"/>
          <w:szCs w:val="21"/>
        </w:rPr>
      </w:pPr>
      <w:r>
        <w:rPr>
          <w:rFonts w:hint="eastAsia"/>
          <w:snapToGrid w:val="0"/>
          <w:szCs w:val="21"/>
        </w:rPr>
        <w:t>项目名称：</w:t>
      </w:r>
      <w:r>
        <w:rPr>
          <w:rFonts w:hint="eastAsia"/>
          <w:u w:val="single"/>
        </w:rPr>
        <w:t xml:space="preserve">                     </w:t>
      </w:r>
      <w:r>
        <w:rPr>
          <w:rFonts w:hint="eastAsia"/>
          <w:snapToGrid w:val="0"/>
          <w:szCs w:val="21"/>
        </w:rPr>
        <w:t xml:space="preserve">                                       </w:t>
      </w:r>
    </w:p>
    <w:p>
      <w:pPr>
        <w:pStyle w:val="43"/>
        <w:snapToGrid w:val="0"/>
        <w:spacing w:line="360" w:lineRule="auto"/>
        <w:ind w:firstLine="480" w:firstLineChars="200"/>
        <w:rPr>
          <w:rFonts w:hAnsi="宋体"/>
          <w:snapToGrid w:val="0"/>
        </w:rPr>
      </w:pPr>
      <w:r>
        <w:rPr>
          <w:rFonts w:hint="eastAsia" w:hAnsi="宋体"/>
          <w:snapToGrid w:val="0"/>
        </w:rPr>
        <w:t xml:space="preserve">投标人名称（盖章）：                        </w:t>
      </w:r>
    </w:p>
    <w:p>
      <w:pPr>
        <w:pStyle w:val="43"/>
        <w:snapToGrid w:val="0"/>
        <w:spacing w:line="360" w:lineRule="auto"/>
        <w:ind w:firstLine="480" w:firstLineChars="200"/>
        <w:rPr>
          <w:rFonts w:hAnsi="宋体"/>
          <w:snapToGrid w:val="0"/>
        </w:rPr>
      </w:pPr>
      <w:r>
        <w:rPr>
          <w:rFonts w:hint="eastAsia" w:hAnsi="宋体"/>
          <w:snapToGrid w:val="0"/>
        </w:rPr>
        <w:t>在</w:t>
      </w:r>
      <w:r>
        <w:rPr>
          <w:rFonts w:hAnsi="宋体"/>
          <w:snapToGrid w:val="0"/>
          <w:u w:val="single"/>
        </w:rPr>
        <w:t xml:space="preserve">      </w:t>
      </w:r>
      <w:r>
        <w:rPr>
          <w:rFonts w:hint="eastAsia" w:hAnsi="宋体"/>
          <w:snapToGrid w:val="0"/>
        </w:rPr>
        <w:t>年</w:t>
      </w:r>
      <w:r>
        <w:rPr>
          <w:rFonts w:hint="eastAsia" w:hAnsi="宋体"/>
          <w:snapToGrid w:val="0"/>
          <w:u w:val="single"/>
        </w:rPr>
        <w:t xml:space="preserve">      </w:t>
      </w:r>
      <w:r>
        <w:rPr>
          <w:rFonts w:hint="eastAsia" w:hAnsi="宋体"/>
          <w:snapToGrid w:val="0"/>
        </w:rPr>
        <w:t>月</w:t>
      </w:r>
      <w:r>
        <w:rPr>
          <w:rFonts w:hint="eastAsia" w:hAnsi="宋体"/>
          <w:snapToGrid w:val="0"/>
          <w:u w:val="single"/>
        </w:rPr>
        <w:t xml:space="preserve">     </w:t>
      </w:r>
      <w:r>
        <w:rPr>
          <w:rFonts w:hint="eastAsia" w:hAnsi="宋体"/>
          <w:snapToGrid w:val="0"/>
        </w:rPr>
        <w:t>日</w:t>
      </w:r>
      <w:r>
        <w:rPr>
          <w:rFonts w:hint="eastAsia" w:hAnsi="宋体"/>
          <w:snapToGrid w:val="0"/>
          <w:u w:val="single"/>
        </w:rPr>
        <w:t xml:space="preserve">     </w:t>
      </w:r>
      <w:r>
        <w:rPr>
          <w:rFonts w:hint="eastAsia" w:hAnsi="宋体"/>
          <w:snapToGrid w:val="0"/>
        </w:rPr>
        <w:t>时之前不得开启。</w:t>
      </w:r>
    </w:p>
    <w:p>
      <w:pPr>
        <w:pStyle w:val="43"/>
        <w:snapToGrid w:val="0"/>
        <w:spacing w:line="360" w:lineRule="auto"/>
        <w:ind w:firstLine="480" w:firstLineChars="200"/>
        <w:rPr>
          <w:rFonts w:hAnsi="宋体"/>
          <w:snapToGrid w:val="0"/>
        </w:rPr>
      </w:pPr>
      <w:r>
        <w:rPr>
          <w:rFonts w:hint="eastAsia" w:hAnsi="宋体"/>
          <w:snapToGrid w:val="0"/>
        </w:rPr>
        <w:t>13.2 如果外层包封没有按上述规定密封并加写标记，招标人将不承担投标文件错放或提前开封的责任，由此造成的提前开封的投标文件，招标人予以拒绝，并退还给投标人。</w:t>
      </w:r>
    </w:p>
    <w:p>
      <w:pPr>
        <w:pStyle w:val="43"/>
        <w:snapToGrid w:val="0"/>
        <w:spacing w:line="360" w:lineRule="auto"/>
        <w:ind w:firstLine="480" w:firstLineChars="200"/>
        <w:rPr>
          <w:rFonts w:hAnsi="宋体"/>
          <w:snapToGrid w:val="0"/>
        </w:rPr>
      </w:pPr>
      <w:r>
        <w:rPr>
          <w:rFonts w:hint="eastAsia" w:hAnsi="宋体"/>
          <w:snapToGrid w:val="0"/>
        </w:rPr>
        <w:t>13.3投标人的所有投标文件均将在开标会上当众打开。接标后，招标机构对投标人的投标文件予以妥善保管。不按上述密封标记规定投递的投标文件，招标人不承担将其错放或提前开封的责任。</w:t>
      </w:r>
    </w:p>
    <w:p>
      <w:pPr>
        <w:pStyle w:val="43"/>
        <w:snapToGrid w:val="0"/>
        <w:spacing w:line="360" w:lineRule="auto"/>
        <w:ind w:firstLine="480" w:firstLineChars="200"/>
        <w:rPr>
          <w:rFonts w:hAnsi="宋体"/>
          <w:snapToGrid w:val="0"/>
        </w:rPr>
      </w:pPr>
      <w:r>
        <w:rPr>
          <w:rFonts w:hint="eastAsia" w:hAnsi="宋体"/>
          <w:snapToGrid w:val="0"/>
        </w:rPr>
        <w:t>13.4投标文件应根据本条款的要求，超过接收时间的投标文件将不予接收。投标人在递交投标文件时应遵照</w:t>
      </w:r>
      <w:r>
        <w:rPr>
          <w:rFonts w:hAnsi="宋体"/>
          <w:snapToGrid w:val="0"/>
        </w:rPr>
        <w:t>工</w:t>
      </w:r>
      <w:r>
        <w:rPr>
          <w:rFonts w:hint="eastAsia" w:hAnsi="宋体"/>
          <w:snapToGrid w:val="0"/>
        </w:rPr>
        <w:t>作人员的安排有秩序地进行。</w:t>
      </w:r>
    </w:p>
    <w:p>
      <w:pPr>
        <w:rPr>
          <w:b/>
          <w:sz w:val="28"/>
          <w:szCs w:val="28"/>
        </w:rPr>
      </w:pPr>
      <w:bookmarkStart w:id="201" w:name="_Toc380659223"/>
      <w:bookmarkStart w:id="202" w:name="_Toc358982854"/>
      <w:bookmarkStart w:id="203" w:name="_Toc358982648"/>
      <w:bookmarkStart w:id="204" w:name="_Toc358982947"/>
      <w:bookmarkStart w:id="205" w:name="_Toc380660187"/>
      <w:bookmarkStart w:id="206" w:name="_Toc358982569"/>
      <w:bookmarkStart w:id="207" w:name="_Toc372481529"/>
      <w:bookmarkStart w:id="208" w:name="_Toc419285131"/>
      <w:bookmarkStart w:id="209" w:name="_Toc419285579"/>
      <w:bookmarkStart w:id="210" w:name="_Toc381345737"/>
      <w:r>
        <w:rPr>
          <w:rFonts w:hint="eastAsia"/>
          <w:b/>
          <w:sz w:val="28"/>
          <w:szCs w:val="28"/>
        </w:rPr>
        <w:t>14.投标截止期</w:t>
      </w:r>
      <w:bookmarkEnd w:id="201"/>
      <w:bookmarkEnd w:id="202"/>
      <w:bookmarkEnd w:id="203"/>
      <w:bookmarkEnd w:id="204"/>
      <w:bookmarkEnd w:id="205"/>
      <w:bookmarkEnd w:id="206"/>
      <w:bookmarkEnd w:id="207"/>
      <w:bookmarkEnd w:id="208"/>
      <w:bookmarkEnd w:id="209"/>
      <w:bookmarkEnd w:id="210"/>
    </w:p>
    <w:p>
      <w:pPr>
        <w:pStyle w:val="43"/>
        <w:snapToGrid w:val="0"/>
        <w:spacing w:line="360" w:lineRule="auto"/>
        <w:ind w:firstLine="480" w:firstLineChars="200"/>
        <w:rPr>
          <w:rFonts w:hAnsi="宋体"/>
          <w:snapToGrid w:val="0"/>
        </w:rPr>
      </w:pPr>
      <w:r>
        <w:rPr>
          <w:rFonts w:hint="eastAsia" w:hAnsi="宋体"/>
          <w:snapToGrid w:val="0"/>
        </w:rPr>
        <w:t>14.1 投标人应按投标须知前附表所述的地点、日期和时间将投标文件交给招标人。投标文件需由法定代表人或法定代表人授权代理人递交投标文件。</w:t>
      </w:r>
    </w:p>
    <w:p>
      <w:pPr>
        <w:pStyle w:val="43"/>
        <w:snapToGrid w:val="0"/>
        <w:spacing w:line="360" w:lineRule="auto"/>
        <w:ind w:firstLine="480" w:firstLineChars="200"/>
        <w:rPr>
          <w:rFonts w:hAnsi="宋体"/>
          <w:snapToGrid w:val="0"/>
        </w:rPr>
      </w:pPr>
      <w:r>
        <w:rPr>
          <w:rFonts w:hint="eastAsia" w:hAnsi="宋体"/>
          <w:snapToGrid w:val="0"/>
        </w:rPr>
        <w:t>14.2 招标人可以通过投标人须知9.款规定的补充通知的方式，酌情延长递交投标文件的截止日期。在上述情况下，招标人与投标人以前在投标截止期方面的全部权力和义务，将适用于延长后新的投标截止期。</w:t>
      </w:r>
    </w:p>
    <w:p>
      <w:pPr>
        <w:rPr>
          <w:b/>
          <w:sz w:val="28"/>
          <w:szCs w:val="28"/>
        </w:rPr>
      </w:pPr>
      <w:bookmarkStart w:id="211" w:name="_Toc419285132"/>
      <w:bookmarkStart w:id="212" w:name="_Toc372481530"/>
      <w:bookmarkStart w:id="213" w:name="_Toc358982855"/>
      <w:bookmarkStart w:id="214" w:name="_Toc380659224"/>
      <w:bookmarkStart w:id="215" w:name="_Toc381345738"/>
      <w:bookmarkStart w:id="216" w:name="_Toc358982649"/>
      <w:bookmarkStart w:id="217" w:name="_Toc358982948"/>
      <w:bookmarkStart w:id="218" w:name="_Toc380660188"/>
      <w:bookmarkStart w:id="219" w:name="_Toc358982570"/>
      <w:bookmarkStart w:id="220" w:name="_Toc419285580"/>
      <w:r>
        <w:rPr>
          <w:rFonts w:hint="eastAsia"/>
          <w:b/>
          <w:sz w:val="28"/>
          <w:szCs w:val="28"/>
        </w:rPr>
        <w:t>15.迟到的投标文件</w:t>
      </w:r>
      <w:bookmarkEnd w:id="211"/>
      <w:bookmarkEnd w:id="212"/>
      <w:bookmarkEnd w:id="213"/>
      <w:bookmarkEnd w:id="214"/>
      <w:bookmarkEnd w:id="215"/>
      <w:bookmarkEnd w:id="216"/>
      <w:bookmarkEnd w:id="217"/>
      <w:bookmarkEnd w:id="218"/>
      <w:bookmarkEnd w:id="219"/>
      <w:bookmarkEnd w:id="220"/>
    </w:p>
    <w:p>
      <w:pPr>
        <w:pStyle w:val="43"/>
        <w:snapToGrid w:val="0"/>
        <w:spacing w:line="360" w:lineRule="auto"/>
        <w:ind w:firstLine="480" w:firstLineChars="200"/>
        <w:rPr>
          <w:rFonts w:hAnsi="宋体"/>
          <w:snapToGrid w:val="0"/>
        </w:rPr>
      </w:pPr>
      <w:r>
        <w:rPr>
          <w:rFonts w:hint="eastAsia" w:hAnsi="宋体"/>
          <w:snapToGrid w:val="0"/>
        </w:rPr>
        <w:t>招标人在招标文件规定的投标截止期以后不在接受任何形式的投标文件。</w:t>
      </w:r>
    </w:p>
    <w:p>
      <w:pPr>
        <w:rPr>
          <w:b/>
          <w:sz w:val="28"/>
          <w:szCs w:val="28"/>
        </w:rPr>
      </w:pPr>
      <w:bookmarkStart w:id="221" w:name="_Toc419285133"/>
      <w:bookmarkStart w:id="222" w:name="_Toc380659225"/>
      <w:bookmarkStart w:id="223" w:name="_Toc358982650"/>
      <w:bookmarkStart w:id="224" w:name="_Toc358982571"/>
      <w:bookmarkStart w:id="225" w:name="_Toc372481531"/>
      <w:bookmarkStart w:id="226" w:name="_Toc381345739"/>
      <w:bookmarkStart w:id="227" w:name="_Toc358982949"/>
      <w:bookmarkStart w:id="228" w:name="_Toc380660189"/>
      <w:bookmarkStart w:id="229" w:name="_Toc419285581"/>
      <w:bookmarkStart w:id="230" w:name="_Toc358982856"/>
      <w:r>
        <w:rPr>
          <w:rFonts w:hint="eastAsia"/>
          <w:b/>
          <w:sz w:val="28"/>
          <w:szCs w:val="28"/>
        </w:rPr>
        <w:t>16.投标文件的修改与撤回</w:t>
      </w:r>
      <w:bookmarkEnd w:id="221"/>
      <w:bookmarkEnd w:id="222"/>
      <w:bookmarkEnd w:id="223"/>
      <w:bookmarkEnd w:id="224"/>
      <w:bookmarkEnd w:id="225"/>
      <w:bookmarkEnd w:id="226"/>
      <w:bookmarkEnd w:id="227"/>
      <w:bookmarkEnd w:id="228"/>
      <w:bookmarkEnd w:id="229"/>
      <w:bookmarkEnd w:id="230"/>
    </w:p>
    <w:p>
      <w:pPr>
        <w:pStyle w:val="43"/>
        <w:snapToGrid w:val="0"/>
        <w:spacing w:line="360" w:lineRule="auto"/>
        <w:ind w:firstLine="480" w:firstLineChars="200"/>
        <w:rPr>
          <w:rFonts w:hAnsi="宋体"/>
          <w:snapToGrid w:val="0"/>
        </w:rPr>
      </w:pPr>
      <w:r>
        <w:rPr>
          <w:rFonts w:hint="eastAsia" w:hAnsi="宋体"/>
          <w:snapToGrid w:val="0"/>
        </w:rPr>
        <w:t>16.1 投标人可以在递交投标文件后，修改或撤回其投标文件，但这种修改与撤回的通知，须在规定的投标截止期前，以书面形式交给招标人。</w:t>
      </w:r>
    </w:p>
    <w:p>
      <w:pPr>
        <w:pStyle w:val="43"/>
        <w:snapToGrid w:val="0"/>
        <w:spacing w:line="360" w:lineRule="auto"/>
        <w:ind w:firstLine="480" w:firstLineChars="200"/>
        <w:rPr>
          <w:rFonts w:hAnsi="宋体"/>
          <w:snapToGrid w:val="0"/>
        </w:rPr>
      </w:pPr>
      <w:r>
        <w:rPr>
          <w:rFonts w:hint="eastAsia" w:hAnsi="宋体"/>
          <w:snapToGrid w:val="0"/>
        </w:rPr>
        <w:t>16.2 投标人的修改书应按本须知13.款投标文件递交规定的要求编制、密封、标志（在内层包封标明“修改”）和发送。</w:t>
      </w:r>
    </w:p>
    <w:p>
      <w:pPr>
        <w:pStyle w:val="43"/>
        <w:snapToGrid w:val="0"/>
        <w:spacing w:line="360" w:lineRule="auto"/>
        <w:ind w:firstLine="480" w:firstLineChars="200"/>
        <w:rPr>
          <w:rFonts w:hAnsi="宋体"/>
          <w:snapToGrid w:val="0"/>
        </w:rPr>
      </w:pPr>
      <w:r>
        <w:rPr>
          <w:rFonts w:hint="eastAsia" w:hAnsi="宋体"/>
          <w:snapToGrid w:val="0"/>
        </w:rPr>
        <w:t>16.3 在投标截止期后，不能更改投标文件。</w:t>
      </w:r>
    </w:p>
    <w:p>
      <w:pPr>
        <w:pStyle w:val="43"/>
        <w:snapToGrid w:val="0"/>
        <w:spacing w:line="360" w:lineRule="auto"/>
        <w:ind w:firstLine="480" w:firstLineChars="200"/>
        <w:rPr>
          <w:rFonts w:hAnsi="宋体"/>
          <w:snapToGrid w:val="0"/>
        </w:rPr>
      </w:pPr>
      <w:r>
        <w:rPr>
          <w:rFonts w:hint="eastAsia" w:hAnsi="宋体"/>
          <w:snapToGrid w:val="0"/>
        </w:rPr>
        <w:t>16.4在投标截止期与投标人在投标文件格式中规定的有效期终止日之间的这段时期内，投标人不能撤回投标文件，否则</w:t>
      </w:r>
      <w:r>
        <w:rPr>
          <w:rFonts w:hAnsi="宋体"/>
          <w:snapToGrid w:val="0"/>
        </w:rPr>
        <w:t>招标人将可能拒绝该投标人参加招标人其他</w:t>
      </w:r>
      <w:r>
        <w:rPr>
          <w:rFonts w:hint="eastAsia" w:hAnsi="宋体"/>
          <w:snapToGrid w:val="0"/>
        </w:rPr>
        <w:t>项目</w:t>
      </w:r>
      <w:r>
        <w:rPr>
          <w:rFonts w:hAnsi="宋体"/>
          <w:snapToGrid w:val="0"/>
        </w:rPr>
        <w:t>的投标，</w:t>
      </w:r>
      <w:r>
        <w:rPr>
          <w:rFonts w:hint="eastAsia" w:hAnsi="宋体"/>
          <w:snapToGrid w:val="0"/>
        </w:rPr>
        <w:t>并</w:t>
      </w:r>
      <w:r>
        <w:rPr>
          <w:rFonts w:hAnsi="宋体"/>
          <w:snapToGrid w:val="0"/>
        </w:rPr>
        <w:t>将对该投标人作不良行为记录。</w:t>
      </w:r>
    </w:p>
    <w:p>
      <w:pPr>
        <w:snapToGrid w:val="0"/>
        <w:spacing w:line="360" w:lineRule="auto"/>
        <w:ind w:firstLine="482" w:firstLineChars="200"/>
        <w:rPr>
          <w:b/>
          <w:snapToGrid w:val="0"/>
          <w:szCs w:val="21"/>
        </w:rPr>
      </w:pPr>
      <w:bookmarkStart w:id="231" w:name="_Toc257713375"/>
      <w:bookmarkStart w:id="232" w:name="_Toc253046959"/>
    </w:p>
    <w:p>
      <w:pPr>
        <w:pStyle w:val="6"/>
        <w:keepNext w:val="0"/>
        <w:keepLines w:val="0"/>
        <w:widowControl w:val="0"/>
        <w:tabs>
          <w:tab w:val="left" w:pos="720"/>
          <w:tab w:val="left" w:pos="4032"/>
        </w:tabs>
        <w:adjustRightInd w:val="0"/>
        <w:snapToGrid w:val="0"/>
        <w:spacing w:before="0" w:after="0" w:line="360" w:lineRule="auto"/>
        <w:jc w:val="center"/>
      </w:pPr>
      <w:bookmarkStart w:id="233" w:name="_Toc358982652"/>
      <w:bookmarkStart w:id="234" w:name="_Toc71560603"/>
      <w:bookmarkStart w:id="235" w:name="_Toc358982573"/>
      <w:bookmarkStart w:id="236" w:name="_Toc358982858"/>
      <w:bookmarkStart w:id="237" w:name="_Toc419285582"/>
      <w:bookmarkStart w:id="238" w:name="_Toc381345741"/>
      <w:bookmarkStart w:id="239" w:name="_Toc19986"/>
      <w:bookmarkStart w:id="240" w:name="_Toc358982951"/>
      <w:bookmarkStart w:id="241" w:name="_Toc419285134"/>
      <w:r>
        <w:rPr>
          <w:rFonts w:hint="eastAsia"/>
          <w:lang w:val="en-US"/>
        </w:rPr>
        <w:t>五、开标</w:t>
      </w:r>
      <w:bookmarkEnd w:id="231"/>
      <w:bookmarkEnd w:id="232"/>
      <w:bookmarkEnd w:id="233"/>
      <w:bookmarkEnd w:id="234"/>
      <w:bookmarkEnd w:id="235"/>
      <w:bookmarkEnd w:id="236"/>
      <w:bookmarkEnd w:id="237"/>
      <w:bookmarkEnd w:id="238"/>
      <w:bookmarkEnd w:id="239"/>
      <w:bookmarkEnd w:id="240"/>
      <w:bookmarkEnd w:id="241"/>
    </w:p>
    <w:p>
      <w:pPr>
        <w:rPr>
          <w:b/>
          <w:sz w:val="28"/>
          <w:szCs w:val="28"/>
        </w:rPr>
      </w:pPr>
      <w:bookmarkStart w:id="242" w:name="_Toc358982859"/>
      <w:bookmarkStart w:id="243" w:name="_Toc372481532"/>
      <w:bookmarkStart w:id="244" w:name="_Toc419285135"/>
      <w:bookmarkStart w:id="245" w:name="_Toc381345742"/>
      <w:bookmarkStart w:id="246" w:name="_Toc380659226"/>
      <w:bookmarkStart w:id="247" w:name="_Toc358982952"/>
      <w:bookmarkStart w:id="248" w:name="_Toc380660192"/>
      <w:bookmarkStart w:id="249" w:name="_Toc358982574"/>
      <w:bookmarkStart w:id="250" w:name="_Toc358982653"/>
      <w:bookmarkStart w:id="251" w:name="_Toc419285583"/>
      <w:r>
        <w:rPr>
          <w:rFonts w:hint="eastAsia"/>
          <w:b/>
          <w:sz w:val="28"/>
          <w:szCs w:val="28"/>
        </w:rPr>
        <w:t>17.开标</w:t>
      </w:r>
      <w:bookmarkEnd w:id="242"/>
      <w:bookmarkEnd w:id="243"/>
      <w:bookmarkEnd w:id="244"/>
      <w:bookmarkEnd w:id="245"/>
      <w:bookmarkEnd w:id="246"/>
      <w:bookmarkEnd w:id="247"/>
      <w:bookmarkEnd w:id="248"/>
      <w:bookmarkEnd w:id="249"/>
      <w:bookmarkEnd w:id="250"/>
      <w:bookmarkEnd w:id="251"/>
    </w:p>
    <w:p>
      <w:pPr>
        <w:pStyle w:val="43"/>
        <w:snapToGrid w:val="0"/>
        <w:spacing w:line="360" w:lineRule="auto"/>
        <w:ind w:firstLine="480" w:firstLineChars="200"/>
        <w:rPr>
          <w:rFonts w:hAnsi="宋体"/>
          <w:snapToGrid w:val="0"/>
        </w:rPr>
      </w:pPr>
      <w:r>
        <w:rPr>
          <w:rFonts w:hint="eastAsia" w:hAnsi="宋体"/>
          <w:snapToGrid w:val="0"/>
        </w:rPr>
        <w:t>17.1开标会由招标代理人主持。</w:t>
      </w:r>
    </w:p>
    <w:p>
      <w:pPr>
        <w:pStyle w:val="43"/>
        <w:snapToGrid w:val="0"/>
        <w:spacing w:line="360" w:lineRule="auto"/>
        <w:ind w:firstLine="480" w:firstLineChars="200"/>
        <w:rPr>
          <w:rFonts w:hAnsi="宋体"/>
          <w:snapToGrid w:val="0"/>
        </w:rPr>
      </w:pPr>
      <w:r>
        <w:rPr>
          <w:rFonts w:hint="eastAsia" w:hAnsi="宋体"/>
          <w:snapToGrid w:val="0"/>
        </w:rPr>
        <w:t>（1）由招标代理人查验各投标人到会代表身份是否符合本投标须知17.2规定；</w:t>
      </w:r>
    </w:p>
    <w:p>
      <w:pPr>
        <w:pStyle w:val="43"/>
        <w:snapToGrid w:val="0"/>
        <w:spacing w:line="360" w:lineRule="auto"/>
        <w:ind w:firstLine="480" w:firstLineChars="200"/>
        <w:rPr>
          <w:rFonts w:hAnsi="宋体"/>
          <w:snapToGrid w:val="0"/>
        </w:rPr>
      </w:pPr>
      <w:r>
        <w:rPr>
          <w:rFonts w:hint="eastAsia" w:hAnsi="宋体"/>
          <w:snapToGrid w:val="0"/>
        </w:rPr>
        <w:t>（2）由投标人代表或招标人委托的公证机构查验投标文件的密封和标记情况；确认无误后拆封唱标。</w:t>
      </w:r>
    </w:p>
    <w:p>
      <w:pPr>
        <w:pStyle w:val="43"/>
        <w:snapToGrid w:val="0"/>
        <w:spacing w:line="360" w:lineRule="auto"/>
        <w:ind w:firstLine="480" w:firstLineChars="200"/>
        <w:rPr>
          <w:rFonts w:hAnsi="宋体"/>
          <w:snapToGrid w:val="0"/>
        </w:rPr>
      </w:pPr>
      <w:r>
        <w:rPr>
          <w:rFonts w:hint="eastAsia" w:hAnsi="宋体"/>
          <w:snapToGrid w:val="0"/>
        </w:rPr>
        <w:t xml:space="preserve">17.2投标人必须派代表出席开标会，其中之一必须是投标人法定代表人或其授权代表。投标人不出席开标会，将被视为默认所有开标程序和结果。但无论投标人代表是否出席开标会，均不影响整个开标过程的公开性和合法性。    </w:t>
      </w:r>
    </w:p>
    <w:p>
      <w:pPr>
        <w:pStyle w:val="43"/>
        <w:snapToGrid w:val="0"/>
        <w:spacing w:line="360" w:lineRule="auto"/>
        <w:ind w:firstLine="480" w:firstLineChars="200"/>
        <w:rPr>
          <w:rFonts w:hAnsi="宋体"/>
          <w:snapToGrid w:val="0"/>
        </w:rPr>
      </w:pPr>
      <w:r>
        <w:rPr>
          <w:rFonts w:hint="eastAsia" w:hAnsi="宋体"/>
          <w:snapToGrid w:val="0"/>
        </w:rPr>
        <w:t>参加开标会的投标人的法定代表人或其授权代表应随带本人身份证，授权代表还应随带法定代表人签署的授权委托书并加盖单位公章。</w:t>
      </w:r>
    </w:p>
    <w:p>
      <w:pPr>
        <w:pStyle w:val="43"/>
        <w:snapToGrid w:val="0"/>
        <w:spacing w:line="360" w:lineRule="auto"/>
        <w:ind w:firstLine="480" w:firstLineChars="200"/>
        <w:rPr>
          <w:rFonts w:hAnsi="宋体"/>
          <w:snapToGrid w:val="0"/>
        </w:rPr>
      </w:pPr>
      <w:r>
        <w:rPr>
          <w:rFonts w:hint="eastAsia" w:hAnsi="宋体"/>
          <w:snapToGrid w:val="0"/>
        </w:rPr>
        <w:t>17.3招标人代表对本招标项目采用一次开标。开标在招标文件规定的时间和地点组织。</w:t>
      </w:r>
    </w:p>
    <w:p>
      <w:pPr>
        <w:pStyle w:val="43"/>
        <w:snapToGrid w:val="0"/>
        <w:spacing w:line="360" w:lineRule="auto"/>
        <w:ind w:firstLine="480" w:firstLineChars="200"/>
        <w:rPr>
          <w:rFonts w:hAnsi="宋体"/>
          <w:snapToGrid w:val="0"/>
        </w:rPr>
      </w:pPr>
      <w:r>
        <w:rPr>
          <w:rFonts w:hint="eastAsia" w:hAnsi="宋体"/>
          <w:snapToGrid w:val="0"/>
        </w:rPr>
        <w:t>17.4招标代理人将做开标记录，以备查档。</w:t>
      </w:r>
    </w:p>
    <w:p>
      <w:pPr>
        <w:pStyle w:val="43"/>
        <w:snapToGrid w:val="0"/>
        <w:spacing w:line="360" w:lineRule="auto"/>
        <w:ind w:firstLine="480" w:firstLineChars="200"/>
        <w:rPr>
          <w:rFonts w:hAnsi="宋体"/>
          <w:snapToGrid w:val="0"/>
        </w:rPr>
      </w:pPr>
      <w:r>
        <w:rPr>
          <w:rFonts w:hint="eastAsia" w:hAnsi="宋体"/>
          <w:snapToGrid w:val="0"/>
        </w:rPr>
        <w:t>17.5开标时投标文件的有效性。</w:t>
      </w:r>
    </w:p>
    <w:p>
      <w:pPr>
        <w:pStyle w:val="43"/>
        <w:snapToGrid w:val="0"/>
        <w:spacing w:line="360" w:lineRule="auto"/>
        <w:ind w:firstLine="480" w:firstLineChars="200"/>
        <w:rPr>
          <w:rFonts w:hAnsi="宋体"/>
          <w:snapToGrid w:val="0"/>
        </w:rPr>
      </w:pPr>
      <w:r>
        <w:rPr>
          <w:rFonts w:hint="eastAsia" w:hAnsi="宋体"/>
          <w:snapToGrid w:val="0"/>
        </w:rPr>
        <w:t>（1）开标时，招标人代表将对投标文件进行审查。当投标文件出现招标文件投标须知否决性条款中“投标文件不予受理的情形”的，其投标文件不予受理。</w:t>
      </w:r>
    </w:p>
    <w:p>
      <w:pPr>
        <w:pStyle w:val="43"/>
        <w:snapToGrid w:val="0"/>
        <w:spacing w:line="360" w:lineRule="auto"/>
        <w:ind w:firstLine="480" w:firstLineChars="200"/>
        <w:rPr>
          <w:rFonts w:hAnsi="宋体"/>
          <w:snapToGrid w:val="0"/>
        </w:rPr>
      </w:pPr>
      <w:r>
        <w:rPr>
          <w:rFonts w:hint="eastAsia" w:hAnsi="宋体"/>
          <w:snapToGrid w:val="0"/>
        </w:rPr>
        <w:t>（2）经招标人代表对投标文件进行开标审查后，未出现上述任何情况的，其投标文件将进行下一步的评审。</w:t>
      </w:r>
    </w:p>
    <w:p>
      <w:pPr>
        <w:pStyle w:val="43"/>
        <w:snapToGrid w:val="0"/>
        <w:spacing w:line="360" w:lineRule="auto"/>
        <w:ind w:firstLine="480" w:firstLineChars="200"/>
        <w:rPr>
          <w:rFonts w:hAnsi="宋体"/>
          <w:snapToGrid w:val="0"/>
        </w:rPr>
      </w:pPr>
      <w:r>
        <w:rPr>
          <w:rFonts w:hint="eastAsia" w:hAnsi="宋体"/>
          <w:snapToGrid w:val="0"/>
        </w:rPr>
        <w:t>（3）</w:t>
      </w:r>
      <w:r>
        <w:rPr>
          <w:rFonts w:hint="eastAsia" w:hAnsi="宋体"/>
        </w:rPr>
        <w:t>开标会结束，资格审查文件、投标文件、电子文件、开标资料以及其他评标资料一并送交评标委员会。</w:t>
      </w:r>
    </w:p>
    <w:p>
      <w:pPr>
        <w:adjustRightInd w:val="0"/>
        <w:snapToGrid w:val="0"/>
        <w:spacing w:line="360" w:lineRule="auto"/>
        <w:ind w:firstLine="480" w:firstLineChars="200"/>
        <w:rPr>
          <w:szCs w:val="21"/>
        </w:rPr>
      </w:pPr>
      <w:bookmarkStart w:id="252" w:name="定性评审法"/>
      <w:bookmarkEnd w:id="252"/>
    </w:p>
    <w:p>
      <w:pPr>
        <w:pStyle w:val="6"/>
        <w:keepNext w:val="0"/>
        <w:keepLines w:val="0"/>
        <w:widowControl w:val="0"/>
        <w:tabs>
          <w:tab w:val="left" w:pos="720"/>
          <w:tab w:val="left" w:pos="4032"/>
        </w:tabs>
        <w:adjustRightInd w:val="0"/>
        <w:snapToGrid w:val="0"/>
        <w:spacing w:before="0" w:after="0" w:line="360" w:lineRule="auto"/>
        <w:jc w:val="center"/>
        <w:rPr>
          <w:lang w:val="en-US"/>
        </w:rPr>
      </w:pPr>
      <w:r>
        <w:rPr>
          <w:rFonts w:hint="eastAsia"/>
          <w:lang w:val="en-US"/>
        </w:rPr>
        <w:t>六、评标</w:t>
      </w:r>
    </w:p>
    <w:p>
      <w:pPr>
        <w:adjustRightInd w:val="0"/>
        <w:snapToGrid w:val="0"/>
        <w:spacing w:line="360" w:lineRule="auto"/>
        <w:ind w:firstLine="480" w:firstLineChars="200"/>
        <w:rPr>
          <w:szCs w:val="21"/>
        </w:rPr>
      </w:pPr>
      <w:r>
        <w:rPr>
          <w:rFonts w:hint="eastAsia"/>
          <w:szCs w:val="21"/>
        </w:rPr>
        <w:t>评标委员会应当根据“投标须知前附表”规定的评标方法，对投标文件进行评审和比较，招标文件中没有规定的标准和方法不得作为评标的依据。</w:t>
      </w:r>
    </w:p>
    <w:p>
      <w:pPr>
        <w:rPr>
          <w:b/>
          <w:sz w:val="28"/>
          <w:szCs w:val="28"/>
        </w:rPr>
      </w:pPr>
      <w:r>
        <w:rPr>
          <w:rFonts w:hint="eastAsia"/>
          <w:b/>
          <w:sz w:val="28"/>
          <w:szCs w:val="28"/>
        </w:rPr>
        <w:t xml:space="preserve">18.评标委员会组建及职责 </w:t>
      </w:r>
    </w:p>
    <w:p>
      <w:pPr>
        <w:adjustRightInd w:val="0"/>
        <w:snapToGrid w:val="0"/>
        <w:spacing w:line="360" w:lineRule="auto"/>
        <w:ind w:firstLine="480" w:firstLineChars="200"/>
        <w:rPr>
          <w:szCs w:val="21"/>
        </w:rPr>
      </w:pPr>
      <w:r>
        <w:rPr>
          <w:rFonts w:hint="eastAsia"/>
          <w:szCs w:val="21"/>
        </w:rPr>
        <w:t>18.1评标委员会组建方式：由招标人依法组建，负责评标活动。</w:t>
      </w:r>
      <w:r>
        <w:rPr>
          <w:rFonts w:hint="eastAsia"/>
          <w:snapToGrid w:val="0"/>
          <w:szCs w:val="18"/>
        </w:rPr>
        <w:t>评标委员会的专家成员由招标人从评标专家库内按照专业随机抽取，评标委员会成员数量为5人或5人以上单数，招标人可以委派一名代表。</w:t>
      </w:r>
    </w:p>
    <w:p>
      <w:pPr>
        <w:spacing w:line="360" w:lineRule="auto"/>
        <w:ind w:firstLine="480" w:firstLineChars="200"/>
        <w:rPr>
          <w:szCs w:val="21"/>
        </w:rPr>
      </w:pPr>
      <w:r>
        <w:rPr>
          <w:rFonts w:hint="eastAsia"/>
          <w:szCs w:val="21"/>
        </w:rPr>
        <w:t>18.2评标委员会职责：评标委员会应根据招标文件规定的评标方法和标准，遵循公开、公正、公平、科学、择优的原则，对投标文件进行评审。评标委员会根据招标文件规定向招标人推荐合格投标人或中标候选人。</w:t>
      </w:r>
    </w:p>
    <w:p>
      <w:pPr>
        <w:rPr>
          <w:b/>
          <w:sz w:val="28"/>
          <w:szCs w:val="28"/>
        </w:rPr>
      </w:pPr>
      <w:r>
        <w:rPr>
          <w:rFonts w:hint="eastAsia"/>
          <w:b/>
          <w:sz w:val="28"/>
          <w:szCs w:val="28"/>
        </w:rPr>
        <w:t>19.投标文件的初步评审</w:t>
      </w:r>
    </w:p>
    <w:p>
      <w:pPr>
        <w:adjustRightInd w:val="0"/>
        <w:snapToGrid w:val="0"/>
        <w:spacing w:line="360" w:lineRule="auto"/>
        <w:ind w:firstLine="480" w:firstLineChars="200"/>
        <w:rPr>
          <w:szCs w:val="21"/>
        </w:rPr>
      </w:pPr>
      <w:r>
        <w:rPr>
          <w:rFonts w:hint="eastAsia"/>
          <w:szCs w:val="21"/>
        </w:rPr>
        <w:t>19.1由评标委员会进行投标文件的初步评审。</w:t>
      </w:r>
    </w:p>
    <w:p>
      <w:pPr>
        <w:adjustRightInd w:val="0"/>
        <w:snapToGrid w:val="0"/>
        <w:spacing w:line="360" w:lineRule="auto"/>
        <w:ind w:firstLine="480" w:firstLineChars="200"/>
        <w:rPr>
          <w:bCs/>
          <w:szCs w:val="21"/>
        </w:rPr>
      </w:pPr>
      <w:r>
        <w:rPr>
          <w:rFonts w:hint="eastAsia"/>
          <w:szCs w:val="21"/>
        </w:rPr>
        <w:t>19.2投标文件初步评审</w:t>
      </w:r>
      <w:r>
        <w:rPr>
          <w:rFonts w:hint="eastAsia"/>
          <w:bCs/>
          <w:szCs w:val="21"/>
        </w:rPr>
        <w:t>不合格的</w:t>
      </w:r>
      <w:r>
        <w:rPr>
          <w:rFonts w:hint="eastAsia"/>
          <w:szCs w:val="21"/>
        </w:rPr>
        <w:t>，应参照投标文件否决性条款作无效标处理。</w:t>
      </w:r>
    </w:p>
    <w:p>
      <w:pPr>
        <w:rPr>
          <w:b/>
          <w:sz w:val="28"/>
          <w:szCs w:val="28"/>
        </w:rPr>
      </w:pPr>
      <w:r>
        <w:rPr>
          <w:rFonts w:hint="eastAsia"/>
          <w:b/>
          <w:sz w:val="28"/>
          <w:szCs w:val="28"/>
        </w:rPr>
        <w:t>20.投标文件的详细评审</w:t>
      </w:r>
    </w:p>
    <w:p>
      <w:pPr>
        <w:adjustRightInd w:val="0"/>
        <w:snapToGrid w:val="0"/>
        <w:spacing w:line="360" w:lineRule="auto"/>
        <w:ind w:firstLine="480" w:firstLineChars="200"/>
        <w:rPr>
          <w:szCs w:val="21"/>
        </w:rPr>
      </w:pPr>
      <w:r>
        <w:rPr>
          <w:rFonts w:hint="eastAsia"/>
          <w:szCs w:val="21"/>
        </w:rPr>
        <w:t>评标委员会根据招标文件规定的评标方法和标准，对各投标人的投标文件分别进行详细评审。</w:t>
      </w:r>
    </w:p>
    <w:p>
      <w:pPr>
        <w:rPr>
          <w:b/>
          <w:sz w:val="28"/>
          <w:szCs w:val="28"/>
        </w:rPr>
      </w:pPr>
      <w:r>
        <w:rPr>
          <w:rFonts w:hint="eastAsia"/>
          <w:b/>
          <w:sz w:val="28"/>
          <w:szCs w:val="28"/>
        </w:rPr>
        <w:t>21.投标文件的重大偏差</w:t>
      </w:r>
    </w:p>
    <w:p>
      <w:pPr>
        <w:spacing w:line="360" w:lineRule="auto"/>
        <w:ind w:firstLine="420"/>
        <w:rPr>
          <w:strike/>
          <w:szCs w:val="21"/>
        </w:rPr>
      </w:pPr>
      <w:r>
        <w:rPr>
          <w:rFonts w:hint="eastAsia"/>
          <w:szCs w:val="21"/>
        </w:rPr>
        <w:t>投标文件存在的重大偏差情形的，评标委员会应根据相应的投标文件否决性条款作废标处理。</w:t>
      </w:r>
    </w:p>
    <w:p>
      <w:pPr>
        <w:rPr>
          <w:b/>
          <w:sz w:val="28"/>
          <w:szCs w:val="28"/>
        </w:rPr>
      </w:pPr>
      <w:r>
        <w:rPr>
          <w:rFonts w:hint="eastAsia"/>
          <w:b/>
          <w:sz w:val="28"/>
          <w:szCs w:val="28"/>
        </w:rPr>
        <w:t>22.投标文件的细微偏差</w:t>
      </w:r>
    </w:p>
    <w:p>
      <w:pPr>
        <w:spacing w:line="360" w:lineRule="auto"/>
        <w:ind w:firstLine="480" w:firstLineChars="200"/>
        <w:rPr>
          <w:szCs w:val="21"/>
        </w:rPr>
      </w:pPr>
      <w:r>
        <w:rPr>
          <w:rFonts w:hint="eastAsia"/>
          <w:szCs w:val="21"/>
        </w:rPr>
        <w:t>细微偏差是指投标文件在实质上响应招标文件要求，提供了不完整的技术信息和数据等情况，细微偏差不影响投标文件的有效性。在评审过程中，评标委员会可以要求投标人就投标文件中含义不明确的内容进行说明并提供相关材料，投标人拒不补正的，在详细评审时可以对细微偏离按照不利于该投标人的原则进行调整，且投标人不得因此提出任何异议。</w:t>
      </w:r>
    </w:p>
    <w:p>
      <w:pPr>
        <w:rPr>
          <w:b/>
          <w:sz w:val="28"/>
          <w:szCs w:val="28"/>
        </w:rPr>
      </w:pPr>
      <w:r>
        <w:rPr>
          <w:rFonts w:hint="eastAsia"/>
          <w:b/>
          <w:sz w:val="28"/>
          <w:szCs w:val="28"/>
        </w:rPr>
        <w:t>23.投标文件的澄清答辩</w:t>
      </w:r>
    </w:p>
    <w:p>
      <w:pPr>
        <w:adjustRightInd w:val="0"/>
        <w:snapToGrid w:val="0"/>
        <w:spacing w:line="360" w:lineRule="auto"/>
        <w:ind w:firstLine="480" w:firstLineChars="200"/>
        <w:rPr>
          <w:szCs w:val="21"/>
        </w:rPr>
      </w:pPr>
      <w:r>
        <w:rPr>
          <w:szCs w:val="21"/>
        </w:rPr>
        <w:t>23</w:t>
      </w:r>
      <w:r>
        <w:rPr>
          <w:rFonts w:hint="eastAsia"/>
          <w:szCs w:val="21"/>
        </w:rPr>
        <w:t>.1为有助于投标文件的审查、评价和比较，评标委员会可以要求投标人对投标文件含义不明确的内容作必要的澄清或说明，投标人应当进行澄清或说明，但不得超出投标文件的范围或改变投标报价和其他实质性内容。澄清答辩可采用评标区录音电话或现场两种方式进行。</w:t>
      </w:r>
    </w:p>
    <w:p>
      <w:pPr>
        <w:adjustRightInd w:val="0"/>
        <w:snapToGrid w:val="0"/>
        <w:spacing w:line="360" w:lineRule="auto"/>
        <w:ind w:firstLine="480" w:firstLineChars="200"/>
        <w:rPr>
          <w:szCs w:val="21"/>
        </w:rPr>
      </w:pPr>
      <w:r>
        <w:rPr>
          <w:szCs w:val="21"/>
        </w:rPr>
        <w:t>23</w:t>
      </w:r>
      <w:r>
        <w:rPr>
          <w:rFonts w:hint="eastAsia"/>
          <w:szCs w:val="21"/>
        </w:rPr>
        <w:t>.2采用评标区录音电话方式澄清答辩的答辩人，仅限该项目递交投标文件时确定的投标员，投标员的联系方式以截标信息为准。采用现场方式澄清答辩的答辩人应为该单位的授权委托人，授权委托人须本人携带有效的身份证明文件（包含身份证原件、法定代表人证明书、法人授权委托书等）。澄清答辩人员的身份由招标人核验。</w:t>
      </w:r>
    </w:p>
    <w:p>
      <w:pPr>
        <w:adjustRightInd w:val="0"/>
        <w:snapToGrid w:val="0"/>
        <w:spacing w:line="360" w:lineRule="auto"/>
        <w:ind w:firstLine="480" w:firstLineChars="200"/>
        <w:rPr>
          <w:szCs w:val="21"/>
        </w:rPr>
      </w:pPr>
      <w:r>
        <w:rPr>
          <w:szCs w:val="21"/>
        </w:rPr>
        <w:t>23.</w:t>
      </w:r>
      <w:r>
        <w:rPr>
          <w:rFonts w:hint="eastAsia"/>
          <w:szCs w:val="21"/>
        </w:rPr>
        <w:t>3评标委员会要求投标人进行答辩，但投标人在评标委员会规定的时间（不少于30分钟）内未派出代表及时作出答辩的，评标委员会将根据招标文件规定作出不利于投标人的判定，投标人不得因此提出任何异议。</w:t>
      </w:r>
    </w:p>
    <w:p>
      <w:pPr>
        <w:rPr>
          <w:b/>
          <w:sz w:val="28"/>
          <w:szCs w:val="28"/>
        </w:rPr>
      </w:pPr>
      <w:r>
        <w:rPr>
          <w:rFonts w:hint="eastAsia"/>
          <w:b/>
          <w:sz w:val="28"/>
          <w:szCs w:val="28"/>
        </w:rPr>
        <w:t>24.无效标和废标的处理</w:t>
      </w:r>
    </w:p>
    <w:p>
      <w:pPr>
        <w:adjustRightInd w:val="0"/>
        <w:snapToGrid w:val="0"/>
        <w:spacing w:line="360" w:lineRule="auto"/>
        <w:ind w:firstLine="480" w:firstLineChars="200"/>
        <w:rPr>
          <w:szCs w:val="21"/>
        </w:rPr>
      </w:pPr>
      <w:r>
        <w:rPr>
          <w:szCs w:val="21"/>
        </w:rPr>
        <w:t>24</w:t>
      </w:r>
      <w:r>
        <w:rPr>
          <w:rFonts w:hint="eastAsia"/>
          <w:szCs w:val="21"/>
        </w:rPr>
        <w:t>.1除法律、法规、规章、规范性文件规定以及本招标文件否决性条款单列的无效标或者废标情形外，评标委员会不得对投标文件作无效标或者废标处理。评标委员会对投标文件应坚持谨慎确定无效标和废标的原则。</w:t>
      </w:r>
    </w:p>
    <w:p>
      <w:pPr>
        <w:adjustRightInd w:val="0"/>
        <w:snapToGrid w:val="0"/>
        <w:spacing w:line="360" w:lineRule="auto"/>
        <w:ind w:firstLine="480" w:firstLineChars="200"/>
        <w:rPr>
          <w:szCs w:val="21"/>
        </w:rPr>
      </w:pPr>
      <w:r>
        <w:rPr>
          <w:szCs w:val="21"/>
        </w:rPr>
        <w:t>24.</w:t>
      </w:r>
      <w:r>
        <w:rPr>
          <w:rFonts w:hint="eastAsia"/>
          <w:szCs w:val="21"/>
        </w:rPr>
        <w:t>2评标委员会在作出任何一项无效标和废标决定前，都应当严格遵循以下程序：</w:t>
      </w:r>
    </w:p>
    <w:p>
      <w:pPr>
        <w:adjustRightInd w:val="0"/>
        <w:snapToGrid w:val="0"/>
        <w:spacing w:line="360" w:lineRule="auto"/>
        <w:ind w:firstLine="480" w:firstLineChars="200"/>
        <w:rPr>
          <w:szCs w:val="21"/>
        </w:rPr>
      </w:pPr>
      <w:r>
        <w:rPr>
          <w:szCs w:val="21"/>
        </w:rPr>
        <w:t>24.</w:t>
      </w:r>
      <w:r>
        <w:rPr>
          <w:rFonts w:hint="eastAsia"/>
          <w:szCs w:val="21"/>
        </w:rPr>
        <w:t>2.1向当事投标人作相应的澄清；</w:t>
      </w:r>
    </w:p>
    <w:p>
      <w:pPr>
        <w:adjustRightInd w:val="0"/>
        <w:snapToGrid w:val="0"/>
        <w:spacing w:line="360" w:lineRule="auto"/>
        <w:ind w:firstLine="480" w:firstLineChars="200"/>
        <w:rPr>
          <w:szCs w:val="21"/>
        </w:rPr>
      </w:pPr>
      <w:r>
        <w:rPr>
          <w:szCs w:val="21"/>
        </w:rPr>
        <w:t>24</w:t>
      </w:r>
      <w:r>
        <w:rPr>
          <w:rFonts w:hint="eastAsia"/>
          <w:szCs w:val="21"/>
        </w:rPr>
        <w:t>.2.2当事投标人应当在通知规定时间内，向评标委员会作出澄清和解释。未按时作出澄清和解释的，评标委员会可对相应投标文件按最不利情形认定;</w:t>
      </w:r>
    </w:p>
    <w:p>
      <w:pPr>
        <w:adjustRightInd w:val="0"/>
        <w:snapToGrid w:val="0"/>
        <w:spacing w:line="360" w:lineRule="auto"/>
        <w:ind w:firstLine="480" w:firstLineChars="200"/>
        <w:rPr>
          <w:szCs w:val="21"/>
        </w:rPr>
      </w:pPr>
      <w:r>
        <w:rPr>
          <w:szCs w:val="21"/>
        </w:rPr>
        <w:t>24.</w:t>
      </w:r>
      <w:r>
        <w:rPr>
          <w:rFonts w:hint="eastAsia"/>
          <w:szCs w:val="21"/>
        </w:rPr>
        <w:t>2.3在充分讨论的基础上集体表决；</w:t>
      </w:r>
    </w:p>
    <w:p>
      <w:pPr>
        <w:adjustRightInd w:val="0"/>
        <w:snapToGrid w:val="0"/>
        <w:spacing w:line="360" w:lineRule="auto"/>
        <w:ind w:firstLine="480" w:firstLineChars="200"/>
        <w:rPr>
          <w:szCs w:val="21"/>
        </w:rPr>
      </w:pPr>
      <w:r>
        <w:rPr>
          <w:szCs w:val="21"/>
        </w:rPr>
        <w:t>24.</w:t>
      </w:r>
      <w:r>
        <w:rPr>
          <w:rFonts w:hint="eastAsia"/>
          <w:szCs w:val="21"/>
        </w:rPr>
        <w:t>2.4若表决通过无效标或废标决定，应在评标报告中详细载明无效标或废标的理由、依据、答辩的情况和集体表决的情况（同意无效标或废标和不同意无效标或废标的评标委员会成员均应当注明）。</w:t>
      </w:r>
    </w:p>
    <w:p>
      <w:pPr>
        <w:adjustRightInd w:val="0"/>
        <w:snapToGrid w:val="0"/>
        <w:spacing w:line="360" w:lineRule="auto"/>
        <w:ind w:firstLine="480" w:firstLineChars="200"/>
        <w:rPr>
          <w:szCs w:val="21"/>
        </w:rPr>
      </w:pPr>
      <w:r>
        <w:rPr>
          <w:szCs w:val="21"/>
        </w:rPr>
        <w:t>24.</w:t>
      </w:r>
      <w:r>
        <w:rPr>
          <w:rFonts w:hint="eastAsia"/>
          <w:szCs w:val="21"/>
        </w:rPr>
        <w:t>2.5评标委员会在否决所有投标文件前，应当向招标人核实有关情况，听取招标人意见。</w:t>
      </w:r>
    </w:p>
    <w:p>
      <w:pPr>
        <w:rPr>
          <w:b/>
          <w:sz w:val="28"/>
          <w:szCs w:val="28"/>
        </w:rPr>
      </w:pPr>
      <w:r>
        <w:rPr>
          <w:rFonts w:hint="eastAsia"/>
          <w:b/>
          <w:sz w:val="28"/>
          <w:szCs w:val="28"/>
        </w:rPr>
        <w:t>25.合格投标人的推荐</w:t>
      </w:r>
    </w:p>
    <w:p>
      <w:pPr>
        <w:adjustRightInd w:val="0"/>
        <w:snapToGrid w:val="0"/>
        <w:spacing w:line="360" w:lineRule="auto"/>
        <w:ind w:firstLine="480" w:firstLineChars="200"/>
        <w:rPr>
          <w:szCs w:val="21"/>
        </w:rPr>
      </w:pPr>
      <w:r>
        <w:rPr>
          <w:rFonts w:hint="eastAsia"/>
          <w:szCs w:val="21"/>
        </w:rPr>
        <w:t>25.1</w:t>
      </w:r>
      <w:r>
        <w:rPr>
          <w:szCs w:val="21"/>
        </w:rPr>
        <w:t>评标委员会实行少数服从多数的原则，评标结果经评标委员会全体成员过半数通过有效。</w:t>
      </w:r>
    </w:p>
    <w:p>
      <w:pPr>
        <w:adjustRightInd w:val="0"/>
        <w:snapToGrid w:val="0"/>
        <w:spacing w:line="360" w:lineRule="auto"/>
        <w:ind w:firstLine="480" w:firstLineChars="200"/>
        <w:rPr>
          <w:szCs w:val="21"/>
        </w:rPr>
      </w:pPr>
      <w:r>
        <w:rPr>
          <w:rFonts w:hint="eastAsia"/>
          <w:szCs w:val="21"/>
        </w:rPr>
        <w:t>25.2评标委员会经过对投标文件进行评审和比较后，推荐合格投标人进行下一轮定标程序，并向招标人出具评标报告。</w:t>
      </w:r>
    </w:p>
    <w:p>
      <w:pPr>
        <w:adjustRightInd w:val="0"/>
        <w:snapToGrid w:val="0"/>
        <w:spacing w:line="360" w:lineRule="auto"/>
        <w:ind w:firstLine="480" w:firstLineChars="200"/>
        <w:rPr>
          <w:szCs w:val="21"/>
        </w:rPr>
      </w:pPr>
      <w:r>
        <w:rPr>
          <w:rFonts w:hint="eastAsia"/>
          <w:szCs w:val="21"/>
        </w:rPr>
        <w:t>25.3评标委员会作出无效标或者废标处理后，合格投标人数量不足3名的，招标人应当宣布本次招标失败，重新招标。</w:t>
      </w:r>
    </w:p>
    <w:p>
      <w:pPr>
        <w:adjustRightInd w:val="0"/>
        <w:snapToGrid w:val="0"/>
        <w:spacing w:line="360" w:lineRule="auto"/>
        <w:ind w:firstLine="480"/>
        <w:rPr>
          <w:szCs w:val="21"/>
        </w:rPr>
      </w:pPr>
      <w:r>
        <w:rPr>
          <w:rFonts w:hint="eastAsia"/>
          <w:szCs w:val="21"/>
        </w:rPr>
        <w:t>采用批量招标或者预选招标方式的，评标委员会作出无效标或者废标处理后，合格投标人数量不足拟定中标人数量或者预选企业数量加上2名的，招标人不得再采用批量招标或者预选招标方式。</w:t>
      </w:r>
    </w:p>
    <w:p>
      <w:pPr>
        <w:adjustRightInd w:val="0"/>
        <w:snapToGrid w:val="0"/>
        <w:spacing w:line="360" w:lineRule="auto"/>
        <w:ind w:firstLine="480"/>
        <w:rPr>
          <w:szCs w:val="21"/>
        </w:rPr>
      </w:pPr>
      <w:r>
        <w:rPr>
          <w:rFonts w:hint="eastAsia"/>
          <w:szCs w:val="21"/>
        </w:rPr>
        <w:t>重新招标的项目，评标委员会作出无效标或者废标处理后合格投标人数量仍不足3名的，评标委员会应当将对合格投标人的评审意见提交招标人，招标人可以按照原招标文件的定标程序和方法从合格投标人中确定中标人，或者将上述情况在相关网站公示3个工作日后直接发包。</w:t>
      </w:r>
    </w:p>
    <w:p>
      <w:pPr>
        <w:adjustRightInd w:val="0"/>
        <w:snapToGrid w:val="0"/>
        <w:spacing w:line="360" w:lineRule="auto"/>
        <w:ind w:firstLine="480"/>
        <w:rPr>
          <w:szCs w:val="21"/>
        </w:rPr>
      </w:pPr>
      <w:r>
        <w:rPr>
          <w:rFonts w:hint="eastAsia"/>
          <w:szCs w:val="21"/>
        </w:rPr>
        <w:t>25.4评标过程中，若评标委员会认为本次招标缺乏竞争性，可以不推荐投标人，由招标人重新组织招标。</w:t>
      </w:r>
    </w:p>
    <w:p>
      <w:pPr>
        <w:adjustRightInd w:val="0"/>
        <w:snapToGrid w:val="0"/>
        <w:spacing w:line="360" w:lineRule="auto"/>
        <w:ind w:firstLine="480"/>
        <w:rPr>
          <w:szCs w:val="21"/>
        </w:rPr>
      </w:pPr>
      <w:r>
        <w:rPr>
          <w:rFonts w:hint="eastAsia"/>
          <w:szCs w:val="21"/>
        </w:rPr>
        <w:t>25.5如招投标过程中出现严重异常情况，经主管部门批准，招标人可以不接受本次招标结果，应当重新招标。</w:t>
      </w:r>
    </w:p>
    <w:p>
      <w:pPr>
        <w:rPr>
          <w:b/>
          <w:sz w:val="28"/>
          <w:szCs w:val="28"/>
        </w:rPr>
      </w:pPr>
      <w:r>
        <w:rPr>
          <w:rFonts w:hint="eastAsia"/>
          <w:b/>
          <w:sz w:val="28"/>
          <w:szCs w:val="28"/>
        </w:rPr>
        <w:t>26.评标报告</w:t>
      </w:r>
    </w:p>
    <w:p>
      <w:pPr>
        <w:adjustRightInd w:val="0"/>
        <w:snapToGrid w:val="0"/>
        <w:spacing w:line="360" w:lineRule="auto"/>
        <w:ind w:firstLine="480" w:firstLineChars="200"/>
        <w:rPr>
          <w:szCs w:val="21"/>
        </w:rPr>
      </w:pPr>
      <w:r>
        <w:rPr>
          <w:rFonts w:hint="eastAsia"/>
          <w:szCs w:val="21"/>
        </w:rPr>
        <w:t>26.1评标委员会收集并汇总全体评委评审意见后，由评标委员会主任委员填写《评标报告》。</w:t>
      </w:r>
    </w:p>
    <w:p>
      <w:pPr>
        <w:adjustRightInd w:val="0"/>
        <w:snapToGrid w:val="0"/>
        <w:spacing w:line="360" w:lineRule="auto"/>
        <w:ind w:firstLine="480" w:firstLineChars="200"/>
        <w:rPr>
          <w:szCs w:val="21"/>
        </w:rPr>
      </w:pPr>
      <w:r>
        <w:rPr>
          <w:rFonts w:hint="eastAsia"/>
          <w:szCs w:val="21"/>
        </w:rPr>
        <w:t>26.2评标报告应由评标委员会全体成员签字。对评标结论持有异议的评委，可采用书面方式阐述其不同意见和理由。评标委员会成员拒绝签字的，视为同意评标结论。评标委员会应对此做出书面记录。</w:t>
      </w:r>
    </w:p>
    <w:p>
      <w:pPr>
        <w:adjustRightInd w:val="0"/>
        <w:snapToGrid w:val="0"/>
        <w:spacing w:line="360" w:lineRule="auto"/>
        <w:ind w:firstLine="480" w:firstLineChars="200"/>
        <w:rPr>
          <w:szCs w:val="21"/>
        </w:rPr>
      </w:pPr>
      <w:r>
        <w:rPr>
          <w:rFonts w:hint="eastAsia"/>
          <w:szCs w:val="21"/>
        </w:rPr>
        <w:t>26.3对发现的涉嫌违法、违规行为，应当在评标报告中做出详细说明，做好取证工作，并及时告知行政主管部门。</w:t>
      </w:r>
    </w:p>
    <w:p>
      <w:pPr>
        <w:adjustRightInd w:val="0"/>
        <w:snapToGrid w:val="0"/>
        <w:spacing w:line="360" w:lineRule="auto"/>
        <w:ind w:firstLine="480" w:firstLineChars="200"/>
        <w:rPr>
          <w:szCs w:val="21"/>
        </w:rPr>
      </w:pPr>
      <w:r>
        <w:rPr>
          <w:rFonts w:hint="eastAsia"/>
          <w:szCs w:val="21"/>
        </w:rPr>
        <w:t>26.4评标委员会向招标人提交评标报告后即解散。评标过程中使用的文件、资料等，都不得带离评标室。</w:t>
      </w:r>
    </w:p>
    <w:p>
      <w:pPr>
        <w:rPr>
          <w:b/>
          <w:sz w:val="28"/>
          <w:szCs w:val="28"/>
        </w:rPr>
      </w:pPr>
      <w:r>
        <w:rPr>
          <w:rFonts w:hint="eastAsia"/>
          <w:b/>
          <w:sz w:val="28"/>
          <w:szCs w:val="28"/>
        </w:rPr>
        <w:t>27.评标结果公示</w:t>
      </w:r>
    </w:p>
    <w:p>
      <w:pPr>
        <w:adjustRightInd w:val="0"/>
        <w:snapToGrid w:val="0"/>
        <w:spacing w:line="360" w:lineRule="auto"/>
        <w:ind w:firstLine="480" w:firstLineChars="200"/>
        <w:rPr>
          <w:szCs w:val="21"/>
        </w:rPr>
      </w:pPr>
      <w:r>
        <w:rPr>
          <w:rFonts w:hint="eastAsia"/>
          <w:szCs w:val="21"/>
        </w:rPr>
        <w:t>招标人应当将评标报告（含合格投标人名单）在相关网站公示3个工作日。</w:t>
      </w:r>
    </w:p>
    <w:p>
      <w:pPr>
        <w:rPr>
          <w:b/>
          <w:sz w:val="28"/>
          <w:szCs w:val="28"/>
        </w:rPr>
      </w:pPr>
      <w:r>
        <w:rPr>
          <w:rFonts w:hint="eastAsia"/>
          <w:b/>
          <w:sz w:val="28"/>
          <w:szCs w:val="28"/>
        </w:rPr>
        <w:t>28.其它规定</w:t>
      </w:r>
    </w:p>
    <w:p>
      <w:pPr>
        <w:adjustRightInd w:val="0"/>
        <w:snapToGrid w:val="0"/>
        <w:spacing w:line="360" w:lineRule="auto"/>
        <w:ind w:firstLine="480" w:firstLineChars="200"/>
        <w:rPr>
          <w:szCs w:val="21"/>
        </w:rPr>
      </w:pPr>
      <w:r>
        <w:rPr>
          <w:rFonts w:hint="eastAsia"/>
          <w:szCs w:val="21"/>
        </w:rPr>
        <w:t>28.1若投标人的投标行为出现违反《深圳市建筑市场严重违法行为特别处理规定》等政策文件列明的各种情形的，招标人及评标委员会将提请主管部门对相应投标人作不良记录。</w:t>
      </w:r>
    </w:p>
    <w:p>
      <w:pPr>
        <w:adjustRightInd w:val="0"/>
        <w:snapToGrid w:val="0"/>
        <w:spacing w:line="360" w:lineRule="auto"/>
        <w:ind w:firstLine="480" w:firstLineChars="200"/>
        <w:rPr>
          <w:szCs w:val="21"/>
        </w:rPr>
      </w:pPr>
      <w:r>
        <w:rPr>
          <w:rFonts w:hint="eastAsia"/>
          <w:szCs w:val="21"/>
        </w:rPr>
        <w:t>28.2评标过程中，若评标委员依据招标文件的规定要求招标人重新招标，招标人不承担因招标失败给投标人造成的损失。</w:t>
      </w:r>
    </w:p>
    <w:p>
      <w:pPr>
        <w:adjustRightInd w:val="0"/>
        <w:snapToGrid w:val="0"/>
        <w:spacing w:line="360" w:lineRule="auto"/>
        <w:ind w:firstLine="480" w:firstLineChars="200"/>
        <w:rPr>
          <w:szCs w:val="21"/>
        </w:rPr>
      </w:pPr>
      <w:r>
        <w:rPr>
          <w:rFonts w:hint="eastAsia"/>
          <w:szCs w:val="21"/>
        </w:rPr>
        <w:t>28.3 投标报价的调整方法</w:t>
      </w:r>
    </w:p>
    <w:p>
      <w:pPr>
        <w:spacing w:line="360" w:lineRule="auto"/>
        <w:ind w:firstLine="480" w:firstLineChars="200"/>
        <w:rPr>
          <w:szCs w:val="21"/>
        </w:rPr>
      </w:pPr>
      <w:r>
        <w:rPr>
          <w:rFonts w:hint="eastAsia"/>
          <w:szCs w:val="21"/>
        </w:rPr>
        <w:t>28.3.1投标人的投标报价中如出现算术错误，将按以下方法进行调整：</w:t>
      </w:r>
    </w:p>
    <w:p>
      <w:pPr>
        <w:spacing w:line="360" w:lineRule="auto"/>
        <w:ind w:firstLine="480" w:firstLineChars="200"/>
        <w:rPr>
          <w:szCs w:val="21"/>
        </w:rPr>
      </w:pPr>
      <w:r>
        <w:rPr>
          <w:rFonts w:hint="eastAsia"/>
          <w:szCs w:val="21"/>
        </w:rPr>
        <w:t>28.3.1.1投标文件中大写金额与小写金额不一致的，以大写金额为准；</w:t>
      </w:r>
    </w:p>
    <w:p>
      <w:pPr>
        <w:spacing w:line="360" w:lineRule="auto"/>
        <w:ind w:firstLine="480" w:firstLineChars="200"/>
        <w:rPr>
          <w:szCs w:val="21"/>
        </w:rPr>
      </w:pPr>
      <w:r>
        <w:rPr>
          <w:rFonts w:hint="eastAsia"/>
          <w:szCs w:val="21"/>
        </w:rPr>
        <w:t>28.3.1.2总价金额与按单价计算的总金额不一致的，以单价计算的总金额为准。除非评标委员会认为</w:t>
      </w:r>
      <w:r>
        <w:rPr>
          <w:szCs w:val="21"/>
        </w:rPr>
        <w:t>单价</w:t>
      </w:r>
      <w:r>
        <w:rPr>
          <w:rFonts w:hint="eastAsia"/>
          <w:szCs w:val="21"/>
        </w:rPr>
        <w:t>有明显的</w:t>
      </w:r>
      <w:r>
        <w:rPr>
          <w:szCs w:val="21"/>
        </w:rPr>
        <w:t>小数点错误</w:t>
      </w:r>
      <w:r>
        <w:rPr>
          <w:rFonts w:hint="eastAsia"/>
          <w:szCs w:val="21"/>
        </w:rPr>
        <w:t>，此时应以合价金额为准，调整单价；</w:t>
      </w:r>
    </w:p>
    <w:p>
      <w:pPr>
        <w:spacing w:line="360" w:lineRule="auto"/>
        <w:ind w:firstLine="480" w:firstLineChars="200"/>
        <w:rPr>
          <w:szCs w:val="21"/>
        </w:rPr>
      </w:pPr>
      <w:r>
        <w:rPr>
          <w:rFonts w:hint="eastAsia"/>
          <w:szCs w:val="21"/>
        </w:rPr>
        <w:t>28.3.2投标人的投标报价如果出现缺项、漏项或是修改了本招标项目“货物需求及数量一览表”中列明项目的数量情况的，评标委员会应根据具体评标方法和评审标准，按照不利于该投标人的原则进行调整，且投标人不得因此提出任何异议。</w:t>
      </w:r>
    </w:p>
    <w:p>
      <w:pPr>
        <w:spacing w:line="360" w:lineRule="auto"/>
        <w:ind w:firstLine="480" w:firstLineChars="200"/>
        <w:rPr>
          <w:szCs w:val="21"/>
        </w:rPr>
      </w:pPr>
      <w:r>
        <w:rPr>
          <w:rFonts w:hint="eastAsia"/>
          <w:szCs w:val="21"/>
        </w:rPr>
        <w:t>28.3.3按照本节第1条、第2条规定的调整方法确定的调整后报价，须取得投标人同意并确认。如果投标人拒不接受调整方法以及调整后的报价的，其投标将被拒绝。</w:t>
      </w:r>
    </w:p>
    <w:p>
      <w:pPr>
        <w:spacing w:line="360" w:lineRule="auto"/>
        <w:ind w:firstLine="480" w:firstLineChars="200"/>
        <w:rPr>
          <w:szCs w:val="21"/>
        </w:rPr>
      </w:pPr>
      <w:r>
        <w:rPr>
          <w:rFonts w:hint="eastAsia"/>
          <w:szCs w:val="21"/>
        </w:rPr>
        <w:t>28.3.4如果出现多报或超出本招标项目“货物需求及数量一览表”中列明项目的数量情况的，评标委员会应根据具体评标方法和评审标准，按照不利于该投标人的原则进行调整，且投标人不得因此提出任何异议。</w:t>
      </w:r>
    </w:p>
    <w:p>
      <w:pPr>
        <w:spacing w:line="360" w:lineRule="auto"/>
        <w:ind w:firstLine="480" w:firstLineChars="200"/>
        <w:rPr>
          <w:szCs w:val="21"/>
        </w:rPr>
      </w:pPr>
      <w:r>
        <w:rPr>
          <w:rFonts w:hint="eastAsia"/>
          <w:szCs w:val="21"/>
        </w:rPr>
        <w:t>28.3.5中标人的投标报价是按照本节第1条、第2条、第3条规定的进行了调整的，其中标价按就低不就高的原则确定。如果投标人拒不接受的，其投标将被拒绝。</w:t>
      </w:r>
    </w:p>
    <w:p>
      <w:pPr>
        <w:spacing w:line="360" w:lineRule="auto"/>
        <w:ind w:firstLine="480" w:firstLineChars="200"/>
        <w:rPr>
          <w:szCs w:val="21"/>
        </w:rPr>
      </w:pPr>
      <w:r>
        <w:rPr>
          <w:rFonts w:hint="eastAsia"/>
          <w:szCs w:val="21"/>
        </w:rPr>
        <w:t>28.3.5.1投标人的投标报价的总价小于调整后的报价，中标价即为投标人的投标报价的总价；投标报价的总价大于调整后的报价，中标价即为调整后的报价。</w:t>
      </w:r>
    </w:p>
    <w:p>
      <w:pPr>
        <w:spacing w:line="360" w:lineRule="auto"/>
        <w:ind w:firstLine="480" w:firstLineChars="200"/>
        <w:rPr>
          <w:szCs w:val="21"/>
        </w:rPr>
      </w:pPr>
    </w:p>
    <w:p>
      <w:pPr>
        <w:adjustRightInd w:val="0"/>
        <w:snapToGrid w:val="0"/>
        <w:spacing w:line="360" w:lineRule="auto"/>
        <w:jc w:val="center"/>
        <w:rPr>
          <w:b/>
          <w:sz w:val="28"/>
          <w:szCs w:val="28"/>
        </w:rPr>
      </w:pPr>
      <w:r>
        <w:rPr>
          <w:rFonts w:hint="eastAsia"/>
          <w:b/>
          <w:sz w:val="28"/>
          <w:szCs w:val="28"/>
        </w:rPr>
        <w:t>商务标定性评审表</w:t>
      </w:r>
    </w:p>
    <w:p>
      <w:pPr>
        <w:adjustRightInd w:val="0"/>
        <w:snapToGrid w:val="0"/>
        <w:spacing w:line="360" w:lineRule="auto"/>
        <w:rPr>
          <w:b/>
          <w:szCs w:val="21"/>
        </w:rPr>
      </w:pPr>
      <w:r>
        <w:rPr>
          <w:rFonts w:hint="eastAsia"/>
          <w:szCs w:val="21"/>
        </w:rPr>
        <w:t>标段名称：                                               投标单位：</w:t>
      </w:r>
    </w:p>
    <w:tbl>
      <w:tblPr>
        <w:tblStyle w:val="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555"/>
        <w:gridCol w:w="1560"/>
        <w:gridCol w:w="1169"/>
        <w:gridCol w:w="3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9" w:type="dxa"/>
            <w:vAlign w:val="center"/>
          </w:tcPr>
          <w:p>
            <w:pPr>
              <w:adjustRightInd w:val="0"/>
              <w:snapToGrid w:val="0"/>
              <w:jc w:val="center"/>
              <w:rPr>
                <w:rFonts w:ascii="黑体" w:hAnsi="黑体" w:eastAsia="黑体"/>
                <w:szCs w:val="21"/>
              </w:rPr>
            </w:pPr>
            <w:r>
              <w:rPr>
                <w:rFonts w:hint="eastAsia" w:ascii="黑体" w:hAnsi="黑体" w:eastAsia="黑体"/>
                <w:szCs w:val="21"/>
              </w:rPr>
              <w:t>序号</w:t>
            </w:r>
          </w:p>
        </w:tc>
        <w:tc>
          <w:tcPr>
            <w:tcW w:w="1555" w:type="dxa"/>
            <w:vAlign w:val="center"/>
          </w:tcPr>
          <w:p>
            <w:pPr>
              <w:adjustRightInd w:val="0"/>
              <w:snapToGrid w:val="0"/>
              <w:jc w:val="center"/>
              <w:rPr>
                <w:rFonts w:ascii="黑体" w:hAnsi="黑体" w:eastAsia="黑体"/>
                <w:szCs w:val="21"/>
              </w:rPr>
            </w:pPr>
            <w:r>
              <w:rPr>
                <w:rFonts w:hint="eastAsia" w:ascii="黑体" w:hAnsi="黑体" w:eastAsia="黑体"/>
                <w:szCs w:val="21"/>
              </w:rPr>
              <w:t>评审项目</w:t>
            </w:r>
          </w:p>
        </w:tc>
        <w:tc>
          <w:tcPr>
            <w:tcW w:w="1560" w:type="dxa"/>
            <w:vAlign w:val="center"/>
          </w:tcPr>
          <w:p>
            <w:pPr>
              <w:adjustRightInd w:val="0"/>
              <w:snapToGrid w:val="0"/>
              <w:jc w:val="center"/>
              <w:rPr>
                <w:rFonts w:ascii="黑体" w:hAnsi="黑体" w:eastAsia="黑体"/>
                <w:szCs w:val="21"/>
              </w:rPr>
            </w:pPr>
            <w:r>
              <w:rPr>
                <w:rFonts w:hint="eastAsia" w:ascii="黑体" w:hAnsi="黑体" w:eastAsia="黑体"/>
                <w:szCs w:val="21"/>
              </w:rPr>
              <w:t>评审内容</w:t>
            </w:r>
          </w:p>
        </w:tc>
        <w:tc>
          <w:tcPr>
            <w:tcW w:w="1169" w:type="dxa"/>
            <w:vAlign w:val="center"/>
          </w:tcPr>
          <w:p>
            <w:pPr>
              <w:adjustRightInd w:val="0"/>
              <w:snapToGrid w:val="0"/>
              <w:jc w:val="center"/>
              <w:rPr>
                <w:rFonts w:ascii="黑体" w:hAnsi="黑体" w:eastAsia="黑体"/>
                <w:szCs w:val="21"/>
              </w:rPr>
            </w:pPr>
            <w:r>
              <w:rPr>
                <w:rFonts w:hint="eastAsia" w:ascii="黑体" w:hAnsi="黑体" w:eastAsia="黑体"/>
                <w:szCs w:val="21"/>
              </w:rPr>
              <w:t>优点</w:t>
            </w:r>
          </w:p>
        </w:tc>
        <w:tc>
          <w:tcPr>
            <w:tcW w:w="3861" w:type="dxa"/>
            <w:vAlign w:val="center"/>
          </w:tcPr>
          <w:p>
            <w:pPr>
              <w:adjustRightInd w:val="0"/>
              <w:snapToGrid w:val="0"/>
              <w:jc w:val="center"/>
              <w:rPr>
                <w:rFonts w:ascii="黑体" w:hAnsi="黑体" w:eastAsia="黑体"/>
                <w:szCs w:val="21"/>
              </w:rPr>
            </w:pPr>
            <w:r>
              <w:rPr>
                <w:rFonts w:hint="eastAsia" w:ascii="黑体" w:hAnsi="黑体" w:eastAsia="黑体"/>
                <w:szCs w:val="21"/>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19" w:type="dxa"/>
            <w:vAlign w:val="center"/>
          </w:tcPr>
          <w:p>
            <w:pPr>
              <w:adjustRightInd w:val="0"/>
              <w:snapToGrid w:val="0"/>
              <w:spacing w:line="360" w:lineRule="auto"/>
              <w:jc w:val="center"/>
              <w:rPr>
                <w:szCs w:val="21"/>
              </w:rPr>
            </w:pPr>
            <w:bookmarkStart w:id="253" w:name="商务标定性评审表" w:colFirst="0" w:colLast="0"/>
            <w:r>
              <w:rPr>
                <w:sz w:val="21"/>
              </w:rPr>
              <w:t>1</w:t>
            </w:r>
          </w:p>
        </w:tc>
        <w:tc>
          <w:tcPr>
            <w:tcW w:w="1555" w:type="dxa"/>
            <w:vAlign w:val="center"/>
          </w:tcPr>
          <w:p>
            <w:pPr>
              <w:adjustRightInd w:val="0"/>
              <w:snapToGrid w:val="0"/>
              <w:spacing w:line="360" w:lineRule="auto"/>
              <w:rPr>
                <w:szCs w:val="21"/>
              </w:rPr>
            </w:pPr>
            <w:r>
              <w:rPr>
                <w:rFonts w:hint="eastAsia"/>
                <w:sz w:val="21"/>
              </w:rPr>
              <w:t>本</w:t>
            </w:r>
            <w:r>
              <w:rPr>
                <w:sz w:val="21"/>
              </w:rPr>
              <w:t>项目商务标不进行评审</w:t>
            </w:r>
          </w:p>
        </w:tc>
        <w:tc>
          <w:tcPr>
            <w:tcW w:w="1560" w:type="dxa"/>
            <w:vAlign w:val="center"/>
          </w:tcPr>
          <w:p>
            <w:pPr>
              <w:adjustRightInd w:val="0"/>
              <w:snapToGrid w:val="0"/>
              <w:spacing w:line="360" w:lineRule="auto"/>
              <w:rPr>
                <w:szCs w:val="21"/>
              </w:rPr>
            </w:pPr>
            <w:r>
              <w:rPr>
                <w:rFonts w:hint="eastAsia"/>
                <w:sz w:val="21"/>
              </w:rPr>
              <w:t>本项目商务标不进行评审</w:t>
            </w:r>
          </w:p>
        </w:tc>
        <w:tc>
          <w:tcPr>
            <w:tcW w:w="1169" w:type="dxa"/>
            <w:vAlign w:val="center"/>
          </w:tcPr>
          <w:p>
            <w:pPr>
              <w:adjustRightInd w:val="0"/>
              <w:snapToGrid w:val="0"/>
              <w:spacing w:line="360" w:lineRule="auto"/>
              <w:rPr>
                <w:szCs w:val="21"/>
              </w:rPr>
            </w:pPr>
          </w:p>
        </w:tc>
        <w:tc>
          <w:tcPr>
            <w:tcW w:w="3861" w:type="dxa"/>
            <w:vAlign w:val="center"/>
          </w:tcPr>
          <w:p>
            <w:pPr>
              <w:adjustRightInd w:val="0"/>
              <w:snapToGrid w:val="0"/>
              <w:spacing w:line="360" w:lineRule="auto"/>
              <w:jc w:val="center"/>
              <w:rPr>
                <w:szCs w:val="21"/>
              </w:rPr>
            </w:pPr>
          </w:p>
        </w:tc>
      </w:tr>
      <w:bookmarkEnd w:id="2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4" w:type="dxa"/>
            <w:gridSpan w:val="5"/>
            <w:vAlign w:val="center"/>
          </w:tcPr>
          <w:p>
            <w:pPr>
              <w:adjustRightInd w:val="0"/>
              <w:snapToGrid w:val="0"/>
              <w:spacing w:line="360" w:lineRule="auto"/>
              <w:rPr>
                <w:sz w:val="20"/>
                <w:szCs w:val="21"/>
              </w:rPr>
            </w:pPr>
            <w:r>
              <w:rPr>
                <w:rFonts w:hint="eastAsia"/>
                <w:sz w:val="20"/>
                <w:szCs w:val="21"/>
              </w:rPr>
              <w:t>综合评价等级：□合格    □不合格</w:t>
            </w:r>
          </w:p>
        </w:tc>
      </w:tr>
    </w:tbl>
    <w:p>
      <w:pPr>
        <w:adjustRightInd w:val="0"/>
        <w:snapToGrid w:val="0"/>
        <w:spacing w:line="360" w:lineRule="auto"/>
        <w:rPr>
          <w:rFonts w:ascii="黑体" w:eastAsia="黑体"/>
          <w:szCs w:val="21"/>
        </w:rPr>
      </w:pPr>
      <w:r>
        <w:rPr>
          <w:rFonts w:hint="eastAsia" w:ascii="黑体" w:eastAsia="黑体"/>
          <w:szCs w:val="21"/>
        </w:rPr>
        <w:t>评标专家：                                  评标日期：    年  月  日</w:t>
      </w:r>
    </w:p>
    <w:p>
      <w:pPr>
        <w:adjustRightInd w:val="0"/>
        <w:snapToGrid w:val="0"/>
        <w:spacing w:line="360" w:lineRule="auto"/>
        <w:rPr>
          <w:szCs w:val="21"/>
        </w:rPr>
      </w:pPr>
      <w:r>
        <w:rPr>
          <w:rFonts w:hint="eastAsia"/>
          <w:szCs w:val="21"/>
        </w:rPr>
        <w:t>备注：</w:t>
      </w:r>
    </w:p>
    <w:p>
      <w:pPr>
        <w:adjustRightInd w:val="0"/>
        <w:snapToGrid w:val="0"/>
        <w:spacing w:line="360" w:lineRule="auto"/>
        <w:ind w:firstLine="480" w:firstLineChars="200"/>
        <w:rPr>
          <w:szCs w:val="21"/>
        </w:rPr>
      </w:pPr>
      <w:r>
        <w:rPr>
          <w:rFonts w:hint="eastAsia"/>
          <w:szCs w:val="21"/>
        </w:rPr>
        <w:t>1、本表适用于专家独立评审使用；</w:t>
      </w:r>
    </w:p>
    <w:p>
      <w:pPr>
        <w:adjustRightInd w:val="0"/>
        <w:snapToGrid w:val="0"/>
        <w:spacing w:line="360" w:lineRule="auto"/>
        <w:ind w:firstLine="480" w:firstLineChars="200"/>
        <w:rPr>
          <w:szCs w:val="21"/>
        </w:rPr>
      </w:pPr>
      <w:r>
        <w:rPr>
          <w:rFonts w:hint="eastAsia"/>
          <w:szCs w:val="21"/>
        </w:rPr>
        <w:t>2、指出各评审项的优点、存在缺陷或签订合同前应注意和澄清事项；</w:t>
      </w:r>
    </w:p>
    <w:p>
      <w:pPr>
        <w:spacing w:line="360" w:lineRule="auto"/>
        <w:ind w:firstLine="480" w:firstLineChars="200"/>
        <w:rPr>
          <w:szCs w:val="21"/>
        </w:rPr>
      </w:pPr>
      <w:r>
        <w:rPr>
          <w:rFonts w:hint="eastAsia"/>
          <w:szCs w:val="21"/>
        </w:rPr>
        <w:t>3、综合评价等级仅分为合格或不合格两个等级，不合格仅限于符合招标文件废标、无效标情形以及投标文件违反国家强制性条文标准的情形。</w:t>
      </w:r>
    </w:p>
    <w:p>
      <w:pPr>
        <w:spacing w:line="360" w:lineRule="auto"/>
        <w:ind w:firstLine="480" w:firstLineChars="200"/>
        <w:rPr>
          <w:strike/>
          <w:szCs w:val="21"/>
        </w:rPr>
      </w:pPr>
    </w:p>
    <w:p>
      <w:pPr>
        <w:adjustRightInd w:val="0"/>
        <w:snapToGrid w:val="0"/>
        <w:spacing w:line="360" w:lineRule="auto"/>
        <w:jc w:val="center"/>
        <w:rPr>
          <w:b/>
          <w:sz w:val="28"/>
          <w:szCs w:val="28"/>
        </w:rPr>
      </w:pPr>
      <w:r>
        <w:rPr>
          <w:rFonts w:hint="eastAsia"/>
          <w:b/>
          <w:sz w:val="28"/>
          <w:szCs w:val="28"/>
        </w:rPr>
        <w:t>技术标定性评审表</w:t>
      </w:r>
    </w:p>
    <w:p>
      <w:pPr>
        <w:adjustRightInd w:val="0"/>
        <w:snapToGrid w:val="0"/>
        <w:spacing w:line="360" w:lineRule="auto"/>
        <w:rPr>
          <w:b/>
          <w:szCs w:val="21"/>
        </w:rPr>
      </w:pPr>
      <w:r>
        <w:rPr>
          <w:rFonts w:hint="eastAsia"/>
          <w:szCs w:val="21"/>
        </w:rPr>
        <w:t>标段名称：                                               投标单位：</w:t>
      </w:r>
    </w:p>
    <w:tbl>
      <w:tblPr>
        <w:tblStyle w:val="82"/>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062"/>
        <w:gridCol w:w="3126"/>
        <w:gridCol w:w="709"/>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9" w:type="dxa"/>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序号</w:t>
            </w:r>
          </w:p>
        </w:tc>
        <w:tc>
          <w:tcPr>
            <w:tcW w:w="2062" w:type="dxa"/>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评审项目</w:t>
            </w:r>
          </w:p>
        </w:tc>
        <w:tc>
          <w:tcPr>
            <w:tcW w:w="3126" w:type="dxa"/>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评审内容</w:t>
            </w:r>
          </w:p>
        </w:tc>
        <w:tc>
          <w:tcPr>
            <w:tcW w:w="709" w:type="dxa"/>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优点</w:t>
            </w:r>
          </w:p>
        </w:tc>
        <w:tc>
          <w:tcPr>
            <w:tcW w:w="2248" w:type="dxa"/>
            <w:vAlign w:val="center"/>
          </w:tcPr>
          <w:p>
            <w:pPr>
              <w:adjustRightInd w:val="0"/>
              <w:snapToGrid w:val="0"/>
              <w:jc w:val="center"/>
              <w:rPr>
                <w:rFonts w:ascii="黑体" w:hAnsi="黑体" w:eastAsia="黑体"/>
                <w:sz w:val="21"/>
                <w:szCs w:val="21"/>
              </w:rPr>
            </w:pPr>
            <w:r>
              <w:rPr>
                <w:rFonts w:hint="eastAsia" w:ascii="黑体" w:hAnsi="黑体" w:eastAsia="黑体"/>
                <w:sz w:val="21"/>
                <w:szCs w:val="21"/>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19" w:type="dxa"/>
            <w:vAlign w:val="center"/>
          </w:tcPr>
          <w:p>
            <w:pPr>
              <w:adjustRightInd w:val="0"/>
              <w:snapToGrid w:val="0"/>
              <w:spacing w:line="360" w:lineRule="auto"/>
              <w:jc w:val="center"/>
              <w:rPr>
                <w:sz w:val="21"/>
                <w:szCs w:val="21"/>
              </w:rPr>
            </w:pPr>
            <w:bookmarkStart w:id="254" w:name="技术标定性评审表" w:colFirst="0" w:colLast="0"/>
            <w:r>
              <w:rPr>
                <w:sz w:val="21"/>
                <w:szCs w:val="21"/>
              </w:rPr>
              <w:t>1</w:t>
            </w:r>
          </w:p>
        </w:tc>
        <w:tc>
          <w:tcPr>
            <w:tcW w:w="2062" w:type="dxa"/>
            <w:vAlign w:val="center"/>
          </w:tcPr>
          <w:p>
            <w:pPr>
              <w:adjustRightInd w:val="0"/>
              <w:snapToGrid w:val="0"/>
              <w:spacing w:line="360" w:lineRule="auto"/>
              <w:rPr>
                <w:szCs w:val="21"/>
              </w:rPr>
            </w:pPr>
            <w:r>
              <w:rPr>
                <w:rFonts w:hint="eastAsia"/>
                <w:sz w:val="21"/>
              </w:rPr>
              <w:t>本</w:t>
            </w:r>
            <w:r>
              <w:rPr>
                <w:sz w:val="21"/>
              </w:rPr>
              <w:t>项目</w:t>
            </w:r>
            <w:r>
              <w:rPr>
                <w:rFonts w:hint="eastAsia"/>
                <w:sz w:val="21"/>
              </w:rPr>
              <w:t>不编制</w:t>
            </w:r>
            <w:r>
              <w:rPr>
                <w:sz w:val="21"/>
              </w:rPr>
              <w:t>技术标</w:t>
            </w:r>
            <w:r>
              <w:rPr>
                <w:rFonts w:hint="eastAsia"/>
                <w:sz w:val="21"/>
              </w:rPr>
              <w:t>，</w:t>
            </w:r>
            <w:r>
              <w:rPr>
                <w:sz w:val="21"/>
              </w:rPr>
              <w:t>不进行评审</w:t>
            </w:r>
          </w:p>
        </w:tc>
        <w:tc>
          <w:tcPr>
            <w:tcW w:w="3126" w:type="dxa"/>
            <w:vAlign w:val="center"/>
          </w:tcPr>
          <w:p>
            <w:pPr>
              <w:adjustRightInd w:val="0"/>
              <w:snapToGrid w:val="0"/>
              <w:spacing w:line="360" w:lineRule="auto"/>
              <w:rPr>
                <w:szCs w:val="21"/>
              </w:rPr>
            </w:pPr>
            <w:r>
              <w:rPr>
                <w:rFonts w:hint="eastAsia"/>
                <w:sz w:val="21"/>
              </w:rPr>
              <w:t>本</w:t>
            </w:r>
            <w:r>
              <w:rPr>
                <w:sz w:val="21"/>
              </w:rPr>
              <w:t>项目</w:t>
            </w:r>
            <w:r>
              <w:rPr>
                <w:rFonts w:hint="eastAsia"/>
                <w:sz w:val="21"/>
              </w:rPr>
              <w:t>不编制</w:t>
            </w:r>
            <w:r>
              <w:rPr>
                <w:sz w:val="21"/>
              </w:rPr>
              <w:t>技术标</w:t>
            </w:r>
            <w:r>
              <w:rPr>
                <w:rFonts w:hint="eastAsia"/>
                <w:sz w:val="21"/>
              </w:rPr>
              <w:t>，</w:t>
            </w:r>
            <w:r>
              <w:rPr>
                <w:sz w:val="21"/>
              </w:rPr>
              <w:t>不进行评审</w:t>
            </w:r>
          </w:p>
        </w:tc>
        <w:tc>
          <w:tcPr>
            <w:tcW w:w="709" w:type="dxa"/>
            <w:vAlign w:val="center"/>
          </w:tcPr>
          <w:p>
            <w:pPr>
              <w:adjustRightInd w:val="0"/>
              <w:snapToGrid w:val="0"/>
              <w:spacing w:line="360" w:lineRule="auto"/>
              <w:rPr>
                <w:sz w:val="21"/>
                <w:szCs w:val="21"/>
              </w:rPr>
            </w:pPr>
          </w:p>
        </w:tc>
        <w:tc>
          <w:tcPr>
            <w:tcW w:w="2248" w:type="dxa"/>
            <w:vAlign w:val="center"/>
          </w:tcPr>
          <w:p>
            <w:pPr>
              <w:adjustRightInd w:val="0"/>
              <w:snapToGrid w:val="0"/>
              <w:spacing w:line="360" w:lineRule="auto"/>
              <w:jc w:val="center"/>
              <w:rPr>
                <w:sz w:val="21"/>
                <w:szCs w:val="21"/>
              </w:rPr>
            </w:pPr>
          </w:p>
        </w:tc>
      </w:tr>
      <w:bookmarkEnd w:id="2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64" w:type="dxa"/>
            <w:gridSpan w:val="5"/>
            <w:vAlign w:val="center"/>
          </w:tcPr>
          <w:p>
            <w:pPr>
              <w:adjustRightInd w:val="0"/>
              <w:snapToGrid w:val="0"/>
              <w:spacing w:line="360" w:lineRule="auto"/>
              <w:rPr>
                <w:sz w:val="21"/>
                <w:szCs w:val="21"/>
              </w:rPr>
            </w:pPr>
            <w:r>
              <w:rPr>
                <w:rFonts w:hint="eastAsia"/>
                <w:sz w:val="21"/>
                <w:szCs w:val="21"/>
              </w:rPr>
              <w:t>综合评价等级：□合格    □不合格</w:t>
            </w:r>
          </w:p>
        </w:tc>
      </w:tr>
    </w:tbl>
    <w:p>
      <w:pPr>
        <w:adjustRightInd w:val="0"/>
        <w:snapToGrid w:val="0"/>
        <w:spacing w:line="360" w:lineRule="auto"/>
        <w:rPr>
          <w:rFonts w:ascii="黑体" w:eastAsia="黑体"/>
          <w:szCs w:val="21"/>
        </w:rPr>
      </w:pPr>
      <w:r>
        <w:rPr>
          <w:rFonts w:hint="eastAsia" w:ascii="黑体" w:eastAsia="黑体"/>
          <w:szCs w:val="21"/>
        </w:rPr>
        <w:t>评标专家：                                  评标日期：    年  月  日</w:t>
      </w:r>
    </w:p>
    <w:p>
      <w:pPr>
        <w:adjustRightInd w:val="0"/>
        <w:snapToGrid w:val="0"/>
        <w:spacing w:line="360" w:lineRule="auto"/>
        <w:rPr>
          <w:szCs w:val="21"/>
        </w:rPr>
      </w:pPr>
      <w:r>
        <w:rPr>
          <w:rFonts w:hint="eastAsia"/>
          <w:szCs w:val="21"/>
        </w:rPr>
        <w:t>备注：</w:t>
      </w:r>
    </w:p>
    <w:p>
      <w:pPr>
        <w:adjustRightInd w:val="0"/>
        <w:snapToGrid w:val="0"/>
        <w:spacing w:line="360" w:lineRule="auto"/>
        <w:ind w:firstLine="480" w:firstLineChars="200"/>
        <w:rPr>
          <w:szCs w:val="21"/>
        </w:rPr>
      </w:pPr>
      <w:r>
        <w:rPr>
          <w:rFonts w:hint="eastAsia"/>
          <w:szCs w:val="21"/>
        </w:rPr>
        <w:t>1、本表适用于专家独立评审使用；</w:t>
      </w:r>
    </w:p>
    <w:p>
      <w:pPr>
        <w:adjustRightInd w:val="0"/>
        <w:snapToGrid w:val="0"/>
        <w:spacing w:line="360" w:lineRule="auto"/>
        <w:ind w:firstLine="480" w:firstLineChars="200"/>
        <w:rPr>
          <w:szCs w:val="21"/>
        </w:rPr>
      </w:pPr>
      <w:r>
        <w:rPr>
          <w:rFonts w:hint="eastAsia"/>
          <w:szCs w:val="21"/>
        </w:rPr>
        <w:t>2、指出各评审项的优点、存在缺陷或签订合同前应注意和澄清事项；</w:t>
      </w:r>
    </w:p>
    <w:p>
      <w:pPr>
        <w:spacing w:line="360" w:lineRule="auto"/>
        <w:ind w:firstLine="480" w:firstLineChars="200"/>
        <w:rPr>
          <w:szCs w:val="21"/>
        </w:rPr>
      </w:pPr>
      <w:r>
        <w:rPr>
          <w:rFonts w:hint="eastAsia"/>
          <w:szCs w:val="21"/>
        </w:rPr>
        <w:t>3、综合评价等级仅分为合格或不合格两个等级，不合格仅限于符合招标文件废标、无效标情形以及投标文件违反国家强制性条文标准的情形。</w:t>
      </w:r>
    </w:p>
    <w:p>
      <w:pPr>
        <w:spacing w:line="360" w:lineRule="auto"/>
        <w:ind w:firstLine="480" w:firstLineChars="200"/>
        <w:rPr>
          <w:szCs w:val="21"/>
        </w:rPr>
      </w:pPr>
    </w:p>
    <w:p>
      <w:pPr>
        <w:pStyle w:val="6"/>
        <w:keepNext w:val="0"/>
        <w:keepLines w:val="0"/>
        <w:widowControl w:val="0"/>
        <w:tabs>
          <w:tab w:val="left" w:pos="720"/>
          <w:tab w:val="left" w:pos="4032"/>
        </w:tabs>
        <w:adjustRightInd w:val="0"/>
        <w:snapToGrid w:val="0"/>
        <w:spacing w:before="0" w:after="0" w:line="360" w:lineRule="auto"/>
        <w:jc w:val="center"/>
        <w:rPr>
          <w:lang w:val="en-US"/>
        </w:rPr>
      </w:pPr>
      <w:r>
        <w:rPr>
          <w:rFonts w:hint="eastAsia"/>
          <w:lang w:val="en-US"/>
        </w:rPr>
        <w:t>七、定标</w:t>
      </w:r>
    </w:p>
    <w:p>
      <w:pPr>
        <w:rPr>
          <w:b/>
          <w:sz w:val="28"/>
          <w:szCs w:val="28"/>
        </w:rPr>
      </w:pPr>
      <w:r>
        <w:rPr>
          <w:rFonts w:hint="eastAsia"/>
          <w:b/>
          <w:sz w:val="28"/>
          <w:szCs w:val="28"/>
        </w:rPr>
        <w:t>29.定标方法</w:t>
      </w:r>
    </w:p>
    <w:p>
      <w:pPr>
        <w:spacing w:line="360" w:lineRule="auto"/>
        <w:ind w:firstLine="480" w:firstLineChars="200"/>
        <w:rPr>
          <w:snapToGrid w:val="0"/>
          <w:szCs w:val="21"/>
        </w:rPr>
      </w:pPr>
      <w:bookmarkStart w:id="255" w:name="票决定标法"/>
      <w:r>
        <w:rPr>
          <w:rFonts w:hint="eastAsia"/>
          <w:szCs w:val="21"/>
        </w:rPr>
        <w:t>29.1定标方法包括票决定标法、票决抽签定标法、集体议事法</w:t>
      </w:r>
      <w:r>
        <w:rPr>
          <w:rFonts w:hint="eastAsia"/>
          <w:snapToGrid w:val="0"/>
          <w:szCs w:val="21"/>
        </w:rPr>
        <w:t>或者经建设主管部门批准的其他方法。</w:t>
      </w:r>
    </w:p>
    <w:p>
      <w:pPr>
        <w:spacing w:line="360" w:lineRule="auto"/>
        <w:ind w:firstLine="480" w:firstLineChars="200"/>
        <w:rPr>
          <w:snapToGrid w:val="0"/>
          <w:szCs w:val="21"/>
        </w:rPr>
      </w:pPr>
      <w:r>
        <w:rPr>
          <w:szCs w:val="21"/>
        </w:rPr>
        <w:t>29</w:t>
      </w:r>
      <w:r>
        <w:rPr>
          <w:rFonts w:hint="eastAsia"/>
          <w:szCs w:val="21"/>
        </w:rPr>
        <w:t>.2</w:t>
      </w:r>
      <w:r>
        <w:rPr>
          <w:rFonts w:hint="eastAsia"/>
          <w:snapToGrid w:val="0"/>
          <w:szCs w:val="21"/>
        </w:rPr>
        <w:t>定标委员会应当根据“投标须知前附表”规定的定标方法，对进入定标环节的投标文件进行评审和比较。招标文件中没有规定的标准和方法不得作为定标的依据。</w:t>
      </w:r>
    </w:p>
    <w:p>
      <w:pPr>
        <w:spacing w:line="360" w:lineRule="auto"/>
        <w:ind w:firstLine="480" w:firstLineChars="200"/>
        <w:rPr>
          <w:snapToGrid w:val="0"/>
          <w:szCs w:val="21"/>
        </w:rPr>
      </w:pPr>
      <w:r>
        <w:rPr>
          <w:szCs w:val="21"/>
        </w:rPr>
        <w:t>29</w:t>
      </w:r>
      <w:r>
        <w:rPr>
          <w:rFonts w:hint="eastAsia"/>
          <w:szCs w:val="21"/>
        </w:rPr>
        <w:t>.3</w:t>
      </w:r>
      <w:r>
        <w:rPr>
          <w:rFonts w:hint="eastAsia"/>
          <w:snapToGrid w:val="0"/>
          <w:szCs w:val="21"/>
        </w:rPr>
        <w:t>具体定标方法如下：</w:t>
      </w:r>
    </w:p>
    <w:p>
      <w:pPr>
        <w:rPr>
          <w:b/>
          <w:sz w:val="28"/>
          <w:szCs w:val="28"/>
        </w:rPr>
      </w:pPr>
      <w:r>
        <w:rPr>
          <w:rFonts w:hint="eastAsia"/>
          <w:b/>
          <w:sz w:val="28"/>
          <w:szCs w:val="28"/>
        </w:rPr>
        <w:t>29.3.1票决定标法</w:t>
      </w:r>
    </w:p>
    <w:p>
      <w:pPr>
        <w:spacing w:line="360" w:lineRule="auto"/>
        <w:ind w:firstLine="480" w:firstLineChars="200"/>
        <w:rPr>
          <w:snapToGrid w:val="0"/>
          <w:szCs w:val="21"/>
        </w:rPr>
      </w:pPr>
      <w:bookmarkStart w:id="256" w:name="逐轮票决定标"/>
      <w:r>
        <w:rPr>
          <w:rFonts w:hint="eastAsia"/>
          <w:snapToGrid w:val="0"/>
          <w:szCs w:val="21"/>
        </w:rPr>
        <w:t>招标人组建定标委员会，定标委员会成员对所有进入定标程序的投标人以前附表确定的方式进行排名，并以这些排名为基础，确定得票最多的投标人为中标人。</w:t>
      </w:r>
    </w:p>
    <w:p>
      <w:pPr>
        <w:spacing w:line="360" w:lineRule="auto"/>
        <w:ind w:firstLine="480" w:firstLineChars="200"/>
        <w:rPr>
          <w:szCs w:val="21"/>
        </w:rPr>
      </w:pPr>
      <w:r>
        <w:rPr>
          <w:rFonts w:hint="eastAsia"/>
          <w:szCs w:val="21"/>
        </w:rPr>
        <w:t>票决方式：</w:t>
      </w:r>
    </w:p>
    <w:p>
      <w:pPr>
        <w:adjustRightInd w:val="0"/>
        <w:snapToGrid w:val="0"/>
        <w:spacing w:line="360" w:lineRule="auto"/>
        <w:ind w:firstLine="482" w:firstLineChars="200"/>
        <w:rPr>
          <w:b/>
          <w:szCs w:val="21"/>
        </w:rPr>
      </w:pPr>
      <w:r>
        <w:rPr>
          <w:rFonts w:hint="eastAsia"/>
          <w:b/>
          <w:szCs w:val="21"/>
        </w:rPr>
        <w:t>（1）直接票决定标</w:t>
      </w:r>
    </w:p>
    <w:p>
      <w:pPr>
        <w:adjustRightInd w:val="0"/>
        <w:snapToGrid w:val="0"/>
        <w:spacing w:line="360" w:lineRule="auto"/>
        <w:ind w:firstLine="480" w:firstLineChars="200"/>
        <w:rPr>
          <w:szCs w:val="21"/>
        </w:rPr>
      </w:pPr>
      <w:r>
        <w:rPr>
          <w:rFonts w:hint="eastAsia"/>
          <w:szCs w:val="21"/>
        </w:rPr>
        <w:t>招标人组建定标委员会，定标委员会成员对所有进入定标程序的投标人根据前附表确定的方式进行投票，根据得票数确定中标人。</w:t>
      </w:r>
    </w:p>
    <w:p>
      <w:pPr>
        <w:adjustRightInd w:val="0"/>
        <w:snapToGrid w:val="0"/>
        <w:spacing w:line="360" w:lineRule="auto"/>
        <w:ind w:firstLine="472" w:firstLineChars="196"/>
        <w:rPr>
          <w:b/>
          <w:szCs w:val="21"/>
        </w:rPr>
      </w:pPr>
      <w:r>
        <w:rPr>
          <w:rFonts w:hint="eastAsia"/>
          <w:b/>
          <w:szCs w:val="21"/>
        </w:rPr>
        <w:t>（2）逐轮票决定标</w:t>
      </w:r>
    </w:p>
    <w:p>
      <w:pPr>
        <w:adjustRightInd w:val="0"/>
        <w:snapToGrid w:val="0"/>
        <w:spacing w:line="360" w:lineRule="auto"/>
        <w:ind w:firstLine="470" w:firstLineChars="196"/>
        <w:rPr>
          <w:szCs w:val="21"/>
        </w:rPr>
      </w:pPr>
      <w:r>
        <w:rPr>
          <w:rFonts w:hint="eastAsia"/>
          <w:szCs w:val="21"/>
        </w:rPr>
        <w:t>招标人组建定标委员会，定标委员会成员对所有进入定标程序的投标人根据前附表确定的方式进行逐轮投票，每轮以得票数多少确定进入下一轮投票的投标人直至确定中标人。</w:t>
      </w:r>
    </w:p>
    <w:p>
      <w:pPr>
        <w:adjustRightInd w:val="0"/>
        <w:snapToGrid w:val="0"/>
        <w:spacing w:line="360" w:lineRule="auto"/>
        <w:ind w:firstLine="472" w:firstLineChars="196"/>
        <w:rPr>
          <w:b/>
          <w:bCs/>
          <w:szCs w:val="21"/>
        </w:rPr>
      </w:pPr>
      <w:r>
        <w:rPr>
          <w:rFonts w:hint="eastAsia"/>
          <w:b/>
          <w:bCs/>
          <w:szCs w:val="21"/>
        </w:rPr>
        <w:t>（3）票决方式：</w:t>
      </w:r>
    </w:p>
    <w:p>
      <w:pPr>
        <w:adjustRightInd w:val="0"/>
        <w:snapToGrid w:val="0"/>
        <w:spacing w:line="360" w:lineRule="auto"/>
        <w:ind w:firstLine="470" w:firstLineChars="196"/>
        <w:rPr>
          <w:szCs w:val="21"/>
        </w:rPr>
      </w:pPr>
      <w:r>
        <w:rPr>
          <w:rFonts w:hint="eastAsia"/>
          <w:szCs w:val="21"/>
        </w:rPr>
        <w:t>①简单多数法</w:t>
      </w:r>
    </w:p>
    <w:p>
      <w:pPr>
        <w:adjustRightInd w:val="0"/>
        <w:snapToGrid w:val="0"/>
        <w:spacing w:line="360" w:lineRule="auto"/>
        <w:ind w:firstLine="470" w:firstLineChars="196"/>
        <w:rPr>
          <w:szCs w:val="21"/>
        </w:rPr>
      </w:pPr>
      <w:r>
        <w:rPr>
          <w:rFonts w:hint="eastAsia"/>
          <w:szCs w:val="21"/>
        </w:rPr>
        <w:t>a.投票规则：定标委员会成员按照招标文件规定的推荐人数，在各自的选票上填写相同数量的投标人名称或序号。</w:t>
      </w:r>
    </w:p>
    <w:p>
      <w:pPr>
        <w:adjustRightInd w:val="0"/>
        <w:snapToGrid w:val="0"/>
        <w:spacing w:line="360" w:lineRule="auto"/>
        <w:ind w:firstLine="480" w:firstLineChars="200"/>
        <w:rPr>
          <w:szCs w:val="21"/>
        </w:rPr>
      </w:pPr>
      <w:r>
        <w:rPr>
          <w:rFonts w:hint="eastAsia"/>
          <w:szCs w:val="21"/>
        </w:rPr>
        <w:t>b.计算规则：根据得票数的多少进行排名，推荐得票数最多的为中标人。投票结果中排序出现并列情形的，在不影响票决家数总数的情况下不须再次投票，投票结果中并列排序影响到结果时，以投标须知前附表规定的方法进行确定。</w:t>
      </w:r>
    </w:p>
    <w:p>
      <w:pPr>
        <w:adjustRightInd w:val="0"/>
        <w:snapToGrid w:val="0"/>
        <w:spacing w:line="360" w:lineRule="auto"/>
        <w:ind w:firstLine="470" w:firstLineChars="196"/>
        <w:rPr>
          <w:szCs w:val="21"/>
        </w:rPr>
      </w:pPr>
      <w:r>
        <w:rPr>
          <w:rFonts w:hint="eastAsia"/>
          <w:szCs w:val="21"/>
        </w:rPr>
        <w:t>②简单多数法（且过半数）</w:t>
      </w:r>
    </w:p>
    <w:p>
      <w:pPr>
        <w:adjustRightInd w:val="0"/>
        <w:snapToGrid w:val="0"/>
        <w:spacing w:line="360" w:lineRule="auto"/>
        <w:ind w:firstLine="480" w:firstLineChars="200"/>
        <w:rPr>
          <w:szCs w:val="21"/>
        </w:rPr>
      </w:pPr>
      <w:r>
        <w:rPr>
          <w:rFonts w:hint="eastAsia"/>
          <w:szCs w:val="21"/>
        </w:rPr>
        <w:t>a.投票规则：定标委员会在进入投票范围的投标人中，以每人投票支持一个投标人的方式，得票最多且过半数的投标人为中标人。</w:t>
      </w:r>
    </w:p>
    <w:p>
      <w:pPr>
        <w:adjustRightInd w:val="0"/>
        <w:snapToGrid w:val="0"/>
        <w:spacing w:line="360" w:lineRule="auto"/>
        <w:ind w:firstLine="480" w:firstLineChars="200"/>
        <w:rPr>
          <w:szCs w:val="21"/>
        </w:rPr>
      </w:pPr>
      <w:r>
        <w:rPr>
          <w:rFonts w:hint="eastAsia"/>
          <w:szCs w:val="21"/>
        </w:rPr>
        <w:t>b.计算规则：当没有投标人得票超过半数时，选择得票较多的2个投标人（按上一轮得票多少的顺序选择，在选择第2个投标人时出现同票的投标人时，所有同票投标人一并纳入下一轮的投票范围）作为二次投票的范围，直至出现得票过半数的投标人为止。</w:t>
      </w:r>
    </w:p>
    <w:p>
      <w:pPr>
        <w:adjustRightInd w:val="0"/>
        <w:snapToGrid w:val="0"/>
        <w:spacing w:line="360" w:lineRule="auto"/>
        <w:ind w:firstLine="470" w:firstLineChars="196"/>
        <w:rPr>
          <w:szCs w:val="21"/>
        </w:rPr>
      </w:pPr>
      <w:r>
        <w:rPr>
          <w:rFonts w:hint="eastAsia"/>
          <w:szCs w:val="21"/>
        </w:rPr>
        <w:t>③对比胜出法</w:t>
      </w:r>
    </w:p>
    <w:p>
      <w:pPr>
        <w:adjustRightInd w:val="0"/>
        <w:snapToGrid w:val="0"/>
        <w:spacing w:line="360" w:lineRule="auto"/>
        <w:ind w:firstLine="470" w:firstLineChars="196"/>
        <w:rPr>
          <w:szCs w:val="21"/>
        </w:rPr>
      </w:pPr>
      <w:r>
        <w:rPr>
          <w:rFonts w:hint="eastAsia"/>
          <w:szCs w:val="21"/>
        </w:rPr>
        <w:t>a.投票规则：每一张选票，都是所有进入定标程序的投标人的一个排列，该排列明确了先后顺序，即第一名、第二名，...，排列最后的为最后一名。</w:t>
      </w:r>
    </w:p>
    <w:p>
      <w:pPr>
        <w:adjustRightInd w:val="0"/>
        <w:snapToGrid w:val="0"/>
        <w:spacing w:line="360" w:lineRule="auto"/>
        <w:ind w:firstLine="470" w:firstLineChars="196"/>
        <w:rPr>
          <w:szCs w:val="21"/>
        </w:rPr>
      </w:pPr>
      <w:r>
        <w:rPr>
          <w:rFonts w:hint="eastAsia"/>
          <w:szCs w:val="21"/>
        </w:rPr>
        <w:t>b.计算规则：比较每个进入定标程序的投标人在一对一比较中的取胜次数，取胜次数最多的投标人胜出。假设两个投标人是A和B，那么把所有的选票分为两类：第一类是把A排在B前面的，第二类是把B排在A前面的。如果第一类的选票的数量多，那么为A胜，B负，记A取胜一次；如果第二类的选票的数量多，那么为A负，B胜，记B取胜一次。</w:t>
      </w:r>
    </w:p>
    <w:bookmarkEnd w:id="255"/>
    <w:bookmarkEnd w:id="256"/>
    <w:p>
      <w:pPr>
        <w:rPr>
          <w:b/>
          <w:sz w:val="28"/>
          <w:szCs w:val="28"/>
        </w:rPr>
      </w:pPr>
      <w:bookmarkStart w:id="257" w:name="票决抽签法"/>
      <w:bookmarkStart w:id="258" w:name="资信标要求一览表"/>
      <w:r>
        <w:rPr>
          <w:rFonts w:hint="eastAsia"/>
          <w:b/>
          <w:sz w:val="28"/>
          <w:szCs w:val="28"/>
        </w:rPr>
        <w:t>29.3.2票决抽签定标法</w:t>
      </w:r>
    </w:p>
    <w:p>
      <w:pPr>
        <w:spacing w:line="360" w:lineRule="auto"/>
        <w:ind w:firstLine="480" w:firstLineChars="200"/>
        <w:rPr>
          <w:snapToGrid w:val="0"/>
          <w:szCs w:val="21"/>
        </w:rPr>
      </w:pPr>
      <w:r>
        <w:rPr>
          <w:rFonts w:hint="eastAsia"/>
          <w:snapToGrid w:val="0"/>
          <w:szCs w:val="21"/>
        </w:rPr>
        <w:t>招标人组建定标委员会，定标委员会成员对所有进入定标程序的投标人以前附表确定的方式进行排名，并以这些排名为基础，在得票最多的投标人中选取规定数量的投标人，再通过随机抽签方式确定一名中标人。</w:t>
      </w:r>
    </w:p>
    <w:p>
      <w:pPr>
        <w:spacing w:line="360" w:lineRule="auto"/>
        <w:ind w:firstLine="480" w:firstLineChars="200"/>
        <w:rPr>
          <w:szCs w:val="21"/>
        </w:rPr>
      </w:pPr>
      <w:r>
        <w:rPr>
          <w:rFonts w:hint="eastAsia"/>
          <w:szCs w:val="21"/>
        </w:rPr>
        <w:t>抽签原则：</w:t>
      </w:r>
    </w:p>
    <w:p>
      <w:pPr>
        <w:spacing w:line="360" w:lineRule="auto"/>
        <w:ind w:firstLine="480" w:firstLineChars="200"/>
        <w:rPr>
          <w:szCs w:val="21"/>
        </w:rPr>
      </w:pPr>
      <w:r>
        <w:rPr>
          <w:rFonts w:hint="eastAsia"/>
          <w:szCs w:val="21"/>
        </w:rPr>
        <w:t>入围投标人按照其提交投标文件的顺序依次以1、2……20排列抽签序号，由招标人在上述号码中抽出一个号码，该号码对应的投标人即为中标人。中标人有影响中标结果情形的，由招标人在余下的进入抽签环节的投标人中重新抽签确定中标人。中标价以该中标人的投标报价为准。</w:t>
      </w:r>
    </w:p>
    <w:bookmarkEnd w:id="257"/>
    <w:p>
      <w:pPr>
        <w:rPr>
          <w:b/>
          <w:sz w:val="28"/>
          <w:szCs w:val="28"/>
        </w:rPr>
      </w:pPr>
      <w:bookmarkStart w:id="259" w:name="集体议事法"/>
      <w:r>
        <w:rPr>
          <w:rFonts w:hint="eastAsia"/>
          <w:b/>
          <w:sz w:val="28"/>
          <w:szCs w:val="28"/>
        </w:rPr>
        <w:t>29.3.3集体议事法</w:t>
      </w:r>
    </w:p>
    <w:p>
      <w:pPr>
        <w:spacing w:line="360" w:lineRule="auto"/>
        <w:ind w:firstLine="480" w:firstLineChars="200"/>
        <w:rPr>
          <w:szCs w:val="21"/>
        </w:rPr>
      </w:pPr>
      <w:r>
        <w:rPr>
          <w:rFonts w:hint="eastAsia"/>
          <w:szCs w:val="21"/>
        </w:rPr>
        <w:t>集体议事法，由招标人组建定标委员会进行集体商议，定标委员会成员各自发表意见，由定标委员会组长最终确定中标人。所有参加会议的定标委员会成员的意见应当作书面记录，并由定标委员会成员签字确认。采用集体议事法定标的，定标委员会组长应当由招标人法定代表人或者主要负责人担任。</w:t>
      </w:r>
    </w:p>
    <w:bookmarkEnd w:id="259"/>
    <w:p>
      <w:pPr>
        <w:rPr>
          <w:b/>
          <w:sz w:val="28"/>
          <w:szCs w:val="28"/>
        </w:rPr>
      </w:pPr>
      <w:r>
        <w:rPr>
          <w:rFonts w:hint="eastAsia"/>
          <w:b/>
          <w:sz w:val="28"/>
          <w:szCs w:val="28"/>
        </w:rPr>
        <w:t>30.定标程序</w:t>
      </w:r>
    </w:p>
    <w:p>
      <w:pPr>
        <w:spacing w:line="360" w:lineRule="auto"/>
        <w:ind w:firstLine="480" w:firstLineChars="200"/>
        <w:rPr>
          <w:szCs w:val="21"/>
        </w:rPr>
      </w:pPr>
      <w:r>
        <w:rPr>
          <w:rFonts w:hint="eastAsia"/>
          <w:szCs w:val="21"/>
        </w:rPr>
        <w:t>30.1 定标委员会由招标人依法组建。定标委员会由7人及以上单数成员组成。定标委员会成员应在定标当日由招标人从2倍以上备选人员名单中随机抽取确定。定标委员会组成后，应推举一人为定标委员会主任，主持当次定标会议并依据招标文件进行定标的各个议程。定标委员会成员不得与投标人有直接利益关系，对招标工程定标结果负有责任。</w:t>
      </w:r>
    </w:p>
    <w:p>
      <w:pPr>
        <w:spacing w:line="360" w:lineRule="auto"/>
        <w:ind w:firstLine="480" w:firstLineChars="200"/>
        <w:rPr>
          <w:szCs w:val="21"/>
        </w:rPr>
      </w:pPr>
      <w:r>
        <w:rPr>
          <w:rFonts w:hint="eastAsia"/>
          <w:szCs w:val="21"/>
        </w:rPr>
        <w:t>30.2招标人应同时组建3人以上的监督小组，对定标全过程进行监督。</w:t>
      </w:r>
    </w:p>
    <w:p>
      <w:pPr>
        <w:spacing w:line="360" w:lineRule="auto"/>
        <w:ind w:firstLine="480" w:firstLineChars="200"/>
        <w:rPr>
          <w:szCs w:val="21"/>
        </w:rPr>
      </w:pPr>
      <w:r>
        <w:rPr>
          <w:rFonts w:hint="eastAsia"/>
          <w:szCs w:val="21"/>
        </w:rPr>
        <w:t>30.3招标人应自收到评标结果后十个工作日内召开定标会。</w:t>
      </w:r>
    </w:p>
    <w:p>
      <w:pPr>
        <w:spacing w:line="360" w:lineRule="auto"/>
        <w:ind w:firstLine="480" w:firstLineChars="200"/>
        <w:rPr>
          <w:szCs w:val="21"/>
        </w:rPr>
      </w:pPr>
      <w:r>
        <w:rPr>
          <w:rFonts w:hint="eastAsia"/>
          <w:szCs w:val="21"/>
        </w:rPr>
        <w:t>30.4定标委员会成员在定标会议中提交选票（须说明推荐理由），并签名确认，定标过程公开、公平、公正。定标委员会按有关规定及招标文件约定的定标方法确定中标人。</w:t>
      </w:r>
    </w:p>
    <w:p>
      <w:pPr>
        <w:spacing w:line="360" w:lineRule="auto"/>
        <w:ind w:firstLine="480" w:firstLineChars="200"/>
        <w:rPr>
          <w:szCs w:val="21"/>
        </w:rPr>
      </w:pPr>
      <w:r>
        <w:rPr>
          <w:rFonts w:hint="eastAsia"/>
          <w:szCs w:val="21"/>
        </w:rPr>
        <w:t>30.5招标人应在定标结束后将定标记录、定标报告归档，并同时公示定标结果和中标结果。定标记录应包括定标委员会会议过程、正式成员名单。定标报告应包括定标委员会的产生过程、定标程序及定标结果等内容。</w:t>
      </w:r>
    </w:p>
    <w:p>
      <w:pPr>
        <w:adjustRightInd w:val="0"/>
        <w:snapToGrid w:val="0"/>
        <w:spacing w:line="360" w:lineRule="auto"/>
        <w:ind w:firstLine="480" w:firstLineChars="200"/>
      </w:pPr>
      <w:r>
        <w:rPr>
          <w:rFonts w:hint="eastAsia"/>
        </w:rPr>
        <w:t>30.6招标人应当事先制定定标工作规则，对不同类别项目择优竞价结合方式、竞价方法、择优要素予以明确，并报招标人内设（或上级）的纪检监察机构（或督查机构）备案。定标时必须严格遵守定标工作规则，不得临时改变规则。</w:t>
      </w:r>
    </w:p>
    <w:p>
      <w:pPr>
        <w:adjustRightInd w:val="0"/>
        <w:snapToGrid w:val="0"/>
        <w:spacing w:line="360" w:lineRule="auto"/>
        <w:ind w:firstLine="480" w:firstLineChars="200"/>
      </w:pPr>
      <w:r>
        <w:rPr>
          <w:rFonts w:hint="eastAsia"/>
        </w:rPr>
        <w:t>30.7在招标公告发布前，招标人应当结合项目实际，根据定标工作规则，制定项目定标方案，并报招标人内设（或上级）的纪检监察机构（或督查机构）备案。项目定标方案应当对清标内容、定标操作细则、择优要素及优先级别等内容予以明确。</w:t>
      </w:r>
    </w:p>
    <w:p>
      <w:pPr>
        <w:spacing w:line="360" w:lineRule="auto"/>
        <w:ind w:firstLine="480" w:firstLineChars="200"/>
      </w:pPr>
      <w:r>
        <w:rPr>
          <w:rFonts w:hint="eastAsia"/>
        </w:rPr>
        <w:t>30.8</w:t>
      </w:r>
      <w:r>
        <w:rPr>
          <w:rFonts w:hint="eastAsia"/>
          <w:szCs w:val="21"/>
        </w:rPr>
        <w:t>招标人应当向定标委员会提供定标方案、清标报告作为定标辅助材料。定标结束后，定标方案、清标报告及定标委员投票结果等定标过程资料应当留存备查。</w:t>
      </w:r>
    </w:p>
    <w:p>
      <w:pPr>
        <w:rPr>
          <w:b/>
          <w:sz w:val="28"/>
          <w:szCs w:val="28"/>
        </w:rPr>
      </w:pPr>
      <w:r>
        <w:rPr>
          <w:rFonts w:hint="eastAsia"/>
          <w:b/>
          <w:sz w:val="28"/>
          <w:szCs w:val="28"/>
        </w:rPr>
        <w:t>31.定标其它规定</w:t>
      </w:r>
    </w:p>
    <w:p>
      <w:pPr>
        <w:spacing w:line="360" w:lineRule="auto"/>
        <w:ind w:firstLine="480" w:firstLineChars="200"/>
        <w:rPr>
          <w:szCs w:val="21"/>
        </w:rPr>
      </w:pPr>
      <w:r>
        <w:rPr>
          <w:rFonts w:hint="eastAsia"/>
          <w:szCs w:val="21"/>
        </w:rPr>
        <w:t>31.1定标工作规则：招标人应当事先制定定标工作规则，对不同类别项目择优竞价结合方式、竞价方法、择优要素予以明确，并报招标人内设（或上级）的纪检监察机构（或督查机构）备案。定标时必须严格遵守定标工作规则，不得临时改变规则。</w:t>
      </w:r>
    </w:p>
    <w:p>
      <w:pPr>
        <w:spacing w:line="360" w:lineRule="auto"/>
        <w:ind w:firstLine="480" w:firstLineChars="200"/>
        <w:rPr>
          <w:szCs w:val="21"/>
        </w:rPr>
      </w:pPr>
      <w:r>
        <w:rPr>
          <w:rFonts w:hint="eastAsia"/>
          <w:szCs w:val="21"/>
        </w:rPr>
        <w:t>31.2定标方案：在招标公告发布前，招标人应当结合项目实际，根据定标工作规则，制定项目定标方案，并报招标人内设（或上级）的纪检监察机构（或督查机构）备案。</w:t>
      </w:r>
    </w:p>
    <w:p>
      <w:pPr>
        <w:spacing w:line="360" w:lineRule="auto"/>
        <w:ind w:firstLine="480" w:firstLineChars="200"/>
        <w:rPr>
          <w:szCs w:val="21"/>
        </w:rPr>
      </w:pPr>
      <w:r>
        <w:rPr>
          <w:rFonts w:hint="eastAsia"/>
          <w:szCs w:val="21"/>
        </w:rPr>
        <w:t>项目定标方案应当对清标内容、定标操作细则、择优要素及优先级别等内容予以明确。</w:t>
      </w:r>
    </w:p>
    <w:p>
      <w:pPr>
        <w:spacing w:line="360" w:lineRule="auto"/>
        <w:ind w:firstLine="480" w:firstLineChars="200"/>
        <w:rPr>
          <w:szCs w:val="21"/>
        </w:rPr>
      </w:pPr>
      <w:r>
        <w:rPr>
          <w:rFonts w:hint="eastAsia"/>
          <w:szCs w:val="21"/>
        </w:rPr>
        <w:t>31.3择优与竞价相结合：招标人在定标过程中，应当坚持择优与竞价相结合，择优为主。限制采用直接抽签方式进行定标。</w:t>
      </w:r>
    </w:p>
    <w:p>
      <w:pPr>
        <w:spacing w:line="360" w:lineRule="auto"/>
        <w:ind w:firstLine="480" w:firstLineChars="200"/>
        <w:rPr>
          <w:szCs w:val="21"/>
        </w:rPr>
      </w:pPr>
      <w:r>
        <w:rPr>
          <w:rFonts w:hint="eastAsia"/>
          <w:szCs w:val="21"/>
        </w:rPr>
        <w:t>在定标环节，定标委员会应当遵循如下原则：先择优后竞价；</w:t>
      </w:r>
    </w:p>
    <w:p>
      <w:pPr>
        <w:spacing w:line="360" w:lineRule="auto"/>
        <w:ind w:firstLine="480" w:firstLineChars="200"/>
        <w:rPr>
          <w:szCs w:val="21"/>
        </w:rPr>
      </w:pPr>
      <w:r>
        <w:rPr>
          <w:rFonts w:hint="eastAsia"/>
          <w:szCs w:val="21"/>
        </w:rPr>
        <w:t>31.4择优因素选择：定标环节的择优因素主要考虑企业资质、企业规模、科技创新能力、同类工程经验（业绩）及履约评价、企业及其人员的廉政记录、企业人员信用等因素。同等条件下，招标人可以优先考虑投标人服务便利度、合同稳定性、质量安全保障性、劳资纠纷可控度等因素。</w:t>
      </w:r>
    </w:p>
    <w:p>
      <w:pPr>
        <w:spacing w:line="360" w:lineRule="auto"/>
        <w:ind w:firstLine="480" w:firstLineChars="200"/>
        <w:rPr>
          <w:b/>
          <w:snapToGrid w:val="0"/>
          <w:szCs w:val="21"/>
        </w:rPr>
      </w:pPr>
      <w:r>
        <w:rPr>
          <w:rFonts w:hint="eastAsia"/>
          <w:szCs w:val="21"/>
        </w:rPr>
        <w:t>招标人可以根据项目实际情况增加择优因素，也可以综合考虑择优因素或按择优因素的重要性，对投标人进行逐级淘汰。</w:t>
      </w:r>
    </w:p>
    <w:p>
      <w:pPr>
        <w:spacing w:line="360" w:lineRule="auto"/>
        <w:ind w:firstLine="480" w:firstLineChars="200"/>
        <w:rPr>
          <w:szCs w:val="21"/>
        </w:rPr>
      </w:pPr>
      <w:r>
        <w:rPr>
          <w:rFonts w:hint="eastAsia"/>
          <w:szCs w:val="21"/>
        </w:rPr>
        <w:t>31.5进入最终定标程序的投标人少于三名的，招标人应重新组织招标。采用票决抽签法定标的工程，重新招标时，评标委员会推荐进入定标程序的投标人为两名或两名以下的，可不进行票决程序，直接进入抽签定标程序。</w:t>
      </w:r>
    </w:p>
    <w:p>
      <w:pPr>
        <w:ind w:firstLine="480" w:firstLineChars="200"/>
        <w:rPr>
          <w:szCs w:val="21"/>
        </w:rPr>
      </w:pPr>
      <w:r>
        <w:rPr>
          <w:rFonts w:hint="eastAsia"/>
          <w:szCs w:val="21"/>
        </w:rPr>
        <w:t>31.6定标后有下列情形之一的，招标人可以从评审合格的其他投标人中采用原招标文件规定的定标方法，由原定标委员会确定中标人。原采用票决抽签定标法的项目，票决进入抽签环节的其他投标人数量不足3名的，应当票决补足：</w:t>
      </w:r>
    </w:p>
    <w:p>
      <w:pPr>
        <w:spacing w:line="360" w:lineRule="auto"/>
        <w:ind w:firstLine="480" w:firstLineChars="200"/>
        <w:rPr>
          <w:szCs w:val="21"/>
        </w:rPr>
      </w:pPr>
      <w:r>
        <w:rPr>
          <w:rFonts w:hint="eastAsia"/>
          <w:szCs w:val="21"/>
        </w:rPr>
        <w:t>31.6.1中标人放弃中标资格或者拒不签订合同的；</w:t>
      </w:r>
    </w:p>
    <w:p>
      <w:pPr>
        <w:spacing w:line="360" w:lineRule="auto"/>
        <w:ind w:firstLine="480" w:firstLineChars="200"/>
        <w:rPr>
          <w:szCs w:val="21"/>
        </w:rPr>
      </w:pPr>
      <w:r>
        <w:rPr>
          <w:rFonts w:hint="eastAsia"/>
          <w:szCs w:val="21"/>
        </w:rPr>
        <w:t>31.6.2中标人不按照招标文件要求提交履约担保的；</w:t>
      </w:r>
    </w:p>
    <w:p>
      <w:pPr>
        <w:spacing w:line="360" w:lineRule="auto"/>
        <w:ind w:firstLine="480" w:firstLineChars="200"/>
        <w:rPr>
          <w:b/>
          <w:snapToGrid w:val="0"/>
          <w:szCs w:val="21"/>
        </w:rPr>
      </w:pPr>
      <w:r>
        <w:rPr>
          <w:rFonts w:hint="eastAsia"/>
          <w:szCs w:val="21"/>
        </w:rPr>
        <w:t>31.6.3被查实存在影响中标结果违法行为的。</w:t>
      </w:r>
    </w:p>
    <w:p>
      <w:pPr>
        <w:rPr>
          <w:b/>
          <w:sz w:val="28"/>
          <w:szCs w:val="28"/>
        </w:rPr>
      </w:pPr>
      <w:r>
        <w:rPr>
          <w:rFonts w:hint="eastAsia"/>
          <w:b/>
          <w:sz w:val="28"/>
          <w:szCs w:val="28"/>
        </w:rPr>
        <w:t>32.资信标表格</w:t>
      </w:r>
    </w:p>
    <w:p>
      <w:pPr>
        <w:adjustRightInd w:val="0"/>
        <w:snapToGrid w:val="0"/>
        <w:spacing w:line="360" w:lineRule="auto"/>
        <w:ind w:firstLine="480" w:firstLineChars="200"/>
        <w:rPr>
          <w:szCs w:val="21"/>
        </w:rPr>
      </w:pPr>
      <w:r>
        <w:rPr>
          <w:rFonts w:hint="eastAsia"/>
          <w:szCs w:val="21"/>
        </w:rPr>
        <w:t>32.1招标人可以结合项目实际要求投标人提供资信标作为定标参考因素之一。</w:t>
      </w:r>
    </w:p>
    <w:p>
      <w:pPr>
        <w:adjustRightInd w:val="0"/>
        <w:snapToGrid w:val="0"/>
        <w:spacing w:line="360" w:lineRule="auto"/>
        <w:jc w:val="center"/>
        <w:rPr>
          <w:b/>
          <w:sz w:val="28"/>
          <w:szCs w:val="28"/>
        </w:rPr>
      </w:pPr>
      <w:r>
        <w:rPr>
          <w:rFonts w:hint="eastAsia"/>
          <w:b/>
          <w:sz w:val="28"/>
          <w:szCs w:val="28"/>
        </w:rPr>
        <w:t>资信标要求一览表（如有）</w:t>
      </w:r>
    </w:p>
    <w:tbl>
      <w:tblPr>
        <w:tblStyle w:val="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989"/>
        <w:gridCol w:w="4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szCs w:val="21"/>
              </w:rPr>
            </w:pPr>
            <w:r>
              <w:rPr>
                <w:rFonts w:hint="eastAsia" w:ascii="黑体" w:hAnsi="黑体" w:eastAsia="黑体"/>
                <w:szCs w:val="21"/>
              </w:rPr>
              <w:t>序号</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szCs w:val="21"/>
              </w:rPr>
            </w:pPr>
            <w:r>
              <w:rPr>
                <w:rFonts w:hint="eastAsia" w:ascii="黑体" w:hAnsi="黑体" w:eastAsia="黑体"/>
                <w:szCs w:val="21"/>
              </w:rPr>
              <w:t>资信要素名称</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szCs w:val="21"/>
              </w:rPr>
            </w:pPr>
            <w:r>
              <w:rPr>
                <w:rFonts w:hint="eastAsia" w:ascii="黑体" w:hAnsi="黑体" w:eastAsia="黑体"/>
                <w:szCs w:val="2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1</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投标人资信标情况汇总表（不评审）</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投标人根据资信要素自行统计。为方便招标人整理汇总各投标人资信标信息，请各投标人按招标文件第三章提供《投标人资信标情况汇总表》。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2</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pPr>
            <w:r>
              <w:rPr>
                <w:rFonts w:hint="eastAsia"/>
              </w:rPr>
              <w:t>投标人固定办公场所（不评审）</w:t>
            </w:r>
          </w:p>
        </w:tc>
        <w:tc>
          <w:tcPr>
            <w:tcW w:w="411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pPr>
            <w:r>
              <w:rPr>
                <w:rFonts w:hint="eastAsia"/>
              </w:rPr>
              <w:t>提供满足需求的固定办公场地证明。说明：须提供办公场所的房产证或经房地产管理部门备案的房屋租赁合同原件扫描件。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3</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投标人同类业绩情况（不评审）</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投标人独立承担的近5年（从招标工程的招标公告第一次发布之日起倒推）同类工程</w:t>
            </w:r>
            <w:r>
              <w:rPr>
                <w:rFonts w:hint="eastAsia"/>
              </w:rPr>
              <w:t>项目</w:t>
            </w:r>
            <w:r>
              <w:t>业绩情况。（提供不超过5项，如超5项则按提供资料前5项统计）。</w:t>
            </w:r>
            <w:r>
              <w:br w:type="textWrapping"/>
            </w:r>
            <w:r>
              <w:t>注：业绩证明文件须提供合同关键页，业绩以合同签订时间为准（合同中必须清晰反映以下内容：项目所在地、合同金额、签订时间（必须能清晰判断在招标工程的招标公告第一次发布之日起至本项目截标时间）、工程类型等相关页，如合同无法体现上述内容或无法清晰反映要求内容的，因此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4</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pPr>
            <w:r>
              <w:t>投标人拟派项目负责人业绩情况（不评审）</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项目负责人承担近5年的（从招标工程的招标公告第一次发布之日起倒推）同类工程项目业绩情况。（提供不超过5项，如超5项则按提供资料前5项统计）。</w:t>
            </w:r>
            <w:r>
              <w:cr/>
            </w:r>
            <w:r>
              <w:t>注：业绩证明文件须提供合同关键页，业绩以合同签订时间为准（合同中必须清晰反映以下内容：项目所在地、合同金额、签订时间（必须能清晰判断在招标工程的招标公告第一次发布之日起至本项目截标时间）、工程类型、项目负责人姓名等相关页，如合同无法体现上述内容或无法清晰反映要求内容的，因此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5</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近三年（2020</w:t>
            </w:r>
            <w:r>
              <w:rPr>
                <w:rFonts w:hint="eastAsia"/>
              </w:rPr>
              <w:t>、2021、2022</w:t>
            </w:r>
            <w:r>
              <w:t>年）履约评价情况（不评审）</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列表并提供建设单位履约评价证明资料（不超过5项，若提供超过5项，统计时只计取前5项）。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6</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pPr>
            <w:r>
              <w:t>拟投入团队配备情况（不评审）</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①拟派的主要技术人员专业配备齐全（以职称证书上显示的专业为准），（提供职称或注册资格证书）；②拟投入的所有人员均需提供在本单位连续缴纳近半年的社保情况。（提供社保证明扫描件）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jc w:val="center"/>
              <w:textAlignment w:val="center"/>
            </w:pPr>
            <w:r>
              <w:rPr>
                <w:rFonts w:hint="eastAsia"/>
              </w:rPr>
              <w:t>7</w:t>
            </w:r>
          </w:p>
        </w:tc>
        <w:tc>
          <w:tcPr>
            <w:tcW w:w="2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资信标不做定性评审（不评审）</w:t>
            </w:r>
          </w:p>
        </w:tc>
        <w:tc>
          <w:tcPr>
            <w:tcW w:w="41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t>为响应（深建市场[2016]5号深圳市住房和建设局关于印发《建设工程招标文件定性评审要素设置规则》的通知，本招标文件资信标中资信要素不做评审（评价或评级），但要求投标人认真响应资信要素各项内容。</w:t>
            </w:r>
            <w:r>
              <w:cr/>
            </w:r>
            <w:r>
              <w:t>如系统不支持不做评审，所有投标人的资信标定性评审结论为“合格”。</w:t>
            </w:r>
          </w:p>
        </w:tc>
      </w:tr>
    </w:tbl>
    <w:p>
      <w:pPr>
        <w:adjustRightInd w:val="0"/>
        <w:snapToGrid w:val="0"/>
        <w:spacing w:line="360" w:lineRule="auto"/>
        <w:jc w:val="center"/>
        <w:rPr>
          <w:b/>
          <w:sz w:val="28"/>
          <w:szCs w:val="28"/>
        </w:rPr>
      </w:pPr>
    </w:p>
    <w:p>
      <w:pPr>
        <w:adjustRightInd w:val="0"/>
        <w:snapToGrid w:val="0"/>
        <w:spacing w:line="360" w:lineRule="auto"/>
      </w:pPr>
      <w:r>
        <w:rPr>
          <w:rFonts w:hint="eastAsia"/>
          <w:szCs w:val="21"/>
        </w:rPr>
        <w:t>备注：资信要素不进行评审，真实性通过公示予以监督。</w:t>
      </w:r>
    </w:p>
    <w:bookmarkEnd w:id="258"/>
    <w:p>
      <w:pPr>
        <w:pStyle w:val="6"/>
        <w:keepNext w:val="0"/>
        <w:keepLines w:val="0"/>
        <w:widowControl w:val="0"/>
        <w:tabs>
          <w:tab w:val="left" w:pos="720"/>
          <w:tab w:val="left" w:pos="4032"/>
        </w:tabs>
        <w:adjustRightInd w:val="0"/>
        <w:snapToGrid w:val="0"/>
        <w:spacing w:before="0" w:after="0" w:line="360" w:lineRule="auto"/>
        <w:jc w:val="center"/>
        <w:rPr>
          <w:lang w:val="en-US"/>
        </w:rPr>
      </w:pPr>
      <w:r>
        <w:rPr>
          <w:rFonts w:hint="eastAsia"/>
          <w:lang w:val="en-US"/>
        </w:rPr>
        <w:t>八、中标通知书</w:t>
      </w:r>
    </w:p>
    <w:p>
      <w:pPr>
        <w:rPr>
          <w:b/>
          <w:sz w:val="28"/>
          <w:szCs w:val="28"/>
        </w:rPr>
      </w:pPr>
      <w:r>
        <w:rPr>
          <w:rFonts w:hint="eastAsia"/>
          <w:b/>
          <w:sz w:val="28"/>
          <w:szCs w:val="28"/>
        </w:rPr>
        <w:t>33.中标通知书</w:t>
      </w:r>
    </w:p>
    <w:p>
      <w:pPr>
        <w:adjustRightInd w:val="0"/>
        <w:snapToGrid w:val="0"/>
        <w:spacing w:line="360" w:lineRule="auto"/>
        <w:ind w:firstLine="480" w:firstLineChars="200"/>
        <w:rPr>
          <w:szCs w:val="21"/>
        </w:rPr>
      </w:pPr>
      <w:r>
        <w:rPr>
          <w:rFonts w:hint="eastAsia"/>
          <w:szCs w:val="21"/>
        </w:rPr>
        <w:t>33.1</w:t>
      </w:r>
      <w:r>
        <w:rPr>
          <w:szCs w:val="21"/>
        </w:rPr>
        <w:t>在规定的公示期内未收到对中标结果的异议的，招标人将按法律法规规定的时间内向中标人发出中标通知书。如接到有关投诉的，招标人将可能暂停发出中标通知书。</w:t>
      </w:r>
    </w:p>
    <w:p>
      <w:pPr>
        <w:adjustRightInd w:val="0"/>
        <w:snapToGrid w:val="0"/>
        <w:spacing w:line="360" w:lineRule="auto"/>
        <w:ind w:firstLine="480" w:firstLineChars="200"/>
        <w:rPr>
          <w:szCs w:val="21"/>
        </w:rPr>
      </w:pPr>
      <w:r>
        <w:rPr>
          <w:rFonts w:hint="eastAsia"/>
          <w:szCs w:val="21"/>
        </w:rPr>
        <w:t>33.2</w:t>
      </w:r>
      <w:r>
        <w:rPr>
          <w:szCs w:val="21"/>
        </w:rPr>
        <w:t>招标人在发出中标通知书之前因正当理由，经行政监督部门批准并经</w:t>
      </w:r>
      <w:r>
        <w:rPr>
          <w:rFonts w:hint="eastAsia"/>
          <w:szCs w:val="21"/>
        </w:rPr>
        <w:t>相关网站</w:t>
      </w:r>
      <w:r>
        <w:rPr>
          <w:szCs w:val="21"/>
        </w:rPr>
        <w:t>公示3个工作日后，招标人有权接受或拒绝投标、宣布投标程序无效或拒绝所有投标。对受影响的投标人不承担任何责任。</w:t>
      </w:r>
    </w:p>
    <w:p>
      <w:pPr>
        <w:adjustRightInd w:val="0"/>
        <w:snapToGrid w:val="0"/>
        <w:spacing w:line="360" w:lineRule="auto"/>
        <w:ind w:firstLine="480" w:firstLineChars="200"/>
      </w:pPr>
      <w:r>
        <w:rPr>
          <w:rFonts w:hint="eastAsia"/>
          <w:szCs w:val="21"/>
        </w:rPr>
        <w:t>33.3</w:t>
      </w:r>
      <w:r>
        <w:rPr>
          <w:szCs w:val="21"/>
        </w:rPr>
        <w:t>中标人应在收到中标通知书后15天内，向招标人提交可实施的施工组织设计，招标人应当会同监理单位对施工组织设计进行审核。</w:t>
      </w:r>
    </w:p>
    <w:p>
      <w:pPr>
        <w:adjustRightInd w:val="0"/>
        <w:snapToGrid w:val="0"/>
        <w:spacing w:line="360" w:lineRule="auto"/>
      </w:pPr>
    </w:p>
    <w:p>
      <w:pPr>
        <w:pStyle w:val="6"/>
        <w:keepNext w:val="0"/>
        <w:keepLines w:val="0"/>
        <w:widowControl w:val="0"/>
        <w:tabs>
          <w:tab w:val="left" w:pos="720"/>
          <w:tab w:val="left" w:pos="4032"/>
        </w:tabs>
        <w:adjustRightInd w:val="0"/>
        <w:snapToGrid w:val="0"/>
        <w:spacing w:before="0" w:after="0" w:line="360" w:lineRule="auto"/>
        <w:jc w:val="center"/>
        <w:rPr>
          <w:lang w:val="en-US"/>
        </w:rPr>
      </w:pPr>
      <w:r>
        <w:rPr>
          <w:rFonts w:hint="eastAsia"/>
          <w:lang w:val="en-US"/>
        </w:rPr>
        <w:t>九、合同的授予</w:t>
      </w:r>
    </w:p>
    <w:p>
      <w:pPr>
        <w:rPr>
          <w:b/>
          <w:sz w:val="28"/>
          <w:szCs w:val="28"/>
        </w:rPr>
      </w:pPr>
      <w:r>
        <w:rPr>
          <w:rFonts w:hint="eastAsia"/>
          <w:b/>
          <w:sz w:val="28"/>
          <w:szCs w:val="28"/>
        </w:rPr>
        <w:t>34.合同授予标准</w:t>
      </w:r>
    </w:p>
    <w:p>
      <w:pPr>
        <w:adjustRightInd w:val="0"/>
        <w:snapToGrid w:val="0"/>
        <w:spacing w:line="360" w:lineRule="auto"/>
        <w:ind w:firstLine="480" w:firstLineChars="200"/>
        <w:rPr>
          <w:szCs w:val="21"/>
        </w:rPr>
      </w:pPr>
      <w:r>
        <w:rPr>
          <w:rFonts w:hint="eastAsia"/>
          <w:szCs w:val="21"/>
        </w:rPr>
        <w:t>34.1本工程的施工合同将授予按招标文件规定所确定的中标人。</w:t>
      </w:r>
    </w:p>
    <w:p>
      <w:pPr>
        <w:rPr>
          <w:b/>
          <w:sz w:val="28"/>
          <w:szCs w:val="28"/>
        </w:rPr>
      </w:pPr>
      <w:r>
        <w:rPr>
          <w:rFonts w:hint="eastAsia"/>
          <w:b/>
          <w:sz w:val="28"/>
          <w:szCs w:val="28"/>
        </w:rPr>
        <w:t>35.合同协议书的签订</w:t>
      </w:r>
    </w:p>
    <w:p>
      <w:pPr>
        <w:adjustRightInd w:val="0"/>
        <w:snapToGrid w:val="0"/>
        <w:spacing w:line="360" w:lineRule="auto"/>
        <w:ind w:firstLine="480" w:firstLineChars="200"/>
        <w:rPr>
          <w:szCs w:val="21"/>
        </w:rPr>
      </w:pPr>
      <w:r>
        <w:rPr>
          <w:rFonts w:hint="eastAsia"/>
          <w:szCs w:val="21"/>
        </w:rPr>
        <w:t>35.1招标人与中标人将于招标文件规定的时限内，根据招标文件和中标人的投标文件签订建设工程施工合同，合同价为中标人的投标报价（因计算错误，评标委员会修正中标价的除外）。</w:t>
      </w:r>
    </w:p>
    <w:p>
      <w:pPr>
        <w:adjustRightInd w:val="0"/>
        <w:snapToGrid w:val="0"/>
        <w:spacing w:line="360" w:lineRule="auto"/>
        <w:ind w:firstLine="480" w:firstLineChars="200"/>
        <w:rPr>
          <w:szCs w:val="21"/>
        </w:rPr>
      </w:pPr>
      <w:r>
        <w:rPr>
          <w:rFonts w:hint="eastAsia"/>
          <w:szCs w:val="21"/>
        </w:rPr>
        <w:t>35.2招标人与中标人签订的施工合同必须遵守本招标文件的合同条件，并且不得更改合同条件。</w:t>
      </w:r>
    </w:p>
    <w:p>
      <w:pPr>
        <w:adjustRightInd w:val="0"/>
        <w:snapToGrid w:val="0"/>
        <w:spacing w:line="360" w:lineRule="auto"/>
        <w:ind w:firstLine="480" w:firstLineChars="200"/>
        <w:rPr>
          <w:szCs w:val="21"/>
        </w:rPr>
      </w:pPr>
      <w:r>
        <w:rPr>
          <w:rFonts w:hint="eastAsia"/>
          <w:szCs w:val="21"/>
        </w:rPr>
        <w:t>35.3中标人不按招标文件规定与招标人签订合同，招标人有权废除中标，并没收其投标保证金或投标保函，给招标人造成的损失超过投标担保数额的，还应当对超过部分予以赔偿，同时依法承担相应法律责任。</w:t>
      </w:r>
    </w:p>
    <w:p>
      <w:pPr>
        <w:adjustRightInd w:val="0"/>
        <w:snapToGrid w:val="0"/>
        <w:spacing w:line="360" w:lineRule="auto"/>
        <w:ind w:firstLine="480" w:firstLineChars="200"/>
        <w:rPr>
          <w:szCs w:val="21"/>
        </w:rPr>
      </w:pPr>
      <w:r>
        <w:rPr>
          <w:rFonts w:hint="eastAsia"/>
          <w:szCs w:val="21"/>
        </w:rPr>
        <w:t>35.4中标人应当按照合同约定履行义务，完成中标工程施工，不得将中标工程转让（转包）给他人施工。</w:t>
      </w:r>
    </w:p>
    <w:p>
      <w:pPr>
        <w:rPr>
          <w:b/>
          <w:sz w:val="28"/>
          <w:szCs w:val="28"/>
        </w:rPr>
      </w:pPr>
      <w:r>
        <w:rPr>
          <w:rFonts w:hint="eastAsia"/>
          <w:b/>
          <w:sz w:val="28"/>
          <w:szCs w:val="28"/>
        </w:rPr>
        <w:t>36.工程担保</w:t>
      </w:r>
    </w:p>
    <w:p>
      <w:pPr>
        <w:adjustRightInd w:val="0"/>
        <w:snapToGrid w:val="0"/>
        <w:spacing w:line="360" w:lineRule="auto"/>
        <w:ind w:firstLine="480" w:firstLineChars="200"/>
        <w:rPr>
          <w:szCs w:val="21"/>
        </w:rPr>
      </w:pPr>
      <w:r>
        <w:rPr>
          <w:rFonts w:hint="eastAsia"/>
          <w:szCs w:val="21"/>
        </w:rPr>
        <w:t>36.1中标人应</w:t>
      </w:r>
      <w:r>
        <w:rPr>
          <w:rFonts w:hint="eastAsia" w:cs="Courier New"/>
          <w:szCs w:val="21"/>
        </w:rPr>
        <w:t>在签订工程承包合同时，</w:t>
      </w:r>
      <w:r>
        <w:rPr>
          <w:rFonts w:hint="eastAsia"/>
          <w:szCs w:val="21"/>
        </w:rPr>
        <w:t>按招标文件规定的时间、出具单位及规定的金额向招标人提交履约担保，履约担保可参照使用本招标文件附表提供的格式。履约担保为</w:t>
      </w:r>
      <w:r>
        <w:rPr>
          <w:rFonts w:hint="eastAsia" w:cs="Courier New"/>
          <w:szCs w:val="21"/>
        </w:rPr>
        <w:t>中标价与招标控制价或投标报价上限（无招标控制价招标的）的差额，且不高于中标价的1</w:t>
      </w:r>
      <w:r>
        <w:rPr>
          <w:rFonts w:cs="Courier New"/>
          <w:szCs w:val="21"/>
        </w:rPr>
        <w:t>0</w:t>
      </w:r>
      <w:r>
        <w:rPr>
          <w:rFonts w:hint="eastAsia" w:cs="Courier New"/>
          <w:szCs w:val="21"/>
        </w:rPr>
        <w:t>%。</w:t>
      </w:r>
    </w:p>
    <w:p>
      <w:pPr>
        <w:adjustRightInd w:val="0"/>
        <w:snapToGrid w:val="0"/>
        <w:spacing w:line="360" w:lineRule="auto"/>
        <w:ind w:firstLine="480" w:firstLineChars="200"/>
        <w:rPr>
          <w:szCs w:val="21"/>
        </w:rPr>
      </w:pPr>
      <w:r>
        <w:rPr>
          <w:rFonts w:hint="eastAsia"/>
          <w:szCs w:val="21"/>
        </w:rPr>
        <w:t>36.2招标人应在中标人提交履约担保的同时向中标人提供与履约担保数额等额的工程款支付担保。</w:t>
      </w:r>
    </w:p>
    <w:p>
      <w:pPr>
        <w:adjustRightInd w:val="0"/>
        <w:snapToGrid w:val="0"/>
        <w:spacing w:line="360" w:lineRule="auto"/>
        <w:ind w:firstLine="480" w:firstLineChars="200"/>
        <w:rPr>
          <w:szCs w:val="21"/>
        </w:rPr>
      </w:pPr>
      <w:r>
        <w:rPr>
          <w:rFonts w:hint="eastAsia"/>
          <w:szCs w:val="21"/>
        </w:rPr>
        <w:t>36.3中标人不按招标文件规定提交履约担保的，招标人有权取消其中标资格，并没收其投标保证金，给招标人造成的损失超过投标保证金数额的，中标人应当对超过部分予以赔偿。</w:t>
      </w:r>
    </w:p>
    <w:p>
      <w:pPr>
        <w:adjustRightInd w:val="0"/>
        <w:snapToGrid w:val="0"/>
        <w:spacing w:line="360" w:lineRule="auto"/>
        <w:ind w:firstLine="480" w:firstLineChars="200"/>
        <w:rPr>
          <w:szCs w:val="21"/>
        </w:rPr>
      </w:pPr>
      <w:r>
        <w:rPr>
          <w:rFonts w:hint="eastAsia"/>
          <w:szCs w:val="21"/>
        </w:rPr>
        <w:t>36.</w:t>
      </w:r>
      <w:r>
        <w:rPr>
          <w:szCs w:val="21"/>
        </w:rPr>
        <w:t>4</w:t>
      </w:r>
      <w:r>
        <w:rPr>
          <w:rFonts w:hint="eastAsia"/>
          <w:szCs w:val="21"/>
        </w:rPr>
        <w:t>承包商履约担保和业主支付担保都必须采用经对方认可的银行保函、保证保险、专业工程担保公司担保等。双方均不得在工程担保有效期内解除担保。</w:t>
      </w:r>
    </w:p>
    <w:p>
      <w:pPr>
        <w:spacing w:line="360" w:lineRule="auto"/>
        <w:rPr>
          <w:szCs w:val="21"/>
        </w:rPr>
      </w:pPr>
      <w:r>
        <w:rPr>
          <w:szCs w:val="21"/>
        </w:rPr>
        <w:br w:type="page"/>
      </w:r>
    </w:p>
    <w:p>
      <w:pPr>
        <w:adjustRightInd w:val="0"/>
        <w:snapToGrid w:val="0"/>
        <w:spacing w:line="360" w:lineRule="auto"/>
        <w:jc w:val="center"/>
        <w:outlineLvl w:val="0"/>
        <w:rPr>
          <w:b/>
          <w:sz w:val="52"/>
          <w:szCs w:val="52"/>
        </w:rPr>
      </w:pPr>
      <w:bookmarkStart w:id="260" w:name="_Toc14347"/>
      <w:r>
        <w:rPr>
          <w:rFonts w:hint="eastAsia"/>
          <w:b/>
          <w:sz w:val="52"/>
          <w:szCs w:val="52"/>
        </w:rPr>
        <w:t>第三章  招标人对招标文件及合同范本的补充/修改</w:t>
      </w:r>
    </w:p>
    <w:p>
      <w:pPr>
        <w:topLinePunct/>
        <w:adjustRightInd w:val="0"/>
        <w:snapToGrid w:val="0"/>
        <w:spacing w:line="360" w:lineRule="auto"/>
        <w:ind w:firstLine="440" w:firstLineChars="200"/>
        <w:rPr>
          <w:sz w:val="22"/>
          <w:szCs w:val="22"/>
        </w:rPr>
      </w:pPr>
    </w:p>
    <w:p>
      <w:pPr>
        <w:topLinePunct/>
        <w:adjustRightInd w:val="0"/>
        <w:snapToGrid w:val="0"/>
        <w:spacing w:line="360" w:lineRule="auto"/>
        <w:ind w:firstLine="480" w:firstLineChars="200"/>
        <w:rPr>
          <w:szCs w:val="21"/>
        </w:rPr>
      </w:pPr>
      <w:r>
        <w:rPr>
          <w:rFonts w:hint="eastAsia"/>
          <w:szCs w:val="21"/>
        </w:rPr>
        <w:t>招标人可根据工程实际情况，对本范本进行补充或修改，但有关补充或修改内容不得违法违规，且必须逐一列举在以下栏目中。请投标人认真阅读并遵照执行：</w:t>
      </w:r>
    </w:p>
    <w:p>
      <w:pPr>
        <w:topLinePunct/>
        <w:adjustRightInd w:val="0"/>
        <w:snapToGrid w:val="0"/>
        <w:spacing w:line="360" w:lineRule="auto"/>
        <w:ind w:firstLine="480" w:firstLineChars="200"/>
        <w:rPr>
          <w:szCs w:val="21"/>
        </w:rPr>
      </w:pPr>
    </w:p>
    <w:p>
      <w:pPr>
        <w:pStyle w:val="187"/>
        <w:widowControl w:val="0"/>
        <w:numPr>
          <w:ilvl w:val="0"/>
          <w:numId w:val="10"/>
        </w:numPr>
        <w:adjustRightInd w:val="0"/>
        <w:snapToGrid w:val="0"/>
        <w:spacing w:after="200" w:line="360" w:lineRule="auto"/>
        <w:ind w:firstLine="480"/>
        <w:rPr>
          <w:szCs w:val="21"/>
        </w:rPr>
      </w:pPr>
      <w:r>
        <w:rPr>
          <w:rFonts w:hint="eastAsia"/>
          <w:szCs w:val="21"/>
        </w:rPr>
        <w:t>本项目不要求投标人提供《行贿犯罪档案查询告知函》。在确定中标候选人后，由招标人在中国裁判文书网(http://wenshu.court.gov.cn/)查询，此过程中，中标候选人必须无条件予以协助及配合。若查询结果为中标候选人存在违法记录等情况，招标人有权取消其中标资格并重新定标或重新招标。</w:t>
      </w:r>
    </w:p>
    <w:p>
      <w:pPr>
        <w:pStyle w:val="187"/>
        <w:widowControl w:val="0"/>
        <w:numPr>
          <w:ilvl w:val="0"/>
          <w:numId w:val="10"/>
        </w:numPr>
        <w:adjustRightInd w:val="0"/>
        <w:snapToGrid w:val="0"/>
        <w:spacing w:after="200" w:line="360" w:lineRule="auto"/>
        <w:ind w:firstLine="480"/>
        <w:rPr>
          <w:szCs w:val="21"/>
        </w:rPr>
      </w:pPr>
      <w:r>
        <w:rPr>
          <w:rFonts w:hint="eastAsia"/>
          <w:szCs w:val="21"/>
        </w:rPr>
        <w:t>关于投标报价</w:t>
      </w:r>
    </w:p>
    <w:p>
      <w:pPr>
        <w:pStyle w:val="187"/>
        <w:widowControl w:val="0"/>
        <w:adjustRightInd w:val="0"/>
        <w:snapToGrid w:val="0"/>
        <w:spacing w:after="200" w:line="360" w:lineRule="auto"/>
        <w:ind w:left="420" w:firstLine="0" w:firstLineChars="0"/>
        <w:rPr>
          <w:szCs w:val="21"/>
        </w:rPr>
      </w:pPr>
      <w:r>
        <w:rPr>
          <w:rFonts w:hint="eastAsia"/>
          <w:szCs w:val="21"/>
        </w:rPr>
        <w:t xml:space="preserve">报价方式：■自主报价  </w:t>
      </w:r>
    </w:p>
    <w:p>
      <w:pPr>
        <w:adjustRightInd w:val="0"/>
        <w:snapToGrid w:val="0"/>
        <w:spacing w:after="200" w:line="360" w:lineRule="auto"/>
        <w:ind w:firstLine="480" w:firstLineChars="200"/>
        <w:rPr>
          <w:szCs w:val="21"/>
        </w:rPr>
      </w:pPr>
      <w:r>
        <w:rPr>
          <w:rFonts w:hint="eastAsia"/>
          <w:szCs w:val="21"/>
        </w:rPr>
        <w:t>本项目投标报价上限暂定为人民币</w:t>
      </w:r>
      <w:r>
        <w:rPr>
          <w:b/>
          <w:szCs w:val="21"/>
        </w:rPr>
        <w:t>89.5325</w:t>
      </w:r>
      <w:r>
        <w:rPr>
          <w:rFonts w:hint="eastAsia"/>
          <w:szCs w:val="21"/>
        </w:rPr>
        <w:t>万元，采用自主报价，下浮率范围为≥</w:t>
      </w:r>
      <w:r>
        <w:rPr>
          <w:szCs w:val="21"/>
        </w:rPr>
        <w:t>0%，投标人仅报相对招标估价折算下浮率和投标报价。</w:t>
      </w:r>
      <w:r>
        <w:rPr>
          <w:rFonts w:hint="eastAsia"/>
          <w:szCs w:val="21"/>
        </w:rPr>
        <w:t>未按要求报价的，开标阶段其投标文件不予受理。</w:t>
      </w:r>
    </w:p>
    <w:p>
      <w:pPr>
        <w:pStyle w:val="2"/>
        <w:ind w:firstLine="480"/>
      </w:pPr>
      <w:r>
        <w:rPr>
          <w:rFonts w:hint="eastAsia"/>
        </w:rPr>
        <w:t>本项目设计费根据《工程勘察设计收费管理规定》（计价格</w:t>
      </w:r>
      <w:r>
        <w:t>[2002]10号）规定，</w:t>
      </w:r>
      <w:r>
        <w:rPr>
          <w:rFonts w:hint="eastAsia"/>
        </w:rPr>
        <w:t>暂以建安工程费</w:t>
      </w:r>
      <w:r>
        <w:t>2561万元为计费基数，计取该项目设计费为89.5325万元。待区发改局批复项目概算后，设计费以概算批复的设计费为准，最终结算价以区造价站出具的决算质量复核报告审定价为准。设计费拟从半岛花园A区老旧小区改造工程项目经费中列支。</w:t>
      </w:r>
    </w:p>
    <w:p>
      <w:pPr>
        <w:pStyle w:val="2"/>
        <w:ind w:firstLine="480"/>
      </w:pPr>
    </w:p>
    <w:p>
      <w:pPr>
        <w:pStyle w:val="187"/>
        <w:widowControl w:val="0"/>
        <w:numPr>
          <w:ilvl w:val="0"/>
          <w:numId w:val="10"/>
        </w:numPr>
        <w:adjustRightInd w:val="0"/>
        <w:snapToGrid w:val="0"/>
        <w:spacing w:after="200" w:line="360" w:lineRule="auto"/>
        <w:ind w:firstLine="480"/>
        <w:rPr>
          <w:szCs w:val="21"/>
        </w:rPr>
      </w:pPr>
      <w:r>
        <w:rPr>
          <w:rFonts w:hint="eastAsia"/>
          <w:szCs w:val="21"/>
        </w:rPr>
        <w:t>由于项目行政审批等原因导致的投资、规模等条件发生变化（增减工程）及项目无法实施，中标人必须无条件接受，且不得向招标人索赔任何费用。</w:t>
      </w:r>
    </w:p>
    <w:p>
      <w:pPr>
        <w:pStyle w:val="187"/>
        <w:widowControl w:val="0"/>
        <w:numPr>
          <w:ilvl w:val="0"/>
          <w:numId w:val="10"/>
        </w:numPr>
        <w:adjustRightInd w:val="0"/>
        <w:snapToGrid w:val="0"/>
        <w:spacing w:after="200" w:line="360" w:lineRule="auto"/>
        <w:ind w:firstLine="480"/>
        <w:rPr>
          <w:szCs w:val="21"/>
        </w:rPr>
      </w:pPr>
      <w:r>
        <w:rPr>
          <w:rFonts w:hint="eastAsia"/>
          <w:szCs w:val="21"/>
        </w:rPr>
        <w:t>本项目不进行评标，招标文件中评标相关内容均不适用，无评标专家推荐环节。</w:t>
      </w:r>
    </w:p>
    <w:p>
      <w:pPr>
        <w:pStyle w:val="187"/>
        <w:widowControl w:val="0"/>
        <w:numPr>
          <w:ilvl w:val="0"/>
          <w:numId w:val="10"/>
        </w:numPr>
        <w:adjustRightInd w:val="0"/>
        <w:snapToGrid w:val="0"/>
        <w:spacing w:after="200" w:line="360" w:lineRule="auto"/>
        <w:ind w:firstLine="480"/>
        <w:rPr>
          <w:szCs w:val="21"/>
        </w:rPr>
      </w:pPr>
      <w:r>
        <w:rPr>
          <w:rFonts w:hint="eastAsia"/>
          <w:szCs w:val="21"/>
        </w:rPr>
        <w:t>本项目充分竞争，在投标人中进行择优选择，定标择优要素为：（1）投标人同类工程业绩情况；（2）拟派项目负责人业绩情况；（3）投标人履约评价情况；（4）拟投入团队配备情况等。</w:t>
      </w:r>
    </w:p>
    <w:p>
      <w:pPr>
        <w:widowControl w:val="0"/>
        <w:topLinePunct/>
        <w:adjustRightInd w:val="0"/>
        <w:snapToGrid w:val="0"/>
        <w:spacing w:line="360" w:lineRule="auto"/>
        <w:ind w:firstLine="480" w:firstLineChars="200"/>
        <w:jc w:val="both"/>
        <w:rPr>
          <w:szCs w:val="21"/>
        </w:rPr>
      </w:pPr>
      <w:r>
        <w:rPr>
          <w:rFonts w:hint="eastAsia"/>
          <w:szCs w:val="21"/>
        </w:rPr>
        <w:t>同等条件下，招标人可以优先考虑投标人合同稳定性、质量安全保障性等因素。</w:t>
      </w:r>
    </w:p>
    <w:p>
      <w:pPr>
        <w:pStyle w:val="187"/>
        <w:widowControl w:val="0"/>
        <w:numPr>
          <w:ilvl w:val="0"/>
          <w:numId w:val="10"/>
        </w:numPr>
        <w:adjustRightInd w:val="0"/>
        <w:snapToGrid w:val="0"/>
        <w:spacing w:after="200" w:line="360" w:lineRule="auto"/>
        <w:ind w:firstLine="480"/>
        <w:rPr>
          <w:szCs w:val="21"/>
        </w:rPr>
      </w:pPr>
      <w:r>
        <w:rPr>
          <w:rFonts w:hint="eastAsia"/>
          <w:szCs w:val="21"/>
        </w:rPr>
        <w:t>本项目不要求投标担保和履约担保，不提供支付担保。</w:t>
      </w:r>
    </w:p>
    <w:p>
      <w:pPr>
        <w:pStyle w:val="187"/>
        <w:widowControl w:val="0"/>
        <w:numPr>
          <w:ilvl w:val="0"/>
          <w:numId w:val="10"/>
        </w:numPr>
        <w:adjustRightInd w:val="0"/>
        <w:snapToGrid w:val="0"/>
        <w:spacing w:after="200" w:line="360" w:lineRule="auto"/>
        <w:ind w:firstLine="480"/>
        <w:rPr>
          <w:szCs w:val="21"/>
        </w:rPr>
      </w:pPr>
      <w:r>
        <w:rPr>
          <w:rFonts w:hint="eastAsia"/>
          <w:szCs w:val="21"/>
        </w:rPr>
        <w:t>工期要求：270日历天。</w:t>
      </w:r>
    </w:p>
    <w:p>
      <w:pPr>
        <w:pStyle w:val="187"/>
        <w:widowControl w:val="0"/>
        <w:numPr>
          <w:ilvl w:val="0"/>
          <w:numId w:val="10"/>
        </w:numPr>
        <w:adjustRightInd w:val="0"/>
        <w:snapToGrid w:val="0"/>
        <w:spacing w:after="200" w:line="360" w:lineRule="auto"/>
        <w:ind w:firstLine="480"/>
        <w:rPr>
          <w:szCs w:val="21"/>
        </w:rPr>
      </w:pPr>
      <w:r>
        <w:rPr>
          <w:rFonts w:hint="eastAsia"/>
          <w:szCs w:val="21"/>
        </w:rPr>
        <w:t>定标程序：</w:t>
      </w:r>
    </w:p>
    <w:p>
      <w:pPr>
        <w:pStyle w:val="187"/>
        <w:widowControl w:val="0"/>
        <w:tabs>
          <w:tab w:val="left" w:pos="0"/>
        </w:tabs>
        <w:adjustRightInd w:val="0"/>
        <w:snapToGrid w:val="0"/>
        <w:spacing w:after="200" w:line="360" w:lineRule="auto"/>
        <w:ind w:firstLine="480"/>
        <w:rPr>
          <w:szCs w:val="21"/>
        </w:rPr>
      </w:pPr>
      <w:r>
        <w:rPr>
          <w:rFonts w:hint="eastAsia"/>
          <w:szCs w:val="21"/>
        </w:rPr>
        <w:t>组建定标委员会：</w:t>
      </w:r>
      <w:r>
        <w:rPr>
          <w:szCs w:val="21"/>
        </w:rPr>
        <w:t>定标委员会由招标人依法组建</w:t>
      </w:r>
      <w:r>
        <w:rPr>
          <w:rFonts w:hint="eastAsia"/>
          <w:szCs w:val="21"/>
        </w:rPr>
        <w:t>，</w:t>
      </w:r>
      <w:r>
        <w:rPr>
          <w:szCs w:val="21"/>
        </w:rPr>
        <w:t>定标委员会由</w:t>
      </w:r>
      <w:r>
        <w:rPr>
          <w:rFonts w:hint="eastAsia"/>
          <w:szCs w:val="21"/>
        </w:rPr>
        <w:t>5</w:t>
      </w:r>
      <w:r>
        <w:rPr>
          <w:szCs w:val="21"/>
        </w:rPr>
        <w:t>人及以上单数成员组成。定标委员会成员在定标当日由招标人从2倍以上备选人员名单中随机抽取确定。定标委员会组成后，推举一人为定标委员会主任，主持当次定标会议并依据招标文件进行定标的各个议程。定标委员会成员不得与投标人有直接利益关系，对招标工程定标结果负有责任。</w:t>
      </w:r>
    </w:p>
    <w:p>
      <w:pPr>
        <w:pStyle w:val="187"/>
        <w:widowControl w:val="0"/>
        <w:tabs>
          <w:tab w:val="left" w:pos="0"/>
        </w:tabs>
        <w:adjustRightInd w:val="0"/>
        <w:snapToGrid w:val="0"/>
        <w:spacing w:after="200" w:line="360" w:lineRule="auto"/>
        <w:ind w:firstLine="480"/>
        <w:rPr>
          <w:szCs w:val="21"/>
        </w:rPr>
      </w:pPr>
      <w:r>
        <w:rPr>
          <w:rFonts w:hint="eastAsia"/>
          <w:szCs w:val="21"/>
        </w:rPr>
        <w:t>组建监督委员会：</w:t>
      </w:r>
      <w:r>
        <w:rPr>
          <w:szCs w:val="21"/>
        </w:rPr>
        <w:t>由招标人</w:t>
      </w:r>
      <w:r>
        <w:rPr>
          <w:rFonts w:hint="eastAsia"/>
          <w:szCs w:val="21"/>
        </w:rPr>
        <w:t>组建，</w:t>
      </w:r>
      <w:r>
        <w:rPr>
          <w:szCs w:val="21"/>
        </w:rPr>
        <w:t>监督小组由</w:t>
      </w:r>
      <w:r>
        <w:rPr>
          <w:rFonts w:hint="eastAsia"/>
          <w:szCs w:val="21"/>
        </w:rPr>
        <w:t>1</w:t>
      </w:r>
      <w:r>
        <w:rPr>
          <w:szCs w:val="21"/>
        </w:rPr>
        <w:t>人组成</w:t>
      </w:r>
      <w:r>
        <w:rPr>
          <w:rFonts w:hint="eastAsia"/>
          <w:szCs w:val="21"/>
        </w:rPr>
        <w:t>，</w:t>
      </w:r>
      <w:r>
        <w:rPr>
          <w:szCs w:val="21"/>
        </w:rPr>
        <w:t>监督小组对定标全过程进行监督，按相关规定参与定标会监督工作。</w:t>
      </w:r>
    </w:p>
    <w:p>
      <w:pPr>
        <w:pStyle w:val="187"/>
        <w:widowControl w:val="0"/>
        <w:adjustRightInd w:val="0"/>
        <w:snapToGrid w:val="0"/>
        <w:spacing w:after="200" w:line="360" w:lineRule="auto"/>
        <w:ind w:firstLine="480"/>
        <w:rPr>
          <w:szCs w:val="21"/>
        </w:rPr>
      </w:pPr>
      <w:r>
        <w:rPr>
          <w:szCs w:val="21"/>
        </w:rPr>
        <w:t>投票规则：定标委员会采用</w:t>
      </w:r>
      <w:r>
        <w:rPr>
          <w:rFonts w:hint="eastAsia"/>
          <w:szCs w:val="21"/>
        </w:rPr>
        <w:t>直接票决</w:t>
      </w:r>
      <w:r>
        <w:rPr>
          <w:szCs w:val="21"/>
        </w:rPr>
        <w:t>[简单多数（且过半数）]进行评选。</w:t>
      </w:r>
    </w:p>
    <w:p>
      <w:pPr>
        <w:pStyle w:val="187"/>
        <w:widowControl w:val="0"/>
        <w:adjustRightInd w:val="0"/>
        <w:snapToGrid w:val="0"/>
        <w:spacing w:after="200" w:line="360" w:lineRule="auto"/>
        <w:ind w:firstLine="480"/>
        <w:rPr>
          <w:szCs w:val="21"/>
        </w:rPr>
      </w:pPr>
      <w:r>
        <w:rPr>
          <w:szCs w:val="21"/>
        </w:rPr>
        <w:t>定标委员会在进入投票范围的投标人中，以每人投票支持一个投标人的方式（需写明理由），得票最多且过半数的投标人为中标人。当没有投标人得票超过半数时，选择得票较多的2个投标人（按上一轮得票多少的顺序选择，在选择第2个投标人时出现同票的投标人时，所有同票投标人一并纳入下一轮的投票范围）作为二次投票的范围，直至出现得票过半数的投标人为止。</w:t>
      </w:r>
    </w:p>
    <w:p>
      <w:pPr>
        <w:pStyle w:val="187"/>
        <w:widowControl w:val="0"/>
        <w:adjustRightInd w:val="0"/>
        <w:snapToGrid w:val="0"/>
        <w:spacing w:after="200" w:line="360" w:lineRule="auto"/>
        <w:ind w:firstLine="480"/>
        <w:rPr>
          <w:szCs w:val="21"/>
        </w:rPr>
      </w:pPr>
      <w:r>
        <w:rPr>
          <w:szCs w:val="21"/>
        </w:rPr>
        <w:t>产生定标结论后，定标委员会签署定标会会议纪要，确定一名中标人。定标会会议纪要由定标委员会全体成员和监督小组全体成员签字。</w:t>
      </w:r>
    </w:p>
    <w:p>
      <w:pPr>
        <w:pStyle w:val="187"/>
        <w:widowControl w:val="0"/>
        <w:adjustRightInd w:val="0"/>
        <w:snapToGrid w:val="0"/>
        <w:spacing w:after="200" w:line="360" w:lineRule="auto"/>
        <w:ind w:firstLine="480"/>
        <w:rPr>
          <w:szCs w:val="21"/>
        </w:rPr>
      </w:pPr>
      <w:r>
        <w:rPr>
          <w:szCs w:val="21"/>
        </w:rPr>
        <w:t>定标委员会全体成员和监督小组全体成员签署定标会会议纪要及相关定标资料后即解散，定标过程中使用的文件、表格以及其他资料不得私自带离。</w:t>
      </w:r>
    </w:p>
    <w:p/>
    <w:p>
      <w:pPr>
        <w:topLinePunct/>
        <w:adjustRightInd w:val="0"/>
        <w:snapToGrid w:val="0"/>
        <w:spacing w:line="360" w:lineRule="auto"/>
        <w:ind w:firstLine="480" w:firstLineChars="200"/>
        <w:rPr>
          <w:szCs w:val="21"/>
        </w:rPr>
      </w:pPr>
      <w:r>
        <w:rPr>
          <w:rFonts w:hint="eastAsia"/>
          <w:szCs w:val="21"/>
        </w:rPr>
        <w:t>以下空白。</w:t>
      </w:r>
    </w:p>
    <w:p>
      <w:pPr>
        <w:topLinePunct/>
        <w:adjustRightInd w:val="0"/>
        <w:snapToGrid w:val="0"/>
        <w:spacing w:line="360" w:lineRule="auto"/>
        <w:ind w:firstLine="480" w:firstLineChars="200"/>
        <w:rPr>
          <w:szCs w:val="21"/>
        </w:rPr>
      </w:pPr>
    </w:p>
    <w:p>
      <w:pPr>
        <w:topLinePunct/>
        <w:adjustRightInd w:val="0"/>
        <w:snapToGrid w:val="0"/>
        <w:spacing w:line="360" w:lineRule="auto"/>
        <w:ind w:firstLine="480" w:firstLineChars="200"/>
        <w:rPr>
          <w:szCs w:val="21"/>
        </w:rPr>
      </w:pPr>
      <w:r>
        <w:rPr>
          <w:rFonts w:hint="eastAsia"/>
          <w:szCs w:val="21"/>
        </w:rPr>
        <w:t>招   标   人：</w:t>
      </w:r>
      <w:r>
        <w:rPr>
          <w:rFonts w:hint="eastAsia"/>
          <w:u w:val="single"/>
        </w:rPr>
        <w:t>深圳市南山区招商街道办事处</w:t>
      </w:r>
      <w:r>
        <w:rPr>
          <w:bCs/>
          <w:szCs w:val="21"/>
          <w:u w:val="single"/>
        </w:rPr>
        <w:fldChar w:fldCharType="begin"/>
      </w:r>
      <w:r>
        <w:rPr>
          <w:bCs/>
          <w:szCs w:val="21"/>
          <w:u w:val="single"/>
        </w:rPr>
        <w:instrText xml:space="preserve"> AUTOTEXT  input348 \* MERGEFORMAT </w:instrText>
      </w:r>
      <w:r>
        <w:rPr>
          <w:bCs/>
          <w:szCs w:val="21"/>
          <w:u w:val="single"/>
        </w:rPr>
        <w:fldChar w:fldCharType="end"/>
      </w:r>
    </w:p>
    <w:p>
      <w:pPr>
        <w:topLinePunct/>
        <w:adjustRightInd w:val="0"/>
        <w:snapToGrid w:val="0"/>
        <w:spacing w:line="360" w:lineRule="auto"/>
        <w:ind w:firstLine="480" w:firstLineChars="200"/>
        <w:rPr>
          <w:szCs w:val="21"/>
        </w:rPr>
      </w:pPr>
    </w:p>
    <w:p>
      <w:pPr>
        <w:topLinePunct/>
        <w:adjustRightInd w:val="0"/>
        <w:snapToGrid w:val="0"/>
        <w:spacing w:line="360" w:lineRule="auto"/>
        <w:ind w:firstLine="480" w:firstLineChars="200"/>
        <w:rPr>
          <w:szCs w:val="21"/>
        </w:rPr>
      </w:pPr>
      <w:r>
        <w:rPr>
          <w:rFonts w:hint="eastAsia"/>
          <w:szCs w:val="21"/>
        </w:rPr>
        <w:t>招标代理机构：</w:t>
      </w:r>
      <w:r>
        <w:rPr>
          <w:rFonts w:hint="eastAsia"/>
          <w:u w:val="single"/>
        </w:rPr>
        <w:t>深圳利盛管理咨询有限公司</w:t>
      </w:r>
    </w:p>
    <w:p>
      <w:pPr>
        <w:topLinePunct/>
        <w:adjustRightInd w:val="0"/>
        <w:snapToGrid w:val="0"/>
        <w:spacing w:line="360" w:lineRule="auto"/>
        <w:ind w:firstLine="480" w:firstLineChars="200"/>
        <w:rPr>
          <w:szCs w:val="21"/>
        </w:rPr>
      </w:pPr>
    </w:p>
    <w:p>
      <w:pPr>
        <w:topLinePunct/>
        <w:adjustRightInd w:val="0"/>
        <w:snapToGrid w:val="0"/>
        <w:spacing w:line="360" w:lineRule="auto"/>
        <w:ind w:firstLine="480" w:firstLineChars="200"/>
      </w:pPr>
      <w:r>
        <w:rPr>
          <w:rFonts w:hint="eastAsia"/>
          <w:szCs w:val="21"/>
        </w:rPr>
        <w:t>编制日期：</w:t>
      </w:r>
      <w:r>
        <w:rPr>
          <w:u w:val="single"/>
        </w:rPr>
        <w:t xml:space="preserve">       </w:t>
      </w:r>
      <w:r>
        <w:rPr>
          <w:bCs/>
          <w:szCs w:val="21"/>
          <w:u w:val="single"/>
        </w:rPr>
        <w:fldChar w:fldCharType="begin"/>
      </w:r>
      <w:r>
        <w:rPr>
          <w:bCs/>
          <w:szCs w:val="21"/>
          <w:u w:val="single"/>
        </w:rPr>
        <w:instrText xml:space="preserve"> AUTOTEXT  input350 \* MERGEFORMAT </w:instrText>
      </w:r>
      <w:r>
        <w:rPr>
          <w:bCs/>
          <w:szCs w:val="21"/>
          <w:u w:val="single"/>
        </w:rPr>
        <w:fldChar w:fldCharType="end"/>
      </w:r>
      <w:bookmarkEnd w:id="260"/>
      <w:r>
        <w:br w:type="page"/>
      </w:r>
    </w:p>
    <w:p>
      <w:pPr>
        <w:adjustRightInd w:val="0"/>
        <w:snapToGrid w:val="0"/>
        <w:spacing w:line="360" w:lineRule="auto"/>
        <w:jc w:val="center"/>
        <w:outlineLvl w:val="0"/>
        <w:rPr>
          <w:b/>
          <w:sz w:val="52"/>
          <w:szCs w:val="52"/>
        </w:rPr>
      </w:pPr>
      <w:r>
        <w:rPr>
          <w:rFonts w:hint="eastAsia"/>
          <w:b/>
          <w:sz w:val="52"/>
          <w:szCs w:val="52"/>
        </w:rPr>
        <w:t>第四章  投标文件格式</w:t>
      </w:r>
    </w:p>
    <w:p>
      <w:pPr>
        <w:spacing w:line="360" w:lineRule="auto"/>
      </w:pPr>
      <w:r>
        <w:br w:type="page"/>
      </w:r>
    </w:p>
    <w:p>
      <w:pPr>
        <w:adjustRightInd w:val="0"/>
        <w:snapToGrid w:val="0"/>
        <w:spacing w:line="360" w:lineRule="auto"/>
        <w:ind w:firstLine="6425" w:firstLineChars="2000"/>
        <w:rPr>
          <w:b/>
          <w:sz w:val="32"/>
          <w:szCs w:val="32"/>
        </w:rPr>
      </w:pPr>
      <w:r>
        <w:rPr>
          <w:rFonts w:hint="eastAsia"/>
          <w:b/>
          <w:sz w:val="32"/>
          <w:szCs w:val="32"/>
        </w:rPr>
        <w:t>工程编号：</w:t>
      </w:r>
      <w:r>
        <w:rPr>
          <w:b/>
          <w:bCs/>
          <w:sz w:val="32"/>
          <w:szCs w:val="32"/>
          <w:u w:val="single"/>
        </w:rPr>
        <w:t>_______</w:t>
      </w:r>
    </w:p>
    <w:p>
      <w:pPr>
        <w:adjustRightInd w:val="0"/>
        <w:snapToGrid w:val="0"/>
        <w:spacing w:line="360" w:lineRule="auto"/>
        <w:rPr>
          <w:b/>
          <w:bCs/>
          <w:sz w:val="28"/>
        </w:rPr>
      </w:pPr>
    </w:p>
    <w:p>
      <w:pPr>
        <w:jc w:val="center"/>
        <w:rPr>
          <w:snapToGrid w:val="0"/>
          <w:sz w:val="36"/>
          <w:szCs w:val="36"/>
        </w:rPr>
      </w:pPr>
      <w:r>
        <w:rPr>
          <w:rFonts w:hint="eastAsia"/>
          <w:snapToGrid w:val="0"/>
          <w:sz w:val="36"/>
          <w:szCs w:val="36"/>
          <w:u w:val="single"/>
        </w:rPr>
        <w:t xml:space="preserve">            </w:t>
      </w:r>
      <w:r>
        <w:rPr>
          <w:rFonts w:hint="eastAsia"/>
          <w:snapToGrid w:val="0"/>
          <w:sz w:val="36"/>
          <w:szCs w:val="36"/>
        </w:rPr>
        <w:t>项目</w:t>
      </w:r>
    </w:p>
    <w:p>
      <w:pPr>
        <w:jc w:val="center"/>
        <w:rPr>
          <w:snapToGrid w:val="0"/>
          <w:sz w:val="44"/>
          <w:szCs w:val="44"/>
        </w:rPr>
      </w:pPr>
    </w:p>
    <w:p>
      <w:pPr>
        <w:jc w:val="center"/>
        <w:rPr>
          <w:snapToGrid w:val="0"/>
          <w:sz w:val="52"/>
          <w:szCs w:val="52"/>
        </w:rPr>
      </w:pPr>
      <w:r>
        <w:rPr>
          <w:rFonts w:hint="eastAsia"/>
          <w:snapToGrid w:val="0"/>
          <w:sz w:val="52"/>
          <w:szCs w:val="52"/>
        </w:rPr>
        <w:t>投标文件</w:t>
      </w:r>
    </w:p>
    <w:p>
      <w:pPr>
        <w:jc w:val="center"/>
        <w:rPr>
          <w:snapToGrid w:val="0"/>
          <w:sz w:val="52"/>
          <w:szCs w:val="52"/>
        </w:rPr>
      </w:pPr>
    </w:p>
    <w:p>
      <w:pPr>
        <w:jc w:val="center"/>
        <w:rPr>
          <w:snapToGrid w:val="0"/>
          <w:sz w:val="44"/>
          <w:szCs w:val="44"/>
        </w:rPr>
      </w:pPr>
    </w:p>
    <w:p>
      <w:pPr>
        <w:jc w:val="center"/>
        <w:outlineLvl w:val="1"/>
        <w:rPr>
          <w:b/>
          <w:snapToGrid w:val="0"/>
          <w:sz w:val="44"/>
          <w:szCs w:val="44"/>
        </w:rPr>
      </w:pPr>
      <w:bookmarkStart w:id="261" w:name="_Toc6581"/>
      <w:bookmarkStart w:id="262" w:name="_Toc22744"/>
      <w:r>
        <w:rPr>
          <w:rFonts w:hint="eastAsia"/>
          <w:b/>
          <w:snapToGrid w:val="0"/>
          <w:sz w:val="44"/>
          <w:szCs w:val="44"/>
        </w:rPr>
        <w:t>资格审查文件</w:t>
      </w:r>
      <w:bookmarkEnd w:id="261"/>
      <w:bookmarkEnd w:id="262"/>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spacing w:line="480" w:lineRule="auto"/>
        <w:ind w:firstLine="1400" w:firstLineChars="500"/>
        <w:rPr>
          <w:snapToGrid w:val="0"/>
          <w:sz w:val="28"/>
          <w:szCs w:val="28"/>
        </w:rPr>
      </w:pPr>
      <w:r>
        <w:rPr>
          <w:rFonts w:hint="eastAsia"/>
          <w:snapToGrid w:val="0"/>
          <w:sz w:val="28"/>
          <w:szCs w:val="28"/>
        </w:rPr>
        <w:t>项目编号：</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投标人名称：</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投标人代表：</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投标日期：</w:t>
      </w:r>
      <w:r>
        <w:rPr>
          <w:rFonts w:hint="eastAsia"/>
          <w:snapToGrid w:val="0"/>
          <w:sz w:val="28"/>
          <w:szCs w:val="28"/>
          <w:u w:val="single"/>
        </w:rPr>
        <w:t xml:space="preserve">           </w:t>
      </w:r>
      <w:r>
        <w:rPr>
          <w:rFonts w:hint="eastAsia"/>
          <w:snapToGrid w:val="0"/>
          <w:sz w:val="28"/>
          <w:szCs w:val="28"/>
        </w:rPr>
        <w:t>年</w:t>
      </w:r>
      <w:r>
        <w:rPr>
          <w:rFonts w:hint="eastAsia"/>
          <w:snapToGrid w:val="0"/>
          <w:sz w:val="28"/>
          <w:szCs w:val="28"/>
          <w:u w:val="single"/>
        </w:rPr>
        <w:t xml:space="preserve">      </w:t>
      </w:r>
      <w:r>
        <w:rPr>
          <w:rFonts w:hint="eastAsia"/>
          <w:snapToGrid w:val="0"/>
          <w:sz w:val="28"/>
          <w:szCs w:val="28"/>
        </w:rPr>
        <w:t>月</w:t>
      </w:r>
      <w:r>
        <w:rPr>
          <w:rFonts w:hint="eastAsia"/>
          <w:snapToGrid w:val="0"/>
          <w:sz w:val="28"/>
          <w:szCs w:val="28"/>
          <w:u w:val="single"/>
        </w:rPr>
        <w:t xml:space="preserve">      </w:t>
      </w:r>
      <w:r>
        <w:rPr>
          <w:rFonts w:hint="eastAsia"/>
          <w:snapToGrid w:val="0"/>
          <w:sz w:val="28"/>
          <w:szCs w:val="28"/>
        </w:rPr>
        <w:t>日</w:t>
      </w:r>
    </w:p>
    <w:p>
      <w:pPr>
        <w:adjustRightInd w:val="0"/>
        <w:snapToGrid w:val="0"/>
        <w:spacing w:line="360" w:lineRule="auto"/>
      </w:pPr>
      <w:r>
        <w:br w:type="page"/>
      </w:r>
    </w:p>
    <w:p>
      <w:pPr>
        <w:spacing w:after="156" w:afterLines="50" w:line="440" w:lineRule="exact"/>
        <w:jc w:val="center"/>
        <w:rPr>
          <w:snapToGrid w:val="0"/>
          <w:sz w:val="44"/>
        </w:rPr>
      </w:pPr>
      <w:r>
        <w:rPr>
          <w:rFonts w:hint="eastAsia"/>
          <w:snapToGrid w:val="0"/>
          <w:sz w:val="44"/>
          <w:szCs w:val="44"/>
        </w:rPr>
        <w:t>资格审查文件</w:t>
      </w:r>
      <w:r>
        <w:rPr>
          <w:rFonts w:hint="eastAsia"/>
          <w:snapToGrid w:val="0"/>
          <w:sz w:val="44"/>
        </w:rPr>
        <w:t>目录</w:t>
      </w:r>
    </w:p>
    <w:p>
      <w:pPr>
        <w:spacing w:after="156" w:afterLines="50" w:line="440" w:lineRule="exact"/>
        <w:jc w:val="center"/>
        <w:rPr>
          <w:snapToGrid w:val="0"/>
          <w:sz w:val="44"/>
        </w:rPr>
      </w:pPr>
    </w:p>
    <w:p>
      <w:pPr>
        <w:spacing w:line="360" w:lineRule="auto"/>
        <w:rPr>
          <w:snapToGrid w:val="0"/>
          <w:sz w:val="28"/>
          <w:szCs w:val="28"/>
        </w:rPr>
      </w:pPr>
    </w:p>
    <w:p>
      <w:pPr>
        <w:spacing w:line="360" w:lineRule="auto"/>
        <w:ind w:firstLine="420" w:firstLineChars="200"/>
        <w:rPr>
          <w:snapToGrid w:val="0"/>
          <w:color w:val="0000FF"/>
          <w:sz w:val="21"/>
          <w:szCs w:val="21"/>
          <w:u w:val="single"/>
          <w:lang w:bidi="ar"/>
        </w:rPr>
      </w:pPr>
      <w:r>
        <w:rPr>
          <w:snapToGrid w:val="0"/>
          <w:color w:val="0000FF"/>
          <w:sz w:val="21"/>
          <w:szCs w:val="21"/>
          <w:u w:val="single"/>
          <w:lang w:bidi="ar"/>
        </w:rPr>
        <w:t>1、营业执照，或事业单位法人证书，或者工商行政主管部门颁发的工商登记证明（原件扫描件）；</w:t>
      </w:r>
    </w:p>
    <w:p>
      <w:pPr>
        <w:spacing w:line="360" w:lineRule="auto"/>
        <w:ind w:firstLine="420" w:firstLineChars="200"/>
        <w:rPr>
          <w:snapToGrid w:val="0"/>
          <w:color w:val="0000FF"/>
          <w:sz w:val="21"/>
          <w:szCs w:val="21"/>
          <w:u w:val="single"/>
          <w:lang w:bidi="ar"/>
        </w:rPr>
      </w:pPr>
      <w:r>
        <w:rPr>
          <w:snapToGrid w:val="0"/>
          <w:color w:val="0000FF"/>
          <w:sz w:val="21"/>
          <w:szCs w:val="21"/>
          <w:u w:val="single"/>
          <w:lang w:bidi="ar"/>
        </w:rPr>
        <w:t>2、企业资质证书（原件扫描件）；</w:t>
      </w:r>
    </w:p>
    <w:p>
      <w:pPr>
        <w:spacing w:line="360" w:lineRule="auto"/>
        <w:ind w:firstLine="420" w:firstLineChars="200"/>
        <w:rPr>
          <w:snapToGrid w:val="0"/>
          <w:color w:val="0000FF"/>
          <w:sz w:val="21"/>
          <w:szCs w:val="21"/>
          <w:u w:val="single"/>
          <w:lang w:bidi="ar"/>
        </w:rPr>
      </w:pPr>
      <w:r>
        <w:rPr>
          <w:snapToGrid w:val="0"/>
          <w:color w:val="0000FF"/>
          <w:sz w:val="21"/>
          <w:szCs w:val="21"/>
          <w:u w:val="single"/>
          <w:lang w:bidi="ar"/>
        </w:rPr>
        <w:t>3、项目负责人的资格证明文件（原件扫描件）。</w:t>
      </w:r>
    </w:p>
    <w:p>
      <w:pPr>
        <w:jc w:val="center"/>
        <w:rPr>
          <w:snapToGrid w:val="0"/>
          <w:szCs w:val="21"/>
        </w:rPr>
      </w:pPr>
      <w:r>
        <w:rPr>
          <w:snapToGrid w:val="0"/>
          <w:sz w:val="28"/>
          <w:szCs w:val="28"/>
        </w:rPr>
        <w:fldChar w:fldCharType="begin"/>
      </w:r>
      <w:r>
        <w:rPr>
          <w:snapToGrid w:val="0"/>
          <w:sz w:val="28"/>
          <w:szCs w:val="28"/>
        </w:rPr>
        <w:instrText xml:space="preserve"> AUTOTEXT  input303 \* MERGEFORMAT </w:instrText>
      </w:r>
      <w:r>
        <w:rPr>
          <w:snapToGrid w:val="0"/>
          <w:sz w:val="28"/>
          <w:szCs w:val="28"/>
        </w:rPr>
        <w:fldChar w:fldCharType="end"/>
      </w:r>
      <w:r>
        <w:rPr>
          <w:snapToGrid w:val="0"/>
          <w:sz w:val="28"/>
          <w:szCs w:val="28"/>
        </w:rPr>
        <w:br w:type="page"/>
      </w:r>
      <w:r>
        <w:rPr>
          <w:snapToGrid w:val="0"/>
          <w:szCs w:val="21"/>
        </w:rPr>
        <w:t xml:space="preserve"> </w:t>
      </w:r>
    </w:p>
    <w:p>
      <w:pPr>
        <w:rPr>
          <w:snapToGrid w:val="0"/>
        </w:rPr>
      </w:pPr>
    </w:p>
    <w:p>
      <w:pPr>
        <w:spacing w:line="360" w:lineRule="auto"/>
        <w:ind w:firstLine="560" w:firstLineChars="200"/>
        <w:rPr>
          <w:snapToGrid w:val="0"/>
          <w:sz w:val="28"/>
          <w:szCs w:val="28"/>
        </w:rPr>
      </w:pPr>
    </w:p>
    <w:p>
      <w:pPr>
        <w:jc w:val="center"/>
        <w:rPr>
          <w:snapToGrid w:val="0"/>
          <w:sz w:val="44"/>
          <w:szCs w:val="44"/>
        </w:rPr>
      </w:pPr>
      <w:r>
        <w:rPr>
          <w:rFonts w:hint="eastAsia"/>
          <w:snapToGrid w:val="0"/>
          <w:sz w:val="44"/>
          <w:szCs w:val="44"/>
          <w:u w:val="single"/>
        </w:rPr>
        <w:t xml:space="preserve">                 </w:t>
      </w:r>
      <w:r>
        <w:rPr>
          <w:rFonts w:hint="eastAsia"/>
          <w:snapToGrid w:val="0"/>
          <w:sz w:val="44"/>
          <w:szCs w:val="44"/>
        </w:rPr>
        <w:t>项目</w:t>
      </w:r>
    </w:p>
    <w:p>
      <w:pPr>
        <w:jc w:val="center"/>
        <w:rPr>
          <w:snapToGrid w:val="0"/>
          <w:sz w:val="44"/>
          <w:szCs w:val="44"/>
        </w:rPr>
      </w:pPr>
    </w:p>
    <w:p>
      <w:pPr>
        <w:jc w:val="center"/>
        <w:rPr>
          <w:snapToGrid w:val="0"/>
          <w:sz w:val="52"/>
          <w:szCs w:val="52"/>
        </w:rPr>
      </w:pPr>
      <w:r>
        <w:rPr>
          <w:rFonts w:hint="eastAsia"/>
          <w:snapToGrid w:val="0"/>
          <w:sz w:val="52"/>
          <w:szCs w:val="52"/>
        </w:rPr>
        <w:t>投标文件</w:t>
      </w:r>
    </w:p>
    <w:p>
      <w:pPr>
        <w:jc w:val="center"/>
        <w:rPr>
          <w:snapToGrid w:val="0"/>
          <w:sz w:val="52"/>
          <w:szCs w:val="52"/>
        </w:rPr>
      </w:pPr>
    </w:p>
    <w:p>
      <w:pPr>
        <w:jc w:val="center"/>
        <w:rPr>
          <w:snapToGrid w:val="0"/>
          <w:sz w:val="52"/>
          <w:szCs w:val="52"/>
        </w:rPr>
      </w:pPr>
    </w:p>
    <w:p>
      <w:pPr>
        <w:jc w:val="center"/>
        <w:outlineLvl w:val="1"/>
        <w:rPr>
          <w:b/>
          <w:snapToGrid w:val="0"/>
          <w:sz w:val="44"/>
          <w:szCs w:val="44"/>
        </w:rPr>
      </w:pPr>
      <w:r>
        <w:rPr>
          <w:rFonts w:hint="eastAsia"/>
          <w:b/>
          <w:snapToGrid w:val="0"/>
          <w:sz w:val="44"/>
          <w:szCs w:val="44"/>
        </w:rPr>
        <w:t>资信标书</w:t>
      </w: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spacing w:line="480" w:lineRule="auto"/>
        <w:ind w:firstLine="1400" w:firstLineChars="500"/>
        <w:rPr>
          <w:snapToGrid w:val="0"/>
          <w:sz w:val="28"/>
          <w:szCs w:val="28"/>
        </w:rPr>
      </w:pPr>
      <w:r>
        <w:rPr>
          <w:rFonts w:hint="eastAsia"/>
          <w:snapToGrid w:val="0"/>
          <w:sz w:val="28"/>
          <w:szCs w:val="28"/>
        </w:rPr>
        <w:t>项目编号：</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投标人名称：</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投标人代表：</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日    期：</w:t>
      </w:r>
      <w:r>
        <w:rPr>
          <w:rFonts w:hint="eastAsia"/>
          <w:snapToGrid w:val="0"/>
          <w:sz w:val="28"/>
          <w:szCs w:val="28"/>
          <w:u w:val="single"/>
        </w:rPr>
        <w:t xml:space="preserve">            </w:t>
      </w:r>
      <w:r>
        <w:rPr>
          <w:rFonts w:hint="eastAsia"/>
          <w:snapToGrid w:val="0"/>
          <w:sz w:val="28"/>
          <w:szCs w:val="28"/>
        </w:rPr>
        <w:t>年</w:t>
      </w:r>
      <w:r>
        <w:rPr>
          <w:rFonts w:hint="eastAsia"/>
          <w:snapToGrid w:val="0"/>
          <w:sz w:val="28"/>
          <w:szCs w:val="28"/>
          <w:u w:val="single"/>
        </w:rPr>
        <w:t xml:space="preserve">      </w:t>
      </w:r>
      <w:r>
        <w:rPr>
          <w:rFonts w:hint="eastAsia"/>
          <w:snapToGrid w:val="0"/>
          <w:sz w:val="28"/>
          <w:szCs w:val="28"/>
        </w:rPr>
        <w:t>月</w:t>
      </w:r>
      <w:r>
        <w:rPr>
          <w:rFonts w:hint="eastAsia"/>
          <w:snapToGrid w:val="0"/>
          <w:sz w:val="28"/>
          <w:szCs w:val="28"/>
          <w:u w:val="single"/>
        </w:rPr>
        <w:t xml:space="preserve">      </w:t>
      </w:r>
      <w:r>
        <w:rPr>
          <w:rFonts w:hint="eastAsia"/>
          <w:snapToGrid w:val="0"/>
          <w:sz w:val="28"/>
          <w:szCs w:val="28"/>
        </w:rPr>
        <w:t>日</w:t>
      </w:r>
    </w:p>
    <w:p>
      <w:pPr>
        <w:pStyle w:val="2"/>
        <w:ind w:firstLine="480"/>
        <w:rPr>
          <w:snapToGrid w:val="0"/>
        </w:rPr>
      </w:pPr>
      <w:r>
        <w:rPr>
          <w:snapToGrid w:val="0"/>
        </w:rPr>
        <w:br w:type="page"/>
      </w:r>
    </w:p>
    <w:p>
      <w:pPr>
        <w:pStyle w:val="2"/>
        <w:widowControl w:val="0"/>
        <w:ind w:firstLine="0" w:firstLineChars="0"/>
        <w:jc w:val="both"/>
        <w:rPr>
          <w:snapToGrid w:val="0"/>
          <w:color w:val="0000FF"/>
          <w:sz w:val="21"/>
          <w:szCs w:val="21"/>
          <w:u w:val="single"/>
          <w:lang w:bidi="ar"/>
        </w:rPr>
      </w:pPr>
      <w:r>
        <w:rPr>
          <w:snapToGrid w:val="0"/>
          <w:color w:val="0000FF"/>
          <w:sz w:val="21"/>
          <w:szCs w:val="21"/>
          <w:u w:val="single"/>
          <w:lang w:bidi="ar"/>
        </w:rPr>
        <w:t>详见</w:t>
      </w:r>
      <w:r>
        <w:rPr>
          <w:rFonts w:hint="eastAsia"/>
          <w:snapToGrid w:val="0"/>
          <w:color w:val="0000FF"/>
          <w:sz w:val="21"/>
          <w:szCs w:val="21"/>
          <w:u w:val="single"/>
          <w:lang w:bidi="ar"/>
        </w:rPr>
        <w:t>资信标要求一览表</w:t>
      </w:r>
    </w:p>
    <w:p>
      <w:pPr>
        <w:spacing w:line="480" w:lineRule="auto"/>
        <w:ind w:firstLine="1400" w:firstLineChars="500"/>
        <w:rPr>
          <w:snapToGrid w:val="0"/>
          <w:sz w:val="28"/>
          <w:szCs w:val="28"/>
        </w:rPr>
      </w:pPr>
    </w:p>
    <w:p>
      <w:pPr>
        <w:jc w:val="center"/>
        <w:rPr>
          <w:snapToGrid w:val="0"/>
          <w:sz w:val="44"/>
          <w:szCs w:val="44"/>
        </w:rPr>
      </w:pPr>
      <w:r>
        <w:rPr>
          <w:b/>
          <w:snapToGrid w:val="0"/>
          <w:sz w:val="30"/>
          <w:szCs w:val="30"/>
        </w:rPr>
        <w:br w:type="page"/>
      </w:r>
      <w:r>
        <w:rPr>
          <w:rFonts w:hint="eastAsia"/>
          <w:snapToGrid w:val="0"/>
          <w:sz w:val="44"/>
          <w:szCs w:val="44"/>
          <w:u w:val="single"/>
        </w:rPr>
        <w:t xml:space="preserve">                 </w:t>
      </w:r>
      <w:r>
        <w:rPr>
          <w:rFonts w:hint="eastAsia"/>
          <w:snapToGrid w:val="0"/>
          <w:sz w:val="44"/>
          <w:szCs w:val="44"/>
        </w:rPr>
        <w:t>项目</w:t>
      </w:r>
    </w:p>
    <w:p>
      <w:pPr>
        <w:jc w:val="center"/>
        <w:rPr>
          <w:snapToGrid w:val="0"/>
          <w:sz w:val="44"/>
          <w:szCs w:val="44"/>
        </w:rPr>
      </w:pPr>
    </w:p>
    <w:p>
      <w:pPr>
        <w:jc w:val="center"/>
        <w:rPr>
          <w:snapToGrid w:val="0"/>
          <w:sz w:val="52"/>
          <w:szCs w:val="52"/>
        </w:rPr>
      </w:pPr>
      <w:r>
        <w:rPr>
          <w:rFonts w:hint="eastAsia"/>
          <w:snapToGrid w:val="0"/>
          <w:sz w:val="52"/>
          <w:szCs w:val="52"/>
        </w:rPr>
        <w:t>投标文件</w:t>
      </w:r>
    </w:p>
    <w:p>
      <w:pPr>
        <w:jc w:val="center"/>
        <w:rPr>
          <w:snapToGrid w:val="0"/>
          <w:sz w:val="52"/>
          <w:szCs w:val="52"/>
        </w:rPr>
      </w:pPr>
    </w:p>
    <w:p>
      <w:pPr>
        <w:jc w:val="center"/>
        <w:rPr>
          <w:snapToGrid w:val="0"/>
          <w:sz w:val="52"/>
          <w:szCs w:val="52"/>
        </w:rPr>
      </w:pPr>
    </w:p>
    <w:p>
      <w:pPr>
        <w:jc w:val="center"/>
        <w:outlineLvl w:val="1"/>
        <w:rPr>
          <w:b/>
          <w:snapToGrid w:val="0"/>
          <w:sz w:val="44"/>
          <w:szCs w:val="44"/>
        </w:rPr>
      </w:pPr>
      <w:bookmarkStart w:id="263" w:name="_Toc4866"/>
      <w:bookmarkStart w:id="264" w:name="_Toc14572"/>
      <w:r>
        <w:rPr>
          <w:rFonts w:hint="eastAsia"/>
          <w:b/>
          <w:snapToGrid w:val="0"/>
          <w:sz w:val="44"/>
          <w:szCs w:val="44"/>
        </w:rPr>
        <w:t>商务标书</w:t>
      </w:r>
      <w:bookmarkEnd w:id="263"/>
      <w:bookmarkEnd w:id="264"/>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jc w:val="center"/>
        <w:rPr>
          <w:snapToGrid w:val="0"/>
          <w:sz w:val="44"/>
          <w:szCs w:val="44"/>
        </w:rPr>
      </w:pPr>
    </w:p>
    <w:p>
      <w:pPr>
        <w:spacing w:line="480" w:lineRule="auto"/>
        <w:ind w:firstLine="1400" w:firstLineChars="500"/>
        <w:rPr>
          <w:snapToGrid w:val="0"/>
          <w:sz w:val="28"/>
          <w:szCs w:val="28"/>
        </w:rPr>
      </w:pPr>
      <w:r>
        <w:rPr>
          <w:rFonts w:hint="eastAsia"/>
          <w:snapToGrid w:val="0"/>
          <w:sz w:val="28"/>
          <w:szCs w:val="28"/>
        </w:rPr>
        <w:t>项目编号：</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投标人名称：</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投标人代表：</w:t>
      </w:r>
      <w:r>
        <w:rPr>
          <w:rFonts w:hint="eastAsia"/>
          <w:snapToGrid w:val="0"/>
          <w:sz w:val="28"/>
          <w:szCs w:val="28"/>
          <w:u w:val="single"/>
        </w:rPr>
        <w:t xml:space="preserve">                            </w:t>
      </w:r>
    </w:p>
    <w:p>
      <w:pPr>
        <w:spacing w:line="480" w:lineRule="auto"/>
        <w:ind w:firstLine="1400" w:firstLineChars="500"/>
        <w:rPr>
          <w:snapToGrid w:val="0"/>
          <w:sz w:val="28"/>
          <w:szCs w:val="28"/>
        </w:rPr>
      </w:pPr>
      <w:r>
        <w:rPr>
          <w:rFonts w:hint="eastAsia"/>
          <w:snapToGrid w:val="0"/>
          <w:sz w:val="28"/>
          <w:szCs w:val="28"/>
        </w:rPr>
        <w:t>日    期：</w:t>
      </w:r>
      <w:r>
        <w:rPr>
          <w:rFonts w:hint="eastAsia"/>
          <w:snapToGrid w:val="0"/>
          <w:sz w:val="28"/>
          <w:szCs w:val="28"/>
          <w:u w:val="single"/>
        </w:rPr>
        <w:t xml:space="preserve">            </w:t>
      </w:r>
      <w:r>
        <w:rPr>
          <w:rFonts w:hint="eastAsia"/>
          <w:snapToGrid w:val="0"/>
          <w:sz w:val="28"/>
          <w:szCs w:val="28"/>
        </w:rPr>
        <w:t>年</w:t>
      </w:r>
      <w:r>
        <w:rPr>
          <w:rFonts w:hint="eastAsia"/>
          <w:snapToGrid w:val="0"/>
          <w:sz w:val="28"/>
          <w:szCs w:val="28"/>
          <w:u w:val="single"/>
        </w:rPr>
        <w:t xml:space="preserve">      </w:t>
      </w:r>
      <w:r>
        <w:rPr>
          <w:rFonts w:hint="eastAsia"/>
          <w:snapToGrid w:val="0"/>
          <w:sz w:val="28"/>
          <w:szCs w:val="28"/>
        </w:rPr>
        <w:t>月</w:t>
      </w:r>
      <w:r>
        <w:rPr>
          <w:rFonts w:hint="eastAsia"/>
          <w:snapToGrid w:val="0"/>
          <w:sz w:val="28"/>
          <w:szCs w:val="28"/>
          <w:u w:val="single"/>
        </w:rPr>
        <w:t xml:space="preserve">      </w:t>
      </w:r>
      <w:r>
        <w:rPr>
          <w:rFonts w:hint="eastAsia"/>
          <w:snapToGrid w:val="0"/>
          <w:sz w:val="28"/>
          <w:szCs w:val="28"/>
        </w:rPr>
        <w:t>日</w:t>
      </w:r>
    </w:p>
    <w:p>
      <w:pPr>
        <w:jc w:val="center"/>
        <w:rPr>
          <w:snapToGrid w:val="0"/>
        </w:rPr>
      </w:pPr>
      <w:r>
        <w:rPr>
          <w:b/>
          <w:snapToGrid w:val="0"/>
          <w:sz w:val="30"/>
          <w:szCs w:val="30"/>
        </w:rPr>
        <w:br w:type="page"/>
      </w:r>
      <w:r>
        <w:rPr>
          <w:snapToGrid w:val="0"/>
        </w:rPr>
        <w:t xml:space="preserve"> </w:t>
      </w:r>
    </w:p>
    <w:p>
      <w:pPr>
        <w:jc w:val="center"/>
        <w:rPr>
          <w:snapToGrid w:val="0"/>
        </w:rPr>
      </w:pPr>
      <w:r>
        <w:rPr>
          <w:rFonts w:hint="eastAsia"/>
          <w:b/>
          <w:snapToGrid w:val="0"/>
          <w:sz w:val="30"/>
          <w:szCs w:val="30"/>
        </w:rPr>
        <w:t>投标函</w:t>
      </w:r>
    </w:p>
    <w:p>
      <w:pPr>
        <w:spacing w:line="360" w:lineRule="auto"/>
        <w:ind w:firstLine="480" w:firstLineChars="200"/>
        <w:rPr>
          <w:snapToGrid w:val="0"/>
          <w:szCs w:val="21"/>
        </w:rPr>
      </w:pPr>
      <w:r>
        <w:rPr>
          <w:rFonts w:hint="eastAsia"/>
          <w:snapToGrid w:val="0"/>
          <w:szCs w:val="21"/>
        </w:rPr>
        <w:t>致</w:t>
      </w:r>
      <w:r>
        <w:rPr>
          <w:rFonts w:hint="eastAsia"/>
          <w:snapToGrid w:val="0"/>
          <w:szCs w:val="21"/>
          <w:u w:val="single"/>
        </w:rPr>
        <w:t xml:space="preserve">      （招标人）          </w:t>
      </w:r>
      <w:r>
        <w:rPr>
          <w:rFonts w:hint="eastAsia"/>
          <w:snapToGrid w:val="0"/>
          <w:szCs w:val="21"/>
        </w:rPr>
        <w:t>：</w:t>
      </w:r>
    </w:p>
    <w:p>
      <w:pPr>
        <w:spacing w:line="360" w:lineRule="auto"/>
        <w:ind w:firstLine="480" w:firstLineChars="200"/>
        <w:rPr>
          <w:snapToGrid w:val="0"/>
          <w:szCs w:val="21"/>
        </w:rPr>
      </w:pPr>
      <w:r>
        <w:rPr>
          <w:rFonts w:hint="eastAsia"/>
          <w:snapToGrid w:val="0"/>
          <w:szCs w:val="21"/>
        </w:rPr>
        <w:t>根据已收到贵方的</w:t>
      </w:r>
      <w:r>
        <w:rPr>
          <w:rFonts w:hint="eastAsia"/>
          <w:snapToGrid w:val="0"/>
          <w:szCs w:val="21"/>
          <w:u w:val="single"/>
        </w:rPr>
        <w:t xml:space="preserve">        （招标项目名称）        </w:t>
      </w:r>
      <w:r>
        <w:rPr>
          <w:rFonts w:hint="eastAsia"/>
          <w:snapToGrid w:val="0"/>
          <w:szCs w:val="21"/>
        </w:rPr>
        <w:t>招标文件，我单位经考察现场和研究上述招标文件后，我方愿以招标文件前附表规定的付费方法及标准，接受贵方招标文件所提出的任务要求。</w:t>
      </w:r>
    </w:p>
    <w:p>
      <w:pPr>
        <w:spacing w:line="360" w:lineRule="auto"/>
        <w:ind w:firstLine="480" w:firstLineChars="200"/>
        <w:rPr>
          <w:snapToGrid w:val="0"/>
          <w:szCs w:val="21"/>
        </w:rPr>
      </w:pPr>
      <w:r>
        <w:rPr>
          <w:rFonts w:hint="eastAsia"/>
          <w:snapToGrid w:val="0"/>
          <w:szCs w:val="21"/>
        </w:rPr>
        <w:t>1.我方已详细审核了全部招标文件，包括澄清、修改、补充文件（如有时）及有关附件，对招标文件的要求完全理解。</w:t>
      </w:r>
    </w:p>
    <w:p>
      <w:pPr>
        <w:spacing w:line="360" w:lineRule="auto"/>
        <w:ind w:firstLine="480" w:firstLineChars="200"/>
        <w:rPr>
          <w:snapToGrid w:val="0"/>
          <w:szCs w:val="21"/>
        </w:rPr>
      </w:pPr>
      <w:r>
        <w:rPr>
          <w:rFonts w:hint="eastAsia"/>
          <w:snapToGrid w:val="0"/>
          <w:szCs w:val="21"/>
        </w:rPr>
        <w:t>2.我方认同招标文件规定的评审规则，遵守评标委员会的裁决结果，并且不会采取妨碍项目进展的行为。我方理解你方没有必须接受你方可能收到的最低标或任何投标的义务。</w:t>
      </w:r>
    </w:p>
    <w:p>
      <w:pPr>
        <w:spacing w:line="360" w:lineRule="auto"/>
        <w:ind w:firstLine="480" w:firstLineChars="200"/>
        <w:rPr>
          <w:snapToGrid w:val="0"/>
          <w:szCs w:val="21"/>
        </w:rPr>
      </w:pPr>
      <w:r>
        <w:rPr>
          <w:rFonts w:hint="eastAsia"/>
          <w:snapToGrid w:val="0"/>
          <w:szCs w:val="21"/>
        </w:rPr>
        <w:t>3.我方同意所递交的投标文件在招标文件规定的投标有效期限内有效，在此期间内我方的投标有可能中标，我方将受此约束。如果在投标有效期内撤回投标或放弃中标资格，我方的投标担保将全部被没收。</w:t>
      </w:r>
    </w:p>
    <w:p>
      <w:pPr>
        <w:spacing w:line="360" w:lineRule="auto"/>
        <w:ind w:firstLine="480" w:firstLineChars="200"/>
        <w:rPr>
          <w:snapToGrid w:val="0"/>
          <w:szCs w:val="21"/>
        </w:rPr>
      </w:pPr>
      <w:r>
        <w:rPr>
          <w:rFonts w:hint="eastAsia"/>
          <w:snapToGrid w:val="0"/>
          <w:szCs w:val="21"/>
        </w:rPr>
        <w:t>4.我方</w:t>
      </w:r>
      <w:r>
        <w:rPr>
          <w:rFonts w:hint="eastAsia"/>
          <w:szCs w:val="21"/>
        </w:rPr>
        <w:t>保证所提交的保证金是从</w:t>
      </w:r>
      <w:r>
        <w:rPr>
          <w:rFonts w:hint="eastAsia"/>
          <w:bCs/>
          <w:szCs w:val="21"/>
        </w:rPr>
        <w:t>我单位</w:t>
      </w:r>
      <w:r>
        <w:rPr>
          <w:rFonts w:hint="eastAsia"/>
          <w:szCs w:val="21"/>
        </w:rPr>
        <w:t>基本账户汇出，银行保函是由</w:t>
      </w:r>
      <w:r>
        <w:rPr>
          <w:rFonts w:hint="eastAsia"/>
          <w:bCs/>
          <w:szCs w:val="21"/>
        </w:rPr>
        <w:t>我单位</w:t>
      </w:r>
      <w:r>
        <w:rPr>
          <w:rFonts w:hint="eastAsia"/>
          <w:szCs w:val="21"/>
        </w:rPr>
        <w:t>基本账户开户银行所在网点或其上级银行机构出具，保证保险的保费是通过我单位基本账户支付，如不按上述原则提交投标担保，招标人</w:t>
      </w:r>
      <w:r>
        <w:rPr>
          <w:rFonts w:hint="eastAsia"/>
          <w:bCs/>
          <w:szCs w:val="21"/>
        </w:rPr>
        <w:t>有权取消我单位的中标资格或单方面终止合同，因此造成的责任由我单位承担。</w:t>
      </w:r>
    </w:p>
    <w:p>
      <w:pPr>
        <w:spacing w:line="360" w:lineRule="auto"/>
        <w:ind w:firstLine="480" w:firstLineChars="200"/>
        <w:rPr>
          <w:snapToGrid w:val="0"/>
          <w:szCs w:val="21"/>
        </w:rPr>
      </w:pPr>
      <w:r>
        <w:rPr>
          <w:rFonts w:hint="eastAsia"/>
          <w:snapToGrid w:val="0"/>
          <w:szCs w:val="21"/>
        </w:rPr>
        <w:t>5.如果我方中标，我方保证按照招标文件规定的时间完成任务，并将按招标文件的规定履行合同责任和义务。</w:t>
      </w:r>
    </w:p>
    <w:p>
      <w:pPr>
        <w:spacing w:line="360" w:lineRule="auto"/>
        <w:ind w:firstLine="480" w:firstLineChars="200"/>
        <w:rPr>
          <w:snapToGrid w:val="0"/>
          <w:szCs w:val="21"/>
        </w:rPr>
      </w:pPr>
      <w:r>
        <w:rPr>
          <w:rFonts w:hint="eastAsia"/>
          <w:snapToGrid w:val="0"/>
          <w:szCs w:val="21"/>
        </w:rPr>
        <w:t>6.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pPr>
        <w:spacing w:line="360" w:lineRule="auto"/>
        <w:ind w:firstLine="480" w:firstLineChars="200"/>
        <w:rPr>
          <w:snapToGrid w:val="0"/>
        </w:rPr>
      </w:pPr>
      <w:r>
        <w:rPr>
          <w:rFonts w:hint="eastAsia"/>
          <w:snapToGrid w:val="0"/>
        </w:rPr>
        <w:t>7.如果我方中标，我方将按照招标文件中规定的金额提交经招标人认可的履约保函。</w:t>
      </w:r>
    </w:p>
    <w:p>
      <w:pPr>
        <w:spacing w:line="360" w:lineRule="auto"/>
        <w:ind w:firstLine="480" w:firstLineChars="200"/>
        <w:rPr>
          <w:snapToGrid w:val="0"/>
        </w:rPr>
      </w:pPr>
      <w:r>
        <w:rPr>
          <w:rFonts w:hint="eastAsia"/>
          <w:snapToGrid w:val="0"/>
        </w:rPr>
        <w:t>8.我方保证投标文件内容无任何虚假。若评定标过程中查有虚假，同意作无效或废标处理，并被没收投标担保；若中标之后查有虚假，同意被废除授标并被没收投标担保。</w:t>
      </w:r>
    </w:p>
    <w:p>
      <w:pPr>
        <w:spacing w:line="360" w:lineRule="auto"/>
        <w:ind w:firstLine="480" w:firstLineChars="200"/>
        <w:rPr>
          <w:snapToGrid w:val="0"/>
          <w:szCs w:val="21"/>
        </w:rPr>
      </w:pPr>
      <w:r>
        <w:rPr>
          <w:rFonts w:hint="eastAsia"/>
          <w:snapToGrid w:val="0"/>
          <w:szCs w:val="21"/>
        </w:rPr>
        <w:t>9.在正式合同签署并生效之前，贵方的中标通知书和本投标函将成为约束双方的合同文件的组成部分。</w:t>
      </w:r>
    </w:p>
    <w:p>
      <w:pPr>
        <w:spacing w:line="360" w:lineRule="auto"/>
        <w:ind w:firstLine="482" w:firstLineChars="200"/>
        <w:rPr>
          <w:b/>
          <w:snapToGrid w:val="0"/>
        </w:rPr>
      </w:pPr>
      <w:r>
        <w:rPr>
          <w:rFonts w:hint="eastAsia"/>
          <w:b/>
          <w:snapToGrid w:val="0"/>
        </w:rPr>
        <w:t>本投标函同时作为法定代表人证明书和法人授权委托书。</w:t>
      </w:r>
    </w:p>
    <w:p>
      <w:pPr>
        <w:spacing w:line="360" w:lineRule="auto"/>
        <w:ind w:firstLine="480" w:firstLineChars="200"/>
        <w:rPr>
          <w:snapToGrid w:val="0"/>
        </w:rPr>
      </w:pPr>
      <w:r>
        <w:rPr>
          <w:rFonts w:hint="eastAsia"/>
          <w:snapToGrid w:val="0"/>
        </w:rPr>
        <w:t>投标人名称：</w:t>
      </w:r>
      <w:r>
        <w:rPr>
          <w:rFonts w:hint="eastAsia"/>
          <w:snapToGrid w:val="0"/>
          <w:u w:val="single"/>
        </w:rPr>
        <w:t xml:space="preserve">                                           </w:t>
      </w:r>
    </w:p>
    <w:p>
      <w:pPr>
        <w:spacing w:line="360" w:lineRule="auto"/>
        <w:ind w:firstLine="480" w:firstLineChars="200"/>
        <w:rPr>
          <w:snapToGrid w:val="0"/>
        </w:rPr>
      </w:pPr>
      <w:r>
        <w:rPr>
          <w:rFonts w:hint="eastAsia"/>
          <w:snapToGrid w:val="0"/>
        </w:rPr>
        <w:t>法定代表人：</w:t>
      </w:r>
      <w:r>
        <w:rPr>
          <w:rFonts w:hint="eastAsia"/>
          <w:snapToGrid w:val="0"/>
          <w:u w:val="single"/>
        </w:rPr>
        <w:t xml:space="preserve">                                           </w:t>
      </w:r>
    </w:p>
    <w:p>
      <w:pPr>
        <w:spacing w:line="360" w:lineRule="auto"/>
        <w:ind w:firstLine="480" w:firstLineChars="200"/>
        <w:rPr>
          <w:snapToGrid w:val="0"/>
        </w:rPr>
      </w:pPr>
      <w:r>
        <w:rPr>
          <w:rFonts w:hint="eastAsia"/>
          <w:snapToGrid w:val="0"/>
        </w:rPr>
        <w:t>授权委托人：</w:t>
      </w:r>
      <w:r>
        <w:rPr>
          <w:rFonts w:hint="eastAsia"/>
          <w:snapToGrid w:val="0"/>
          <w:u w:val="single"/>
        </w:rPr>
        <w:t xml:space="preserve">                                           </w:t>
      </w:r>
    </w:p>
    <w:p>
      <w:pPr>
        <w:spacing w:line="360" w:lineRule="auto"/>
        <w:ind w:firstLine="480" w:firstLineChars="200"/>
        <w:rPr>
          <w:snapToGrid w:val="0"/>
          <w:szCs w:val="21"/>
        </w:rPr>
      </w:pPr>
      <w:r>
        <w:rPr>
          <w:rFonts w:hint="eastAsia"/>
          <w:snapToGrid w:val="0"/>
          <w:szCs w:val="21"/>
        </w:rPr>
        <w:t>单位地址：</w:t>
      </w:r>
      <w:r>
        <w:rPr>
          <w:rFonts w:hint="eastAsia"/>
          <w:snapToGrid w:val="0"/>
          <w:szCs w:val="21"/>
          <w:u w:val="single"/>
        </w:rPr>
        <w:t xml:space="preserve">                       </w:t>
      </w:r>
      <w:r>
        <w:rPr>
          <w:rFonts w:hint="eastAsia"/>
          <w:snapToGrid w:val="0"/>
          <w:szCs w:val="21"/>
        </w:rPr>
        <w:t xml:space="preserve"> 邮编：</w:t>
      </w:r>
      <w:r>
        <w:rPr>
          <w:rFonts w:hint="eastAsia"/>
          <w:snapToGrid w:val="0"/>
          <w:szCs w:val="21"/>
          <w:u w:val="single"/>
        </w:rPr>
        <w:t xml:space="preserve">               </w:t>
      </w:r>
    </w:p>
    <w:p>
      <w:pPr>
        <w:spacing w:line="360" w:lineRule="auto"/>
        <w:ind w:firstLine="480" w:firstLineChars="200"/>
        <w:rPr>
          <w:snapToGrid w:val="0"/>
          <w:szCs w:val="21"/>
        </w:rPr>
      </w:pPr>
      <w:r>
        <w:rPr>
          <w:rFonts w:hint="eastAsia"/>
          <w:snapToGrid w:val="0"/>
          <w:szCs w:val="21"/>
        </w:rPr>
        <w:t>联系电话：</w:t>
      </w:r>
      <w:r>
        <w:rPr>
          <w:rFonts w:hint="eastAsia"/>
          <w:snapToGrid w:val="0"/>
          <w:szCs w:val="21"/>
          <w:u w:val="single"/>
        </w:rPr>
        <w:t xml:space="preserve">                       </w:t>
      </w:r>
      <w:r>
        <w:rPr>
          <w:rFonts w:hint="eastAsia"/>
          <w:snapToGrid w:val="0"/>
          <w:szCs w:val="21"/>
        </w:rPr>
        <w:t xml:space="preserve"> 传真：</w:t>
      </w:r>
      <w:r>
        <w:rPr>
          <w:rFonts w:hint="eastAsia"/>
          <w:snapToGrid w:val="0"/>
          <w:szCs w:val="21"/>
          <w:u w:val="single"/>
        </w:rPr>
        <w:t xml:space="preserve">               </w:t>
      </w:r>
    </w:p>
    <w:p>
      <w:pPr>
        <w:spacing w:line="360" w:lineRule="auto"/>
        <w:ind w:firstLine="480" w:firstLineChars="200"/>
        <w:rPr>
          <w:snapToGrid w:val="0"/>
          <w:szCs w:val="21"/>
        </w:rPr>
      </w:pPr>
      <w:r>
        <w:rPr>
          <w:rFonts w:hint="eastAsia"/>
          <w:snapToGrid w:val="0"/>
          <w:szCs w:val="21"/>
        </w:rPr>
        <w:t>日    期：</w:t>
      </w:r>
      <w:r>
        <w:rPr>
          <w:rFonts w:hint="eastAsia"/>
          <w:snapToGrid w:val="0"/>
          <w:szCs w:val="21"/>
          <w:u w:val="single"/>
        </w:rPr>
        <w:t xml:space="preserve">            </w:t>
      </w:r>
      <w:r>
        <w:rPr>
          <w:rFonts w:hint="eastAsia"/>
          <w:snapToGrid w:val="0"/>
          <w:szCs w:val="21"/>
        </w:rPr>
        <w:t>年</w:t>
      </w:r>
      <w:r>
        <w:rPr>
          <w:rFonts w:hint="eastAsia"/>
          <w:snapToGrid w:val="0"/>
          <w:szCs w:val="21"/>
          <w:u w:val="single"/>
        </w:rPr>
        <w:t xml:space="preserve">     </w:t>
      </w:r>
      <w:r>
        <w:rPr>
          <w:rFonts w:hint="eastAsia"/>
          <w:snapToGrid w:val="0"/>
          <w:szCs w:val="21"/>
        </w:rPr>
        <w:t>月</w:t>
      </w:r>
      <w:r>
        <w:rPr>
          <w:rFonts w:hint="eastAsia"/>
          <w:snapToGrid w:val="0"/>
          <w:szCs w:val="21"/>
          <w:u w:val="single"/>
        </w:rPr>
        <w:t xml:space="preserve">     </w:t>
      </w:r>
      <w:r>
        <w:rPr>
          <w:rFonts w:hint="eastAsia"/>
          <w:snapToGrid w:val="0"/>
          <w:szCs w:val="21"/>
        </w:rPr>
        <w:t>日</w:t>
      </w:r>
    </w:p>
    <w:p>
      <w:pPr>
        <w:rPr>
          <w:snapToGrid w:val="0"/>
        </w:rPr>
      </w:pPr>
    </w:p>
    <w:p>
      <w:pPr>
        <w:rPr>
          <w:b/>
          <w:snapToGrid w:val="0"/>
          <w:sz w:val="30"/>
          <w:szCs w:val="30"/>
        </w:rPr>
      </w:pPr>
      <w:r>
        <w:rPr>
          <w:b/>
          <w:snapToGrid w:val="0"/>
          <w:sz w:val="30"/>
          <w:szCs w:val="30"/>
        </w:rPr>
        <w:br w:type="page"/>
      </w:r>
    </w:p>
    <w:p>
      <w:pPr>
        <w:spacing w:before="100" w:after="156" w:afterLines="50" w:line="360" w:lineRule="auto"/>
        <w:jc w:val="center"/>
        <w:rPr>
          <w:b/>
          <w:snapToGrid w:val="0"/>
          <w:sz w:val="30"/>
          <w:szCs w:val="30"/>
        </w:rPr>
      </w:pPr>
      <w:r>
        <w:rPr>
          <w:rFonts w:hint="eastAsia"/>
          <w:b/>
          <w:snapToGrid w:val="0"/>
          <w:sz w:val="30"/>
          <w:szCs w:val="30"/>
        </w:rPr>
        <w:t>投标报价一览表</w:t>
      </w:r>
    </w:p>
    <w:p>
      <w:pPr>
        <w:pStyle w:val="199"/>
        <w:spacing w:after="156" w:afterLines="50" w:line="500" w:lineRule="exact"/>
        <w:rPr>
          <w:rFonts w:ascii="仿宋_GB2312" w:hAnsi="宋体" w:eastAsia="仿宋_GB2312"/>
          <w:snapToGrid w:val="0"/>
        </w:rPr>
      </w:pPr>
      <w:r>
        <w:rPr>
          <w:rFonts w:hint="eastAsia" w:ascii="宋体" w:hAnsi="宋体"/>
          <w:snapToGrid w:val="0"/>
          <w:sz w:val="21"/>
          <w:szCs w:val="21"/>
        </w:rPr>
        <w:t>投标人名称：</w:t>
      </w:r>
    </w:p>
    <w:tbl>
      <w:tblPr>
        <w:tblStyle w:val="82"/>
        <w:tblW w:w="94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513"/>
        <w:gridCol w:w="2171"/>
        <w:gridCol w:w="1808"/>
        <w:gridCol w:w="2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16" w:type="dxa"/>
            <w:vAlign w:val="center"/>
          </w:tcPr>
          <w:p>
            <w:pPr>
              <w:pStyle w:val="199"/>
              <w:spacing w:line="360" w:lineRule="auto"/>
              <w:jc w:val="center"/>
              <w:rPr>
                <w:rFonts w:ascii="宋体" w:hAnsi="宋体"/>
                <w:b/>
                <w:snapToGrid w:val="0"/>
              </w:rPr>
            </w:pPr>
            <w:r>
              <w:rPr>
                <w:rFonts w:hint="eastAsia" w:ascii="宋体" w:hAnsi="宋体"/>
                <w:b/>
                <w:snapToGrid w:val="0"/>
              </w:rPr>
              <w:t>序号</w:t>
            </w:r>
          </w:p>
        </w:tc>
        <w:tc>
          <w:tcPr>
            <w:tcW w:w="2513" w:type="dxa"/>
            <w:vAlign w:val="center"/>
          </w:tcPr>
          <w:p>
            <w:pPr>
              <w:pStyle w:val="199"/>
              <w:spacing w:line="360" w:lineRule="auto"/>
              <w:jc w:val="center"/>
              <w:rPr>
                <w:rFonts w:ascii="宋体" w:hAnsi="宋体"/>
                <w:b/>
                <w:snapToGrid w:val="0"/>
              </w:rPr>
            </w:pPr>
            <w:r>
              <w:rPr>
                <w:rFonts w:hint="eastAsia" w:asciiTheme="minorEastAsia" w:hAnsiTheme="minorEastAsia" w:eastAsiaTheme="minorEastAsia"/>
                <w:b/>
                <w:snapToGrid w:val="0"/>
              </w:rPr>
              <w:t>项目</w:t>
            </w:r>
            <w:r>
              <w:rPr>
                <w:rFonts w:hint="eastAsia" w:ascii="宋体" w:hAnsi="宋体"/>
                <w:b/>
                <w:snapToGrid w:val="0"/>
              </w:rPr>
              <w:t>名称</w:t>
            </w:r>
          </w:p>
        </w:tc>
        <w:tc>
          <w:tcPr>
            <w:tcW w:w="2171" w:type="dxa"/>
            <w:vAlign w:val="center"/>
          </w:tcPr>
          <w:p>
            <w:pPr>
              <w:pStyle w:val="199"/>
              <w:spacing w:line="360" w:lineRule="auto"/>
              <w:jc w:val="center"/>
              <w:rPr>
                <w:rFonts w:ascii="宋体" w:hAnsi="宋体"/>
                <w:b/>
                <w:snapToGrid w:val="0"/>
              </w:rPr>
            </w:pPr>
            <w:r>
              <w:rPr>
                <w:rFonts w:hint="eastAsia" w:ascii="宋体" w:hAnsi="宋体"/>
                <w:b/>
                <w:snapToGrid w:val="0"/>
              </w:rPr>
              <w:t>投标报价上限</w:t>
            </w:r>
          </w:p>
          <w:p>
            <w:pPr>
              <w:pStyle w:val="199"/>
              <w:spacing w:line="360" w:lineRule="auto"/>
              <w:jc w:val="center"/>
              <w:rPr>
                <w:rFonts w:ascii="宋体" w:hAnsi="宋体"/>
                <w:b/>
                <w:snapToGrid w:val="0"/>
              </w:rPr>
            </w:pPr>
            <w:r>
              <w:rPr>
                <w:rFonts w:hint="eastAsia" w:ascii="宋体" w:hAnsi="宋体"/>
                <w:b/>
                <w:snapToGrid w:val="0"/>
              </w:rPr>
              <w:t>（万元）</w:t>
            </w:r>
          </w:p>
        </w:tc>
        <w:tc>
          <w:tcPr>
            <w:tcW w:w="1808" w:type="dxa"/>
            <w:vAlign w:val="center"/>
          </w:tcPr>
          <w:p>
            <w:pPr>
              <w:pStyle w:val="199"/>
              <w:spacing w:line="360" w:lineRule="auto"/>
              <w:jc w:val="center"/>
              <w:rPr>
                <w:rFonts w:ascii="宋体" w:hAnsi="宋体"/>
                <w:b/>
                <w:snapToGrid w:val="0"/>
              </w:rPr>
            </w:pPr>
            <w:r>
              <w:rPr>
                <w:rFonts w:hint="eastAsia" w:ascii="宋体" w:hAnsi="宋体"/>
                <w:b/>
                <w:snapToGrid w:val="0"/>
              </w:rPr>
              <w:t>下浮率（%）</w:t>
            </w:r>
          </w:p>
        </w:tc>
        <w:tc>
          <w:tcPr>
            <w:tcW w:w="2019" w:type="dxa"/>
            <w:vAlign w:val="center"/>
          </w:tcPr>
          <w:p>
            <w:pPr>
              <w:pStyle w:val="199"/>
              <w:spacing w:line="360" w:lineRule="auto"/>
              <w:jc w:val="center"/>
              <w:rPr>
                <w:rFonts w:ascii="宋体" w:hAnsi="宋体"/>
                <w:b/>
                <w:snapToGrid w:val="0"/>
              </w:rPr>
            </w:pPr>
            <w:r>
              <w:rPr>
                <w:rFonts w:hint="eastAsia" w:ascii="宋体" w:hAnsi="宋体"/>
                <w:b/>
                <w:snapToGrid w:val="0"/>
              </w:rPr>
              <w:t>投标报价</w:t>
            </w:r>
          </w:p>
          <w:p>
            <w:pPr>
              <w:pStyle w:val="199"/>
              <w:spacing w:line="360" w:lineRule="auto"/>
              <w:jc w:val="center"/>
              <w:rPr>
                <w:rFonts w:ascii="宋体" w:hAnsi="宋体"/>
                <w:b/>
                <w:snapToGrid w:val="0"/>
              </w:rPr>
            </w:pPr>
            <w:r>
              <w:rPr>
                <w:rFonts w:hint="eastAsia" w:ascii="宋体" w:hAnsi="宋体"/>
                <w:b/>
                <w:snapToGrid w:val="0"/>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16" w:type="dxa"/>
            <w:vAlign w:val="center"/>
          </w:tcPr>
          <w:p>
            <w:pPr>
              <w:pStyle w:val="199"/>
              <w:spacing w:line="360" w:lineRule="auto"/>
              <w:jc w:val="center"/>
              <w:rPr>
                <w:rFonts w:ascii="宋体" w:hAnsi="宋体"/>
                <w:snapToGrid w:val="0"/>
                <w:szCs w:val="28"/>
              </w:rPr>
            </w:pPr>
            <w:r>
              <w:rPr>
                <w:rFonts w:hint="eastAsia" w:ascii="宋体" w:hAnsi="宋体"/>
                <w:snapToGrid w:val="0"/>
                <w:szCs w:val="28"/>
              </w:rPr>
              <w:t>1</w:t>
            </w:r>
          </w:p>
        </w:tc>
        <w:tc>
          <w:tcPr>
            <w:tcW w:w="2513" w:type="dxa"/>
            <w:vAlign w:val="center"/>
          </w:tcPr>
          <w:p>
            <w:pPr>
              <w:pStyle w:val="199"/>
              <w:spacing w:line="360" w:lineRule="auto"/>
              <w:rPr>
                <w:rFonts w:ascii="宋体" w:hAnsi="宋体" w:eastAsia="宋体"/>
                <w:bCs/>
                <w:snapToGrid w:val="0"/>
                <w:szCs w:val="28"/>
              </w:rPr>
            </w:pPr>
            <w:r>
              <w:rPr>
                <w:rFonts w:hint="eastAsia" w:ascii="宋体" w:hAnsi="宋体" w:eastAsia="宋体"/>
                <w:bCs/>
                <w:snapToGrid w:val="0"/>
                <w:szCs w:val="28"/>
              </w:rPr>
              <w:t>半岛花园A区老旧小区改造工程设计</w:t>
            </w:r>
          </w:p>
        </w:tc>
        <w:tc>
          <w:tcPr>
            <w:tcW w:w="2171" w:type="dxa"/>
            <w:vAlign w:val="center"/>
          </w:tcPr>
          <w:p>
            <w:pPr>
              <w:pStyle w:val="199"/>
              <w:spacing w:line="360" w:lineRule="auto"/>
              <w:ind w:leftChars="-49" w:hanging="117" w:hangingChars="49"/>
              <w:jc w:val="center"/>
              <w:rPr>
                <w:rFonts w:ascii="宋体" w:hAnsi="宋体" w:eastAsiaTheme="minorEastAsia"/>
                <w:bCs/>
                <w:snapToGrid w:val="0"/>
                <w:szCs w:val="28"/>
                <w:lang w:val="zh-CN"/>
              </w:rPr>
            </w:pPr>
            <w:r>
              <w:rPr>
                <w:rFonts w:hint="eastAsia" w:ascii="宋体" w:hAnsi="宋体" w:eastAsiaTheme="minorEastAsia"/>
                <w:bCs/>
                <w:snapToGrid w:val="0"/>
                <w:szCs w:val="28"/>
              </w:rPr>
              <w:t>89.5325</w:t>
            </w:r>
          </w:p>
        </w:tc>
        <w:tc>
          <w:tcPr>
            <w:tcW w:w="1808" w:type="dxa"/>
            <w:vAlign w:val="center"/>
          </w:tcPr>
          <w:p>
            <w:pPr>
              <w:pStyle w:val="199"/>
              <w:spacing w:line="360" w:lineRule="auto"/>
              <w:ind w:leftChars="-49" w:hanging="117" w:hangingChars="49"/>
              <w:jc w:val="center"/>
              <w:rPr>
                <w:rFonts w:ascii="宋体" w:hAnsi="宋体" w:cs="宋体"/>
                <w:bCs/>
                <w:snapToGrid w:val="0"/>
                <w:szCs w:val="28"/>
              </w:rPr>
            </w:pPr>
          </w:p>
          <w:p>
            <w:pPr>
              <w:pStyle w:val="199"/>
              <w:spacing w:line="360" w:lineRule="auto"/>
              <w:ind w:leftChars="-49" w:hanging="117" w:hangingChars="49"/>
              <w:jc w:val="center"/>
              <w:rPr>
                <w:rFonts w:ascii="宋体" w:hAnsi="宋体" w:cs="宋体"/>
                <w:bCs/>
                <w:snapToGrid w:val="0"/>
                <w:szCs w:val="28"/>
              </w:rPr>
            </w:pPr>
            <w:r>
              <w:rPr>
                <w:rFonts w:hint="eastAsia" w:ascii="宋体" w:hAnsi="宋体"/>
                <w:bCs/>
                <w:snapToGrid w:val="0"/>
                <w:szCs w:val="28"/>
              </w:rPr>
              <w:t>（投标人填写）</w:t>
            </w:r>
          </w:p>
          <w:p>
            <w:pPr>
              <w:pStyle w:val="199"/>
              <w:spacing w:line="360" w:lineRule="auto"/>
              <w:ind w:leftChars="-49" w:hanging="117" w:hangingChars="49"/>
              <w:jc w:val="center"/>
              <w:rPr>
                <w:rFonts w:ascii="宋体" w:hAnsi="宋体" w:cs="宋体"/>
                <w:bCs/>
                <w:snapToGrid w:val="0"/>
                <w:szCs w:val="28"/>
                <w:lang w:val="zh-CN"/>
              </w:rPr>
            </w:pPr>
          </w:p>
        </w:tc>
        <w:tc>
          <w:tcPr>
            <w:tcW w:w="2019" w:type="dxa"/>
            <w:vAlign w:val="center"/>
          </w:tcPr>
          <w:p>
            <w:pPr>
              <w:pStyle w:val="199"/>
              <w:spacing w:line="360" w:lineRule="auto"/>
              <w:ind w:leftChars="-49" w:hanging="117" w:hangingChars="49"/>
              <w:jc w:val="center"/>
              <w:rPr>
                <w:rFonts w:ascii="宋体" w:hAnsi="宋体" w:cs="宋体"/>
                <w:bCs/>
                <w:snapToGrid w:val="0"/>
                <w:szCs w:val="28"/>
                <w:lang w:val="zh-CN"/>
              </w:rPr>
            </w:pPr>
            <w:r>
              <w:rPr>
                <w:rFonts w:hint="eastAsia" w:ascii="宋体" w:hAnsi="宋体"/>
                <w:bCs/>
                <w:snapToGrid w:val="0"/>
                <w:szCs w:val="28"/>
              </w:rPr>
              <w:t>（投标人填写）</w:t>
            </w:r>
          </w:p>
        </w:tc>
      </w:tr>
    </w:tbl>
    <w:p>
      <w:pPr>
        <w:pStyle w:val="205"/>
        <w:widowControl w:val="0"/>
        <w:spacing w:before="0" w:beforeAutospacing="0" w:after="0" w:afterAutospacing="0"/>
        <w:rPr>
          <w:snapToGrid w:val="0"/>
          <w:szCs w:val="21"/>
        </w:rPr>
      </w:pPr>
    </w:p>
    <w:p>
      <w:pPr>
        <w:pStyle w:val="205"/>
        <w:widowControl w:val="0"/>
        <w:rPr>
          <w:snapToGrid w:val="0"/>
          <w:szCs w:val="21"/>
        </w:rPr>
      </w:pPr>
      <w:r>
        <w:rPr>
          <w:rFonts w:hint="eastAsia"/>
          <w:snapToGrid w:val="0"/>
          <w:szCs w:val="21"/>
        </w:rPr>
        <w:t>注：本项目投标报价上限暂定为人民币89.5325</w:t>
      </w:r>
      <w:r>
        <w:rPr>
          <w:snapToGrid w:val="0"/>
          <w:szCs w:val="21"/>
        </w:rPr>
        <w:t>万元，采用自主报价，下浮率范围为≥0%，投标人仅报相对招标估价折算下浮率和投标报价。未按要求报价的，开标阶段其投标文件不予受理。</w:t>
      </w:r>
    </w:p>
    <w:p>
      <w:pPr>
        <w:pStyle w:val="205"/>
        <w:widowControl w:val="0"/>
        <w:spacing w:before="0" w:beforeAutospacing="0" w:after="0" w:afterAutospacing="0"/>
        <w:rPr>
          <w:snapToGrid w:val="0"/>
          <w:szCs w:val="21"/>
        </w:rPr>
      </w:pPr>
      <w:r>
        <w:rPr>
          <w:rFonts w:hint="eastAsia"/>
          <w:snapToGrid w:val="0"/>
          <w:szCs w:val="21"/>
        </w:rPr>
        <w:t>本项目设计费根据《工程勘察设计收费管理规定》（计价格</w:t>
      </w:r>
      <w:r>
        <w:rPr>
          <w:snapToGrid w:val="0"/>
          <w:szCs w:val="21"/>
        </w:rPr>
        <w:t>[2002]10号）规定，</w:t>
      </w:r>
      <w:r>
        <w:rPr>
          <w:rFonts w:hint="eastAsia"/>
          <w:snapToGrid w:val="0"/>
          <w:szCs w:val="21"/>
        </w:rPr>
        <w:t>暂以建安工程费</w:t>
      </w:r>
      <w:r>
        <w:rPr>
          <w:snapToGrid w:val="0"/>
          <w:szCs w:val="21"/>
        </w:rPr>
        <w:t>2561万元为计费基数，计取该项目设计费为89.5325万元。待区发改局批复项目概算后，设计费以概算批复的设计费为准，最终结算价以区造价站出具的决算质量复核报告审定价为准。设计费拟从半岛花园A区老旧小区改造工程项目经费中列支。</w:t>
      </w:r>
    </w:p>
    <w:p>
      <w:pPr>
        <w:pStyle w:val="205"/>
        <w:widowControl w:val="0"/>
        <w:spacing w:before="0" w:beforeAutospacing="0" w:after="0" w:afterAutospacing="0"/>
        <w:rPr>
          <w:snapToGrid w:val="0"/>
          <w:szCs w:val="21"/>
        </w:rPr>
      </w:pPr>
    </w:p>
    <w:p>
      <w:pPr>
        <w:pStyle w:val="205"/>
        <w:widowControl w:val="0"/>
        <w:spacing w:before="0" w:beforeAutospacing="0" w:after="0" w:afterAutospacing="0"/>
        <w:rPr>
          <w:snapToGrid w:val="0"/>
          <w:szCs w:val="21"/>
        </w:rPr>
      </w:pPr>
    </w:p>
    <w:p>
      <w:pPr>
        <w:pStyle w:val="205"/>
        <w:widowControl w:val="0"/>
        <w:spacing w:before="0" w:beforeAutospacing="0" w:after="0" w:afterAutospacing="0"/>
        <w:rPr>
          <w:snapToGrid w:val="0"/>
          <w:szCs w:val="21"/>
        </w:rPr>
      </w:pPr>
      <w:r>
        <w:rPr>
          <w:snapToGrid w:val="0"/>
          <w:sz w:val="21"/>
          <w:szCs w:val="21"/>
        </w:rPr>
        <w:t>（投标人认为应补充提供的其他文件资料或说明）</w:t>
      </w:r>
    </w:p>
    <w:p>
      <w:pPr>
        <w:pStyle w:val="205"/>
        <w:widowControl w:val="0"/>
        <w:adjustRightInd w:val="0"/>
        <w:snapToGrid w:val="0"/>
        <w:spacing w:before="0" w:beforeAutospacing="0" w:after="0" w:afterAutospacing="0" w:line="360" w:lineRule="auto"/>
        <w:rPr>
          <w:snapToGrid w:val="0"/>
          <w:sz w:val="21"/>
          <w:szCs w:val="21"/>
        </w:rPr>
      </w:pPr>
    </w:p>
    <w:p>
      <w:pPr>
        <w:pStyle w:val="205"/>
        <w:widowControl w:val="0"/>
        <w:spacing w:before="0" w:beforeAutospacing="0" w:after="0" w:afterAutospacing="0" w:line="360" w:lineRule="auto"/>
        <w:rPr>
          <w:sz w:val="44"/>
          <w:szCs w:val="44"/>
        </w:rPr>
      </w:pPr>
      <w:r>
        <w:rPr>
          <w:snapToGrid w:val="0"/>
        </w:rPr>
        <w:br w:type="page"/>
      </w:r>
    </w:p>
    <w:p>
      <w:pPr>
        <w:adjustRightInd w:val="0"/>
        <w:snapToGrid w:val="0"/>
        <w:spacing w:line="360" w:lineRule="auto"/>
        <w:jc w:val="center"/>
        <w:outlineLvl w:val="0"/>
        <w:rPr>
          <w:b/>
          <w:sz w:val="52"/>
          <w:szCs w:val="52"/>
        </w:rPr>
      </w:pPr>
      <w:r>
        <w:rPr>
          <w:rFonts w:hint="eastAsia"/>
          <w:b/>
          <w:sz w:val="52"/>
          <w:szCs w:val="52"/>
        </w:rPr>
        <w:t>第五章  合同条款及格式</w:t>
      </w:r>
    </w:p>
    <w:p>
      <w:pPr>
        <w:snapToGrid w:val="0"/>
        <w:spacing w:line="360" w:lineRule="auto"/>
        <w:jc w:val="right"/>
        <w:rPr>
          <w:rFonts w:ascii="黑体" w:eastAsia="黑体"/>
          <w:color w:val="000000" w:themeColor="text1"/>
          <w:sz w:val="48"/>
          <w:szCs w:val="48"/>
          <w14:textFill>
            <w14:solidFill>
              <w14:schemeClr w14:val="tx1"/>
            </w14:solidFill>
          </w14:textFill>
        </w:rPr>
      </w:pPr>
      <w:r>
        <w:rPr>
          <w:rFonts w:hint="eastAsia"/>
          <w:color w:val="000000" w:themeColor="text1"/>
          <w:sz w:val="28"/>
          <w:szCs w:val="28"/>
          <w14:textFill>
            <w14:solidFill>
              <w14:schemeClr w14:val="tx1"/>
            </w14:solidFill>
          </w14:textFill>
        </w:rPr>
        <w:t>合同编号：</w:t>
      </w:r>
    </w:p>
    <w:p>
      <w:pPr>
        <w:snapToGrid w:val="0"/>
        <w:spacing w:line="360" w:lineRule="auto"/>
        <w:rPr>
          <w:rFonts w:ascii="黑体" w:eastAsia="黑体"/>
          <w:color w:val="000000" w:themeColor="text1"/>
          <w:sz w:val="48"/>
          <w:szCs w:val="48"/>
          <w14:textFill>
            <w14:solidFill>
              <w14:schemeClr w14:val="tx1"/>
            </w14:solidFill>
          </w14:textFill>
        </w:rPr>
      </w:pPr>
    </w:p>
    <w:p>
      <w:pPr>
        <w:snapToGrid w:val="0"/>
        <w:spacing w:line="360" w:lineRule="auto"/>
        <w:rPr>
          <w:rFonts w:ascii="黑体" w:eastAsia="黑体"/>
          <w:color w:val="000000" w:themeColor="text1"/>
          <w:sz w:val="48"/>
          <w:szCs w:val="48"/>
          <w14:textFill>
            <w14:solidFill>
              <w14:schemeClr w14:val="tx1"/>
            </w14:solidFill>
          </w14:textFill>
        </w:rPr>
      </w:pPr>
    </w:p>
    <w:p>
      <w:pPr>
        <w:snapToGrid w:val="0"/>
        <w:spacing w:line="360" w:lineRule="auto"/>
        <w:jc w:val="center"/>
        <w:rPr>
          <w:rFonts w:ascii="黑体" w:eastAsia="黑体"/>
          <w:color w:val="000000" w:themeColor="text1"/>
          <w:sz w:val="48"/>
          <w:szCs w:val="48"/>
          <w14:textFill>
            <w14:solidFill>
              <w14:schemeClr w14:val="tx1"/>
            </w14:solidFill>
          </w14:textFill>
        </w:rPr>
      </w:pPr>
      <w:r>
        <w:rPr>
          <w:rFonts w:hint="eastAsia" w:ascii="黑体" w:eastAsia="黑体"/>
          <w:color w:val="000000" w:themeColor="text1"/>
          <w:sz w:val="48"/>
          <w:szCs w:val="48"/>
          <w14:textFill>
            <w14:solidFill>
              <w14:schemeClr w14:val="tx1"/>
            </w14:solidFill>
          </w14:textFill>
        </w:rPr>
        <w:t>深圳市南山区招商街道办事处</w:t>
      </w:r>
    </w:p>
    <w:p>
      <w:pPr>
        <w:snapToGrid w:val="0"/>
        <w:spacing w:line="360" w:lineRule="auto"/>
        <w:jc w:val="center"/>
        <w:rPr>
          <w:rFonts w:ascii="黑体" w:eastAsia="黑体"/>
          <w:color w:val="000000" w:themeColor="text1"/>
          <w:sz w:val="48"/>
          <w:szCs w:val="48"/>
          <w14:textFill>
            <w14:solidFill>
              <w14:schemeClr w14:val="tx1"/>
            </w14:solidFill>
          </w14:textFill>
        </w:rPr>
      </w:pPr>
      <w:r>
        <w:rPr>
          <w:rFonts w:hint="eastAsia" w:ascii="黑体" w:eastAsia="黑体"/>
          <w:color w:val="000000" w:themeColor="text1"/>
          <w:sz w:val="48"/>
          <w:szCs w:val="48"/>
          <w14:textFill>
            <w14:solidFill>
              <w14:schemeClr w14:val="tx1"/>
            </w14:solidFill>
          </w14:textFill>
        </w:rPr>
        <w:t>建筑工程设计合同</w:t>
      </w:r>
    </w:p>
    <w:p>
      <w:pPr>
        <w:snapToGrid w:val="0"/>
        <w:spacing w:line="360" w:lineRule="auto"/>
        <w:jc w:val="center"/>
        <w:rPr>
          <w:rFonts w:ascii="黑体" w:eastAsia="黑体"/>
          <w:color w:val="000000" w:themeColor="text1"/>
          <w:sz w:val="48"/>
          <w:szCs w:val="48"/>
          <w14:textFill>
            <w14:solidFill>
              <w14:schemeClr w14:val="tx1"/>
            </w14:solidFill>
          </w14:textFill>
        </w:rPr>
      </w:pPr>
      <w:r>
        <w:rPr>
          <w:rFonts w:hint="eastAsia" w:ascii="黑体" w:eastAsia="黑体"/>
          <w:color w:val="000000" w:themeColor="text1"/>
          <w:sz w:val="48"/>
          <w:szCs w:val="48"/>
          <w14:textFill>
            <w14:solidFill>
              <w14:schemeClr w14:val="tx1"/>
            </w14:solidFill>
          </w14:textFill>
        </w:rPr>
        <w:t>（适用于小型建设工程）</w:t>
      </w:r>
    </w:p>
    <w:p>
      <w:pPr>
        <w:snapToGrid w:val="0"/>
        <w:spacing w:line="360" w:lineRule="auto"/>
        <w:jc w:val="center"/>
        <w:rPr>
          <w:color w:val="000000" w:themeColor="text1"/>
          <w:szCs w:val="21"/>
          <w14:textFill>
            <w14:solidFill>
              <w14:schemeClr w14:val="tx1"/>
            </w14:solidFill>
          </w14:textFill>
        </w:rPr>
      </w:pPr>
    </w:p>
    <w:p>
      <w:pPr>
        <w:snapToGrid w:val="0"/>
        <w:spacing w:line="360" w:lineRule="auto"/>
        <w:rPr>
          <w:color w:val="000000" w:themeColor="text1"/>
          <w:szCs w:val="21"/>
          <w14:textFill>
            <w14:solidFill>
              <w14:schemeClr w14:val="tx1"/>
            </w14:solidFill>
          </w14:textFill>
        </w:rPr>
      </w:pPr>
    </w:p>
    <w:p>
      <w:pPr>
        <w:snapToGrid w:val="0"/>
        <w:spacing w:line="360" w:lineRule="auto"/>
        <w:jc w:val="center"/>
        <w:rPr>
          <w:color w:val="000000" w:themeColor="text1"/>
          <w:szCs w:val="21"/>
          <w14:textFill>
            <w14:solidFill>
              <w14:schemeClr w14:val="tx1"/>
            </w14:solidFill>
          </w14:textFill>
        </w:rPr>
      </w:pPr>
    </w:p>
    <w:p>
      <w:pPr>
        <w:snapToGrid w:val="0"/>
        <w:spacing w:line="360" w:lineRule="auto"/>
        <w:jc w:val="center"/>
        <w:rPr>
          <w:color w:val="000000" w:themeColor="text1"/>
          <w:szCs w:val="21"/>
          <w14:textFill>
            <w14:solidFill>
              <w14:schemeClr w14:val="tx1"/>
            </w14:solidFill>
          </w14:textFill>
        </w:rPr>
      </w:pPr>
    </w:p>
    <w:p>
      <w:pPr>
        <w:snapToGrid w:val="0"/>
        <w:spacing w:line="360" w:lineRule="auto"/>
        <w:jc w:val="center"/>
        <w:rPr>
          <w:color w:val="000000" w:themeColor="text1"/>
          <w:szCs w:val="21"/>
          <w14:textFill>
            <w14:solidFill>
              <w14:schemeClr w14:val="tx1"/>
            </w14:solidFill>
          </w14:textFill>
        </w:rPr>
      </w:pPr>
    </w:p>
    <w:p>
      <w:pPr>
        <w:snapToGrid w:val="0"/>
        <w:spacing w:line="360" w:lineRule="auto"/>
        <w:rPr>
          <w:color w:val="000000" w:themeColor="text1"/>
          <w:szCs w:val="21"/>
          <w14:textFill>
            <w14:solidFill>
              <w14:schemeClr w14:val="tx1"/>
            </w14:solidFill>
          </w14:textFill>
        </w:rPr>
      </w:pPr>
    </w:p>
    <w:p>
      <w:pPr>
        <w:spacing w:line="360" w:lineRule="auto"/>
        <w:ind w:firstLine="1124" w:firstLineChars="400"/>
        <w:rPr>
          <w:b/>
          <w:sz w:val="28"/>
          <w:szCs w:val="28"/>
        </w:rPr>
      </w:pPr>
      <w:r>
        <w:rPr>
          <w:rFonts w:hint="eastAsia"/>
          <w:b/>
          <w:sz w:val="28"/>
          <w:szCs w:val="28"/>
        </w:rPr>
        <w:t>工程名称：</w:t>
      </w:r>
      <w:r>
        <w:rPr>
          <w:rFonts w:hint="eastAsia"/>
          <w:b/>
          <w:sz w:val="28"/>
          <w:szCs w:val="28"/>
          <w:u w:val="single"/>
        </w:rPr>
        <w:t>_________________________   _____</w:t>
      </w:r>
    </w:p>
    <w:p>
      <w:pPr>
        <w:spacing w:line="360" w:lineRule="auto"/>
        <w:rPr>
          <w:b/>
          <w:sz w:val="28"/>
          <w:szCs w:val="28"/>
        </w:rPr>
      </w:pPr>
      <w:r>
        <w:rPr>
          <w:rFonts w:hint="eastAsia"/>
          <w:b/>
          <w:sz w:val="28"/>
          <w:szCs w:val="28"/>
        </w:rPr>
        <w:t xml:space="preserve">        工程地点：</w:t>
      </w:r>
      <w:r>
        <w:rPr>
          <w:rFonts w:hint="eastAsia"/>
          <w:b/>
          <w:sz w:val="28"/>
          <w:szCs w:val="28"/>
          <w:u w:val="single"/>
        </w:rPr>
        <w:t>____________________________   __</w:t>
      </w:r>
      <w:r>
        <w:rPr>
          <w:rFonts w:hint="eastAsia"/>
          <w:b/>
          <w:sz w:val="28"/>
          <w:szCs w:val="28"/>
        </w:rPr>
        <w:t xml:space="preserve">                        </w:t>
      </w:r>
    </w:p>
    <w:p>
      <w:pPr>
        <w:spacing w:line="360" w:lineRule="auto"/>
        <w:rPr>
          <w:b/>
          <w:sz w:val="28"/>
          <w:szCs w:val="28"/>
        </w:rPr>
      </w:pPr>
      <w:r>
        <w:rPr>
          <w:rFonts w:hint="eastAsia"/>
          <w:b/>
          <w:sz w:val="28"/>
          <w:szCs w:val="28"/>
        </w:rPr>
        <w:t xml:space="preserve">        发包人（甲方）：</w:t>
      </w:r>
      <w:r>
        <w:rPr>
          <w:rFonts w:hint="eastAsia"/>
          <w:b/>
          <w:sz w:val="28"/>
          <w:szCs w:val="28"/>
          <w:u w:val="single"/>
        </w:rPr>
        <w:t>_深圳市南山区招商街道办事处_</w:t>
      </w:r>
      <w:r>
        <w:rPr>
          <w:rFonts w:hint="eastAsia"/>
          <w:b/>
          <w:sz w:val="28"/>
          <w:szCs w:val="28"/>
        </w:rPr>
        <w:t xml:space="preserve">                   </w:t>
      </w:r>
    </w:p>
    <w:p>
      <w:pPr>
        <w:spacing w:line="360" w:lineRule="auto"/>
        <w:rPr>
          <w:b/>
          <w:sz w:val="28"/>
          <w:szCs w:val="28"/>
          <w:u w:val="single"/>
        </w:rPr>
      </w:pPr>
      <w:r>
        <w:rPr>
          <w:rFonts w:hint="eastAsia"/>
          <w:b/>
          <w:sz w:val="28"/>
          <w:szCs w:val="28"/>
        </w:rPr>
        <w:t xml:space="preserve">        设计人（乙方）：</w:t>
      </w:r>
      <w:r>
        <w:rPr>
          <w:rFonts w:hint="eastAsia"/>
          <w:b/>
          <w:sz w:val="28"/>
          <w:szCs w:val="28"/>
          <w:u w:val="single"/>
        </w:rPr>
        <w:t>_____________________  _____</w:t>
      </w:r>
    </w:p>
    <w:p>
      <w:pPr>
        <w:spacing w:line="360" w:lineRule="auto"/>
        <w:rPr>
          <w:b/>
          <w:sz w:val="28"/>
          <w:szCs w:val="28"/>
          <w:u w:val="single"/>
        </w:rPr>
      </w:pPr>
    </w:p>
    <w:p>
      <w:pPr>
        <w:spacing w:line="360" w:lineRule="auto"/>
        <w:rPr>
          <w:b/>
          <w:sz w:val="28"/>
          <w:szCs w:val="28"/>
          <w:u w:val="single"/>
        </w:rPr>
      </w:pPr>
    </w:p>
    <w:p>
      <w:pPr>
        <w:spacing w:line="360" w:lineRule="auto"/>
        <w:rPr>
          <w:b/>
          <w:sz w:val="28"/>
          <w:szCs w:val="28"/>
          <w:u w:val="single"/>
        </w:rPr>
      </w:pPr>
    </w:p>
    <w:p>
      <w:pPr>
        <w:spacing w:line="360" w:lineRule="auto"/>
        <w:jc w:val="center"/>
        <w:rPr>
          <w:b/>
          <w:sz w:val="28"/>
          <w:szCs w:val="28"/>
        </w:rPr>
      </w:pPr>
      <w:r>
        <w:rPr>
          <w:rFonts w:hint="eastAsia"/>
          <w:b/>
          <w:sz w:val="28"/>
          <w:szCs w:val="28"/>
        </w:rPr>
        <w:t>2022年版</w:t>
      </w:r>
    </w:p>
    <w:p>
      <w:pPr>
        <w:snapToGrid w:val="0"/>
        <w:spacing w:line="360" w:lineRule="auto"/>
        <w:rPr>
          <w:color w:val="000000" w:themeColor="text1"/>
          <w:szCs w:val="21"/>
          <w14:textFill>
            <w14:solidFill>
              <w14:schemeClr w14:val="tx1"/>
            </w14:solidFill>
          </w14:textFill>
        </w:rPr>
      </w:pPr>
    </w:p>
    <w:p>
      <w:pPr>
        <w:snapToGrid w:val="0"/>
        <w:spacing w:line="360" w:lineRule="auto"/>
        <w:rPr>
          <w:color w:val="000000" w:themeColor="text1"/>
          <w:szCs w:val="21"/>
          <w14:textFill>
            <w14:solidFill>
              <w14:schemeClr w14:val="tx1"/>
            </w14:solidFill>
          </w14:textFill>
        </w:rPr>
      </w:pPr>
    </w:p>
    <w:p>
      <w:pPr>
        <w:snapToGrid w:val="0"/>
        <w:spacing w:before="120" w:line="360" w:lineRule="auto"/>
        <w:jc w:val="center"/>
        <w:outlineLvl w:val="1"/>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第一部分 合同协议书</w:t>
      </w:r>
    </w:p>
    <w:p>
      <w:pPr>
        <w:snapToGrid w:val="0"/>
        <w:spacing w:line="360" w:lineRule="auto"/>
        <w:rPr>
          <w:color w:val="000000" w:themeColor="text1"/>
          <w:szCs w:val="21"/>
          <w14:textFill>
            <w14:solidFill>
              <w14:schemeClr w14:val="tx1"/>
            </w14:solidFill>
          </w14:textFill>
        </w:rPr>
      </w:pPr>
    </w:p>
    <w:p>
      <w:pPr>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发包人（甲方）：</w:t>
      </w:r>
      <w:r>
        <w:rPr>
          <w:rFonts w:hint="eastAsia"/>
          <w:b/>
          <w:bCs/>
          <w:color w:val="000000" w:themeColor="text1"/>
          <w:u w:val="single"/>
          <w14:textFill>
            <w14:solidFill>
              <w14:schemeClr w14:val="tx1"/>
            </w14:solidFill>
          </w14:textFill>
        </w:rPr>
        <w:t xml:space="preserve">深圳市南山区招商街道办事处 </w:t>
      </w:r>
    </w:p>
    <w:p>
      <w:pPr>
        <w:snapToGrid w:val="0"/>
        <w:spacing w:line="360"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设计人（乙方）：</w:t>
      </w:r>
      <w:r>
        <w:rPr>
          <w:rFonts w:hint="eastAsia"/>
          <w:color w:val="000000" w:themeColor="text1"/>
          <w:u w:val="single"/>
          <w14:textFill>
            <w14:solidFill>
              <w14:schemeClr w14:val="tx1"/>
            </w14:solidFill>
          </w14:textFill>
        </w:rPr>
        <w:t xml:space="preserve">                      </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依照《中华人民共和国民法典》、《中华人民共和国建筑法》、《建设工程质量管理条例》、《建设工程安全生产管理条例》、《建设工程勘察设计管理条例》、《工程设计资质标准》、《深圳市建设工程质量管理条例》和《深圳经济特区政府投资项目审计监督条例》及国家、省、市现行相关法律法规和规章、规定，结合本工程的招标文件要求和建设工程批准文件，甲乙双方遵循平等、自愿、公平和诚实信用的原则，就</w:t>
      </w:r>
      <w:r>
        <w:rPr>
          <w:rFonts w:hint="eastAsia" w:ascii="黑体" w:eastAsia="黑体"/>
          <w:b/>
          <w:bCs/>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项目的</w:t>
      </w:r>
      <w:r>
        <w:rPr>
          <w:rFonts w:hint="eastAsia"/>
          <w:color w:val="000000" w:themeColor="text1"/>
          <w:u w:val="single"/>
          <w14:textFill>
            <w14:solidFill>
              <w14:schemeClr w14:val="tx1"/>
            </w14:solidFill>
          </w14:textFill>
        </w:rPr>
        <w:t>设计服务</w:t>
      </w:r>
      <w:r>
        <w:rPr>
          <w:rFonts w:hint="eastAsia"/>
          <w:color w:val="000000" w:themeColor="text1"/>
          <w14:textFill>
            <w14:solidFill>
              <w14:schemeClr w14:val="tx1"/>
            </w14:solidFill>
          </w14:textFill>
        </w:rPr>
        <w:t>事项协调一致，订立本协议。</w:t>
      </w:r>
    </w:p>
    <w:p>
      <w:pPr>
        <w:snapToGrid w:val="0"/>
        <w:spacing w:before="240" w:line="360" w:lineRule="auto"/>
        <w:rPr>
          <w:rFonts w:ascii="黑体" w:eastAsia="黑体"/>
          <w:b/>
          <w:bCs/>
          <w:color w:val="000000" w:themeColor="text1"/>
          <w14:textFill>
            <w14:solidFill>
              <w14:schemeClr w14:val="tx1"/>
            </w14:solidFill>
          </w14:textFill>
        </w:rPr>
      </w:pPr>
      <w:r>
        <w:rPr>
          <w:rFonts w:hint="eastAsia" w:ascii="黑体" w:eastAsia="黑体"/>
          <w:b/>
          <w:bCs/>
          <w:color w:val="000000" w:themeColor="text1"/>
          <w14:textFill>
            <w14:solidFill>
              <w14:schemeClr w14:val="tx1"/>
            </w14:solidFill>
          </w14:textFill>
        </w:rPr>
        <w:t>一、工程概况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1.1工程名称：</w:t>
      </w:r>
      <w:r>
        <w:rPr>
          <w:rFonts w:hint="eastAsia" w:ascii="黑体" w:eastAsia="黑体"/>
          <w:b/>
          <w:bCs/>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1.2工程地点：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1.3建设规模：</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1.4投资规模：</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1.5资金来源：</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snapToGrid w:val="0"/>
        <w:spacing w:before="240" w:line="360" w:lineRule="auto"/>
        <w:rPr>
          <w:rFonts w:ascii="黑体" w:eastAsia="黑体"/>
          <w:b/>
          <w:bCs/>
          <w:color w:val="000000" w:themeColor="text1"/>
          <w14:textFill>
            <w14:solidFill>
              <w14:schemeClr w14:val="tx1"/>
            </w14:solidFill>
          </w14:textFill>
        </w:rPr>
      </w:pPr>
      <w:r>
        <w:rPr>
          <w:rFonts w:hint="eastAsia" w:ascii="黑体" w:eastAsia="黑体"/>
          <w:b/>
          <w:bCs/>
          <w:color w:val="000000" w:themeColor="text1"/>
          <w14:textFill>
            <w14:solidFill>
              <w14:schemeClr w14:val="tx1"/>
            </w14:solidFill>
          </w14:textFill>
        </w:rPr>
        <w:t>二、工程设计范围和阶段划分</w:t>
      </w:r>
    </w:p>
    <w:p>
      <w:pPr>
        <w:snapToGrid w:val="0"/>
        <w:spacing w:line="360" w:lineRule="auto"/>
        <w:ind w:firstLine="480" w:firstLineChars="200"/>
        <w:rPr>
          <w:color w:val="000000" w:themeColor="text1"/>
          <w:u w:val="single"/>
          <w14:textFill>
            <w14:solidFill>
              <w14:schemeClr w14:val="tx1"/>
            </w14:solidFill>
          </w14:textFill>
        </w:rPr>
      </w:pPr>
      <w:r>
        <w:rPr>
          <w:rFonts w:hint="eastAsia" w:cs="Courier New"/>
          <w:bCs/>
          <w:color w:val="000000" w:themeColor="text1"/>
          <w14:textFill>
            <w14:solidFill>
              <w14:schemeClr w14:val="tx1"/>
            </w14:solidFill>
          </w14:textFill>
        </w:rPr>
        <w:t>2.1本次设计服务的范围包括但不限于</w:t>
      </w:r>
      <w:r>
        <w:rPr>
          <w:rFonts w:hint="eastAsia"/>
          <w:color w:val="000000" w:themeColor="text1"/>
          <w:u w:val="single"/>
          <w14:textFill>
            <w14:solidFill>
              <w14:schemeClr w14:val="tx1"/>
            </w14:solidFill>
          </w14:textFill>
        </w:rPr>
        <w:t>方案设计、初步设计、施工图设计、配合办理相关设计成果报建、施工现场配合及竣工图编制等相关服务工作。发包人保留调整发包范围的权利，承包人不得提出异议。</w:t>
      </w:r>
    </w:p>
    <w:p>
      <w:pPr>
        <w:snapToGrid w:val="0"/>
        <w:spacing w:line="360" w:lineRule="auto"/>
        <w:ind w:firstLine="480" w:firstLineChars="200"/>
        <w:rPr>
          <w:rFonts w:cs="Courier New"/>
          <w:bCs/>
          <w:color w:val="000000" w:themeColor="text1"/>
          <w14:textFill>
            <w14:solidFill>
              <w14:schemeClr w14:val="tx1"/>
            </w14:solidFill>
          </w14:textFill>
        </w:rPr>
      </w:pPr>
      <w:r>
        <w:rPr>
          <w:rFonts w:hint="eastAsia" w:cs="Courier New"/>
          <w:bCs/>
          <w:color w:val="000000" w:themeColor="text1"/>
          <w14:textFill>
            <w14:solidFill>
              <w14:schemeClr w14:val="tx1"/>
            </w14:solidFill>
          </w14:textFill>
        </w:rPr>
        <w:t>具体设计要求和工作内容，详见通用条款、专用条款及附件。</w:t>
      </w:r>
    </w:p>
    <w:p>
      <w:pPr>
        <w:snapToGrid w:val="0"/>
        <w:spacing w:before="240" w:line="360" w:lineRule="auto"/>
        <w:rPr>
          <w:rFonts w:ascii="黑体" w:eastAsia="黑体"/>
          <w:b/>
          <w:bCs/>
          <w:color w:val="000000" w:themeColor="text1"/>
          <w14:textFill>
            <w14:solidFill>
              <w14:schemeClr w14:val="tx1"/>
            </w14:solidFill>
          </w14:textFill>
        </w:rPr>
      </w:pPr>
      <w:bookmarkStart w:id="265" w:name="_Hlk72143208"/>
      <w:r>
        <w:rPr>
          <w:rFonts w:hint="eastAsia" w:ascii="黑体" w:eastAsia="黑体"/>
          <w:b/>
          <w:bCs/>
          <w:color w:val="000000" w:themeColor="text1"/>
          <w14:textFill>
            <w14:solidFill>
              <w14:schemeClr w14:val="tx1"/>
            </w14:solidFill>
          </w14:textFill>
        </w:rPr>
        <w:t>三、进度要求及工期安排</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3.1计划开始设计日期：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3.2计划完成设计日期：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3.3方案调整与设计：</w:t>
      </w:r>
      <w:r>
        <w:rPr>
          <w:rFonts w:hint="eastAsia"/>
          <w:color w:val="000000" w:themeColor="text1"/>
          <w:u w:val="single"/>
          <w14:textFill>
            <w14:solidFill>
              <w14:schemeClr w14:val="tx1"/>
            </w14:solidFill>
          </w14:textFill>
        </w:rPr>
        <w:t>20</w:t>
      </w:r>
      <w:r>
        <w:rPr>
          <w:rFonts w:hint="eastAsia"/>
          <w:color w:val="000000" w:themeColor="text1"/>
          <w14:textFill>
            <w14:solidFill>
              <w14:schemeClr w14:val="tx1"/>
            </w14:solidFill>
          </w14:textFill>
        </w:rPr>
        <w:t>日历天</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3.4初步设计：</w:t>
      </w:r>
      <w:r>
        <w:rPr>
          <w:rFonts w:hint="eastAsia"/>
          <w:color w:val="000000" w:themeColor="text1"/>
          <w:u w:val="single"/>
          <w14:textFill>
            <w14:solidFill>
              <w14:schemeClr w14:val="tx1"/>
            </w14:solidFill>
          </w14:textFill>
        </w:rPr>
        <w:t>30</w:t>
      </w:r>
      <w:r>
        <w:rPr>
          <w:rFonts w:hint="eastAsia"/>
          <w:color w:val="000000" w:themeColor="text1"/>
          <w14:textFill>
            <w14:solidFill>
              <w14:schemeClr w14:val="tx1"/>
            </w14:solidFill>
          </w14:textFill>
        </w:rPr>
        <w:t>日历天</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3.5施工图设计：</w:t>
      </w:r>
      <w:r>
        <w:rPr>
          <w:rFonts w:hint="eastAsia"/>
          <w:color w:val="000000" w:themeColor="text1"/>
          <w:u w:val="single"/>
          <w14:textFill>
            <w14:solidFill>
              <w14:schemeClr w14:val="tx1"/>
            </w14:solidFill>
          </w14:textFill>
        </w:rPr>
        <w:t>30</w:t>
      </w:r>
      <w:r>
        <w:rPr>
          <w:rFonts w:hint="eastAsia"/>
          <w:color w:val="000000" w:themeColor="text1"/>
          <w14:textFill>
            <w14:solidFill>
              <w14:schemeClr w14:val="tx1"/>
            </w14:solidFill>
          </w14:textFill>
        </w:rPr>
        <w:t>日历天</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3.6竣工图编制：</w:t>
      </w:r>
      <w:r>
        <w:rPr>
          <w:rFonts w:hint="eastAsia"/>
          <w:color w:val="000000" w:themeColor="text1"/>
          <w:u w:val="single"/>
          <w14:textFill>
            <w14:solidFill>
              <w14:schemeClr w14:val="tx1"/>
            </w14:solidFill>
          </w14:textFill>
        </w:rPr>
        <w:t>30</w:t>
      </w:r>
      <w:r>
        <w:rPr>
          <w:rFonts w:hint="eastAsia"/>
          <w:color w:val="000000" w:themeColor="text1"/>
          <w14:textFill>
            <w14:solidFill>
              <w14:schemeClr w14:val="tx1"/>
            </w14:solidFill>
          </w14:textFill>
        </w:rPr>
        <w:t>日历天</w:t>
      </w:r>
      <w:bookmarkEnd w:id="265"/>
    </w:p>
    <w:p>
      <w:pPr>
        <w:snapToGrid w:val="0"/>
        <w:spacing w:before="240" w:line="360" w:lineRule="auto"/>
        <w:rPr>
          <w:color w:val="000000" w:themeColor="text1"/>
          <w14:textFill>
            <w14:solidFill>
              <w14:schemeClr w14:val="tx1"/>
            </w14:solidFill>
          </w14:textFill>
        </w:rPr>
      </w:pPr>
      <w:bookmarkStart w:id="266" w:name="_Hlk72143222"/>
      <w:r>
        <w:rPr>
          <w:rFonts w:hint="eastAsia" w:ascii="黑体" w:eastAsia="黑体"/>
          <w:b/>
          <w:bCs/>
          <w:color w:val="000000" w:themeColor="text1"/>
          <w14:textFill>
            <w14:solidFill>
              <w14:schemeClr w14:val="tx1"/>
            </w14:solidFill>
          </w14:textFill>
        </w:rPr>
        <w:t>四、合同价款</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4.1以本项目批准文件中乙方负责设计内容建筑安装费的总和为设计收费计费额，</w:t>
      </w:r>
      <w:r>
        <w:rPr>
          <w:rFonts w:hint="eastAsia"/>
          <w:color w:val="000000" w:themeColor="text1"/>
          <w:lang w:eastAsia="zh-Hans"/>
          <w14:textFill>
            <w14:solidFill>
              <w14:schemeClr w14:val="tx1"/>
            </w14:solidFill>
          </w14:textFill>
        </w:rPr>
        <w:t>参</w:t>
      </w:r>
      <w:r>
        <w:rPr>
          <w:rFonts w:hint="eastAsia"/>
          <w:color w:val="000000" w:themeColor="text1"/>
          <w14:textFill>
            <w14:solidFill>
              <w14:schemeClr w14:val="tx1"/>
            </w14:solidFill>
          </w14:textFill>
        </w:rPr>
        <w:t>考2002年修订本（国家发展计划委员会建设部）《工程勘察设计收费管理</w:t>
      </w:r>
      <w:r>
        <w:rPr>
          <w:rFonts w:hint="eastAsia"/>
          <w:color w:val="000000" w:themeColor="text1"/>
          <w:lang w:eastAsia="zh-Hans"/>
          <w14:textFill>
            <w14:solidFill>
              <w14:schemeClr w14:val="tx1"/>
            </w14:solidFill>
          </w14:textFill>
        </w:rPr>
        <w:t>规定</w:t>
      </w:r>
      <w:r>
        <w:rPr>
          <w:rFonts w:hint="eastAsia"/>
          <w:color w:val="000000" w:themeColor="text1"/>
          <w14:textFill>
            <w14:solidFill>
              <w14:schemeClr w14:val="tx1"/>
            </w14:solidFill>
          </w14:textFill>
        </w:rPr>
        <w:t>》（计价格〔2002〕10号）计算工程设计收费基价，乘以相关系数并下浮</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后计取（注：若其中含竣工图编制费，则按工程基本设计收费8%计取）。</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即设计收费=工程设计收费基价×专业调整系数×工程复杂调整系数×附加调整系数×（1-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）；其中，复杂程度调整系数、专业调整系数、附加调整系数等见合同专用条款。</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4.2本合同的结算和费用支付详见合同通用条款和合同专用条款。</w:t>
      </w:r>
      <w:bookmarkEnd w:id="266"/>
    </w:p>
    <w:p>
      <w:pPr>
        <w:snapToGrid w:val="0"/>
        <w:spacing w:before="240" w:line="360" w:lineRule="auto"/>
        <w:rPr>
          <w:rFonts w:ascii="黑体" w:eastAsia="黑体"/>
          <w:b/>
          <w:bCs/>
          <w:color w:val="000000" w:themeColor="text1"/>
          <w14:textFill>
            <w14:solidFill>
              <w14:schemeClr w14:val="tx1"/>
            </w14:solidFill>
          </w14:textFill>
        </w:rPr>
      </w:pPr>
      <w:bookmarkStart w:id="267" w:name="_Hlk72143241"/>
      <w:r>
        <w:rPr>
          <w:rFonts w:hint="eastAsia" w:ascii="黑体" w:eastAsia="黑体"/>
          <w:b/>
          <w:bCs/>
          <w:color w:val="000000" w:themeColor="text1"/>
          <w14:textFill>
            <w14:solidFill>
              <w14:schemeClr w14:val="tx1"/>
            </w14:solidFill>
          </w14:textFill>
        </w:rPr>
        <w:t>五、合同的组成和相关文件优先次序</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5.1本合同文件由合同协议书、合同通用条款和合同专用条款及附件组成。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5.2合同执行中相关文件如存在歧义或不一致，将按以下次序予以判断：</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（1）本合同履行过程中双方以书面形式签署的补充和修正文件</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（2）合同协议书</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（3）合同专用条款</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（4）合同通用条款</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（5）中标通知书</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（6）招标文件及其附件（含补遗书）</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（7）投标书及其附件</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（8）标准、规范及规程有关技术文件</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5.3合同附件：</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（1）中标通知书</w:t>
      </w:r>
    </w:p>
    <w:p>
      <w:pPr>
        <w:snapToGrid w:val="0"/>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（2）设计合同履约评价表</w:t>
      </w:r>
      <w:bookmarkEnd w:id="267"/>
    </w:p>
    <w:p>
      <w:pPr>
        <w:snapToGrid w:val="0"/>
        <w:spacing w:before="240" w:line="360" w:lineRule="auto"/>
        <w:rPr>
          <w:rFonts w:ascii="黑体" w:eastAsia="黑体"/>
          <w:b/>
          <w:bCs/>
          <w:color w:val="000000" w:themeColor="text1"/>
          <w14:textFill>
            <w14:solidFill>
              <w14:schemeClr w14:val="tx1"/>
            </w14:solidFill>
          </w14:textFill>
        </w:rPr>
      </w:pPr>
      <w:bookmarkStart w:id="268" w:name="_Hlk72143255"/>
      <w:r>
        <w:rPr>
          <w:rFonts w:hint="eastAsia" w:ascii="黑体" w:eastAsia="黑体"/>
          <w:b/>
          <w:bCs/>
          <w:color w:val="000000" w:themeColor="text1"/>
          <w14:textFill>
            <w14:solidFill>
              <w14:schemeClr w14:val="tx1"/>
            </w14:solidFill>
          </w14:textFill>
        </w:rPr>
        <w:t>六、双方承诺</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6.1乙方向甲方承诺，按照本合同约定，承担本合同通用条款及专用条款中约定范围内的咨询业务。并按照附件一《设计合同履约评价细则》的要求接受委托人对合同履约情况进行履约评价。</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6.2甲方向乙方承诺，按照合同约定支付款项，并履行本合同所约定的全部义务。</w:t>
      </w:r>
    </w:p>
    <w:p>
      <w:pPr>
        <w:snapToGrid w:val="0"/>
        <w:spacing w:before="240" w:line="360" w:lineRule="auto"/>
        <w:rPr>
          <w:rFonts w:ascii="黑体" w:eastAsia="黑体"/>
          <w:b/>
          <w:bCs/>
          <w:color w:val="000000" w:themeColor="text1"/>
          <w14:textFill>
            <w14:solidFill>
              <w14:schemeClr w14:val="tx1"/>
            </w14:solidFill>
          </w14:textFill>
        </w:rPr>
      </w:pPr>
      <w:r>
        <w:rPr>
          <w:rFonts w:hint="eastAsia" w:ascii="黑体" w:eastAsia="黑体"/>
          <w:b/>
          <w:bCs/>
          <w:color w:val="000000" w:themeColor="text1"/>
          <w14:textFill>
            <w14:solidFill>
              <w14:schemeClr w14:val="tx1"/>
            </w14:solidFill>
          </w14:textFill>
        </w:rPr>
        <w:t>七、其他</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7.1本合同未尽事宜，合同当事人另行签订补充协议。</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7.2本合同一式肆份，其中正本贰份，双方各执壹份，副本贰份，甲方执壹份，乙方执壹份。</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7.3本合同经双方法定代表人或其委托代理人签署并加盖公章后生效。</w:t>
      </w:r>
    </w:p>
    <w:p>
      <w:pPr>
        <w:snapToGrid w:val="0"/>
        <w:spacing w:line="360" w:lineRule="auto"/>
        <w:rPr>
          <w:color w:val="000000" w:themeColor="text1"/>
          <w:szCs w:val="21"/>
          <w14:textFill>
            <w14:solidFill>
              <w14:schemeClr w14:val="tx1"/>
            </w14:solidFill>
          </w14:textFill>
        </w:rPr>
      </w:pPr>
    </w:p>
    <w:p>
      <w:pPr>
        <w:snapToGrid w:val="0"/>
        <w:spacing w:line="360" w:lineRule="auto"/>
        <w:rPr>
          <w:color w:val="000000" w:themeColor="text1"/>
          <w:szCs w:val="21"/>
          <w14:textFill>
            <w14:solidFill>
              <w14:schemeClr w14:val="tx1"/>
            </w14:solidFill>
          </w14:textFill>
        </w:rPr>
      </w:pPr>
    </w:p>
    <w:tbl>
      <w:tblPr>
        <w:tblStyle w:val="82"/>
        <w:tblW w:w="9000" w:type="dxa"/>
        <w:jc w:val="center"/>
        <w:tblLayout w:type="fixed"/>
        <w:tblCellMar>
          <w:top w:w="0" w:type="dxa"/>
          <w:left w:w="0" w:type="dxa"/>
          <w:bottom w:w="0" w:type="dxa"/>
          <w:right w:w="0" w:type="dxa"/>
        </w:tblCellMar>
      </w:tblPr>
      <w:tblGrid>
        <w:gridCol w:w="1943"/>
        <w:gridCol w:w="2657"/>
        <w:gridCol w:w="1986"/>
        <w:gridCol w:w="2414"/>
      </w:tblGrid>
      <w:tr>
        <w:tblPrEx>
          <w:tblCellMar>
            <w:top w:w="0" w:type="dxa"/>
            <w:left w:w="0" w:type="dxa"/>
            <w:bottom w:w="0" w:type="dxa"/>
            <w:right w:w="0" w:type="dxa"/>
          </w:tblCellMar>
        </w:tblPrEx>
        <w:trPr>
          <w:trHeight w:val="359" w:hRule="atLeast"/>
          <w:jc w:val="center"/>
        </w:trPr>
        <w:tc>
          <w:tcPr>
            <w:tcW w:w="1942"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r>
              <w:rPr>
                <w:rFonts w:hint="eastAsia"/>
                <w:color w:val="000000" w:themeColor="text1"/>
                <w14:textFill>
                  <w14:solidFill>
                    <w14:schemeClr w14:val="tx1"/>
                  </w14:solidFill>
                </w14:textFill>
              </w:rPr>
              <w:t>委托人（甲方）:</w:t>
            </w:r>
          </w:p>
        </w:tc>
        <w:tc>
          <w:tcPr>
            <w:tcW w:w="2655" w:type="dxa"/>
            <w:tcBorders>
              <w:top w:val="nil"/>
              <w:left w:val="nil"/>
              <w:bottom w:val="single" w:color="auto" w:sz="8" w:space="0"/>
              <w:right w:val="nil"/>
            </w:tcBorders>
            <w:tcMar>
              <w:top w:w="0" w:type="dxa"/>
              <w:left w:w="108" w:type="dxa"/>
              <w:bottom w:w="0" w:type="dxa"/>
              <w:right w:w="108" w:type="dxa"/>
            </w:tcMar>
            <w:vAlign w:val="center"/>
          </w:tcPr>
          <w:p>
            <w:pPr>
              <w:spacing w:line="360" w:lineRule="auto"/>
              <w:jc w:val="center"/>
              <w:rPr>
                <w:b/>
                <w:bCs/>
                <w:color w:val="000000" w:themeColor="text1"/>
                <w14:textFill>
                  <w14:solidFill>
                    <w14:schemeClr w14:val="tx1"/>
                  </w14:solidFill>
                </w14:textFill>
              </w:rPr>
            </w:pPr>
            <w:r>
              <w:rPr>
                <w:rFonts w:hint="eastAsia"/>
                <w:color w:val="000000" w:themeColor="text1"/>
                <w14:textFill>
                  <w14:solidFill>
                    <w14:schemeClr w14:val="tx1"/>
                  </w14:solidFill>
                </w14:textFill>
              </w:rPr>
              <w:t>深圳市南山区招商街道办事处</w:t>
            </w:r>
          </w:p>
        </w:tc>
        <w:tc>
          <w:tcPr>
            <w:tcW w:w="1984"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r>
              <w:rPr>
                <w:rFonts w:hint="eastAsia"/>
                <w:color w:val="000000" w:themeColor="text1"/>
                <w14:textFill>
                  <w14:solidFill>
                    <w14:schemeClr w14:val="tx1"/>
                  </w14:solidFill>
                </w14:textFill>
              </w:rPr>
              <w:t>设计人（乙方）：</w:t>
            </w:r>
          </w:p>
        </w:tc>
        <w:tc>
          <w:tcPr>
            <w:tcW w:w="2412" w:type="dxa"/>
            <w:tcBorders>
              <w:top w:val="nil"/>
              <w:left w:val="nil"/>
              <w:bottom w:val="single" w:color="auto" w:sz="8" w:space="0"/>
              <w:right w:val="nil"/>
            </w:tcBorders>
            <w:tcMar>
              <w:top w:w="0" w:type="dxa"/>
              <w:left w:w="108" w:type="dxa"/>
              <w:bottom w:w="0" w:type="dxa"/>
              <w:right w:w="108" w:type="dxa"/>
            </w:tcMar>
            <w:vAlign w:val="center"/>
          </w:tcPr>
          <w:p>
            <w:pPr>
              <w:spacing w:line="360" w:lineRule="auto"/>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622" w:hRule="atLeast"/>
          <w:jc w:val="center"/>
        </w:trPr>
        <w:tc>
          <w:tcPr>
            <w:tcW w:w="1942"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p>
        </w:tc>
        <w:tc>
          <w:tcPr>
            <w:tcW w:w="2655" w:type="dxa"/>
            <w:tcMar>
              <w:top w:w="0" w:type="dxa"/>
              <w:left w:w="108" w:type="dxa"/>
              <w:bottom w:w="0" w:type="dxa"/>
              <w:right w:w="108" w:type="dxa"/>
            </w:tcMa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(盖章)</w:t>
            </w:r>
          </w:p>
        </w:tc>
        <w:tc>
          <w:tcPr>
            <w:tcW w:w="1984"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p>
        </w:tc>
        <w:tc>
          <w:tcPr>
            <w:tcW w:w="2412" w:type="dxa"/>
            <w:tcMar>
              <w:top w:w="0" w:type="dxa"/>
              <w:left w:w="108" w:type="dxa"/>
              <w:bottom w:w="0" w:type="dxa"/>
              <w:right w:w="108" w:type="dxa"/>
            </w:tcMar>
          </w:tcPr>
          <w:p>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(盖章)</w:t>
            </w:r>
          </w:p>
        </w:tc>
      </w:tr>
      <w:tr>
        <w:tblPrEx>
          <w:tblCellMar>
            <w:top w:w="0" w:type="dxa"/>
            <w:left w:w="0" w:type="dxa"/>
            <w:bottom w:w="0" w:type="dxa"/>
            <w:right w:w="0" w:type="dxa"/>
          </w:tblCellMar>
        </w:tblPrEx>
        <w:trPr>
          <w:jc w:val="center"/>
        </w:trPr>
        <w:tc>
          <w:tcPr>
            <w:tcW w:w="1942" w:type="dxa"/>
            <w:tcMar>
              <w:top w:w="0" w:type="dxa"/>
              <w:left w:w="108" w:type="dxa"/>
              <w:bottom w:w="0" w:type="dxa"/>
              <w:right w:w="108" w:type="dxa"/>
            </w:tcMar>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法定代表人或其授权的代理人：</w:t>
            </w:r>
          </w:p>
        </w:tc>
        <w:tc>
          <w:tcPr>
            <w:tcW w:w="2655" w:type="dxa"/>
            <w:tcBorders>
              <w:top w:val="nil"/>
              <w:left w:val="nil"/>
              <w:bottom w:val="single" w:color="auto" w:sz="8" w:space="0"/>
              <w:right w:val="nil"/>
            </w:tcBorders>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p>
        </w:tc>
        <w:tc>
          <w:tcPr>
            <w:tcW w:w="1984"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法定代表人或其授权的代理人：</w:t>
            </w:r>
          </w:p>
        </w:tc>
        <w:tc>
          <w:tcPr>
            <w:tcW w:w="2412" w:type="dxa"/>
            <w:tcBorders>
              <w:top w:val="nil"/>
              <w:left w:val="nil"/>
              <w:bottom w:val="single" w:color="auto" w:sz="8" w:space="0"/>
              <w:right w:val="nil"/>
            </w:tcBorders>
            <w:tcMar>
              <w:top w:w="0" w:type="dxa"/>
              <w:left w:w="108" w:type="dxa"/>
              <w:bottom w:w="0" w:type="dxa"/>
              <w:right w:w="108" w:type="dxa"/>
            </w:tcMar>
            <w:vAlign w:val="center"/>
          </w:tcPr>
          <w:p>
            <w:pPr>
              <w:spacing w:line="360" w:lineRule="auto"/>
              <w:jc w:val="center"/>
              <w:rPr>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62" w:hRule="atLeast"/>
          <w:jc w:val="center"/>
        </w:trPr>
        <w:tc>
          <w:tcPr>
            <w:tcW w:w="1942"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p>
        </w:tc>
        <w:tc>
          <w:tcPr>
            <w:tcW w:w="2655" w:type="dxa"/>
            <w:tcMar>
              <w:top w:w="0" w:type="dxa"/>
              <w:left w:w="108" w:type="dxa"/>
              <w:bottom w:w="0" w:type="dxa"/>
              <w:right w:w="108" w:type="dxa"/>
            </w:tcMa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(签字)</w:t>
            </w:r>
          </w:p>
        </w:tc>
        <w:tc>
          <w:tcPr>
            <w:tcW w:w="1984"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p>
        </w:tc>
        <w:tc>
          <w:tcPr>
            <w:tcW w:w="2412" w:type="dxa"/>
            <w:tcMar>
              <w:top w:w="0" w:type="dxa"/>
              <w:left w:w="108" w:type="dxa"/>
              <w:bottom w:w="0" w:type="dxa"/>
              <w:right w:w="108" w:type="dxa"/>
            </w:tcMar>
          </w:tcPr>
          <w:p>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(签字)</w:t>
            </w: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p>
        </w:tc>
        <w:tc>
          <w:tcPr>
            <w:tcW w:w="2655" w:type="dxa"/>
            <w:tcMar>
              <w:top w:w="0" w:type="dxa"/>
              <w:left w:w="108" w:type="dxa"/>
              <w:bottom w:w="0" w:type="dxa"/>
              <w:right w:w="108" w:type="dxa"/>
            </w:tcMar>
            <w:vAlign w:val="center"/>
          </w:tcPr>
          <w:p>
            <w:pPr>
              <w:spacing w:line="360" w:lineRule="auto"/>
              <w:jc w:val="center"/>
              <w:rPr>
                <w:color w:val="000000" w:themeColor="text1"/>
                <w14:textFill>
                  <w14:solidFill>
                    <w14:schemeClr w14:val="tx1"/>
                  </w14:solidFill>
                </w14:textFill>
              </w:rPr>
            </w:pPr>
          </w:p>
        </w:tc>
        <w:tc>
          <w:tcPr>
            <w:tcW w:w="1984"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r>
              <w:rPr>
                <w:rFonts w:hint="eastAsia"/>
                <w:color w:val="000000" w:themeColor="text1"/>
                <w14:textFill>
                  <w14:solidFill>
                    <w14:schemeClr w14:val="tx1"/>
                  </w14:solidFill>
                </w14:textFill>
              </w:rPr>
              <w:t>银行开户名:</w:t>
            </w:r>
          </w:p>
        </w:tc>
        <w:tc>
          <w:tcPr>
            <w:tcW w:w="2412" w:type="dxa"/>
            <w:tcMar>
              <w:top w:w="0" w:type="dxa"/>
              <w:left w:w="108" w:type="dxa"/>
              <w:bottom w:w="0" w:type="dxa"/>
              <w:right w:w="108" w:type="dxa"/>
            </w:tcMar>
            <w:vAlign w:val="center"/>
          </w:tcPr>
          <w:p>
            <w:pPr>
              <w:spacing w:line="360" w:lineRule="auto"/>
              <w:rPr>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p>
        </w:tc>
        <w:tc>
          <w:tcPr>
            <w:tcW w:w="2655" w:type="dxa"/>
            <w:tcMar>
              <w:top w:w="0" w:type="dxa"/>
              <w:left w:w="108" w:type="dxa"/>
              <w:bottom w:w="0" w:type="dxa"/>
              <w:right w:w="108" w:type="dxa"/>
            </w:tcMar>
            <w:vAlign w:val="center"/>
          </w:tcPr>
          <w:p>
            <w:pPr>
              <w:spacing w:line="360" w:lineRule="auto"/>
              <w:jc w:val="center"/>
              <w:rPr>
                <w:color w:val="000000" w:themeColor="text1"/>
                <w14:textFill>
                  <w14:solidFill>
                    <w14:schemeClr w14:val="tx1"/>
                  </w14:solidFill>
                </w14:textFill>
              </w:rPr>
            </w:pPr>
          </w:p>
        </w:tc>
        <w:tc>
          <w:tcPr>
            <w:tcW w:w="1984"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412" w:type="dxa"/>
            <w:tcMar>
              <w:top w:w="0" w:type="dxa"/>
              <w:left w:w="108" w:type="dxa"/>
              <w:bottom w:w="0" w:type="dxa"/>
              <w:right w:w="108" w:type="dxa"/>
            </w:tcMar>
            <w:vAlign w:val="center"/>
          </w:tcPr>
          <w:p>
            <w:pPr>
              <w:spacing w:line="360" w:lineRule="auto"/>
              <w:rPr>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p>
        </w:tc>
        <w:tc>
          <w:tcPr>
            <w:tcW w:w="2655"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p>
        </w:tc>
        <w:tc>
          <w:tcPr>
            <w:tcW w:w="1984" w:type="dxa"/>
            <w:tcMar>
              <w:top w:w="0" w:type="dxa"/>
              <w:left w:w="108" w:type="dxa"/>
              <w:bottom w:w="0" w:type="dxa"/>
              <w:right w:w="108" w:type="dxa"/>
            </w:tcMar>
            <w:vAlign w:val="center"/>
          </w:tcPr>
          <w:p>
            <w:pPr>
              <w:spacing w:line="360" w:lineRule="auto"/>
              <w:jc w:val="distribute"/>
              <w:rPr>
                <w:color w:val="000000" w:themeColor="text1"/>
                <w14:textFill>
                  <w14:solidFill>
                    <w14:schemeClr w14:val="tx1"/>
                  </w14:solidFill>
                </w14:textFill>
              </w:rPr>
            </w:pPr>
            <w:r>
              <w:rPr>
                <w:rFonts w:hint="eastAsia"/>
                <w:color w:val="000000" w:themeColor="text1"/>
                <w14:textFill>
                  <w14:solidFill>
                    <w14:schemeClr w14:val="tx1"/>
                  </w14:solidFill>
                </w14:textFill>
              </w:rPr>
              <w:t>银行账号：</w:t>
            </w:r>
          </w:p>
          <w:p>
            <w:pPr>
              <w:spacing w:line="360" w:lineRule="auto"/>
              <w:rPr>
                <w:color w:val="000000" w:themeColor="text1"/>
                <w14:textFill>
                  <w14:solidFill>
                    <w14:schemeClr w14:val="tx1"/>
                  </w14:solidFill>
                </w14:textFill>
              </w:rPr>
            </w:pPr>
          </w:p>
        </w:tc>
        <w:tc>
          <w:tcPr>
            <w:tcW w:w="2412" w:type="dxa"/>
            <w:tcMar>
              <w:top w:w="0" w:type="dxa"/>
              <w:left w:w="108" w:type="dxa"/>
              <w:bottom w:w="0" w:type="dxa"/>
              <w:right w:w="108" w:type="dxa"/>
            </w:tcMar>
            <w:vAlign w:val="center"/>
          </w:tcPr>
          <w:p>
            <w:pPr>
              <w:spacing w:line="360" w:lineRule="auto"/>
              <w:jc w:val="center"/>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合同签订时间：</w:t>
            </w:r>
          </w:p>
        </w:tc>
        <w:tc>
          <w:tcPr>
            <w:tcW w:w="2655"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2021年  月  日</w:t>
            </w:r>
          </w:p>
        </w:tc>
        <w:tc>
          <w:tcPr>
            <w:tcW w:w="1984" w:type="dxa"/>
            <w:tcMar>
              <w:top w:w="0" w:type="dxa"/>
              <w:left w:w="108" w:type="dxa"/>
              <w:bottom w:w="0" w:type="dxa"/>
              <w:right w:w="108" w:type="dxa"/>
            </w:tcMar>
            <w:vAlign w:val="center"/>
          </w:tcPr>
          <w:p>
            <w:pPr>
              <w:spacing w:line="360" w:lineRule="auto"/>
              <w:rPr>
                <w:color w:val="000000" w:themeColor="text1"/>
                <w14:textFill>
                  <w14:solidFill>
                    <w14:schemeClr w14:val="tx1"/>
                  </w14:solidFill>
                </w14:textFill>
              </w:rPr>
            </w:pPr>
          </w:p>
        </w:tc>
        <w:tc>
          <w:tcPr>
            <w:tcW w:w="2412" w:type="dxa"/>
            <w:tcMar>
              <w:top w:w="0" w:type="dxa"/>
              <w:left w:w="108" w:type="dxa"/>
              <w:bottom w:w="0" w:type="dxa"/>
              <w:right w:w="108" w:type="dxa"/>
            </w:tcMar>
            <w:vAlign w:val="center"/>
          </w:tcPr>
          <w:p>
            <w:pPr>
              <w:spacing w:line="360" w:lineRule="auto"/>
              <w:jc w:val="center"/>
              <w:rPr>
                <w:color w:val="000000" w:themeColor="text1"/>
                <w:szCs w:val="21"/>
                <w14:textFill>
                  <w14:solidFill>
                    <w14:schemeClr w14:val="tx1"/>
                  </w14:solidFill>
                </w14:textFill>
              </w:rPr>
            </w:pPr>
          </w:p>
        </w:tc>
      </w:tr>
      <w:bookmarkEnd w:id="268"/>
    </w:tbl>
    <w:p>
      <w:pPr>
        <w:rPr>
          <w:b/>
          <w:bCs/>
          <w:color w:val="000000" w:themeColor="text1"/>
          <w:sz w:val="30"/>
          <w:szCs w:val="30"/>
          <w14:textFill>
            <w14:solidFill>
              <w14:schemeClr w14:val="tx1"/>
            </w14:solidFill>
          </w14:textFill>
        </w:rPr>
      </w:pPr>
    </w:p>
    <w:p>
      <w:pPr>
        <w:pStyle w:val="6"/>
        <w:spacing w:line="360" w:lineRule="auto"/>
        <w:jc w:val="center"/>
        <w:rPr>
          <w:rFonts w:ascii="黑体" w:eastAsia="黑体"/>
          <w:color w:val="000000" w:themeColor="text1"/>
          <w:sz w:val="28"/>
          <w:szCs w:val="28"/>
          <w14:textFill>
            <w14:solidFill>
              <w14:schemeClr w14:val="tx1"/>
            </w14:solidFill>
          </w14:textFill>
        </w:rPr>
      </w:pPr>
      <w:r>
        <w:rPr>
          <w:bCs w:val="0"/>
          <w:color w:val="000000" w:themeColor="text1"/>
          <w14:textFill>
            <w14:solidFill>
              <w14:schemeClr w14:val="tx1"/>
            </w14:solidFill>
          </w14:textFill>
        </w:rPr>
        <w:br w:type="page"/>
      </w:r>
      <w:r>
        <w:rPr>
          <w:rFonts w:hint="eastAsia" w:ascii="黑体" w:eastAsia="黑体"/>
          <w:color w:val="000000" w:themeColor="text1"/>
          <w:sz w:val="28"/>
          <w:szCs w:val="28"/>
          <w14:textFill>
            <w14:solidFill>
              <w14:schemeClr w14:val="tx1"/>
            </w14:solidFill>
          </w14:textFill>
        </w:rPr>
        <w:t>第二部分  合同通用条款</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一、合同签订依据</w:t>
      </w:r>
    </w:p>
    <w:p>
      <w:pPr>
        <w:snapToGrid w:val="0"/>
        <w:spacing w:line="360" w:lineRule="auto"/>
        <w:ind w:firstLine="480" w:firstLineChars="200"/>
        <w:rPr>
          <w:color w:val="000000" w:themeColor="text1"/>
          <w14:textFill>
            <w14:solidFill>
              <w14:schemeClr w14:val="tx1"/>
            </w14:solidFill>
          </w14:textFill>
        </w:rPr>
      </w:pPr>
      <w:bookmarkStart w:id="269" w:name="_Hlk72143319"/>
      <w:r>
        <w:rPr>
          <w:rFonts w:hint="eastAsia"/>
          <w:color w:val="000000" w:themeColor="text1"/>
          <w:szCs w:val="28"/>
          <w14:textFill>
            <w14:solidFill>
              <w14:schemeClr w14:val="tx1"/>
            </w14:solidFill>
          </w14:textFill>
        </w:rPr>
        <w:t>1.1 《中华人</w:t>
      </w:r>
      <w:r>
        <w:rPr>
          <w:rFonts w:hint="eastAsia"/>
          <w:color w:val="000000" w:themeColor="text1"/>
          <w14:textFill>
            <w14:solidFill>
              <w14:schemeClr w14:val="tx1"/>
            </w14:solidFill>
          </w14:textFill>
        </w:rPr>
        <w:t>民共和国民法典》、《中华人民共和国建筑法》、《建设工程质量管理条例》、《建设工程勘察设计管理条例》、《建设工程安全生产管理条例》、《工程设计资质标准》。</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 《深圳市建设工程质量管理条例》、《深圳市政府投资项目管理办法》、《深圳经济特区政府投资项目审计监督条例》。</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  国家及地方现行有关工程设计管理法规和规章。</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1.4  建设工</w:t>
      </w:r>
      <w:r>
        <w:rPr>
          <w:rFonts w:hint="eastAsia"/>
          <w:color w:val="000000" w:themeColor="text1"/>
          <w:szCs w:val="28"/>
          <w14:textFill>
            <w14:solidFill>
              <w14:schemeClr w14:val="tx1"/>
            </w14:solidFill>
          </w14:textFill>
        </w:rPr>
        <w:t>程批准文件、本工程设计招标文件及其附件（含补遗书）、中标通知书、投标书及其附件。</w:t>
      </w:r>
      <w:bookmarkEnd w:id="269"/>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二、设计依据</w:t>
      </w:r>
    </w:p>
    <w:p>
      <w:pPr>
        <w:snapToGrid w:val="0"/>
        <w:spacing w:line="360" w:lineRule="auto"/>
        <w:ind w:firstLine="480" w:firstLineChars="200"/>
        <w:rPr>
          <w:color w:val="000000" w:themeColor="text1"/>
          <w14:textFill>
            <w14:solidFill>
              <w14:schemeClr w14:val="tx1"/>
            </w14:solidFill>
          </w14:textFill>
        </w:rPr>
      </w:pPr>
      <w:bookmarkStart w:id="270" w:name="_Hlk72143349"/>
      <w:r>
        <w:rPr>
          <w:rFonts w:hint="eastAsia"/>
          <w:color w:val="000000" w:themeColor="text1"/>
          <w:szCs w:val="28"/>
          <w14:textFill>
            <w14:solidFill>
              <w14:schemeClr w14:val="tx1"/>
            </w14:solidFill>
          </w14:textFill>
        </w:rPr>
        <w:t>2.1  设</w:t>
      </w:r>
      <w:r>
        <w:rPr>
          <w:rFonts w:hint="eastAsia"/>
          <w:color w:val="000000" w:themeColor="text1"/>
          <w14:textFill>
            <w14:solidFill>
              <w14:schemeClr w14:val="tx1"/>
            </w14:solidFill>
          </w14:textFill>
        </w:rPr>
        <w:t>计依据</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2.1.1招标文件、补遗书和答疑书等；</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2.1.2  甲方提交的基础资料、设计要点及任务要求；</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2.1.3  投标成果（文件）；</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2.1.4  中标方案调整意见；</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2.1.5  各阶段设计审查意见；</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2.1.6  其他有关资料。</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2.2 乙方已接受上述合同文件和资料作为足以编制所需的设计文件以及完成合同任务的依据;甲方</w:t>
      </w:r>
      <w:r>
        <w:rPr>
          <w:rFonts w:hint="eastAsia"/>
          <w:color w:val="000000" w:themeColor="text1"/>
          <w:szCs w:val="28"/>
          <w14:textFill>
            <w14:solidFill>
              <w14:schemeClr w14:val="tx1"/>
            </w14:solidFill>
          </w14:textFill>
        </w:rPr>
        <w:t>所提供的有关合同文件和设计依据不会减轻乙方在合同文件中所述的责任。</w:t>
      </w:r>
      <w:bookmarkEnd w:id="270"/>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三、合同相关文件及执行中相关文件优先次序</w:t>
      </w:r>
    </w:p>
    <w:p>
      <w:pPr>
        <w:snapToGrid w:val="0"/>
        <w:spacing w:line="360" w:lineRule="auto"/>
        <w:ind w:firstLine="480" w:firstLineChars="200"/>
        <w:rPr>
          <w:color w:val="000000" w:themeColor="text1"/>
          <w14:textFill>
            <w14:solidFill>
              <w14:schemeClr w14:val="tx1"/>
            </w14:solidFill>
          </w14:textFill>
        </w:rPr>
      </w:pPr>
      <w:bookmarkStart w:id="271" w:name="_Hlk72143363"/>
      <w:r>
        <w:rPr>
          <w:rFonts w:hint="eastAsia"/>
          <w:color w:val="000000" w:themeColor="text1"/>
          <w:szCs w:val="28"/>
          <w14:textFill>
            <w14:solidFill>
              <w14:schemeClr w14:val="tx1"/>
            </w14:solidFill>
          </w14:textFill>
        </w:rPr>
        <w:t>3.1本合同相</w:t>
      </w:r>
      <w:r>
        <w:rPr>
          <w:rFonts w:hint="eastAsia"/>
          <w:color w:val="000000" w:themeColor="text1"/>
          <w14:textFill>
            <w14:solidFill>
              <w14:schemeClr w14:val="tx1"/>
            </w14:solidFill>
          </w14:textFill>
        </w:rPr>
        <w:t>关文件包括合同协议书、合同专用条款、合同通用条款、中标通知书、招标文件及其附件（含补遗书）、投标书及其附件、标准、规范及规程有关技术文件、双方有关工程洽商的书面协议、文件和各类有约束力的往来函件等。</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3.2本合同文</w:t>
      </w:r>
      <w:r>
        <w:rPr>
          <w:rFonts w:hint="eastAsia"/>
          <w:color w:val="000000" w:themeColor="text1"/>
          <w:szCs w:val="28"/>
          <w14:textFill>
            <w14:solidFill>
              <w14:schemeClr w14:val="tx1"/>
            </w14:solidFill>
          </w14:textFill>
        </w:rPr>
        <w:t>件执行中相关文件如存在歧义或不一致，将按合同协议书明确的优先次序予以判断。</w:t>
      </w:r>
      <w:bookmarkEnd w:id="271"/>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四、设计工作内容及要求</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4.1本合同</w:t>
      </w:r>
      <w:r>
        <w:rPr>
          <w:rFonts w:hint="eastAsia"/>
          <w:color w:val="000000" w:themeColor="text1"/>
          <w14:textFill>
            <w14:solidFill>
              <w14:schemeClr w14:val="tx1"/>
            </w14:solidFill>
          </w14:textFill>
        </w:rPr>
        <w:t>设计内容，应按国家和地方规范、规程分阶段完成。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4.2设计工作具体内容及要求（但不限于）：</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4.2.1设计范围：根据发改、规划等政府部门意见确定或认定的建设范围内所有专业工程的设计。</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4.2.2设计文件中应单列水土保持方案设计、安全施工的专篇。</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4.2.3配合调查土石源点和弃土场位置，并合理测定土石方运输距离。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4.2.4编制方案估算书和初步设计概算书及重大设计变更的概算书。 </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4.2.5完成甲方认为有必要进行与本合同范围有关的任何评估、审议、论证（一切费用均已包含在合同总价中）。</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4.2.6提供施工招标所需的工程量、工程说明、技术要求、参数指标和招标图纸并配合其他招标服务工作。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4.2.7甲方对政府或对本工程有管辖权或本工程需与其他系统接驳的地方管理机关或公用事业单位（包括但不限于发改、规划国土、环保、建设、城管、消防等）作出的任何审批报送或备案申请，乙方须预先提交必要文件于甲方,并多方面协助甲方完成此类申请。</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4.2.8负责编制竣工图及其相关工作，并按要求签字、盖章确认，直至达到主管部门要求。</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4.2.9及时向甲方免费提供包括多媒体汇报系统在内的电子版成果。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4.2.10自行到规划国土等相关部门调查、收集、购买与设计相关的图纸或资料。</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4.2.11若本项目涉及干扰相关市政道路、公路、铁路、河道、管线、地铁、电力电信及其他相关建筑设施或特殊保护区域，乙方应及时调查分析并告知甲方，并提出可行解决方案，协助甲方与相关主管部门协调、审批、签订责任协议等工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4.2.12及时提出勘察测绘任务要求，报甲方审核并对勘察单位、审查单位或甲方提出的合理化建议积极考虑或采纳。</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4.2.13施工期间须派驻设计代表随时解决施工中的设计问题。</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4.2.14甲</w:t>
      </w:r>
      <w:r>
        <w:rPr>
          <w:rFonts w:hint="eastAsia"/>
          <w:color w:val="000000" w:themeColor="text1"/>
          <w:szCs w:val="28"/>
          <w14:textFill>
            <w14:solidFill>
              <w14:schemeClr w14:val="tx1"/>
            </w14:solidFill>
          </w14:textFill>
        </w:rPr>
        <w:t>方要求办理的与本工程设计有关的其它事务。</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五、设计阶段划分及各阶段工作内容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5.1设计阶</w:t>
      </w:r>
      <w:r>
        <w:rPr>
          <w:rFonts w:hint="eastAsia"/>
          <w:color w:val="000000" w:themeColor="text1"/>
          <w14:textFill>
            <w14:solidFill>
              <w14:schemeClr w14:val="tx1"/>
            </w14:solidFill>
          </w14:textFill>
        </w:rPr>
        <w:t>段划分</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设计工作可分为方案设计（含调整）、初步设计、施工图设计、后期配合等阶段，各阶段设计图纸深度必须满足国家规范及深圳市有关规定要求。乙方应按专用条款要求分阶段完成全部工作以及政府主管部门审查批准而出现的修改工作。</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5.2各阶段</w:t>
      </w:r>
      <w:r>
        <w:rPr>
          <w:rFonts w:hint="eastAsia"/>
          <w:color w:val="000000" w:themeColor="text1"/>
          <w:szCs w:val="28"/>
          <w14:textFill>
            <w14:solidFill>
              <w14:schemeClr w14:val="tx1"/>
            </w14:solidFill>
          </w14:textFill>
        </w:rPr>
        <w:t>工作内容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5.2.1 方案</w:t>
      </w:r>
      <w:r>
        <w:rPr>
          <w:rFonts w:hint="eastAsia"/>
          <w:color w:val="000000" w:themeColor="text1"/>
          <w14:textFill>
            <w14:solidFill>
              <w14:schemeClr w14:val="tx1"/>
            </w14:solidFill>
          </w14:textFill>
        </w:rPr>
        <w:t>设计（含调整）阶段：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5.2.1.1中标后立即收集相关资料，开展方案设计工作；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5.2.1.2提供调整后的方案设计图、效果图及工程估算，工程估算必须由注册造价工程师完成并盖章；</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5.2.1.3提供一套主要装饰材料样板；</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5.2.1.4方案基本明确后召开专家评审会，方案调整明确后立即提出设计方案报甲方审核；</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5.2.1.5方案设计完成后，送甲方审查认可，并负责协助甲方报规划、建设、消防、人防、环保等政府主管部门批准；</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5.2.1.6乙方提交的方案设计文件取得政府主管部门许可，按本合同第6.1条款的规定交付方案设计成果，并通过甲方组织的验收后，视为本阶段工作完成。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5.2.2 初步设计阶段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5.2.2.1根据方案完成全套初步设计文件，送甲方审查认可，并负责协助甲方报发改、规划、交委、交警等政府主管部门批准。工程设计概算必须由本设计单位注册造价工程师或委托专业造价咨询公司完成，并由注册造价工程师签字盖章。</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5.2.2.2设计文件取得政府主管部门许可，按本合同第6.2款的规定交付初步设计成果，并通过甲方组织的验收后，视为本阶段工作完成。  </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5.2.3 施工图设计阶段：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5.2.3.1完成整个项目的施工图设计。</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5.2.3.2乙方须按设计概算来控制施工图设计，如甲方委托的造价咨询公司编制的施工图预算超过批准的设计概算，乙方应调整设计，确保预算不得超出概算。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5.2.3.3乙方在施工图设计文件完成后送甲方审查认可，并负责协助甲方完善各项报建手续。</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5.2.3.4设计文件取得政府主管部门许可，按本合同第6.3款的规定交付施工图设计成果，并通过甲方组织的验收后，视为本阶段工作完成。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5.2.4后期配合阶段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5.2.4.1配合甲方编制各项招标文件中的技术要求和参数指标，提供招标所需的技术标准；</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5.2.4.2派遣设计代表常驻现场，全过程协调、处理、解决设计技术问题；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5.2.4.3负责施工现场指导，协助甲方审查材料样板，并从设计角度进行施工监督；</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5.2.4.4参加设计变更协调会，及时提供设计变更文件；</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5.2.4.5参加隐蔽工程验收、竣工验收等各类验收活动；</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5.2.4.6根据相关资料编制竣工图，竣工图必须客观、真实、全面地反映工程建设内容，签章齐全，并满足城建归档要求；</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5.2.4.7做好与施工单位的后续配合服务；</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5.2.4.8按照财务制度相关要求，做好合同管理履约及支付工作；</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5.2.4.9按甲方及政府造价部门要求整理2套完整、准确的结算资料，并跟踪配合政府造价部门决算工作。</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六、设计成果文件组成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6</w:t>
      </w:r>
      <w:r>
        <w:rPr>
          <w:rFonts w:hint="eastAsia"/>
          <w:color w:val="000000" w:themeColor="text1"/>
          <w14:textFill>
            <w14:solidFill>
              <w14:schemeClr w14:val="tx1"/>
            </w14:solidFill>
          </w14:textFill>
        </w:rPr>
        <w:t>.1  方案设计阶段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6.1.1方案图（装订成册）                   8套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6.1.2工程估算                             4套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6.1.3有关电子文档                         4套（含效果图、方案设计图和估算）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6.1.4主要材料样板                         1套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6.1.5彩色效果图展示用                     2套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  初步设计阶段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6.2.1初步设计图 （按要求装订）            12套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6.2.2工程概算                             8套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6.2.3电子文档                             8套（初步设计图和概算）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6.2.4主要材料样板                         1套（完善方案阶段样板）</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6.3 施工图设计阶段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6.3.1全套施工图（含标准图集，按要求装订） 14套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6.3.2电子文档                             6套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6.3.3主要材料样板                         1套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6.4  后续服务阶段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6.4.1设计变更图纸（含标准图集）           8套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6.4.2配合甲方编制各项招标文件中的技术要求和参数指标。</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6.4.3按国家及地方规范、要求编制和提交合格竣工图。</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6.5  竣工图编制阶段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6.5.1全套竣工图                           8套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6.5.2电子文档                             8套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6.6 以上图纸及说明应采用中文。</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6.7 设计成果文件组成在专用条款中进一步明确。</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七、合同价、结算及支付方式</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7.</w:t>
      </w:r>
      <w:r>
        <w:rPr>
          <w:rFonts w:hint="eastAsia"/>
          <w:color w:val="000000" w:themeColor="text1"/>
          <w14:textFill>
            <w14:solidFill>
              <w14:schemeClr w14:val="tx1"/>
            </w14:solidFill>
          </w14:textFill>
        </w:rPr>
        <w:t>1合同价</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7.1.1计价标准和计算办法：以本项目批准文件中乙方负责设计内容建筑安装费的总和为设计收费计费额，</w:t>
      </w:r>
      <w:r>
        <w:rPr>
          <w:rFonts w:hint="eastAsia"/>
          <w:color w:val="000000" w:themeColor="text1"/>
          <w:lang w:eastAsia="zh-Hans"/>
          <w14:textFill>
            <w14:solidFill>
              <w14:schemeClr w14:val="tx1"/>
            </w14:solidFill>
          </w14:textFill>
        </w:rPr>
        <w:t>参照</w:t>
      </w:r>
      <w:r>
        <w:rPr>
          <w:rFonts w:hint="eastAsia"/>
          <w:color w:val="000000" w:themeColor="text1"/>
          <w14:textFill>
            <w14:solidFill>
              <w14:schemeClr w14:val="tx1"/>
            </w14:solidFill>
          </w14:textFill>
        </w:rPr>
        <w:t>2002年修订本（国家发展计划委员会建设部）《工程勘察设计收费管理</w:t>
      </w:r>
      <w:r>
        <w:rPr>
          <w:rFonts w:hint="eastAsia"/>
          <w:color w:val="000000" w:themeColor="text1"/>
          <w:lang w:eastAsia="zh-Hans"/>
          <w14:textFill>
            <w14:solidFill>
              <w14:schemeClr w14:val="tx1"/>
            </w14:solidFill>
          </w14:textFill>
        </w:rPr>
        <w:t>规定</w:t>
      </w:r>
      <w:r>
        <w:rPr>
          <w:rFonts w:hint="eastAsia"/>
          <w:color w:val="000000" w:themeColor="text1"/>
          <w14:textFill>
            <w14:solidFill>
              <w14:schemeClr w14:val="tx1"/>
            </w14:solidFill>
          </w14:textFill>
        </w:rPr>
        <w:t>》（计价格〔2002〕10号）计算工程设计收费基价，乘以相关系数并下浮</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后计取（注：若其中含竣工图编制费，则按工程基本设计收费8%计取）。</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即设计收费=工程设计收费基价×专业调整系数×工程复杂调整系数×附加调整系数×（1-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）；其中，复杂程度调整系数、专业调整系数、附加调整系数等见合同专用条款。</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7.1.2按本</w:t>
      </w:r>
      <w:r>
        <w:rPr>
          <w:rFonts w:hint="eastAsia"/>
          <w:color w:val="000000" w:themeColor="text1"/>
          <w14:textFill>
            <w14:solidFill>
              <w14:schemeClr w14:val="tx1"/>
            </w14:solidFill>
          </w14:textFill>
        </w:rPr>
        <w:t>合同</w:t>
      </w:r>
      <w:r>
        <w:rPr>
          <w:rFonts w:hint="eastAsia"/>
          <w:color w:val="000000" w:themeColor="text1"/>
          <w:szCs w:val="28"/>
          <w14:textFill>
            <w14:solidFill>
              <w14:schemeClr w14:val="tx1"/>
            </w14:solidFill>
          </w14:textFill>
        </w:rPr>
        <w:t>条款计算的合同价，视为乙方为完成本合同中规定的所有设计工作内容、所有工作量和全套设计文件[包括初步设计概算(含修正概算)]及全部基础资料和后续服务以及承担合同明示和暗示的一切风险、责任与义务等所发生的全部费用，包含但不限于设计酬金（含需专业分包的深化设计费用）、落标补偿费、利润、管理费、成果编制费、所有税费、资料购买费、样品及其包装运输费、工程考察费用以及为办理各项审批手续提供办公和交通便利所发生的费用、专家评审会务费用等。</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7.1.3在合同实施期间，设计费不随国家政策或法规、标准及市场因素的变化而进行调整。</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7.1.4本合同价在签订合同时采取暂定方式，合同暂定价系以发改部门批复匡算、估算或其他方式进行的估算中乙方负责设计内容工程建筑安装费的总和为设计收费计费额按7.1.1计算所得设计收费。该价格仅为便于合同费用的过程支付等中间管理需要，不作为结算等其他事项的凭据或依据。</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7.2</w:t>
      </w:r>
      <w:r>
        <w:rPr>
          <w:rFonts w:hint="eastAsia"/>
          <w:color w:val="000000" w:themeColor="text1"/>
          <w14:textFill>
            <w14:solidFill>
              <w14:schemeClr w14:val="tx1"/>
            </w14:solidFill>
          </w14:textFill>
        </w:rPr>
        <w:t>结算：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7.2.1合同结算价：以发改部门批复的项目概算中乙方负责设计工程内容的建筑安装费总和为设计收费计费额，按7.1.1进行计算所得设计收费即为合同结算价；该价格需由乙方按结算要求报送资料至甲方，并经甲方审核直至双方确认。</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7.2.2合同审定价：即政府造价部门审定的设计收费；该价格由甲方按合同结算价报送政府造价部门，并经政府造价部门审定。合同审定价为甲方支付乙方费用的最终依据和上限。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7.2.3方案重大修改等原因引起的设计费用追加需根据实际发生工作量通过甲、乙双方协商确定后报政府造价部门审定后方能纳入设计收费结算。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7.3  设计费用支付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7.3.1设计工作正常进行时，费用按阶段分期支付（工程技术相对简单且乙方同意时，可合并支付步骤），具体支付步骤如下：</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（1）完成方案设计修改且通过主管部门审批，支付合同暂定价款的15%；</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（2）初步设计及概算通过主管部门评审并报发改部门，发改部门下发概算批复及资金计划后，甲方支付至暂定合同价款的40%；</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（3）施工图设计通过主管部门评审并且提交建设工程规划许可手续后，支付至根据概算批复初步计算结算价的65%；</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（4）工程竣工验收、完成竣工图编制后，支付至根据概算批复初步计算结算价的85%；</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（5）工程经政府造价部门复核后，按合同审定价支付余额（若出现超付现象，乙方必须退还超付款项）；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（6）经设计人向委托人提交上述款项的等额有效发票后，委托人支付上述款项。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7.3.2为加强政府投资工程资金管理，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7.3.3乙方在下载《深圳市基本建设收款单位银行账户信息表》填写后，连同中标通知书提交委托人综合部。咨询人在申请支付进度款时须提供《拨付款申请表》，表述工作进度情况、合同约定的付款条件、</w:t>
      </w:r>
      <w:r>
        <w:rPr>
          <w:rFonts w:hint="eastAsia"/>
          <w:color w:val="000000" w:themeColor="text1"/>
          <w:szCs w:val="28"/>
          <w14:textFill>
            <w14:solidFill>
              <w14:schemeClr w14:val="tx1"/>
            </w14:solidFill>
          </w14:textFill>
        </w:rPr>
        <w:t>以往已经收到该项目款项金额、本次申请金额等要点。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7.4乙方违</w:t>
      </w:r>
      <w:r>
        <w:rPr>
          <w:rFonts w:hint="eastAsia"/>
          <w:color w:val="000000" w:themeColor="text1"/>
          <w14:textFill>
            <w14:solidFill>
              <w14:schemeClr w14:val="tx1"/>
            </w14:solidFill>
          </w14:textFill>
        </w:rPr>
        <w:t>约金及赔偿金支付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7.4.1违约金及赔偿金应由乙方在相应事件发生后5个工作日内完成对甲方的支付；该金额不纳入结算，不通过在合同结算价中予以扣减的方式进行支付；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7.4.2若乙方不按上述要求支付违约金及赔偿金，甲方可按该金额的2倍在支付时予以扣减。</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八、设计进度和设计人员</w:t>
      </w:r>
    </w:p>
    <w:p>
      <w:pPr>
        <w:snapToGrid w:val="0"/>
        <w:spacing w:line="360" w:lineRule="auto"/>
        <w:ind w:firstLine="480" w:firstLineChars="200"/>
        <w:rPr>
          <w:color w:val="000000" w:themeColor="text1"/>
          <w14:textFill>
            <w14:solidFill>
              <w14:schemeClr w14:val="tx1"/>
            </w14:solidFill>
          </w14:textFill>
        </w:rPr>
      </w:pPr>
      <w:bookmarkStart w:id="272" w:name="_Hlk72143952"/>
      <w:r>
        <w:rPr>
          <w:rFonts w:hint="eastAsia"/>
          <w:color w:val="000000" w:themeColor="text1"/>
          <w:szCs w:val="28"/>
          <w14:textFill>
            <w14:solidFill>
              <w14:schemeClr w14:val="tx1"/>
            </w14:solidFill>
          </w14:textFill>
        </w:rPr>
        <w:t>8.1  设计主</w:t>
      </w:r>
      <w:r>
        <w:rPr>
          <w:rFonts w:hint="eastAsia"/>
          <w:color w:val="000000" w:themeColor="text1"/>
          <w14:textFill>
            <w14:solidFill>
              <w14:schemeClr w14:val="tx1"/>
            </w14:solidFill>
          </w14:textFill>
        </w:rPr>
        <w:t>要工作进度要求：</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8.1.1方案调整阶段设计：中标后按合同协议书要求进度提交调整后的方案设计，同时提交勘察任务要求。</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8.1.2初步设计阶段设计：方案设计文件通过审查后按合同协议书要求进度提交初步设计文件、初步设计概算。</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8.1.3施工图设计阶段设计：初步设计文件审查通过后按合同协议书要求进度提交全套施工图设计送审稿。</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8.1.4后续服务：按合同协议书等要求配合施工、编制竣工图并配合审计。</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8.2  乙方应按投标文件及工程实际需要，足额配备设计人员，并将其专业、职称、职责及联系方式等必要的信息在合同专用条款中列出。</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8.3 工程开工后，乙方应派遣合格的设计代表在施工期间常驻现场指导、配合施工，及时解决施工中出现的设计问题。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8.4  乙方驻现场设计代表所签署的任何文件，应当视为乙方正式意见的表达。</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8.5  乙方派驻现场设计代表，其在现场的任何行为均由乙方或者其本人承担。如果有任何侵权或者人身损害</w:t>
      </w:r>
      <w:r>
        <w:rPr>
          <w:rFonts w:hint="eastAsia"/>
          <w:color w:val="000000" w:themeColor="text1"/>
          <w:szCs w:val="28"/>
          <w14:textFill>
            <w14:solidFill>
              <w14:schemeClr w14:val="tx1"/>
            </w14:solidFill>
          </w14:textFill>
        </w:rPr>
        <w:t>，均应当由乙方自行处理，与甲方无关。</w:t>
      </w:r>
      <w:bookmarkEnd w:id="272"/>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九、甲方的权利和义务</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9.1  甲方对工</w:t>
      </w:r>
      <w:r>
        <w:rPr>
          <w:rFonts w:hint="eastAsia"/>
          <w:color w:val="000000" w:themeColor="text1"/>
          <w14:textFill>
            <w14:solidFill>
              <w14:schemeClr w14:val="tx1"/>
            </w14:solidFill>
          </w14:textFill>
        </w:rPr>
        <w:t>程设计过程的决策、控制、实施等环节实行全面管理，协调和监督设计工作开展，控制设计过程，进行中间验收，组织成果审查。</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9.2  检查乙方项目设计组的组成和人员到位情况、人员稳定情况，考核主要技术骨干的工作能力，如因人力、能力不足致使设计不能按计划完成时，可要求乙方增加或替换相应的技术人员，乙方不得拒绝，并应当在十日内予以调整。乙方增加或替换相应的技术人员的费用已包含于本项目的设计费中，乙方不得因此而向甲方提出任何经济上的索赔。经甲方检查发现乙方项目设计组人员不到位时，甲方有权视情节轻重要求乙方按设计合同暂定价的1%～5%支付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9.3  乙方项目设计组的组成和人员不能随意变动，甲方有权拒绝乙方关于设计组成员变更的申请。如设计单位私自变更设计组成员，甲方有权视情节轻重要求乙方按设计合同暂定价的1%～5%支付违约金。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9.4  甲方有权更换不称职的项目负责人或专业负责人，乙方不得拒绝。如乙方拒绝更换，甲方有权视情节轻重要求乙方按设计合同暂定价的5%～10%支付违约金。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9.5  甲方有权按本工程所需工作经验向乙方选择该工程设计的项目负责人或专业负责人，乙方不得拒绝。如乙方拒绝甲方的要求，甲方有权视情节轻重要求乙方按设计合同暂定价的5%～10%支付违约金。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9.6  检查乙方是否执行了限额设计指标，凡超出限额设计的，甲方有权按12.3条给予处罚。</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9.7  负责组织审查和确认各设计阶段的设计成果及重大技术方案。</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9.8  负责提供满足本工程设计所需要的基础资料。</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9.9  指派专人与乙方保持密切联系，对乙方提供的设计文件应及时组织审查上报，及时答复乙方提出的有关问题。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9.10  按合同规定支付合同费用， 按合同规定进行惩罚。</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9.11  因规划原因需调整项目设计指标，甲方有权要求乙方无偿调整方案设计。</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9.12  甲方根据工程需要，提出本合同范围以外的工作内容，乙方应予以执行，所发生费用，经双方协商解决。</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9.13  甲方有权对乙方在本项目合同执行的全过程按甲方提供的“设计合同履约情况表”施行履约评价，并根据评价结果进行表扬或处罚。处罚的方式包括但不限于：各类媒体上的通告、3个月至2年内暂停或限制乙方参与甲方主办的招投标活动、上报建设行政主管部门等等。乙方不得以任何理由要</w:t>
      </w:r>
      <w:r>
        <w:rPr>
          <w:rFonts w:hint="eastAsia"/>
          <w:color w:val="000000" w:themeColor="text1"/>
          <w:szCs w:val="28"/>
          <w14:textFill>
            <w14:solidFill>
              <w14:schemeClr w14:val="tx1"/>
            </w14:solidFill>
          </w14:textFill>
        </w:rPr>
        <w:t>求甲方对因履约评价对自身产生的不良后果承担责任。</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十、乙方的权利和义务</w:t>
      </w:r>
    </w:p>
    <w:p>
      <w:pPr>
        <w:snapToGrid w:val="0"/>
        <w:spacing w:line="360" w:lineRule="auto"/>
        <w:ind w:firstLine="480" w:firstLineChars="200"/>
        <w:rPr>
          <w:color w:val="000000" w:themeColor="text1"/>
          <w14:textFill>
            <w14:solidFill>
              <w14:schemeClr w14:val="tx1"/>
            </w14:solidFill>
          </w14:textFill>
        </w:rPr>
      </w:pPr>
      <w:bookmarkStart w:id="273" w:name="_Hlk72147081"/>
      <w:r>
        <w:rPr>
          <w:rFonts w:hint="eastAsia"/>
          <w:color w:val="000000" w:themeColor="text1"/>
          <w:szCs w:val="28"/>
          <w14:textFill>
            <w14:solidFill>
              <w14:schemeClr w14:val="tx1"/>
            </w14:solidFill>
          </w14:textFill>
        </w:rPr>
        <w:t>10.1  乙方</w:t>
      </w:r>
      <w:r>
        <w:rPr>
          <w:rFonts w:hint="eastAsia"/>
          <w:color w:val="000000" w:themeColor="text1"/>
          <w14:textFill>
            <w14:solidFill>
              <w14:schemeClr w14:val="tx1"/>
            </w14:solidFill>
          </w14:textFill>
        </w:rPr>
        <w:t>收到甲方提供的工程设计依据文件及设计的基础资料后，应仔细阅读，如发现任何不明晰、错误、失误或缺陷，应在7日内向甲方提出书面意见，乙方对甲方提供资料的理解准确性自行负责。</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10.2  乙方必须根据工程设计依据文件及有关的技术要求、国家有关的设计标准、技术规范、规程完成设计工作，并确保设计质量。</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10.3  乙方对设计深度和质量承担保证责任（设计深度必须满足国家和深圳市有关规定），对完成的设计文件的正确性、完备性、可靠性、可操作性、经济性负责，甲方或政府部门及委托的相关单位组织的审查并不减少乙方的以上所有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10.4  乙方在设计中应以投资限额为基础，通过多方案技术经济比较，对设计方案进行论证、研究，有效地进行投资控制，确保设计概算、施工图预算符合限额设计指标。</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10.5  对涉及安全或对投资影响重大的有关计算，乙方必须提供设计计算书（包括设计输入条件、基础数据、计算方法、计算结果等）以便甲方或甲方委托的相关单位在必要时使用其它程序进行验算，乙方不得以专利和知识产权为借口拒绝配合。</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10.6  乙方必须根据施工现场的情况进行设计，如出现因此原因而引起的施工图纸的偏差、施工签证及工程量的追加、投资的增加，乙方应承担其设计责任和相应的处罚。</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10.7  除甲方批准的设计文件内容外，甲方有权根据工程的需要，要求乙方补充完成相关工作内容。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10.8  对甲方提出的与本工程有关但本合同设计范围未列明的工作内容，乙方应在甲方规定的时间内，予以无条件执行，所发生的费用，双方应另行解决。</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10.9  乙方应当保证，在其所采取的设计方案或者施工方法是可以自主使用并且不受任何知识产权限制的，并且自愿对此承担任何形式的法律责任。否则，任何因其在设计中的侵权行为而给甲方造成的不利后果，乙方应当完全承担相应的侵权责任及甲方可能连带的侵权责任，并向甲方承担违约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10.10乙方应当保守因履行本项目而获取的一切有关信息的秘密，未取得甲方书面同意，不得向任何第三人提供任何有关本项目的一切信息。</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10.11甲方有如下的设计工作管理要求，乙方应予以满足：</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10.11.1乙方应在深圳市完成设计工作，以便甲方或相关咨询机构进行过程管理和监督。</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10.11.2协助甲方完成与相关政府职能部门或其他单位的技术协调。</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10.11.3甲方有权聘请咨询单位或专家对设计进行优化，乙方应按经甲方同意的合理的优化设计要求重新设计，重新设计费用视为已包含在相关设计费用中。</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10.11.4每一阶段的设计文件取得政府主管部门许可，按本合同有关规定交付设计成果，并通过甲方组织的验收后，才视为相应阶段工作完成。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10.12乙方应当服从甲方及委派人员的指挥，明确执行、完成甲方提出的所有关于本项目的工作任务。乙方应协助甲方完成设计阶段的所有报建工作，协助甲方现场踏勘，并提供相关的交通便利及办公、记录用品。</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10.13  乙方应在专用条款中如实载明参加设计的项目负责人和主要专业负责人的技术职称、职责、联系电话等。</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10.14  如因乙方原因导致提交的设计成果达不到甲方要求或不能在甲方指定的合理时间完成设计任务的，乙方应承担违约责任，甲方可视情况将该部分设计另行委托第三方进行设计。如甲方委托第三方进行设计的，乙方必须配合协助第三方完成该部分设计，并承担相关责任。该部分另行委托的设计工作之设计费由甲方在乙方的设计费中扣除，具体金额为甲方和第三方的合同金额。</w:t>
      </w:r>
      <w:bookmarkEnd w:id="273"/>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十一、设计进度、质量、投资控制</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11.1  乙方</w:t>
      </w:r>
      <w:r>
        <w:rPr>
          <w:rFonts w:hint="eastAsia"/>
          <w:color w:val="000000" w:themeColor="text1"/>
          <w14:textFill>
            <w14:solidFill>
              <w14:schemeClr w14:val="tx1"/>
            </w14:solidFill>
          </w14:textFill>
        </w:rPr>
        <w:t>应根据合同规定的工期要求，严格按照进度计划和出图计划开展和组织设计工作，保证各阶段设计工作如期完成。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11.2  乙方应积极配合相关单位进行定期检查，方式是会议或巡检。</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11.3  按照甲方建立的设计例会制度，乙方相关人员应参加设计例会、技术研讨会、协调会等。</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11.4  乙方应积极配合甲方对设计工作的全面检查，包括投资额、设计进度、设计深度与质量、人员到位和投入力量等，对存在的问题，应及时进行整改。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11.5  在设计过程中，乙方应及时向甲方提交各种方案、建议，以便甲方对此进行审查把关，控制各种方案的可操作性，保证甲方意图和各种决策意见在设计工作中得以贯彻。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11.6 在保证设计质量的前提下，乙方应按投资限额进行设计，严格控制方案修改设计和施工图设计的变更，确保工程概、预算不突破限额目标。</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11.7 乙方应遵循实用、经济、美观的原则开展设计，在投资限额目标的基础上结合项目设计内容进一步分解投资，明确投资控制主要指标，在编制设计概算时逐步细化落实。</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11.8 乙方应努力提高概算的准确性，认真分析可能影响造价的各种因素（如自然条件和施工条件等），准确选用定额、费用和价格等各项编制依据，使概算能够完整地反映设计内容，合理地反映施工条</w:t>
      </w:r>
      <w:r>
        <w:rPr>
          <w:rFonts w:hint="eastAsia"/>
          <w:color w:val="000000" w:themeColor="text1"/>
          <w:szCs w:val="28"/>
          <w14:textFill>
            <w14:solidFill>
              <w14:schemeClr w14:val="tx1"/>
            </w14:solidFill>
          </w14:textFill>
        </w:rPr>
        <w:t>件，准确地确定工程造价，确保施工图预算不超过计划投资额。</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十二、设计变更</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12.1  工程</w:t>
      </w:r>
      <w:r>
        <w:rPr>
          <w:rFonts w:hint="eastAsia"/>
          <w:color w:val="000000" w:themeColor="text1"/>
          <w14:textFill>
            <w14:solidFill>
              <w14:schemeClr w14:val="tx1"/>
            </w14:solidFill>
          </w14:textFill>
        </w:rPr>
        <w:t>建设过程中因各种客观和主观原因所发生的设计变更，由甲方按设计变更管理有关办法规范此类设计行为，明确设计变更的原因、种类、责任的认定和费用处理原则。在设计工作各阶段，乙方应按照政府主管部门提出的审批意见对设计进行修改、调整；甲方在本项目设计过程中提出的修改意见，如并非对设计做出重大修改，则乙方亦应无偿对设计进行修改调整。</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12.2  在施工的过程中，因设计问题及其他原因造成的设计变更及修改，乙方应及时、积极地予以处理（包括出必要的施工图）并正确无误地纳入竣工图编制中。</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12.3  由于乙方的设计缺陷引起的变更，乙方应负责修正完善设计文件，由此发生的设计变更费用自行承担。若此变更引起工程投资增加达到预算价的5％以上（包括5％），甲方有权对乙方处以变更工程预算价10％的罚款作为赔偿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12.4  甲方提出的重大设计变更或修改，乙方应在甲方规定的合理时间内，予以无条件执行。双方应就增加的工作量及设计费用进行协商。“重大修改”是指发生用地条件重大改变时，如用地红线关系、容积率、使用功能等规划指标变化等情况出现的设计修改，或双方约定的特定情况下造成的设计修改。</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十三、设计协调和设计配合</w:t>
      </w:r>
    </w:p>
    <w:p>
      <w:pPr>
        <w:snapToGrid w:val="0"/>
        <w:spacing w:line="360" w:lineRule="auto"/>
        <w:ind w:firstLine="480" w:firstLineChars="200"/>
        <w:rPr>
          <w:color w:val="000000" w:themeColor="text1"/>
          <w14:textFill>
            <w14:solidFill>
              <w14:schemeClr w14:val="tx1"/>
            </w14:solidFill>
          </w14:textFill>
        </w:rPr>
      </w:pPr>
      <w:bookmarkStart w:id="274" w:name="_Hlk72147409"/>
      <w:r>
        <w:rPr>
          <w:rFonts w:hint="eastAsia"/>
          <w:color w:val="000000" w:themeColor="text1"/>
          <w:szCs w:val="28"/>
          <w14:textFill>
            <w14:solidFill>
              <w14:schemeClr w14:val="tx1"/>
            </w14:solidFill>
          </w14:textFill>
        </w:rPr>
        <w:t>13.1  甲方的</w:t>
      </w:r>
      <w:r>
        <w:rPr>
          <w:rFonts w:hint="eastAsia"/>
          <w:color w:val="000000" w:themeColor="text1"/>
          <w14:textFill>
            <w14:solidFill>
              <w14:schemeClr w14:val="tx1"/>
            </w14:solidFill>
          </w14:textFill>
        </w:rPr>
        <w:t>设计协调工作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13.1.1 协调设计工作中存在的重大技术分歧。</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13.1.2 积极开展工程设计外部协调工作，进行与规划、建设、消防、环保等部门的设计协调。</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13.1.3 审批设计变更，评价设计投资控制的情况。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  乙方的设计协调工作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13.2.1乙方应积极配合甲方根据合同进行的阶段检查和过程检查，积极配合甲方组织的对设计工作有积极作用的相关活动。</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13.2.2 积极主动地协调、支持和配合本工程咨询单位（如项目建议书、可行性研究、环评、水土保持方案、林地使用等编制单位）、专项或专业设计单位（如接电专项工程、边坡或基坑等岩土专业工程的设计单位）以及各审批单位的工作；抓好工程咨询意见及各类审批文件提到的相关要求和内容在设计工作中的落实；确保与专项或专业设计单位之间的衔接不出现错、漏、碰、缺或重叠、重复计量、高估冒算等问题。乙方与工程咨询单位的协调内容、与专项或专业设计单位之间具体分工和要求在专用条款中明确。</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13.2.3协助甲方进行施工、材料、设备等招标工作，并及时向甲方提供技术要求、技术参数和招标图纸。</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13.2.4进行设计技术交底及图纸会审，并派出现场设计代表及时解决施工中出现的与设计有关的技术问题。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13.2.5协助甲方进行材料、设备定货，及时解决设备定货中出现的与材料和设备有关的技术问题。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13.2.6 参与水、电等系统的调试及设备系统联调，及时解决设备调试中出现的与设计有关的技术问题。</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13.2.7  参与甲</w:t>
      </w:r>
      <w:r>
        <w:rPr>
          <w:rFonts w:hint="eastAsia"/>
          <w:color w:val="000000" w:themeColor="text1"/>
          <w:szCs w:val="28"/>
          <w14:textFill>
            <w14:solidFill>
              <w14:schemeClr w14:val="tx1"/>
            </w14:solidFill>
          </w14:textFill>
        </w:rPr>
        <w:t>方组织的与本工程有关的考察、调研。</w:t>
      </w:r>
      <w:bookmarkEnd w:id="274"/>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十四、设计审查</w:t>
      </w:r>
    </w:p>
    <w:p>
      <w:pPr>
        <w:snapToGrid w:val="0"/>
        <w:spacing w:line="360" w:lineRule="auto"/>
        <w:ind w:firstLine="480" w:firstLineChars="200"/>
        <w:rPr>
          <w:color w:val="000000" w:themeColor="text1"/>
          <w14:textFill>
            <w14:solidFill>
              <w14:schemeClr w14:val="tx1"/>
            </w14:solidFill>
          </w14:textFill>
        </w:rPr>
      </w:pPr>
      <w:bookmarkStart w:id="275" w:name="_Hlk72147433"/>
      <w:r>
        <w:rPr>
          <w:rFonts w:hint="eastAsia"/>
          <w:color w:val="000000" w:themeColor="text1"/>
          <w:szCs w:val="28"/>
          <w14:textFill>
            <w14:solidFill>
              <w14:schemeClr w14:val="tx1"/>
            </w14:solidFill>
          </w14:textFill>
        </w:rPr>
        <w:t>14.1  各</w:t>
      </w:r>
      <w:r>
        <w:rPr>
          <w:rFonts w:hint="eastAsia"/>
          <w:color w:val="000000" w:themeColor="text1"/>
          <w14:textFill>
            <w14:solidFill>
              <w14:schemeClr w14:val="tx1"/>
            </w14:solidFill>
          </w14:textFill>
        </w:rPr>
        <w:t>阶段的设计文件、对新工艺、新技术、新材料的运用等，乙方应根据甲方要求组织有关专家审查或论证，会务费等相关费用由乙方承担（专家由甲方负责聘请）。</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14.2 乙方应协助甲方将设计文件或中间资料报送政府和规划、建设、环保、交管、消防、人防等有关部门审查，并按其审查意见修改完善。</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14.3 乙方应积极配合甲方委托的审图单位及环评、水保等其他咨询单位进行图纸审查工作，提供及报送审</w:t>
      </w:r>
      <w:r>
        <w:rPr>
          <w:rFonts w:hint="eastAsia"/>
          <w:color w:val="000000" w:themeColor="text1"/>
          <w:szCs w:val="28"/>
          <w14:textFill>
            <w14:solidFill>
              <w14:schemeClr w14:val="tx1"/>
            </w14:solidFill>
          </w14:textFill>
        </w:rPr>
        <w:t>图所需的资料。</w:t>
      </w:r>
      <w:bookmarkEnd w:id="275"/>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十五、违约责任与奖惩</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15.1  甲</w:t>
      </w:r>
      <w:r>
        <w:rPr>
          <w:rFonts w:hint="eastAsia"/>
          <w:color w:val="000000" w:themeColor="text1"/>
          <w14:textFill>
            <w14:solidFill>
              <w14:schemeClr w14:val="tx1"/>
            </w14:solidFill>
          </w14:textFill>
        </w:rPr>
        <w:t>方违约责任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15.1.1如果甲方未按合同约定的期限支付费用，甲方不向乙方补偿，甲方未付款金额不计利息。</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15.1.2在合同履行期间，非因乙方的过错，甲方要求中止或解除合同，如果乙方尚未开始设计工作，甲方应补偿乙方实际发生的费用和工时费，如已开始设计工作且实际工作量价款少于已付的合同款，乙方不退还差额部分，如实际已完成工作量价款大于已付的合同款时，不足部分由甲方补齐。</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 乙方违约责任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15.2.1 无论何种原因（包括由于甲方未及时察觉造成的），对于工程设计内容中超出乙方资质条件的单项或专项工程，乙方不得超越自身资质条件进行设计，必须在设计开展前告知甲方另作安排，否则被视为违约，应赔偿因此给甲方造成的损失；私自将设计任务转包或分包的，甲方将有权解除或中止合同，并视情节轻重要求乙方按设计合同暂定价的5%～10%支付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15.2.2 乙方未按照国家及建设部现行的强制性技术标准、规范和规程进行设计，或乙方在设计文件中未经甲方认可擅自指定或变相指定材料或设备生产厂商、供应商的，甲方有权视情节轻重要求乙方按设计合同暂定价的5%～10%支付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15.2.3乙方未按合同约定履行职责的，甲方有权要求乙方立即纠正并就因此而遭受的损失提出索赔，乙方收到甲方纠正通知后五日内未予纠正的，甲方有权停付设计费并提出进一步索赔，直至解除合同关系。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15.2.4若因乙方原因导致提交的设计成果文件无法通过甲方组织的设计审查，甲方有权发出如下任何指令，乙方必须遵照执行:</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15.2.4.1对不合格部分进行重新设计或修改，由此引起的费用增加和工期延误由乙方负全部责任；甲方还可视造成的时间延误和费用损失，要求乙方按设计合同暂定价的5%～10%支付违约金；情节严重的，甲方有权解除合同；</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15.2.4.2解除该不合格部分的合同，甲方将该不合格部分指定分包给其他设计单位，并扣除设计单位合同总价中此部分的设计费用，且甲方有权要求乙方赔偿因此造成的损失；</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15.2.5乙方在合同有效期内，应当履行合同约定的义务，如非因甲方的原因而造成设计质量事故、工期延误或设计缺陷，造成甲方损失或虽未发生实际损失但存在风险，乙方应承担相应赔偿责任。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15.2.6乙方应赔偿因设计图纸错、漏、碰、缺问题所引发的施工返工费、 误工费，处理原则如下:</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15.2.6.1由于设计图纸错、漏、碰、缺问题带来的施工返工，但能及时处理，未对施工工期造成影响，按实际发生的施工返工费的10%对甲方进行赔偿。</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15.2.6.2由于设计图纸错、漏、碰、缺问题带来的施工返工，未能及时处理，并对施工工期造成了一定影响，按实际发生的返工费、误工费的20%对甲方进行赔偿。</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15.2.6.3由于设计图纸错、漏、碰、缺带来的设计变更，所引起的工程费增加，以至超出总投资计划或限额设计指标，按超额部分的10%对甲方进行赔偿。</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15.2.7 因设计错误而造成一般质量事故的，乙方除应免收受损失部分的设计费外，还应无偿修改和完善设计，并承担相当于直接损失部分设计费的赔偿金。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15.2.8  因设计错误而造成重大质量事故的，除执行15.2.7款的规定外，甲方有权报请有关主管部门视事故造成的损失情况给予其他处罚。</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15.2.9  乙方未按合同约定提交设计成果文件的，每延迟一天，处以当期应支付设计费千分之三的违约金，违约金的限额为当期应支付设计费的数额。</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15.2.10合同生效后，乙方如无正当理由要求中止或解除合同，应在三十日内向甲方支付已发生的合同设计费的双倍违约金。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15.2.11 乙方保证，未经甲方书面同意，不得将本合同项下的任何工作任务委托第三人履行，否则，甲方可以立即解除本合同，并且不需要向乙方支付任何费用，还可要求乙方承担合同金额10%的违约金。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15.2.12 乙方应安排已承诺的人员投入工作，并在设计过程中和施工服务期内保持人员的相对稳定。未经甲方书面同意，乙方不得将投标书或设计工作大纲中承诺的主要人员进行抽换，否则甲方有权解除合同并保留向主管部门提请将乙方的行为作不良行为记录的权利。同时，甲方有权根据被换人员的岗位按下列规定计扣违约金(如被换人员不满足第10.12款的要求，按下列规定双倍计扣违约金)：</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(a)项目负责人或总工程师：每人次按合同暂定价的5%；</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(b)分项负责人：每人次按合同暂定价的3%；</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(c)主要设计人员：每人次按合同暂定价的1%。</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此外，项目负责人应常驻深圳，并按时参加甲方要求的与勘察设计有关的各种会议，每缺席一次按5万元/次的标准向甲方支付违约金，累计缺席3次及以上的，甲方有权要求乙方按合同暂定价5%支付违约金，并保留解除合同的权利。</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十六、不可抗力</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16.1 不</w:t>
      </w:r>
      <w:r>
        <w:rPr>
          <w:rFonts w:hint="eastAsia"/>
          <w:color w:val="000000" w:themeColor="text1"/>
          <w14:textFill>
            <w14:solidFill>
              <w14:schemeClr w14:val="tx1"/>
            </w14:solidFill>
          </w14:textFill>
        </w:rPr>
        <w:t>可抗力是指合同当事人在签订合同时不可预见，在合同履行过程中不可避免且不能克服的自然灾害和社会性突发事件，如地震、海啸、瘟疫、骚乱、戒严、暴动、战争和专用条款中约定的其他情形。</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16.2 不可抗力发生后，发包人和设计人应收集证明不可抗力发生及不可抗力造成损失的证据，并及时认真统计所造成的损失。</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16.3 合同当事人一方遇到不可抗力事件，使其履行合同义务受到阻碍时，应立即通知合同当事人另一方，书面说明不可抗力和受阻碍的详细情况，并在合理期限内提供必要的证明。</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16.4 不可抗力持续发生的，合同当事人一方应及时向合同当事人另一方提交中间报告，说明不可抗力和履行合同受阻的情况，并于不可抗力事件结束后28天内，向对方提交最终报告及有关资料。</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16.5 不可抗力引起的后果及造成的损失，由合同当事人按照法律规定及合同约定各自承担。不可抗力发生前已完成的工程设计工作量，应按工作量所占比例进行设计费用支付。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16.6 不可抗力发生后，合同当事人均应采取措施尽量避免和减少损失的扩大。任何一方当事人没有采取有效措施导致损失继续扩大的，应对扩大的损失承担责任。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16.7 因合同一方迟延履行合同义务，在迟延履行期间遭遇不可抗力的，不免除其违约责任。</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十七、合同生效、变更、中止、解除和终止</w:t>
      </w:r>
    </w:p>
    <w:p>
      <w:pPr>
        <w:snapToGrid w:val="0"/>
        <w:spacing w:line="360" w:lineRule="auto"/>
        <w:ind w:firstLine="480" w:firstLineChars="200"/>
        <w:rPr>
          <w:color w:val="000000" w:themeColor="text1"/>
          <w14:textFill>
            <w14:solidFill>
              <w14:schemeClr w14:val="tx1"/>
            </w14:solidFill>
          </w14:textFill>
        </w:rPr>
      </w:pPr>
      <w:bookmarkStart w:id="276" w:name="_Hlk72148494"/>
      <w:r>
        <w:rPr>
          <w:rFonts w:hint="eastAsia"/>
          <w:color w:val="000000" w:themeColor="text1"/>
          <w:szCs w:val="28"/>
          <w14:textFill>
            <w14:solidFill>
              <w14:schemeClr w14:val="tx1"/>
            </w14:solidFill>
          </w14:textFill>
        </w:rPr>
        <w:t>17.1 本合同</w:t>
      </w:r>
      <w:r>
        <w:rPr>
          <w:rFonts w:hint="eastAsia"/>
          <w:color w:val="000000" w:themeColor="text1"/>
          <w14:textFill>
            <w14:solidFill>
              <w14:schemeClr w14:val="tx1"/>
            </w14:solidFill>
          </w14:textFill>
        </w:rPr>
        <w:t>生效的时间以双方签署的协议书上注明的时间为准。</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17.2 对本合同条款的任何变更、修改或增减，须经双方协商同意后由法定代表人或授权代理人签署书面文件并盖公章方为有效，作为本合同的组成部分。</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17.3 双方协商一致，可以解除合同。</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17.4 有下列情形之一的，合同当事人一方或双方可以解除合同：</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17.4.1设计人提交的设计文件存在重大质量问题，经发包人催告后，在合理期限内修改后，仍不能满足国家现行设计文件编制深度要求或不能达到合同约定的质量要求的，发包人可以解除合同。</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17.4.2因不可抗力致使合同无法履行。</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17.4.3因一方违约致使合同无法实际履行，或实际履行已无必要。</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17.4.4因本工程项目条件发生重大变化，使合同无法继续履行。</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17.5 履约保函：一般</w:t>
      </w:r>
      <w:r>
        <w:rPr>
          <w:rFonts w:hint="eastAsia"/>
          <w:color w:val="000000" w:themeColor="text1"/>
          <w:szCs w:val="28"/>
          <w14:textFill>
            <w14:solidFill>
              <w14:schemeClr w14:val="tx1"/>
            </w14:solidFill>
          </w14:textFill>
        </w:rPr>
        <w:t>不作要求，若有需要，以合同专用条款表述为准。</w:t>
      </w:r>
      <w:bookmarkEnd w:id="276"/>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十八、争议及解决</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18.1  如甲、乙双</w:t>
      </w:r>
      <w:r>
        <w:rPr>
          <w:rFonts w:hint="eastAsia"/>
          <w:color w:val="000000" w:themeColor="text1"/>
          <w14:textFill>
            <w14:solidFill>
              <w14:schemeClr w14:val="tx1"/>
            </w14:solidFill>
          </w14:textFill>
        </w:rPr>
        <w:t>方在履行合同时发生争议，可以协商或者要求有关部门调解。如协商或者调解不成的，任何一方均可向甲方所在地人民法院起诉。</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14:textFill>
            <w14:solidFill>
              <w14:schemeClr w14:val="tx1"/>
            </w14:solidFill>
          </w14:textFill>
        </w:rPr>
        <w:t>18.2  除提交诉讼的</w:t>
      </w:r>
      <w:r>
        <w:rPr>
          <w:rFonts w:hint="eastAsia"/>
          <w:color w:val="000000" w:themeColor="text1"/>
          <w:szCs w:val="28"/>
          <w14:textFill>
            <w14:solidFill>
              <w14:schemeClr w14:val="tx1"/>
            </w14:solidFill>
          </w14:textFill>
        </w:rPr>
        <w:t>争议事项外，设计工作应照常进行。</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十九、文件送达与签收</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19.1  与合同有关的通知、批准、证明、证书、指示、指令、要求、请求、同意、确定、决定、资料等文件，均应采用书面形式，并应在合同约定的期限内送达接收人和送达地点。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19.2  专用条款中，合同当事人应分别注明发包人收件人和设计人收件人的如下信息：单位名称、单位地址、邮政编码、收件人姓名、手机号码、传真号码和电子邮箱。</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19.3  任何一方合同当事人指定的接收人或送达地点或电子邮箱发生变动的，应提前3天以书面形式通知对方，否则视为未发生变动。</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19.4  合同当事人以书面形式向对方发出的各类文件，必须经由其授权代表签字或盖章后生效；未经签字或盖章的，不具法律效力。</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19.5  合同当事人当面提交文件给对方的，对方应面出具书面签收单。签收单内容应包括文件名称、内容、形式、份数、提交及签收日期，并由文件提交人与接收人亲笔签名。如确有充分证据证明某一方无正当理由拒不签收的，则视为该方已认可往来文件的内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19.6  合同当事人彼此之间，还可通过电话沟通等方式，保障实时联络和文件顺利送达。</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二十、其它</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20.1 除专用条款另有约定外，发包人提供给设计人的设计原始资料、发包人为实施本工程自行编制（或委托编制）的技术文件和能反映设计任务书（或其他类似性质）的文件的著作权，均属于发包人。设计人可以为实现本合同目标而复制及使用此类文件，但不能用于与本合同无关的其他事项。未经发包人书面同意，设计人不得为了本合同以外的事项而复制及使用上述文件，不得将之提供给任何第三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20.2 甲方应保护乙方设计的知识产权，未经乙方同意，甲方对乙方交付的设计文件不得用于本合同外的项目。</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20.3 乙方应确保其交付的设计不侵犯任何第三方的合法权益，任何第三方向甲方提出的侵权之诉讼或索赔均由乙方承担，并承担由此给甲方造成的损失（包括但不限于诉讼费、律师费等一切费用）。</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20.4 </w:t>
      </w:r>
      <w:bookmarkStart w:id="277" w:name="_Hlk72421027"/>
      <w:r>
        <w:rPr>
          <w:rFonts w:hint="eastAsia"/>
          <w:color w:val="000000" w:themeColor="text1"/>
          <w14:textFill>
            <w14:solidFill>
              <w14:schemeClr w14:val="tx1"/>
            </w14:solidFill>
          </w14:textFill>
        </w:rPr>
        <w:t>合同当事人双方均有权在不损害对方利益和保密约定的前提下，在自己宣传所用的印刷品或其他出版物上，或在申报奖项等情形下，自行公布有关项目文字介绍和图片材料。</w:t>
      </w:r>
      <w:bookmarkEnd w:id="277"/>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20.5 除专用条款另有约定外，设计人在合同签订前和签订时已确定采用的专利、专有技术的使用费，应已包含在签约合同价中。</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20.6 所有设计文件的文字表达以中文为准。</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20.7</w:t>
      </w:r>
      <w:r>
        <w:rPr>
          <w:rFonts w:hint="eastAsia"/>
          <w:color w:val="000000" w:themeColor="text1"/>
          <w14:textFill>
            <w14:solidFill>
              <w14:schemeClr w14:val="tx1"/>
            </w14:solidFill>
          </w14:textFill>
        </w:rPr>
        <w:t>本工程若由于规划、政府实施代建等原因导致项目中止或终止，则本项目合同自动中止或终止，乙方不得向发包人提出索赔任何费用（已实际完成的工作量除外）。</w:t>
      </w:r>
    </w:p>
    <w:p>
      <w:pPr>
        <w:spacing w:line="360" w:lineRule="auto"/>
        <w:rPr>
          <w:color w:val="000000" w:themeColor="text1"/>
          <w14:textFill>
            <w14:solidFill>
              <w14:schemeClr w14:val="tx1"/>
            </w14:solidFill>
          </w14:textFill>
        </w:rPr>
      </w:pPr>
    </w:p>
    <w:p>
      <w:pPr>
        <w:spacing w:line="360" w:lineRule="auto"/>
        <w:jc w:val="center"/>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br w:type="page"/>
      </w:r>
      <w:r>
        <w:rPr>
          <w:rFonts w:hint="eastAsia"/>
          <w:b/>
          <w:bCs/>
          <w:color w:val="000000" w:themeColor="text1"/>
          <w:sz w:val="30"/>
          <w:szCs w:val="30"/>
          <w14:textFill>
            <w14:solidFill>
              <w14:schemeClr w14:val="tx1"/>
            </w14:solidFill>
          </w14:textFill>
        </w:rPr>
        <w:t>第三部分  合同专用条款</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二、设计依据</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2.1  本项目设计所依据的其他资料或文件：</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三、合同相关文件及执行中相关文件优先次序</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3.1本合同包括的其他相关文件：</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3.2本合同文件的优先顺序：</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四、设计工作内容及要求</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4.1除本合同通用条款4.2条约定外，设计工作具体内容及要求还包括：</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五、设计阶段划分及各阶段工作内容</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5.1</w:t>
      </w:r>
      <w:r>
        <w:rPr>
          <w:rFonts w:hint="eastAsia"/>
          <w:color w:val="000000" w:themeColor="text1"/>
          <w14:textFill>
            <w14:solidFill>
              <w14:schemeClr w14:val="tx1"/>
            </w14:solidFill>
          </w14:textFill>
        </w:rPr>
        <w:t xml:space="preserve"> 本项目设计工作分为</w:t>
      </w:r>
      <w:r>
        <w:rPr>
          <w:rFonts w:hint="eastAsia"/>
          <w:sz w:val="28"/>
          <w:szCs w:val="28"/>
          <w:u w:val="single"/>
        </w:rPr>
        <w:t xml:space="preserve">                               </w:t>
      </w:r>
      <w:r>
        <w:rPr>
          <w:rFonts w:hint="eastAsia"/>
          <w:color w:val="000000" w:themeColor="text1"/>
          <w14:textFill>
            <w14:solidFill>
              <w14:schemeClr w14:val="tx1"/>
            </w14:solidFill>
          </w14:textFill>
        </w:rPr>
        <w:t>等阶段。</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5.2除本合同通用条款5.2条约定外，设计人还应向发包人提供如下阶段的设计服务：</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六、设计成果文件组成</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6.1除本合同通用条款第六条约定外，设计成果文件还包括：</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七、合同价、结算及支付方式</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7.1 本合同价款暂定人民币</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元）。本合同价款暂按工程设计收费基价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万元计算，计算过程如下：</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（工程设计收费基价）×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（专业调整系数）×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（工程复杂程度调整系数）×0.8（附加调整系数）×（1-   %）（下浮率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p>
      <w:pPr>
        <w:snapToGrid w:val="0"/>
        <w:spacing w:line="360" w:lineRule="auto"/>
        <w:ind w:firstLine="482" w:firstLineChars="200"/>
        <w:rPr>
          <w:b/>
          <w:bCs/>
          <w:color w:val="000000" w:themeColor="text1"/>
          <w:szCs w:val="28"/>
          <w:u w:val="single"/>
          <w14:textFill>
            <w14:solidFill>
              <w14:schemeClr w14:val="tx1"/>
            </w14:solidFill>
          </w14:textFill>
        </w:rPr>
      </w:pPr>
      <w:r>
        <w:rPr>
          <w:rFonts w:hint="eastAsia"/>
          <w:b/>
          <w:bCs/>
          <w:color w:val="000000" w:themeColor="text1"/>
          <w:szCs w:val="28"/>
          <w:u w:val="single"/>
          <w14:textFill>
            <w14:solidFill>
              <w14:schemeClr w14:val="tx1"/>
            </w14:solidFill>
          </w14:textFill>
        </w:rPr>
        <w:t>以上合同价款为暂定价格，最终结算价格以南山区工程造价管理站出具的质量复核报告为准。若质量复核结果大于甲方已付款项的，乙方应在质量复核报告出具之日起15日内退还甲方超付的款项。</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 xml:space="preserve">7.2乙方指定以下收款账户：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开 户 名：</w:t>
      </w:r>
      <w:r>
        <w:rPr>
          <w:rFonts w:hint="eastAsia"/>
          <w:color w:val="000000" w:themeColor="text1"/>
          <w:u w:val="single"/>
          <w14:textFill>
            <w14:solidFill>
              <w14:schemeClr w14:val="tx1"/>
            </w14:solidFill>
          </w14:textFill>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开户银行：</w:t>
      </w:r>
      <w:r>
        <w:rPr>
          <w:rFonts w:hint="eastAsia"/>
          <w:color w:val="000000" w:themeColor="text1"/>
          <w:u w:val="single"/>
          <w14:textFill>
            <w14:solidFill>
              <w14:schemeClr w14:val="tx1"/>
            </w14:solidFill>
          </w14:textFill>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账    号：</w:t>
      </w:r>
      <w:r>
        <w:rPr>
          <w:rFonts w:hint="eastAsia"/>
          <w:color w:val="000000" w:themeColor="text1"/>
          <w:u w:val="single"/>
          <w14:textFill>
            <w14:solidFill>
              <w14:schemeClr w14:val="tx1"/>
            </w14:solidFill>
          </w14:textFill>
        </w:rPr>
        <w:t xml:space="preserve">                                     </w:t>
      </w:r>
    </w:p>
    <w:p>
      <w:pPr>
        <w:snapToGrid w:val="0"/>
        <w:spacing w:line="360" w:lineRule="auto"/>
        <w:ind w:firstLine="482" w:firstLineChars="200"/>
        <w:rPr>
          <w:b/>
          <w:bCs/>
          <w:color w:val="000000" w:themeColor="text1"/>
          <w:szCs w:val="28"/>
          <w:u w:val="single"/>
          <w14:textFill>
            <w14:solidFill>
              <w14:schemeClr w14:val="tx1"/>
            </w14:solidFill>
          </w14:textFill>
        </w:rPr>
      </w:pPr>
      <w:r>
        <w:rPr>
          <w:rFonts w:hint="eastAsia"/>
          <w:b/>
          <w:bCs/>
          <w:color w:val="000000" w:themeColor="text1"/>
          <w:szCs w:val="28"/>
          <w:u w:val="single"/>
          <w14:textFill>
            <w14:solidFill>
              <w14:schemeClr w14:val="tx1"/>
            </w14:solidFill>
          </w14:textFill>
        </w:rPr>
        <w:t>7.3.本合同的付款期限仅指甲方经办人员向财务部门申请付款的时间，而非确保乙方收到款项的时间。若因甲方或其他政府部门财务审批程序或制度导致乙方迟延收到款项的，不视为甲方逾期付款。</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八、设计进度和设计人员</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8.1乙方参与本项目的设计人员及其基本情况如下表：</w:t>
      </w:r>
    </w:p>
    <w:tbl>
      <w:tblPr>
        <w:tblStyle w:val="82"/>
        <w:tblW w:w="83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993"/>
        <w:gridCol w:w="1135"/>
        <w:gridCol w:w="1277"/>
        <w:gridCol w:w="1560"/>
        <w:gridCol w:w="1844"/>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职责</w:t>
            </w:r>
          </w:p>
        </w:tc>
        <w:tc>
          <w:tcPr>
            <w:tcW w:w="1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现场代表</w:t>
            </w:r>
          </w:p>
        </w:tc>
        <w:tc>
          <w:tcPr>
            <w:tcW w:w="1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spacing w:line="360" w:lineRule="auto"/>
              <w:jc w:val="center"/>
              <w:rPr>
                <w:color w:val="000000" w:themeColor="text1"/>
                <w14:textFill>
                  <w14:solidFill>
                    <w14:schemeClr w14:val="tx1"/>
                  </w14:solidFill>
                </w14:textFill>
              </w:rPr>
            </w:pPr>
          </w:p>
        </w:tc>
      </w:tr>
    </w:tbl>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未经甲方书面同意，乙方不得擅自更换设计人员，否则应当按照通用条款第15.2.12条约定承担违约责任和赔偿责任。</w:t>
      </w:r>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8.2发包人代表和设计人代表</w:t>
      </w:r>
    </w:p>
    <w:p>
      <w:pPr>
        <w:ind w:firstLine="480" w:firstLineChars="200"/>
        <w:rPr>
          <w:color w:val="000000" w:themeColor="text1"/>
          <w14:textFill>
            <w14:solidFill>
              <w14:schemeClr w14:val="tx1"/>
            </w14:solidFill>
          </w14:textFill>
        </w:rPr>
      </w:pP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8.2.1发包人代表姓名：</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，职务：</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，联系方式：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，授权范围：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。发包人代表在发包人的授权范围内，负责处理合同履行过程中预发包人有关的具体事宜。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8.2.2设计人代表姓名：</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，执业资格及等级：</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，注册执业证书编号：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，联系方式：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，授权范围：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8.2.3发包人更换发包人代表人，应提前</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天书面通知设计人；设计人更换设计人代表的，应提前</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天书面通知发包人，且应征得发包人的书面同意后才可更换，否则设计人应按通用条款第15.2.12（a）条约定承担违约责任。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8.2.4 发包人有权书面通知设计人更换其认为不称职的项目负责人，对于发包人具有充分理由的更换要求，设计人应在收到书面更换通知后在7日内进行更换，并将新任命的项目负责人的姓名、执业资格及等级、注册执业证书编号、联系方式及授权范围等信息，书面通知发包人。继任项目负责人继续履行本合同约定的职责。设计人无正当理由拒绝更换项目负责人的，</w:t>
      </w:r>
      <w:r>
        <w:rPr>
          <w:rFonts w:hint="eastAsia"/>
          <w:color w:val="000000" w:themeColor="text1"/>
          <w:szCs w:val="28"/>
          <w14:textFill>
            <w14:solidFill>
              <w14:schemeClr w14:val="tx1"/>
            </w14:solidFill>
          </w14:textFill>
        </w:rPr>
        <w:t>应当按照通用条款第15.2.12条约定承担违约责任和赔偿责任。</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九、甲方的权利和义务</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9.1 除本合同通用条款第九条约定外，甲方的其他权利和义务如下：</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十、乙方的权利和义务</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10.1 除本合同通用条款第十条约定外，乙方的其他权利和义务如下：</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十一、设计进度、质量、投资控制</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11.1 除本合同通用条款第十一条约定外，其他相关约定如下：</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十二、设计变更</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12.1 除本合同通用条款第十二条规定外，关于设计变更的其他约定如下：</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十三、设计协调和设计配合</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13.1乙方的设计协调工作</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13.1.1乙方与工程咨询单位需进一步协调事项：</w:t>
      </w:r>
      <w:r>
        <w:rPr>
          <w:rFonts w:hint="eastAsia"/>
          <w:color w:val="000000" w:themeColor="text1"/>
          <w:u w:val="single"/>
          <w14:textFill>
            <w14:solidFill>
              <w14:schemeClr w14:val="tx1"/>
            </w14:solidFill>
          </w14:textFill>
        </w:rPr>
        <w:t>主要是与环评、水保等咨询单位的协调配合，确保信息的及时准确传送，避免出现衔接上的问题。</w:t>
      </w:r>
    </w:p>
    <w:p>
      <w:pPr>
        <w:snapToGrid w:val="0"/>
        <w:spacing w:line="360" w:lineRule="auto"/>
        <w:ind w:firstLine="42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13.1.2乙方与主体设计单位及专项或专业设计单位之间具体分工和要求：</w:t>
      </w:r>
      <w:r>
        <w:rPr>
          <w:rFonts w:hint="eastAsia"/>
          <w:color w:val="000000" w:themeColor="text1"/>
          <w:u w:val="single"/>
          <w14:textFill>
            <w14:solidFill>
              <w14:schemeClr w14:val="tx1"/>
            </w14:solidFill>
          </w14:textFill>
        </w:rPr>
        <w:t>各子项涉及燃气等工程专业设计,如乙方不具备相关设计资质,应按照规定由具有相应资质和设计能力的设计单位完成。专业设计单位的选择须征得甲方同意。</w:t>
      </w:r>
    </w:p>
    <w:p>
      <w:pPr>
        <w:snapToGrid w:val="0"/>
        <w:spacing w:line="360" w:lineRule="auto"/>
        <w:ind w:firstLine="42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各子项涉及</w:t>
      </w:r>
      <w:r>
        <w:rPr>
          <w:rFonts w:hint="eastAsia"/>
          <w:snapToGrid w:val="0"/>
          <w:color w:val="000000" w:themeColor="text1"/>
          <w:u w:val="single"/>
          <w14:textFill>
            <w14:solidFill>
              <w14:schemeClr w14:val="tx1"/>
            </w14:solidFill>
          </w14:textFill>
        </w:rPr>
        <w:t>通信迁改设计、电力迁改设计的，甲方可根据项目实际情况另行委托。</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十四、设计审查</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14.1 除本合同通用条款第十四条约定外，关于设计审查的其他约定如下：</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十五、违约责任与奖惩</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15.1  甲</w:t>
      </w:r>
      <w:r>
        <w:rPr>
          <w:rFonts w:hint="eastAsia"/>
          <w:color w:val="000000" w:themeColor="text1"/>
          <w14:textFill>
            <w14:solidFill>
              <w14:schemeClr w14:val="tx1"/>
            </w14:solidFill>
          </w14:textFill>
        </w:rPr>
        <w:t>方违约责任</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15.1.1甲方未付款的利率：</w:t>
      </w:r>
      <w:r>
        <w:rPr>
          <w:rFonts w:hint="eastAsia"/>
          <w:color w:val="000000" w:themeColor="text1"/>
          <w:u w:val="single"/>
          <w14:textFill>
            <w14:solidFill>
              <w14:schemeClr w14:val="tx1"/>
            </w14:solidFill>
          </w14:textFill>
        </w:rPr>
        <w:t>不计利息。</w:t>
      </w:r>
    </w:p>
    <w:p>
      <w:pPr>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 乙方的其他违约责任：</w:t>
      </w:r>
    </w:p>
    <w:p>
      <w:pPr>
        <w:snapToGrid w:val="0"/>
        <w:spacing w:line="360" w:lineRule="auto"/>
        <w:ind w:firstLine="560" w:firstLineChars="200"/>
        <w:rPr>
          <w:color w:val="000000" w:themeColor="text1"/>
          <w:szCs w:val="28"/>
          <w14:textFill>
            <w14:solidFill>
              <w14:schemeClr w14:val="tx1"/>
            </w14:solidFill>
          </w14:textFill>
        </w:rPr>
      </w:pP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十六、不可抗力</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16.1 不可抗力的其他情形为：</w:t>
      </w:r>
    </w:p>
    <w:p>
      <w:pPr>
        <w:snapToGrid w:val="0"/>
        <w:spacing w:line="360" w:lineRule="auto"/>
        <w:ind w:firstLine="560" w:firstLineChars="200"/>
        <w:rPr>
          <w:sz w:val="28"/>
          <w:szCs w:val="28"/>
        </w:rPr>
      </w:pPr>
      <w:r>
        <w:rPr>
          <w:rFonts w:hint="eastAsia"/>
          <w:sz w:val="28"/>
          <w:szCs w:val="28"/>
          <w:u w:val="single"/>
        </w:rPr>
        <w:t xml:space="preserve">                                                </w:t>
      </w:r>
      <w:r>
        <w:rPr>
          <w:rFonts w:hint="eastAsia"/>
          <w:sz w:val="28"/>
          <w:szCs w:val="28"/>
        </w:rPr>
        <w:t>。</w:t>
      </w:r>
    </w:p>
    <w:p>
      <w:pPr>
        <w:snapToGrid w:val="0"/>
        <w:spacing w:line="360" w:lineRule="auto"/>
        <w:ind w:firstLine="480" w:firstLineChars="200"/>
        <w:rPr>
          <w:color w:val="000000" w:themeColor="text1"/>
          <w:szCs w:val="28"/>
          <w14:textFill>
            <w14:solidFill>
              <w14:schemeClr w14:val="tx1"/>
            </w14:solidFill>
          </w14:textFill>
        </w:rPr>
      </w:pP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十七、合同生效、变更、中止、解除和终止</w:t>
      </w:r>
    </w:p>
    <w:p>
      <w:pPr>
        <w:snapToGrid w:val="0"/>
        <w:spacing w:line="360" w:lineRule="auto"/>
        <w:ind w:firstLine="480" w:firstLineChars="200"/>
        <w:rPr>
          <w:sz w:val="28"/>
          <w:szCs w:val="28"/>
        </w:rPr>
      </w:pPr>
      <w:r>
        <w:rPr>
          <w:rFonts w:hint="eastAsia"/>
          <w:color w:val="000000" w:themeColor="text1"/>
          <w14:textFill>
            <w14:solidFill>
              <w14:schemeClr w14:val="tx1"/>
            </w14:solidFill>
          </w14:textFill>
        </w:rPr>
        <w:t>17.1履约保函：</w:t>
      </w:r>
      <w:r>
        <w:rPr>
          <w:rFonts w:hint="eastAsia"/>
          <w:sz w:val="28"/>
          <w:szCs w:val="28"/>
          <w:u w:val="single"/>
        </w:rPr>
        <w:t xml:space="preserve">                                     </w:t>
      </w:r>
      <w:r>
        <w:rPr>
          <w:rFonts w:hint="eastAsia"/>
          <w:sz w:val="28"/>
          <w:szCs w:val="28"/>
        </w:rPr>
        <w:t>。</w:t>
      </w:r>
    </w:p>
    <w:p>
      <w:pPr>
        <w:pStyle w:val="6"/>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十九、文件送达与签收</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19.1 甲方的收件信息如下：</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单位名称：</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单位地址：</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收件人姓名：</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手机号码：</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电子邮箱：</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微信/QQ：</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19.2 乙方的收件信息如下：</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单位名称：</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单位地址：</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收件人姓名：</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手机号码：</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电子邮箱：</w:t>
      </w:r>
      <w:r>
        <w:rPr>
          <w:rFonts w:hint="eastAsia"/>
          <w:sz w:val="28"/>
          <w:szCs w:val="28"/>
          <w:u w:val="single"/>
        </w:rPr>
        <w:t xml:space="preserve">                                     </w:t>
      </w:r>
    </w:p>
    <w:p>
      <w:pPr>
        <w:snapToGrid w:val="0"/>
        <w:spacing w:line="360" w:lineRule="auto"/>
        <w:ind w:firstLine="48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微信/QQ：</w:t>
      </w:r>
      <w:r>
        <w:rPr>
          <w:rFonts w:hint="eastAsia"/>
          <w:sz w:val="28"/>
          <w:szCs w:val="28"/>
          <w:u w:val="single"/>
        </w:rPr>
        <w:t xml:space="preserve">                                     </w:t>
      </w: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snapToGrid w:val="0"/>
        <w:spacing w:line="360" w:lineRule="auto"/>
        <w:ind w:firstLine="560" w:firstLineChars="200"/>
        <w:rPr>
          <w:sz w:val="28"/>
          <w:szCs w:val="28"/>
        </w:rPr>
      </w:pPr>
    </w:p>
    <w:p>
      <w:pPr>
        <w:rPr>
          <w:rFonts w:ascii="黑体" w:eastAsia="黑体"/>
          <w:b/>
          <w:bCs/>
          <w:color w:val="000000" w:themeColor="text1"/>
          <w:szCs w:val="21"/>
          <w14:textFill>
            <w14:solidFill>
              <w14:schemeClr w14:val="tx1"/>
            </w14:solidFill>
          </w14:textFill>
        </w:rPr>
      </w:pPr>
    </w:p>
    <w:p>
      <w:pPr>
        <w:snapToGrid w:val="0"/>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附件一：</w:t>
      </w:r>
    </w:p>
    <w:p>
      <w:pPr>
        <w:snapToGrid w:val="0"/>
        <w:spacing w:line="360" w:lineRule="auto"/>
        <w:jc w:val="center"/>
        <w:rPr>
          <w:color w:val="000000" w:themeColor="text1"/>
          <w:szCs w:val="21"/>
          <w14:textFill>
            <w14:solidFill>
              <w14:schemeClr w14:val="tx1"/>
            </w14:solidFill>
          </w14:textFill>
        </w:rPr>
      </w:pPr>
      <w:r>
        <w:rPr>
          <w:rFonts w:hint="eastAsia" w:ascii="黑体" w:eastAsia="黑体"/>
          <w:b/>
          <w:bCs/>
          <w:color w:val="000000" w:themeColor="text1"/>
          <w:sz w:val="36"/>
          <w:szCs w:val="36"/>
          <w14:textFill>
            <w14:solidFill>
              <w14:schemeClr w14:val="tx1"/>
            </w14:solidFill>
          </w14:textFill>
        </w:rPr>
        <w:t>设计合同履约评价细则</w:t>
      </w:r>
    </w:p>
    <w:p>
      <w:pPr>
        <w:snapToGrid w:val="0"/>
        <w:spacing w:before="240" w:line="360" w:lineRule="auto"/>
        <w:rPr>
          <w:rFonts w:ascii="仿宋_GB2312" w:eastAsia="仿宋_GB2312"/>
          <w:color w:val="000000" w:themeColor="text1"/>
          <w:sz w:val="15"/>
          <w:szCs w:val="15"/>
          <w14:textFill>
            <w14:solidFill>
              <w14:schemeClr w14:val="tx1"/>
            </w14:solidFill>
          </w14:textFill>
        </w:rPr>
      </w:pPr>
    </w:p>
    <w:p>
      <w:pPr>
        <w:snapToGrid w:val="0"/>
        <w:spacing w:line="360" w:lineRule="auto"/>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履约单位：                                     项目名称：</w:t>
      </w:r>
    </w:p>
    <w:tbl>
      <w:tblPr>
        <w:tblStyle w:val="82"/>
        <w:tblW w:w="9285" w:type="dxa"/>
        <w:jc w:val="center"/>
        <w:tblLayout w:type="fixed"/>
        <w:tblCellMar>
          <w:top w:w="0" w:type="dxa"/>
          <w:left w:w="108" w:type="dxa"/>
          <w:bottom w:w="0" w:type="dxa"/>
          <w:right w:w="108" w:type="dxa"/>
        </w:tblCellMar>
      </w:tblPr>
      <w:tblGrid>
        <w:gridCol w:w="550"/>
        <w:gridCol w:w="1253"/>
        <w:gridCol w:w="642"/>
        <w:gridCol w:w="6268"/>
        <w:gridCol w:w="572"/>
      </w:tblGrid>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分项内容</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满分</w:t>
            </w:r>
          </w:p>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分值</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评     价     标     准</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得分</w:t>
            </w:r>
          </w:p>
        </w:tc>
      </w:tr>
      <w:tr>
        <w:trPr>
          <w:trHeight w:val="39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人员配备</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87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人员数量要求</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□良好3 分：配备的编制人员的数量满足合同及招标文件的要求；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分：配备的编制人员的数量不满足合同及招标文件的要求。</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17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专业配</w:t>
            </w:r>
          </w:p>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置要求</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□良好 5 分：配备的编制人员的专业满足合同及招标文件的要求且各专业人员要求稳定；</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□合格 3 分：配备的编制人员的专业满足合同及招标文件的要求且各专业人员基本稳定；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分：配备的编制人员的专业不满足合同及招标文件的要求或各专业人员不够稳定。</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17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项目负责人</w:t>
            </w:r>
          </w:p>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要求</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□良好 6 分：配备固定的项目负责人且该负责人具有高度责任心、良好的组织协调能力和专业的业务水平；</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□合格 3 分：配备固定的项目负责人且该负责人具有高度责任心、基本良好的组织协调能力和基本专业的业务水平；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分：配备的项目负责人不固定或该负责人不具有高度责任心、良好的组织协调能力和专业的业务水平。</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62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履约质量</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28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设计方案</w:t>
            </w:r>
          </w:p>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□优秀 10 分：严格按照国家相关法律法规、规范标准、技术导则开展工程方案设计工作，方案设计质量高，获招标人审查通过后一次性获规划管理部门审查通过；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□良好7分：严格按照国家相关法律法规、规范标准、技术导则开展工程方案设计工作，方案设计质量较好，经招标人审查后进行修改补充，获规划管理部门审查基本通过，经少量修改补充后，复审一次性通过；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□合格 4 分：按照国家相关法律法规、规范标准、技术导则开展工程方案设计工作，方案设计质量合格，经招标人审查后返回进行修改补充，但被规划管理部门指出错漏较多而致审查不通过，经修改补充后，获复审通过；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□不合格1 分：不按照国家相关法律法规、规范标准、技术导则开展工程方案设计工作，方案设计质量差，经招标人审查后返回进行多次修改补充，被规划管理部门认定审查不通过，需报送两次或两次以上方案设计审查的。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03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初步设计</w:t>
            </w:r>
          </w:p>
          <w:p>
            <w:pPr>
              <w:adjustRightInd w:val="0"/>
              <w:snapToGrid w:val="0"/>
              <w:spacing w:line="36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制质量</w:t>
            </w:r>
          </w:p>
          <w:p>
            <w:pPr>
              <w:adjustRightInd w:val="0"/>
              <w:snapToGrid w:val="0"/>
              <w:spacing w:line="360" w:lineRule="auto"/>
              <w:jc w:val="center"/>
              <w:rPr>
                <w:color w:val="000000" w:themeColor="text1"/>
                <w:sz w:val="18"/>
                <w:szCs w:val="18"/>
                <w14:textFill>
                  <w14:solidFill>
                    <w14:schemeClr w14:val="tx1"/>
                  </w14:solidFill>
                </w14:textFill>
              </w:rPr>
            </w:pPr>
          </w:p>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（注：若无初步设计阶段，则得满分10分）</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□优秀 10 分：严格按照国家相关法律法规、规范标准、技术导则开展工程初步设计工作，初步设计质量高，获招标人审查通过后一次性获规划管理部门审查通过；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□良好7分：严格按照国家相关法律法规、规范标准、技术导则开展工程初步设计工作，初步设计质量较好，经招标人审查后进行修改补充，获规划管理部门审查基本通过，经少量修改补充后，复审一次性通过；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□合格 4 分：按照国家相关法律法规、规范标准、技术导则开展工程初步设计工作，初步设计质量合格，经招标人审查后返回进行修改补充，但被规划管理部门指出错漏较多而致审查不通过，经修改补充后，获复审通过；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□不合格1 分：不按照国家相关法律法规、规范标准、技术导则开展工程初步设计工作，初步设计质量差，经招标人审查后返回进行多次修改补充，被规划管理部门认定审查不通过，需报送两次或两次以上初步设计审查的。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0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施工图设计</w:t>
            </w:r>
          </w:p>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□优秀30 分：严格按照国家相关法律法规、规范标准、技术导则开展工程施工图设计工作，施工图设计质量高，获招标人审查通过后一次性获施工图审查机构审查通过；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良好20分：严格按照国家相关法律法规、规范标准、技术导则开展工程施工图设计工作，施工图设计质量较好，经招标人审查后进行修改补充，获施工图审查机构审查基本通过，经少量修改补充后，复审一次性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□合格 10 分：按照国家相关法律法规、规范标准、技术导则开展工程施工图设计工作，施工图设计质量合格，经招标人审查后返回进行修改补充，但被施工图审查机构指出错漏较多而致审查不通过，经修改补充后，获复审通过；</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□不合格5 分：不按照国家相关法律法规、规范标准、技术导则开展工程施工图设计工作，施工图设计质量差，经招标人审查后返回进行多次修改补充，被施工图审查机构认定审查不通过，需报送两次或两次以上施工图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设计文件</w:t>
            </w:r>
          </w:p>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完整性</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□良好 4 分：能够按照合同要求提交完整的资料；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分：不能够按照合同要求提交完整的资料。</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三</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履约时间</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工作时间</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□良好10 分：能够及时地按照合同要求完成各阶段的工作；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□合格 6 分：能够基本及时地按照合同要求完成各阶段的工作；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□不合格 0 分：不能够及时按照合同要求完成各阶段的工作。                                  </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四</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履约配合</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配合情况</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□良好 10 分：项目负责人能够认真主动地按合同要求到工地现场解决有关设计事宜、派人参加招标答疑会、积极配合政府造价部门审计工作；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合格 6 分：项目负责人基本能够认真主动地按合同要求到工地现场解决有关设计事宜、派人参加招标答疑会、配合政府造价部门审计工作；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分：项目负责人不能够认真主动地按合同要求到工地现场解决有关设计事宜、派人参加招标答疑会、不积极配合政府造价部门审计工作。</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保密工作</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□良好  3 分：在没有得到相应许可的情况下，不对外公开涉及任何机密的资料；</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分：在没有得到相应许可的情况下，对外公开涉及任何机密的资料并造成。</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诚信情况</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□良好 3 分：无串通其他单位弄虚作假的现象；                   </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□不合格 0 分：有串通其他单位弄虚作假的现象。</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五</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以往履约情况</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业主履约检查通知书和履约评价报告书反馈情况及整改情况</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不及时反馈业主发出的履约检查通知书和履约评价报告书；</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履约检查通知书提到的问题不积极主动进行整改；</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以上情况每发生一次扣2.5分</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上一期履约评价情况</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□上一期履约评价为良好的，得2分；</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□上一期履约评价为合格的或未评价过的，得1分；</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□上一期履约不合格的得0分</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w:t>
            </w: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直接判定为不合格的情形</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1、工程设计单位编制的设计成果经多次修改补充后仍不能通过施工图审查机构审查的；</w:t>
            </w:r>
          </w:p>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2、在合同履行中受到建设行政主管部门行政处罚的。</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p>
        </w:tc>
        <w:tc>
          <w:tcPr>
            <w:tcW w:w="1253"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合  计</w:t>
            </w:r>
          </w:p>
        </w:tc>
        <w:tc>
          <w:tcPr>
            <w:tcW w:w="64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6267"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72"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712" w:type="dxa"/>
            <w:gridSpan w:val="4"/>
            <w:tcBorders>
              <w:top w:val="single" w:color="auto" w:sz="4" w:space="0"/>
              <w:left w:val="single" w:color="auto" w:sz="8" w:space="0"/>
              <w:bottom w:val="single" w:color="auto" w:sz="8" w:space="0"/>
              <w:right w:val="single" w:color="auto" w:sz="4" w:space="0"/>
            </w:tcBorders>
            <w:vAlign w:val="center"/>
          </w:tcPr>
          <w:p>
            <w:pPr>
              <w:adjustRightInd w:val="0"/>
              <w:snapToGrid w:val="0"/>
              <w:spacing w:line="360" w:lineRule="auto"/>
              <w:ind w:left="180" w:hanging="180" w:hanging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履约评价得分=实得分/应得分*100</w:t>
            </w:r>
          </w:p>
        </w:tc>
        <w:tc>
          <w:tcPr>
            <w:tcW w:w="572" w:type="dxa"/>
            <w:tcBorders>
              <w:top w:val="single" w:color="auto" w:sz="4" w:space="0"/>
              <w:left w:val="nil"/>
              <w:bottom w:val="single" w:color="auto" w:sz="8" w:space="0"/>
              <w:right w:val="single" w:color="auto" w:sz="4" w:space="0"/>
            </w:tcBorders>
            <w:vAlign w:val="center"/>
          </w:tcPr>
          <w:p>
            <w:pPr>
              <w:adjustRightInd w:val="0"/>
              <w:snapToGrid w:val="0"/>
              <w:spacing w:line="360" w:lineRule="auto"/>
              <w:rPr>
                <w:color w:val="000000" w:themeColor="text1"/>
                <w:szCs w:val="21"/>
                <w14:textFill>
                  <w14:solidFill>
                    <w14:schemeClr w14:val="tx1"/>
                  </w14:solidFill>
                </w14:textFill>
              </w:rPr>
            </w:pPr>
          </w:p>
        </w:tc>
      </w:tr>
    </w:tbl>
    <w:p>
      <w:pPr>
        <w:spacing w:line="360"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项目主管工程师：                                  部长：</w:t>
      </w:r>
    </w:p>
    <w:p>
      <w:pPr>
        <w:spacing w:line="360"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特别说明：</w:t>
      </w:r>
    </w:p>
    <w:p>
      <w:pPr>
        <w:widowControl w:val="0"/>
        <w:numPr>
          <w:ilvl w:val="0"/>
          <w:numId w:val="11"/>
        </w:numPr>
        <w:spacing w:line="360" w:lineRule="auto"/>
        <w:ind w:firstLine="360" w:firstLineChars="200"/>
        <w:jc w:val="both"/>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履约评价评分采用百分制，综合考评结果分为优秀（评分≥85分）、合格（60≤评分&lt;85分）、不合格(评分&lt;60分)三个等级；</w:t>
      </w:r>
    </w:p>
    <w:p>
      <w:pPr>
        <w:spacing w:line="360" w:lineRule="auto"/>
        <w:ind w:firstLine="360" w:firstLineChars="200"/>
        <w:rPr>
          <w:color w:val="000000" w:themeColor="text1"/>
          <w14:textFill>
            <w14:solidFill>
              <w14:schemeClr w14:val="tx1"/>
            </w14:solidFill>
          </w14:textFill>
        </w:rPr>
      </w:pPr>
      <w:r>
        <w:rPr>
          <w:rFonts w:hint="eastAsia"/>
          <w:bCs/>
          <w:color w:val="000000" w:themeColor="text1"/>
          <w:sz w:val="18"/>
          <w:szCs w:val="18"/>
          <w14:textFill>
            <w14:solidFill>
              <w14:schemeClr w14:val="tx1"/>
            </w14:solidFill>
          </w14:textFill>
        </w:rPr>
        <w:t>2、在年度综合履约评价被评为不合格项目的项目负责人及专业工程师，将记录不良行为，拒绝其服务。</w:t>
      </w:r>
    </w:p>
    <w:p/>
    <w:p>
      <w:pPr>
        <w:spacing w:line="360" w:lineRule="auto"/>
        <w:jc w:val="center"/>
        <w:rPr>
          <w:b/>
          <w:sz w:val="28"/>
          <w:szCs w:val="28"/>
        </w:rPr>
      </w:pPr>
    </w:p>
    <w:p>
      <w:pPr>
        <w:snapToGrid w:val="0"/>
        <w:spacing w:line="360" w:lineRule="auto"/>
        <w:rPr>
          <w:color w:val="000000" w:themeColor="text1"/>
          <w:szCs w:val="21"/>
          <w14:textFill>
            <w14:solidFill>
              <w14:schemeClr w14:val="tx1"/>
            </w14:solidFill>
          </w14:textFill>
        </w:rPr>
      </w:pPr>
    </w:p>
    <w:p>
      <w:pPr>
        <w:pStyle w:val="2"/>
        <w:ind w:firstLine="480"/>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DengXian">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方正大黑简体">
    <w:altName w:val="宋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52"/>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2"/>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5"/>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4"/>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6">
    <w:nsid w:val="FFFFFF83"/>
    <w:multiLevelType w:val="singleLevel"/>
    <w:tmpl w:val="FFFFFF83"/>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7">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9">
    <w:nsid w:val="0000000F"/>
    <w:multiLevelType w:val="multilevel"/>
    <w:tmpl w:val="0000000F"/>
    <w:lvl w:ilvl="0" w:tentative="0">
      <w:start w:val="1"/>
      <w:numFmt w:val="decimal"/>
      <w:suff w:val="nothing"/>
      <w:lvlText w:val="%1、"/>
      <w:lvlJc w:val="left"/>
    </w:lvl>
    <w:lvl w:ilvl="1" w:tentative="0">
      <w:start w:val="1"/>
      <w:numFmt w:val="lowerLetter"/>
      <w:lvlText w:val="%2)"/>
      <w:lvlJc w:val="left"/>
      <w:pPr>
        <w:ind w:left="1301" w:hanging="420"/>
      </w:pPr>
    </w:lvl>
    <w:lvl w:ilvl="2" w:tentative="0">
      <w:start w:val="1"/>
      <w:numFmt w:val="lowerRoman"/>
      <w:lvlText w:val="%3."/>
      <w:lvlJc w:val="right"/>
      <w:pPr>
        <w:ind w:left="1721" w:hanging="420"/>
      </w:pPr>
    </w:lvl>
    <w:lvl w:ilvl="3" w:tentative="0">
      <w:start w:val="1"/>
      <w:numFmt w:val="decimal"/>
      <w:lvlText w:val="%4."/>
      <w:lvlJc w:val="left"/>
      <w:pPr>
        <w:ind w:left="2141" w:hanging="420"/>
      </w:pPr>
    </w:lvl>
    <w:lvl w:ilvl="4" w:tentative="0">
      <w:start w:val="1"/>
      <w:numFmt w:val="lowerLetter"/>
      <w:lvlText w:val="%5)"/>
      <w:lvlJc w:val="left"/>
      <w:pPr>
        <w:ind w:left="2561" w:hanging="420"/>
      </w:pPr>
    </w:lvl>
    <w:lvl w:ilvl="5" w:tentative="0">
      <w:start w:val="1"/>
      <w:numFmt w:val="lowerRoman"/>
      <w:lvlText w:val="%6."/>
      <w:lvlJc w:val="right"/>
      <w:pPr>
        <w:ind w:left="2981" w:hanging="420"/>
      </w:pPr>
    </w:lvl>
    <w:lvl w:ilvl="6" w:tentative="0">
      <w:start w:val="1"/>
      <w:numFmt w:val="decimal"/>
      <w:lvlText w:val="%7."/>
      <w:lvlJc w:val="left"/>
      <w:pPr>
        <w:ind w:left="3401" w:hanging="420"/>
      </w:pPr>
    </w:lvl>
    <w:lvl w:ilvl="7" w:tentative="0">
      <w:start w:val="1"/>
      <w:numFmt w:val="lowerLetter"/>
      <w:lvlText w:val="%8)"/>
      <w:lvlJc w:val="left"/>
      <w:pPr>
        <w:ind w:left="3821" w:hanging="420"/>
      </w:pPr>
    </w:lvl>
    <w:lvl w:ilvl="8" w:tentative="0">
      <w:start w:val="1"/>
      <w:numFmt w:val="lowerRoman"/>
      <w:lvlText w:val="%9."/>
      <w:lvlJc w:val="right"/>
      <w:pPr>
        <w:ind w:left="4241" w:hanging="420"/>
      </w:pPr>
    </w:lvl>
  </w:abstractNum>
  <w:abstractNum w:abstractNumId="10">
    <w:nsid w:val="2D8E5DFF"/>
    <w:multiLevelType w:val="multilevel"/>
    <w:tmpl w:val="2D8E5DFF"/>
    <w:lvl w:ilvl="0" w:tentative="0">
      <w:start w:val="1"/>
      <w:numFmt w:val="decimal"/>
      <w:suff w:val="nothing"/>
      <w:lvlText w:val="%1、"/>
      <w:lvlJc w:val="left"/>
      <w:pPr>
        <w:tabs>
          <w:tab w:val="left" w:pos="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7"/>
  </w:num>
  <w:num w:numId="4">
    <w:abstractNumId w:val="8"/>
  </w:num>
  <w:num w:numId="5">
    <w:abstractNumId w:val="5"/>
  </w:num>
  <w:num w:numId="6">
    <w:abstractNumId w:val="2"/>
  </w:num>
  <w:num w:numId="7">
    <w:abstractNumId w:val="6"/>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OTBlZTJjMGI4ODIwMzE0MDFhMGVjMTAzNWY2MmMifQ=="/>
  </w:docVars>
  <w:rsids>
    <w:rsidRoot w:val="00E30B5A"/>
    <w:rsid w:val="000000DD"/>
    <w:rsid w:val="00000178"/>
    <w:rsid w:val="000018E8"/>
    <w:rsid w:val="000021FA"/>
    <w:rsid w:val="00003E5B"/>
    <w:rsid w:val="000047B7"/>
    <w:rsid w:val="000060BD"/>
    <w:rsid w:val="00006129"/>
    <w:rsid w:val="00007009"/>
    <w:rsid w:val="000114F3"/>
    <w:rsid w:val="0001395A"/>
    <w:rsid w:val="000152CD"/>
    <w:rsid w:val="000152D0"/>
    <w:rsid w:val="000153C7"/>
    <w:rsid w:val="00015400"/>
    <w:rsid w:val="00016FB4"/>
    <w:rsid w:val="0001745F"/>
    <w:rsid w:val="00017F12"/>
    <w:rsid w:val="00022301"/>
    <w:rsid w:val="0002371F"/>
    <w:rsid w:val="00024444"/>
    <w:rsid w:val="000247FC"/>
    <w:rsid w:val="00024FD4"/>
    <w:rsid w:val="00026261"/>
    <w:rsid w:val="00031E5C"/>
    <w:rsid w:val="000335C4"/>
    <w:rsid w:val="00035209"/>
    <w:rsid w:val="00035CD2"/>
    <w:rsid w:val="00037214"/>
    <w:rsid w:val="00040824"/>
    <w:rsid w:val="00041E3D"/>
    <w:rsid w:val="00042CDC"/>
    <w:rsid w:val="00043D9D"/>
    <w:rsid w:val="000440EE"/>
    <w:rsid w:val="0004711A"/>
    <w:rsid w:val="00047469"/>
    <w:rsid w:val="000479C4"/>
    <w:rsid w:val="00050F20"/>
    <w:rsid w:val="000510E2"/>
    <w:rsid w:val="000523C4"/>
    <w:rsid w:val="00053BF0"/>
    <w:rsid w:val="00054BA4"/>
    <w:rsid w:val="00055D18"/>
    <w:rsid w:val="000571AC"/>
    <w:rsid w:val="000573E0"/>
    <w:rsid w:val="00057CCE"/>
    <w:rsid w:val="0006002C"/>
    <w:rsid w:val="000602A8"/>
    <w:rsid w:val="00060E54"/>
    <w:rsid w:val="0006405C"/>
    <w:rsid w:val="000661DC"/>
    <w:rsid w:val="00066462"/>
    <w:rsid w:val="00066ADC"/>
    <w:rsid w:val="00067D28"/>
    <w:rsid w:val="00070C9D"/>
    <w:rsid w:val="00072C71"/>
    <w:rsid w:val="00074176"/>
    <w:rsid w:val="000756C7"/>
    <w:rsid w:val="00077E15"/>
    <w:rsid w:val="0008161E"/>
    <w:rsid w:val="00082050"/>
    <w:rsid w:val="00082AA1"/>
    <w:rsid w:val="00083B2D"/>
    <w:rsid w:val="00084498"/>
    <w:rsid w:val="0009107D"/>
    <w:rsid w:val="000949B1"/>
    <w:rsid w:val="000952C5"/>
    <w:rsid w:val="00095B90"/>
    <w:rsid w:val="000960D4"/>
    <w:rsid w:val="00097A70"/>
    <w:rsid w:val="000A1298"/>
    <w:rsid w:val="000A19C8"/>
    <w:rsid w:val="000A1DB2"/>
    <w:rsid w:val="000A3E9F"/>
    <w:rsid w:val="000A718D"/>
    <w:rsid w:val="000A777B"/>
    <w:rsid w:val="000B2152"/>
    <w:rsid w:val="000B73F2"/>
    <w:rsid w:val="000C0760"/>
    <w:rsid w:val="000C1D8F"/>
    <w:rsid w:val="000C1E9E"/>
    <w:rsid w:val="000C2D89"/>
    <w:rsid w:val="000C38B3"/>
    <w:rsid w:val="000C6826"/>
    <w:rsid w:val="000C77B7"/>
    <w:rsid w:val="000C7EEC"/>
    <w:rsid w:val="000D084F"/>
    <w:rsid w:val="000D0CD1"/>
    <w:rsid w:val="000D3BD7"/>
    <w:rsid w:val="000D5D1A"/>
    <w:rsid w:val="000D7074"/>
    <w:rsid w:val="000D765F"/>
    <w:rsid w:val="000D772D"/>
    <w:rsid w:val="000E1052"/>
    <w:rsid w:val="000E1156"/>
    <w:rsid w:val="000E1F89"/>
    <w:rsid w:val="000E26F4"/>
    <w:rsid w:val="000E3F91"/>
    <w:rsid w:val="000E43A8"/>
    <w:rsid w:val="000E4434"/>
    <w:rsid w:val="000E5BDA"/>
    <w:rsid w:val="000E6066"/>
    <w:rsid w:val="000E794C"/>
    <w:rsid w:val="000E7C2C"/>
    <w:rsid w:val="000E7DC4"/>
    <w:rsid w:val="000F01FA"/>
    <w:rsid w:val="000F0CD2"/>
    <w:rsid w:val="000F19E6"/>
    <w:rsid w:val="000F1C2D"/>
    <w:rsid w:val="000F2DB0"/>
    <w:rsid w:val="000F3410"/>
    <w:rsid w:val="000F35E4"/>
    <w:rsid w:val="000F3B89"/>
    <w:rsid w:val="000F4CCB"/>
    <w:rsid w:val="000F5B81"/>
    <w:rsid w:val="000F6375"/>
    <w:rsid w:val="001026CB"/>
    <w:rsid w:val="00103222"/>
    <w:rsid w:val="0010338A"/>
    <w:rsid w:val="00104F65"/>
    <w:rsid w:val="0010503C"/>
    <w:rsid w:val="001057D8"/>
    <w:rsid w:val="00106497"/>
    <w:rsid w:val="001076DA"/>
    <w:rsid w:val="00107CBB"/>
    <w:rsid w:val="00110953"/>
    <w:rsid w:val="00110A45"/>
    <w:rsid w:val="001111C0"/>
    <w:rsid w:val="00113F78"/>
    <w:rsid w:val="00116AA1"/>
    <w:rsid w:val="00117302"/>
    <w:rsid w:val="001204CA"/>
    <w:rsid w:val="00121190"/>
    <w:rsid w:val="001212E2"/>
    <w:rsid w:val="001236D9"/>
    <w:rsid w:val="00123895"/>
    <w:rsid w:val="00123B5E"/>
    <w:rsid w:val="00123C6F"/>
    <w:rsid w:val="00125507"/>
    <w:rsid w:val="0012593F"/>
    <w:rsid w:val="00125FA3"/>
    <w:rsid w:val="001272AB"/>
    <w:rsid w:val="00127701"/>
    <w:rsid w:val="00127DD3"/>
    <w:rsid w:val="00127DD8"/>
    <w:rsid w:val="0013021A"/>
    <w:rsid w:val="001327A1"/>
    <w:rsid w:val="00132854"/>
    <w:rsid w:val="0013334F"/>
    <w:rsid w:val="00133411"/>
    <w:rsid w:val="001339F0"/>
    <w:rsid w:val="00133F8C"/>
    <w:rsid w:val="00135E41"/>
    <w:rsid w:val="0013637D"/>
    <w:rsid w:val="0013684E"/>
    <w:rsid w:val="00136D9C"/>
    <w:rsid w:val="00137D39"/>
    <w:rsid w:val="00140277"/>
    <w:rsid w:val="00140A6C"/>
    <w:rsid w:val="00142356"/>
    <w:rsid w:val="001432FA"/>
    <w:rsid w:val="00144687"/>
    <w:rsid w:val="00146D9E"/>
    <w:rsid w:val="00152ACF"/>
    <w:rsid w:val="00153D88"/>
    <w:rsid w:val="0015531B"/>
    <w:rsid w:val="0015569B"/>
    <w:rsid w:val="001556E6"/>
    <w:rsid w:val="00155E6D"/>
    <w:rsid w:val="00156BFA"/>
    <w:rsid w:val="00157D58"/>
    <w:rsid w:val="00160C5B"/>
    <w:rsid w:val="0016275A"/>
    <w:rsid w:val="00162968"/>
    <w:rsid w:val="001632D3"/>
    <w:rsid w:val="0016364B"/>
    <w:rsid w:val="00163C1D"/>
    <w:rsid w:val="001655B5"/>
    <w:rsid w:val="00166A4D"/>
    <w:rsid w:val="00170283"/>
    <w:rsid w:val="0017159B"/>
    <w:rsid w:val="00171CC0"/>
    <w:rsid w:val="00172DBC"/>
    <w:rsid w:val="001730C7"/>
    <w:rsid w:val="00173BB6"/>
    <w:rsid w:val="00174661"/>
    <w:rsid w:val="001749CD"/>
    <w:rsid w:val="0017534A"/>
    <w:rsid w:val="001757D6"/>
    <w:rsid w:val="00185E52"/>
    <w:rsid w:val="00185E89"/>
    <w:rsid w:val="00185EF6"/>
    <w:rsid w:val="0018682F"/>
    <w:rsid w:val="00186952"/>
    <w:rsid w:val="00190705"/>
    <w:rsid w:val="00190E7F"/>
    <w:rsid w:val="001942CB"/>
    <w:rsid w:val="00194547"/>
    <w:rsid w:val="001961EC"/>
    <w:rsid w:val="00196F09"/>
    <w:rsid w:val="00197195"/>
    <w:rsid w:val="0019785A"/>
    <w:rsid w:val="001A0A19"/>
    <w:rsid w:val="001A196B"/>
    <w:rsid w:val="001A36E8"/>
    <w:rsid w:val="001A4E7C"/>
    <w:rsid w:val="001A5B88"/>
    <w:rsid w:val="001A6626"/>
    <w:rsid w:val="001A6E92"/>
    <w:rsid w:val="001A7DFA"/>
    <w:rsid w:val="001B0E5B"/>
    <w:rsid w:val="001B10AA"/>
    <w:rsid w:val="001B2096"/>
    <w:rsid w:val="001B4B36"/>
    <w:rsid w:val="001B7B04"/>
    <w:rsid w:val="001C0427"/>
    <w:rsid w:val="001C1F80"/>
    <w:rsid w:val="001C3126"/>
    <w:rsid w:val="001C3155"/>
    <w:rsid w:val="001C3368"/>
    <w:rsid w:val="001C5666"/>
    <w:rsid w:val="001C5AF2"/>
    <w:rsid w:val="001C6648"/>
    <w:rsid w:val="001C6DCF"/>
    <w:rsid w:val="001C7FF9"/>
    <w:rsid w:val="001D0339"/>
    <w:rsid w:val="001D1208"/>
    <w:rsid w:val="001D19B5"/>
    <w:rsid w:val="001D3C5D"/>
    <w:rsid w:val="001D40C6"/>
    <w:rsid w:val="001D52BC"/>
    <w:rsid w:val="001D68A5"/>
    <w:rsid w:val="001D7C06"/>
    <w:rsid w:val="001E074E"/>
    <w:rsid w:val="001E183F"/>
    <w:rsid w:val="001E2017"/>
    <w:rsid w:val="001E3AB8"/>
    <w:rsid w:val="001E3AF5"/>
    <w:rsid w:val="001E5A68"/>
    <w:rsid w:val="001E77C2"/>
    <w:rsid w:val="001E7E4D"/>
    <w:rsid w:val="001F0504"/>
    <w:rsid w:val="001F262F"/>
    <w:rsid w:val="001F4EFA"/>
    <w:rsid w:val="001F58BF"/>
    <w:rsid w:val="001F5E69"/>
    <w:rsid w:val="001F7263"/>
    <w:rsid w:val="00200B95"/>
    <w:rsid w:val="002022CA"/>
    <w:rsid w:val="002023E5"/>
    <w:rsid w:val="00202FFE"/>
    <w:rsid w:val="00203545"/>
    <w:rsid w:val="00204AE4"/>
    <w:rsid w:val="00205A8D"/>
    <w:rsid w:val="00205B47"/>
    <w:rsid w:val="00205C43"/>
    <w:rsid w:val="002113D7"/>
    <w:rsid w:val="00211C4A"/>
    <w:rsid w:val="00212031"/>
    <w:rsid w:val="00212736"/>
    <w:rsid w:val="00212DB2"/>
    <w:rsid w:val="00212EB4"/>
    <w:rsid w:val="002142C2"/>
    <w:rsid w:val="00215160"/>
    <w:rsid w:val="00216237"/>
    <w:rsid w:val="0021624C"/>
    <w:rsid w:val="00217C04"/>
    <w:rsid w:val="00220723"/>
    <w:rsid w:val="00221586"/>
    <w:rsid w:val="00222C18"/>
    <w:rsid w:val="002233D2"/>
    <w:rsid w:val="0022460C"/>
    <w:rsid w:val="002249AF"/>
    <w:rsid w:val="00224CDF"/>
    <w:rsid w:val="002266BF"/>
    <w:rsid w:val="0022680A"/>
    <w:rsid w:val="00227DE2"/>
    <w:rsid w:val="0023076E"/>
    <w:rsid w:val="00230A43"/>
    <w:rsid w:val="002310D3"/>
    <w:rsid w:val="0023298C"/>
    <w:rsid w:val="00232BF4"/>
    <w:rsid w:val="00232E1F"/>
    <w:rsid w:val="00234B8E"/>
    <w:rsid w:val="002354C7"/>
    <w:rsid w:val="00241BD8"/>
    <w:rsid w:val="00241BEA"/>
    <w:rsid w:val="002422F2"/>
    <w:rsid w:val="0024314F"/>
    <w:rsid w:val="002439D2"/>
    <w:rsid w:val="00244097"/>
    <w:rsid w:val="0024443F"/>
    <w:rsid w:val="00245DA6"/>
    <w:rsid w:val="00246EF6"/>
    <w:rsid w:val="002473BB"/>
    <w:rsid w:val="00247AD6"/>
    <w:rsid w:val="00250728"/>
    <w:rsid w:val="00250F63"/>
    <w:rsid w:val="00252E8E"/>
    <w:rsid w:val="00254F28"/>
    <w:rsid w:val="00256835"/>
    <w:rsid w:val="00257EA6"/>
    <w:rsid w:val="0026029E"/>
    <w:rsid w:val="0026056A"/>
    <w:rsid w:val="00261F19"/>
    <w:rsid w:val="0026350D"/>
    <w:rsid w:val="00263A1A"/>
    <w:rsid w:val="00266A61"/>
    <w:rsid w:val="00266E8C"/>
    <w:rsid w:val="00267C16"/>
    <w:rsid w:val="00267D15"/>
    <w:rsid w:val="002701B3"/>
    <w:rsid w:val="002721DE"/>
    <w:rsid w:val="00273EEE"/>
    <w:rsid w:val="0027490A"/>
    <w:rsid w:val="00275236"/>
    <w:rsid w:val="00275662"/>
    <w:rsid w:val="00276F40"/>
    <w:rsid w:val="002778DA"/>
    <w:rsid w:val="0028078A"/>
    <w:rsid w:val="00280FFE"/>
    <w:rsid w:val="00282699"/>
    <w:rsid w:val="00287D0C"/>
    <w:rsid w:val="00290632"/>
    <w:rsid w:val="0029147E"/>
    <w:rsid w:val="00292006"/>
    <w:rsid w:val="002930E7"/>
    <w:rsid w:val="002938CC"/>
    <w:rsid w:val="0029509C"/>
    <w:rsid w:val="002951F9"/>
    <w:rsid w:val="002952B3"/>
    <w:rsid w:val="00295F67"/>
    <w:rsid w:val="002960BB"/>
    <w:rsid w:val="002A085D"/>
    <w:rsid w:val="002A0B48"/>
    <w:rsid w:val="002A1319"/>
    <w:rsid w:val="002A2359"/>
    <w:rsid w:val="002A24AA"/>
    <w:rsid w:val="002A2654"/>
    <w:rsid w:val="002A26C1"/>
    <w:rsid w:val="002A40E9"/>
    <w:rsid w:val="002A505D"/>
    <w:rsid w:val="002B0822"/>
    <w:rsid w:val="002B113D"/>
    <w:rsid w:val="002B1B9E"/>
    <w:rsid w:val="002B23BF"/>
    <w:rsid w:val="002B31B6"/>
    <w:rsid w:val="002B3B14"/>
    <w:rsid w:val="002B5542"/>
    <w:rsid w:val="002B659F"/>
    <w:rsid w:val="002B7B3E"/>
    <w:rsid w:val="002B7C59"/>
    <w:rsid w:val="002C00BB"/>
    <w:rsid w:val="002C064F"/>
    <w:rsid w:val="002C06A7"/>
    <w:rsid w:val="002C242A"/>
    <w:rsid w:val="002C2558"/>
    <w:rsid w:val="002C2CB7"/>
    <w:rsid w:val="002C3860"/>
    <w:rsid w:val="002C3B86"/>
    <w:rsid w:val="002D1375"/>
    <w:rsid w:val="002D231D"/>
    <w:rsid w:val="002D242B"/>
    <w:rsid w:val="002D33A5"/>
    <w:rsid w:val="002E048D"/>
    <w:rsid w:val="002E0B2D"/>
    <w:rsid w:val="002E0CBD"/>
    <w:rsid w:val="002E1D1B"/>
    <w:rsid w:val="002E2135"/>
    <w:rsid w:val="002E34B5"/>
    <w:rsid w:val="002E39CF"/>
    <w:rsid w:val="002E44B8"/>
    <w:rsid w:val="002E5F23"/>
    <w:rsid w:val="002E638D"/>
    <w:rsid w:val="002E6734"/>
    <w:rsid w:val="002E6922"/>
    <w:rsid w:val="002E77E7"/>
    <w:rsid w:val="002E7DF7"/>
    <w:rsid w:val="002F1142"/>
    <w:rsid w:val="002F31F3"/>
    <w:rsid w:val="002F3B6A"/>
    <w:rsid w:val="002F5C18"/>
    <w:rsid w:val="002F616C"/>
    <w:rsid w:val="002F6AE3"/>
    <w:rsid w:val="002F7C8E"/>
    <w:rsid w:val="00300B20"/>
    <w:rsid w:val="00300E7A"/>
    <w:rsid w:val="0030115E"/>
    <w:rsid w:val="00303A8D"/>
    <w:rsid w:val="00306554"/>
    <w:rsid w:val="00307236"/>
    <w:rsid w:val="003077B1"/>
    <w:rsid w:val="0031174F"/>
    <w:rsid w:val="00312A58"/>
    <w:rsid w:val="00314E29"/>
    <w:rsid w:val="00314EC5"/>
    <w:rsid w:val="00315C66"/>
    <w:rsid w:val="003160B4"/>
    <w:rsid w:val="003177B5"/>
    <w:rsid w:val="003212EF"/>
    <w:rsid w:val="0032165D"/>
    <w:rsid w:val="003219F6"/>
    <w:rsid w:val="00321B97"/>
    <w:rsid w:val="00321FCE"/>
    <w:rsid w:val="0032242E"/>
    <w:rsid w:val="00322992"/>
    <w:rsid w:val="00323B27"/>
    <w:rsid w:val="00323F7C"/>
    <w:rsid w:val="00324B92"/>
    <w:rsid w:val="0032515E"/>
    <w:rsid w:val="00325AEE"/>
    <w:rsid w:val="00326560"/>
    <w:rsid w:val="003267C7"/>
    <w:rsid w:val="00326A8B"/>
    <w:rsid w:val="003272F0"/>
    <w:rsid w:val="003278B0"/>
    <w:rsid w:val="00327AE1"/>
    <w:rsid w:val="00327E8A"/>
    <w:rsid w:val="00330643"/>
    <w:rsid w:val="00330EA9"/>
    <w:rsid w:val="00330ECF"/>
    <w:rsid w:val="00330ED3"/>
    <w:rsid w:val="00331479"/>
    <w:rsid w:val="00331608"/>
    <w:rsid w:val="00333FBF"/>
    <w:rsid w:val="00334A53"/>
    <w:rsid w:val="003353C2"/>
    <w:rsid w:val="00335B5C"/>
    <w:rsid w:val="00336DB0"/>
    <w:rsid w:val="00342FC3"/>
    <w:rsid w:val="00344F92"/>
    <w:rsid w:val="003459C0"/>
    <w:rsid w:val="003461CA"/>
    <w:rsid w:val="00352D9D"/>
    <w:rsid w:val="003541CD"/>
    <w:rsid w:val="00354331"/>
    <w:rsid w:val="003545C5"/>
    <w:rsid w:val="00354850"/>
    <w:rsid w:val="00354ACE"/>
    <w:rsid w:val="0035557B"/>
    <w:rsid w:val="00355F23"/>
    <w:rsid w:val="0035716E"/>
    <w:rsid w:val="00357516"/>
    <w:rsid w:val="003637C9"/>
    <w:rsid w:val="003663CE"/>
    <w:rsid w:val="0036716E"/>
    <w:rsid w:val="00367AC7"/>
    <w:rsid w:val="00370CB4"/>
    <w:rsid w:val="00371AE7"/>
    <w:rsid w:val="00372061"/>
    <w:rsid w:val="00372D2E"/>
    <w:rsid w:val="00372FA5"/>
    <w:rsid w:val="0037367E"/>
    <w:rsid w:val="0037453D"/>
    <w:rsid w:val="00376ECD"/>
    <w:rsid w:val="00377D76"/>
    <w:rsid w:val="003804C2"/>
    <w:rsid w:val="00381621"/>
    <w:rsid w:val="003844AC"/>
    <w:rsid w:val="00386C66"/>
    <w:rsid w:val="0039030A"/>
    <w:rsid w:val="0039056A"/>
    <w:rsid w:val="00391E6C"/>
    <w:rsid w:val="003921C5"/>
    <w:rsid w:val="003927D0"/>
    <w:rsid w:val="00393032"/>
    <w:rsid w:val="003951CF"/>
    <w:rsid w:val="00395978"/>
    <w:rsid w:val="00397506"/>
    <w:rsid w:val="00397A60"/>
    <w:rsid w:val="00397F23"/>
    <w:rsid w:val="003A092E"/>
    <w:rsid w:val="003A1CEB"/>
    <w:rsid w:val="003A3E55"/>
    <w:rsid w:val="003A443F"/>
    <w:rsid w:val="003A4540"/>
    <w:rsid w:val="003A5727"/>
    <w:rsid w:val="003A5E98"/>
    <w:rsid w:val="003A72F0"/>
    <w:rsid w:val="003A7E8D"/>
    <w:rsid w:val="003B0EE5"/>
    <w:rsid w:val="003B15EA"/>
    <w:rsid w:val="003B20DD"/>
    <w:rsid w:val="003B34C6"/>
    <w:rsid w:val="003B7772"/>
    <w:rsid w:val="003C3891"/>
    <w:rsid w:val="003C51A5"/>
    <w:rsid w:val="003C7497"/>
    <w:rsid w:val="003C7B60"/>
    <w:rsid w:val="003D0954"/>
    <w:rsid w:val="003D0FC3"/>
    <w:rsid w:val="003D1D71"/>
    <w:rsid w:val="003D33A2"/>
    <w:rsid w:val="003D48B7"/>
    <w:rsid w:val="003D5A90"/>
    <w:rsid w:val="003D6FCC"/>
    <w:rsid w:val="003E03CA"/>
    <w:rsid w:val="003E071A"/>
    <w:rsid w:val="003E20BF"/>
    <w:rsid w:val="003E3405"/>
    <w:rsid w:val="003E5284"/>
    <w:rsid w:val="003E6666"/>
    <w:rsid w:val="003E6781"/>
    <w:rsid w:val="003F0126"/>
    <w:rsid w:val="003F272D"/>
    <w:rsid w:val="003F34F9"/>
    <w:rsid w:val="003F4C87"/>
    <w:rsid w:val="003F5D45"/>
    <w:rsid w:val="003F5E03"/>
    <w:rsid w:val="003F626E"/>
    <w:rsid w:val="003F79A0"/>
    <w:rsid w:val="00400BB0"/>
    <w:rsid w:val="00401D04"/>
    <w:rsid w:val="00401ED3"/>
    <w:rsid w:val="00401F15"/>
    <w:rsid w:val="004025A0"/>
    <w:rsid w:val="00403B5A"/>
    <w:rsid w:val="00403D22"/>
    <w:rsid w:val="00405108"/>
    <w:rsid w:val="004077F7"/>
    <w:rsid w:val="00407D5D"/>
    <w:rsid w:val="00410437"/>
    <w:rsid w:val="00410730"/>
    <w:rsid w:val="00411DDF"/>
    <w:rsid w:val="00412391"/>
    <w:rsid w:val="004127A2"/>
    <w:rsid w:val="00412918"/>
    <w:rsid w:val="00412FB6"/>
    <w:rsid w:val="004133EE"/>
    <w:rsid w:val="00415394"/>
    <w:rsid w:val="00420A5E"/>
    <w:rsid w:val="00422E44"/>
    <w:rsid w:val="00427B5C"/>
    <w:rsid w:val="00432FE8"/>
    <w:rsid w:val="004332A9"/>
    <w:rsid w:val="00434E70"/>
    <w:rsid w:val="00436EC3"/>
    <w:rsid w:val="00443F27"/>
    <w:rsid w:val="00446225"/>
    <w:rsid w:val="00446AF2"/>
    <w:rsid w:val="0044729C"/>
    <w:rsid w:val="0044776C"/>
    <w:rsid w:val="00450199"/>
    <w:rsid w:val="004506AC"/>
    <w:rsid w:val="004513F6"/>
    <w:rsid w:val="00453811"/>
    <w:rsid w:val="00453E61"/>
    <w:rsid w:val="0045507F"/>
    <w:rsid w:val="00455B0E"/>
    <w:rsid w:val="0045742D"/>
    <w:rsid w:val="0045745B"/>
    <w:rsid w:val="0045785D"/>
    <w:rsid w:val="00460C11"/>
    <w:rsid w:val="00461591"/>
    <w:rsid w:val="00461683"/>
    <w:rsid w:val="004647A0"/>
    <w:rsid w:val="00465220"/>
    <w:rsid w:val="00465A88"/>
    <w:rsid w:val="00465D14"/>
    <w:rsid w:val="0046633F"/>
    <w:rsid w:val="004663E0"/>
    <w:rsid w:val="004705B7"/>
    <w:rsid w:val="00472E67"/>
    <w:rsid w:val="00473DB5"/>
    <w:rsid w:val="00477333"/>
    <w:rsid w:val="00477A57"/>
    <w:rsid w:val="004805A9"/>
    <w:rsid w:val="00480BC6"/>
    <w:rsid w:val="0048129D"/>
    <w:rsid w:val="00484792"/>
    <w:rsid w:val="0048524E"/>
    <w:rsid w:val="00485415"/>
    <w:rsid w:val="004862C1"/>
    <w:rsid w:val="00490CE5"/>
    <w:rsid w:val="00490D6B"/>
    <w:rsid w:val="00491EFC"/>
    <w:rsid w:val="00497511"/>
    <w:rsid w:val="00497CDD"/>
    <w:rsid w:val="00497F4B"/>
    <w:rsid w:val="004A0E92"/>
    <w:rsid w:val="004A0FBD"/>
    <w:rsid w:val="004A1E83"/>
    <w:rsid w:val="004A31AF"/>
    <w:rsid w:val="004A341E"/>
    <w:rsid w:val="004A3601"/>
    <w:rsid w:val="004A389D"/>
    <w:rsid w:val="004A3BF7"/>
    <w:rsid w:val="004A44A1"/>
    <w:rsid w:val="004A4A97"/>
    <w:rsid w:val="004A4CB6"/>
    <w:rsid w:val="004A6B26"/>
    <w:rsid w:val="004B1BBD"/>
    <w:rsid w:val="004B24F2"/>
    <w:rsid w:val="004B354A"/>
    <w:rsid w:val="004B6616"/>
    <w:rsid w:val="004B6897"/>
    <w:rsid w:val="004B6AEB"/>
    <w:rsid w:val="004B72BD"/>
    <w:rsid w:val="004C1605"/>
    <w:rsid w:val="004C30CA"/>
    <w:rsid w:val="004C4D2D"/>
    <w:rsid w:val="004C4FA3"/>
    <w:rsid w:val="004C5956"/>
    <w:rsid w:val="004C619E"/>
    <w:rsid w:val="004C6983"/>
    <w:rsid w:val="004C6AFF"/>
    <w:rsid w:val="004C7327"/>
    <w:rsid w:val="004C7D21"/>
    <w:rsid w:val="004D037D"/>
    <w:rsid w:val="004D0EDB"/>
    <w:rsid w:val="004D2A19"/>
    <w:rsid w:val="004D2AC8"/>
    <w:rsid w:val="004D5391"/>
    <w:rsid w:val="004D7C27"/>
    <w:rsid w:val="004E09D4"/>
    <w:rsid w:val="004E171F"/>
    <w:rsid w:val="004E2E5C"/>
    <w:rsid w:val="004E3BB1"/>
    <w:rsid w:val="004E46D2"/>
    <w:rsid w:val="004E50A1"/>
    <w:rsid w:val="004E50E6"/>
    <w:rsid w:val="004E6583"/>
    <w:rsid w:val="004F110D"/>
    <w:rsid w:val="004F1513"/>
    <w:rsid w:val="004F17B0"/>
    <w:rsid w:val="004F1DF3"/>
    <w:rsid w:val="004F3428"/>
    <w:rsid w:val="004F52F2"/>
    <w:rsid w:val="004F76D2"/>
    <w:rsid w:val="004F7B67"/>
    <w:rsid w:val="00500F6F"/>
    <w:rsid w:val="0050165A"/>
    <w:rsid w:val="005017AF"/>
    <w:rsid w:val="00504965"/>
    <w:rsid w:val="00505203"/>
    <w:rsid w:val="0050677D"/>
    <w:rsid w:val="005100CE"/>
    <w:rsid w:val="005102CE"/>
    <w:rsid w:val="005114C6"/>
    <w:rsid w:val="00511F3D"/>
    <w:rsid w:val="0051228E"/>
    <w:rsid w:val="005124AF"/>
    <w:rsid w:val="00512FD0"/>
    <w:rsid w:val="0051320D"/>
    <w:rsid w:val="00513301"/>
    <w:rsid w:val="005161C8"/>
    <w:rsid w:val="0051620A"/>
    <w:rsid w:val="0051683F"/>
    <w:rsid w:val="00516A5E"/>
    <w:rsid w:val="00516B2C"/>
    <w:rsid w:val="005175C9"/>
    <w:rsid w:val="0052061E"/>
    <w:rsid w:val="0052170B"/>
    <w:rsid w:val="00522540"/>
    <w:rsid w:val="00522B85"/>
    <w:rsid w:val="00522CA0"/>
    <w:rsid w:val="005250B8"/>
    <w:rsid w:val="0052528E"/>
    <w:rsid w:val="005253C1"/>
    <w:rsid w:val="00526D06"/>
    <w:rsid w:val="00526E48"/>
    <w:rsid w:val="00527822"/>
    <w:rsid w:val="005307E2"/>
    <w:rsid w:val="00531845"/>
    <w:rsid w:val="00532C4C"/>
    <w:rsid w:val="0053300B"/>
    <w:rsid w:val="0053336E"/>
    <w:rsid w:val="005343F0"/>
    <w:rsid w:val="005347DE"/>
    <w:rsid w:val="00535545"/>
    <w:rsid w:val="00535946"/>
    <w:rsid w:val="00535967"/>
    <w:rsid w:val="005367DF"/>
    <w:rsid w:val="00536A88"/>
    <w:rsid w:val="00536C73"/>
    <w:rsid w:val="00540CD4"/>
    <w:rsid w:val="0054266E"/>
    <w:rsid w:val="0054358F"/>
    <w:rsid w:val="005438B7"/>
    <w:rsid w:val="00544A4B"/>
    <w:rsid w:val="00544BBA"/>
    <w:rsid w:val="005456B5"/>
    <w:rsid w:val="0055089F"/>
    <w:rsid w:val="005525CC"/>
    <w:rsid w:val="0055273E"/>
    <w:rsid w:val="00553895"/>
    <w:rsid w:val="00554358"/>
    <w:rsid w:val="00554F07"/>
    <w:rsid w:val="0055587B"/>
    <w:rsid w:val="005569B5"/>
    <w:rsid w:val="00556AB4"/>
    <w:rsid w:val="00557F9D"/>
    <w:rsid w:val="0056079F"/>
    <w:rsid w:val="00564710"/>
    <w:rsid w:val="00565245"/>
    <w:rsid w:val="005652D5"/>
    <w:rsid w:val="005655C8"/>
    <w:rsid w:val="005666F6"/>
    <w:rsid w:val="00570C6B"/>
    <w:rsid w:val="00571FF0"/>
    <w:rsid w:val="0057393A"/>
    <w:rsid w:val="00574063"/>
    <w:rsid w:val="00582357"/>
    <w:rsid w:val="00582727"/>
    <w:rsid w:val="00582EF7"/>
    <w:rsid w:val="0058337D"/>
    <w:rsid w:val="005855C6"/>
    <w:rsid w:val="005855FF"/>
    <w:rsid w:val="0059096A"/>
    <w:rsid w:val="005911CD"/>
    <w:rsid w:val="0059193D"/>
    <w:rsid w:val="00592B74"/>
    <w:rsid w:val="00593BF9"/>
    <w:rsid w:val="00595319"/>
    <w:rsid w:val="005963C2"/>
    <w:rsid w:val="005A1140"/>
    <w:rsid w:val="005A1FCE"/>
    <w:rsid w:val="005A3DFB"/>
    <w:rsid w:val="005A42FA"/>
    <w:rsid w:val="005A4687"/>
    <w:rsid w:val="005A6925"/>
    <w:rsid w:val="005B03DF"/>
    <w:rsid w:val="005B115E"/>
    <w:rsid w:val="005B141D"/>
    <w:rsid w:val="005B1E2D"/>
    <w:rsid w:val="005B27BA"/>
    <w:rsid w:val="005B333C"/>
    <w:rsid w:val="005B7CEA"/>
    <w:rsid w:val="005C0560"/>
    <w:rsid w:val="005C1788"/>
    <w:rsid w:val="005C1E62"/>
    <w:rsid w:val="005C2C25"/>
    <w:rsid w:val="005C3181"/>
    <w:rsid w:val="005C4D81"/>
    <w:rsid w:val="005C55ED"/>
    <w:rsid w:val="005C5746"/>
    <w:rsid w:val="005D022D"/>
    <w:rsid w:val="005D0A08"/>
    <w:rsid w:val="005D2B88"/>
    <w:rsid w:val="005D2C73"/>
    <w:rsid w:val="005D51B2"/>
    <w:rsid w:val="005D5805"/>
    <w:rsid w:val="005D7258"/>
    <w:rsid w:val="005E31DE"/>
    <w:rsid w:val="005E34A9"/>
    <w:rsid w:val="005E352D"/>
    <w:rsid w:val="005E3AF7"/>
    <w:rsid w:val="005E3DAC"/>
    <w:rsid w:val="005E420E"/>
    <w:rsid w:val="005E54C0"/>
    <w:rsid w:val="005E59EB"/>
    <w:rsid w:val="005E5A34"/>
    <w:rsid w:val="005E7CF7"/>
    <w:rsid w:val="005F0091"/>
    <w:rsid w:val="005F1244"/>
    <w:rsid w:val="005F1B92"/>
    <w:rsid w:val="005F1F61"/>
    <w:rsid w:val="005F44E4"/>
    <w:rsid w:val="005F485E"/>
    <w:rsid w:val="005F50F0"/>
    <w:rsid w:val="005F7D55"/>
    <w:rsid w:val="00600402"/>
    <w:rsid w:val="006049D4"/>
    <w:rsid w:val="0060604E"/>
    <w:rsid w:val="006063FD"/>
    <w:rsid w:val="00607990"/>
    <w:rsid w:val="006100EB"/>
    <w:rsid w:val="006112FC"/>
    <w:rsid w:val="0061175B"/>
    <w:rsid w:val="00613BA3"/>
    <w:rsid w:val="00615CD1"/>
    <w:rsid w:val="00616FA7"/>
    <w:rsid w:val="0062115A"/>
    <w:rsid w:val="00622460"/>
    <w:rsid w:val="00626B58"/>
    <w:rsid w:val="00626E46"/>
    <w:rsid w:val="00632948"/>
    <w:rsid w:val="006331DA"/>
    <w:rsid w:val="00633A41"/>
    <w:rsid w:val="00634E3C"/>
    <w:rsid w:val="0063529A"/>
    <w:rsid w:val="00635C6C"/>
    <w:rsid w:val="0063645B"/>
    <w:rsid w:val="006369B8"/>
    <w:rsid w:val="00640FF0"/>
    <w:rsid w:val="00641034"/>
    <w:rsid w:val="006412D5"/>
    <w:rsid w:val="00641F20"/>
    <w:rsid w:val="0064226B"/>
    <w:rsid w:val="00643A93"/>
    <w:rsid w:val="0065173C"/>
    <w:rsid w:val="00653D45"/>
    <w:rsid w:val="00656FE7"/>
    <w:rsid w:val="00660CFE"/>
    <w:rsid w:val="00660D72"/>
    <w:rsid w:val="00662563"/>
    <w:rsid w:val="00663020"/>
    <w:rsid w:val="00663916"/>
    <w:rsid w:val="00664EC9"/>
    <w:rsid w:val="00664F3D"/>
    <w:rsid w:val="0066624E"/>
    <w:rsid w:val="00666FCA"/>
    <w:rsid w:val="006704BC"/>
    <w:rsid w:val="006715E5"/>
    <w:rsid w:val="006739D5"/>
    <w:rsid w:val="00673D66"/>
    <w:rsid w:val="006741F0"/>
    <w:rsid w:val="00674ADC"/>
    <w:rsid w:val="006754A9"/>
    <w:rsid w:val="00677512"/>
    <w:rsid w:val="00680663"/>
    <w:rsid w:val="00680AE1"/>
    <w:rsid w:val="00681C60"/>
    <w:rsid w:val="00683FEB"/>
    <w:rsid w:val="00684023"/>
    <w:rsid w:val="00686E09"/>
    <w:rsid w:val="0068730F"/>
    <w:rsid w:val="00687D62"/>
    <w:rsid w:val="00690CD1"/>
    <w:rsid w:val="00690D68"/>
    <w:rsid w:val="006927FC"/>
    <w:rsid w:val="00693159"/>
    <w:rsid w:val="00693FB4"/>
    <w:rsid w:val="00694D7A"/>
    <w:rsid w:val="00695C3D"/>
    <w:rsid w:val="006976F6"/>
    <w:rsid w:val="00697C59"/>
    <w:rsid w:val="006A084F"/>
    <w:rsid w:val="006A38D1"/>
    <w:rsid w:val="006A445C"/>
    <w:rsid w:val="006A49DC"/>
    <w:rsid w:val="006A5388"/>
    <w:rsid w:val="006A5A14"/>
    <w:rsid w:val="006A727E"/>
    <w:rsid w:val="006A74AD"/>
    <w:rsid w:val="006B0104"/>
    <w:rsid w:val="006B2B41"/>
    <w:rsid w:val="006B623D"/>
    <w:rsid w:val="006B72D5"/>
    <w:rsid w:val="006B7CC5"/>
    <w:rsid w:val="006C04A2"/>
    <w:rsid w:val="006C2285"/>
    <w:rsid w:val="006C294E"/>
    <w:rsid w:val="006C2F13"/>
    <w:rsid w:val="006C3BDB"/>
    <w:rsid w:val="006C3E9D"/>
    <w:rsid w:val="006C4359"/>
    <w:rsid w:val="006C43DC"/>
    <w:rsid w:val="006C59E8"/>
    <w:rsid w:val="006C61DF"/>
    <w:rsid w:val="006C64D0"/>
    <w:rsid w:val="006C7BA4"/>
    <w:rsid w:val="006D08DA"/>
    <w:rsid w:val="006D0D45"/>
    <w:rsid w:val="006D13F4"/>
    <w:rsid w:val="006D1824"/>
    <w:rsid w:val="006D1887"/>
    <w:rsid w:val="006D3AC2"/>
    <w:rsid w:val="006D4FFF"/>
    <w:rsid w:val="006D5003"/>
    <w:rsid w:val="006D6AC7"/>
    <w:rsid w:val="006E0650"/>
    <w:rsid w:val="006E1012"/>
    <w:rsid w:val="006E3444"/>
    <w:rsid w:val="006E3812"/>
    <w:rsid w:val="006E4B54"/>
    <w:rsid w:val="006E57EE"/>
    <w:rsid w:val="006E7A22"/>
    <w:rsid w:val="006E7E46"/>
    <w:rsid w:val="006F1186"/>
    <w:rsid w:val="006F1D0E"/>
    <w:rsid w:val="006F205A"/>
    <w:rsid w:val="006F23E7"/>
    <w:rsid w:val="006F24E7"/>
    <w:rsid w:val="006F57C3"/>
    <w:rsid w:val="00701F20"/>
    <w:rsid w:val="00702C85"/>
    <w:rsid w:val="00703B0D"/>
    <w:rsid w:val="00703EF3"/>
    <w:rsid w:val="00704A5A"/>
    <w:rsid w:val="00704E7A"/>
    <w:rsid w:val="00705721"/>
    <w:rsid w:val="0071112D"/>
    <w:rsid w:val="00715387"/>
    <w:rsid w:val="00715B11"/>
    <w:rsid w:val="0071736F"/>
    <w:rsid w:val="0071744A"/>
    <w:rsid w:val="007177C9"/>
    <w:rsid w:val="00721632"/>
    <w:rsid w:val="00724DF6"/>
    <w:rsid w:val="00726A3D"/>
    <w:rsid w:val="007325BF"/>
    <w:rsid w:val="007348E5"/>
    <w:rsid w:val="00735FBC"/>
    <w:rsid w:val="00737078"/>
    <w:rsid w:val="007403F3"/>
    <w:rsid w:val="00740918"/>
    <w:rsid w:val="007426F8"/>
    <w:rsid w:val="00742A3C"/>
    <w:rsid w:val="00742B3F"/>
    <w:rsid w:val="007443F6"/>
    <w:rsid w:val="00744B62"/>
    <w:rsid w:val="00745770"/>
    <w:rsid w:val="00747E0C"/>
    <w:rsid w:val="007510C1"/>
    <w:rsid w:val="007517A3"/>
    <w:rsid w:val="00752A46"/>
    <w:rsid w:val="0075695F"/>
    <w:rsid w:val="00757140"/>
    <w:rsid w:val="00757596"/>
    <w:rsid w:val="00757761"/>
    <w:rsid w:val="0076052D"/>
    <w:rsid w:val="00760734"/>
    <w:rsid w:val="00760F85"/>
    <w:rsid w:val="00761311"/>
    <w:rsid w:val="00761E4F"/>
    <w:rsid w:val="007626D0"/>
    <w:rsid w:val="0076302C"/>
    <w:rsid w:val="00764A1B"/>
    <w:rsid w:val="00766457"/>
    <w:rsid w:val="007664CB"/>
    <w:rsid w:val="00766E2D"/>
    <w:rsid w:val="00767C23"/>
    <w:rsid w:val="00770E0F"/>
    <w:rsid w:val="007711A6"/>
    <w:rsid w:val="007759AC"/>
    <w:rsid w:val="00776F97"/>
    <w:rsid w:val="00777338"/>
    <w:rsid w:val="00777C02"/>
    <w:rsid w:val="007817C5"/>
    <w:rsid w:val="00782E39"/>
    <w:rsid w:val="00783F9B"/>
    <w:rsid w:val="00784F44"/>
    <w:rsid w:val="00787847"/>
    <w:rsid w:val="00787AAD"/>
    <w:rsid w:val="00787D57"/>
    <w:rsid w:val="00787F32"/>
    <w:rsid w:val="007907B9"/>
    <w:rsid w:val="00790C03"/>
    <w:rsid w:val="00791220"/>
    <w:rsid w:val="007918FB"/>
    <w:rsid w:val="00797C70"/>
    <w:rsid w:val="007A01EF"/>
    <w:rsid w:val="007A0D4C"/>
    <w:rsid w:val="007A1020"/>
    <w:rsid w:val="007A3619"/>
    <w:rsid w:val="007A43E9"/>
    <w:rsid w:val="007A4D91"/>
    <w:rsid w:val="007A6715"/>
    <w:rsid w:val="007A7276"/>
    <w:rsid w:val="007A7ADC"/>
    <w:rsid w:val="007B014C"/>
    <w:rsid w:val="007B0AC6"/>
    <w:rsid w:val="007B3190"/>
    <w:rsid w:val="007B4406"/>
    <w:rsid w:val="007B4B4F"/>
    <w:rsid w:val="007B5191"/>
    <w:rsid w:val="007B6ED3"/>
    <w:rsid w:val="007C138E"/>
    <w:rsid w:val="007C2043"/>
    <w:rsid w:val="007C214A"/>
    <w:rsid w:val="007C29E2"/>
    <w:rsid w:val="007C5F7E"/>
    <w:rsid w:val="007C750E"/>
    <w:rsid w:val="007C752D"/>
    <w:rsid w:val="007C7BB9"/>
    <w:rsid w:val="007D3D11"/>
    <w:rsid w:val="007D415A"/>
    <w:rsid w:val="007D498D"/>
    <w:rsid w:val="007D6651"/>
    <w:rsid w:val="007D7817"/>
    <w:rsid w:val="007D7873"/>
    <w:rsid w:val="007E1154"/>
    <w:rsid w:val="007E2599"/>
    <w:rsid w:val="007E2CF7"/>
    <w:rsid w:val="007E3EFD"/>
    <w:rsid w:val="007E6A12"/>
    <w:rsid w:val="007F0227"/>
    <w:rsid w:val="007F1067"/>
    <w:rsid w:val="007F5586"/>
    <w:rsid w:val="007F56BF"/>
    <w:rsid w:val="007F72BF"/>
    <w:rsid w:val="007F7DBC"/>
    <w:rsid w:val="00801325"/>
    <w:rsid w:val="00802EEB"/>
    <w:rsid w:val="008042F7"/>
    <w:rsid w:val="008049E0"/>
    <w:rsid w:val="008052F3"/>
    <w:rsid w:val="0080704D"/>
    <w:rsid w:val="00807081"/>
    <w:rsid w:val="0080717B"/>
    <w:rsid w:val="00810031"/>
    <w:rsid w:val="00810763"/>
    <w:rsid w:val="00810ACF"/>
    <w:rsid w:val="00810EB4"/>
    <w:rsid w:val="00811B4D"/>
    <w:rsid w:val="00815A2C"/>
    <w:rsid w:val="008171A7"/>
    <w:rsid w:val="008178E2"/>
    <w:rsid w:val="0082259E"/>
    <w:rsid w:val="00823CD1"/>
    <w:rsid w:val="00824971"/>
    <w:rsid w:val="00824E98"/>
    <w:rsid w:val="00825B0A"/>
    <w:rsid w:val="00825B8B"/>
    <w:rsid w:val="008274A9"/>
    <w:rsid w:val="008306E7"/>
    <w:rsid w:val="00832FB3"/>
    <w:rsid w:val="00833204"/>
    <w:rsid w:val="00833AA6"/>
    <w:rsid w:val="00834CC5"/>
    <w:rsid w:val="008369E9"/>
    <w:rsid w:val="00836B81"/>
    <w:rsid w:val="00842C14"/>
    <w:rsid w:val="008455FC"/>
    <w:rsid w:val="008457CC"/>
    <w:rsid w:val="008460A4"/>
    <w:rsid w:val="0084666B"/>
    <w:rsid w:val="0084782B"/>
    <w:rsid w:val="0085018D"/>
    <w:rsid w:val="0085029C"/>
    <w:rsid w:val="00850B80"/>
    <w:rsid w:val="008526AC"/>
    <w:rsid w:val="00852779"/>
    <w:rsid w:val="00853427"/>
    <w:rsid w:val="008545BA"/>
    <w:rsid w:val="00854F12"/>
    <w:rsid w:val="00856FEE"/>
    <w:rsid w:val="008574C9"/>
    <w:rsid w:val="0086055F"/>
    <w:rsid w:val="00860947"/>
    <w:rsid w:val="00862603"/>
    <w:rsid w:val="00863863"/>
    <w:rsid w:val="00865E6E"/>
    <w:rsid w:val="00866932"/>
    <w:rsid w:val="00866EE4"/>
    <w:rsid w:val="008672C7"/>
    <w:rsid w:val="00867C66"/>
    <w:rsid w:val="00867CFB"/>
    <w:rsid w:val="008734E9"/>
    <w:rsid w:val="008744D9"/>
    <w:rsid w:val="008754F2"/>
    <w:rsid w:val="00876E57"/>
    <w:rsid w:val="00877287"/>
    <w:rsid w:val="0088004D"/>
    <w:rsid w:val="008828CF"/>
    <w:rsid w:val="00882F4B"/>
    <w:rsid w:val="008837D9"/>
    <w:rsid w:val="0088466C"/>
    <w:rsid w:val="0088521D"/>
    <w:rsid w:val="00885A4C"/>
    <w:rsid w:val="008873C0"/>
    <w:rsid w:val="00887904"/>
    <w:rsid w:val="00890493"/>
    <w:rsid w:val="00891776"/>
    <w:rsid w:val="0089199C"/>
    <w:rsid w:val="0089301E"/>
    <w:rsid w:val="00894421"/>
    <w:rsid w:val="008975E1"/>
    <w:rsid w:val="008976B3"/>
    <w:rsid w:val="0089781B"/>
    <w:rsid w:val="008A3789"/>
    <w:rsid w:val="008A3ED6"/>
    <w:rsid w:val="008A6561"/>
    <w:rsid w:val="008A69B1"/>
    <w:rsid w:val="008A6D01"/>
    <w:rsid w:val="008A703B"/>
    <w:rsid w:val="008A79DC"/>
    <w:rsid w:val="008A7E0F"/>
    <w:rsid w:val="008B0AD2"/>
    <w:rsid w:val="008B0B85"/>
    <w:rsid w:val="008B14EF"/>
    <w:rsid w:val="008B2E08"/>
    <w:rsid w:val="008B3599"/>
    <w:rsid w:val="008B4146"/>
    <w:rsid w:val="008B6641"/>
    <w:rsid w:val="008B6753"/>
    <w:rsid w:val="008B731A"/>
    <w:rsid w:val="008B7BDB"/>
    <w:rsid w:val="008C0145"/>
    <w:rsid w:val="008C2479"/>
    <w:rsid w:val="008C27C5"/>
    <w:rsid w:val="008C483C"/>
    <w:rsid w:val="008C64DE"/>
    <w:rsid w:val="008C778C"/>
    <w:rsid w:val="008D0365"/>
    <w:rsid w:val="008D14BC"/>
    <w:rsid w:val="008D211F"/>
    <w:rsid w:val="008D41A4"/>
    <w:rsid w:val="008D53F9"/>
    <w:rsid w:val="008D6269"/>
    <w:rsid w:val="008E1121"/>
    <w:rsid w:val="008E4887"/>
    <w:rsid w:val="008E6352"/>
    <w:rsid w:val="008E7330"/>
    <w:rsid w:val="008E7B50"/>
    <w:rsid w:val="008F007B"/>
    <w:rsid w:val="008F10E1"/>
    <w:rsid w:val="008F12DD"/>
    <w:rsid w:val="008F18CA"/>
    <w:rsid w:val="008F304A"/>
    <w:rsid w:val="008F4050"/>
    <w:rsid w:val="008F542E"/>
    <w:rsid w:val="009006A0"/>
    <w:rsid w:val="0090307E"/>
    <w:rsid w:val="0090373E"/>
    <w:rsid w:val="00903829"/>
    <w:rsid w:val="00904CC0"/>
    <w:rsid w:val="009054A9"/>
    <w:rsid w:val="0091038D"/>
    <w:rsid w:val="009111A1"/>
    <w:rsid w:val="00912579"/>
    <w:rsid w:val="00913425"/>
    <w:rsid w:val="00913526"/>
    <w:rsid w:val="00913F92"/>
    <w:rsid w:val="00915E95"/>
    <w:rsid w:val="00916CAA"/>
    <w:rsid w:val="0092070B"/>
    <w:rsid w:val="00921F8B"/>
    <w:rsid w:val="009228ED"/>
    <w:rsid w:val="00923070"/>
    <w:rsid w:val="0092491A"/>
    <w:rsid w:val="0092555E"/>
    <w:rsid w:val="00925802"/>
    <w:rsid w:val="009266AC"/>
    <w:rsid w:val="00926CD8"/>
    <w:rsid w:val="00927416"/>
    <w:rsid w:val="009304B9"/>
    <w:rsid w:val="00933B3A"/>
    <w:rsid w:val="00933ECE"/>
    <w:rsid w:val="009344C4"/>
    <w:rsid w:val="00934D5A"/>
    <w:rsid w:val="00934F0B"/>
    <w:rsid w:val="009372B4"/>
    <w:rsid w:val="009416F8"/>
    <w:rsid w:val="009425D9"/>
    <w:rsid w:val="009436C2"/>
    <w:rsid w:val="00945672"/>
    <w:rsid w:val="00950B79"/>
    <w:rsid w:val="009545A0"/>
    <w:rsid w:val="009550B1"/>
    <w:rsid w:val="00955AC1"/>
    <w:rsid w:val="00955E21"/>
    <w:rsid w:val="009571DE"/>
    <w:rsid w:val="0095772D"/>
    <w:rsid w:val="00960EB9"/>
    <w:rsid w:val="00961648"/>
    <w:rsid w:val="00961909"/>
    <w:rsid w:val="00962F00"/>
    <w:rsid w:val="00963901"/>
    <w:rsid w:val="0096481A"/>
    <w:rsid w:val="00965F88"/>
    <w:rsid w:val="0097070A"/>
    <w:rsid w:val="00970E00"/>
    <w:rsid w:val="00972DD1"/>
    <w:rsid w:val="00974F52"/>
    <w:rsid w:val="00975601"/>
    <w:rsid w:val="00976C60"/>
    <w:rsid w:val="009777C3"/>
    <w:rsid w:val="00980742"/>
    <w:rsid w:val="009811AE"/>
    <w:rsid w:val="009813ED"/>
    <w:rsid w:val="009828AD"/>
    <w:rsid w:val="00984C6E"/>
    <w:rsid w:val="00984D0A"/>
    <w:rsid w:val="00985C65"/>
    <w:rsid w:val="00986A7C"/>
    <w:rsid w:val="0098746E"/>
    <w:rsid w:val="009875F9"/>
    <w:rsid w:val="009906C2"/>
    <w:rsid w:val="009918EE"/>
    <w:rsid w:val="00991FFF"/>
    <w:rsid w:val="00992FA0"/>
    <w:rsid w:val="00994846"/>
    <w:rsid w:val="00994FD2"/>
    <w:rsid w:val="00995281"/>
    <w:rsid w:val="0099557B"/>
    <w:rsid w:val="00996909"/>
    <w:rsid w:val="00996A3F"/>
    <w:rsid w:val="00997B2D"/>
    <w:rsid w:val="00997D9A"/>
    <w:rsid w:val="009A00F3"/>
    <w:rsid w:val="009A0B1A"/>
    <w:rsid w:val="009A2998"/>
    <w:rsid w:val="009A3093"/>
    <w:rsid w:val="009A3CFA"/>
    <w:rsid w:val="009A4AC9"/>
    <w:rsid w:val="009A572B"/>
    <w:rsid w:val="009A5D94"/>
    <w:rsid w:val="009A7BE9"/>
    <w:rsid w:val="009B026D"/>
    <w:rsid w:val="009B0442"/>
    <w:rsid w:val="009B1DC1"/>
    <w:rsid w:val="009B32DF"/>
    <w:rsid w:val="009C28C0"/>
    <w:rsid w:val="009C3E02"/>
    <w:rsid w:val="009C5458"/>
    <w:rsid w:val="009C63B5"/>
    <w:rsid w:val="009D1F96"/>
    <w:rsid w:val="009D3493"/>
    <w:rsid w:val="009D5A63"/>
    <w:rsid w:val="009D69AB"/>
    <w:rsid w:val="009D6FEE"/>
    <w:rsid w:val="009D7144"/>
    <w:rsid w:val="009D71A2"/>
    <w:rsid w:val="009D7EE4"/>
    <w:rsid w:val="009E01B0"/>
    <w:rsid w:val="009E15DE"/>
    <w:rsid w:val="009E22A8"/>
    <w:rsid w:val="009E2B79"/>
    <w:rsid w:val="009E349C"/>
    <w:rsid w:val="009E377B"/>
    <w:rsid w:val="009E37A7"/>
    <w:rsid w:val="009E3E0D"/>
    <w:rsid w:val="009E57E4"/>
    <w:rsid w:val="009E74EE"/>
    <w:rsid w:val="009E7665"/>
    <w:rsid w:val="009F1802"/>
    <w:rsid w:val="009F2804"/>
    <w:rsid w:val="009F4E4E"/>
    <w:rsid w:val="009F5FCB"/>
    <w:rsid w:val="00A02101"/>
    <w:rsid w:val="00A04B32"/>
    <w:rsid w:val="00A051AF"/>
    <w:rsid w:val="00A1018E"/>
    <w:rsid w:val="00A10BA7"/>
    <w:rsid w:val="00A117DB"/>
    <w:rsid w:val="00A12A17"/>
    <w:rsid w:val="00A12FAC"/>
    <w:rsid w:val="00A14E5E"/>
    <w:rsid w:val="00A15283"/>
    <w:rsid w:val="00A15526"/>
    <w:rsid w:val="00A15F09"/>
    <w:rsid w:val="00A21854"/>
    <w:rsid w:val="00A2280A"/>
    <w:rsid w:val="00A22B06"/>
    <w:rsid w:val="00A22C16"/>
    <w:rsid w:val="00A23789"/>
    <w:rsid w:val="00A242F7"/>
    <w:rsid w:val="00A26751"/>
    <w:rsid w:val="00A30578"/>
    <w:rsid w:val="00A3132D"/>
    <w:rsid w:val="00A31F8E"/>
    <w:rsid w:val="00A32ADD"/>
    <w:rsid w:val="00A330F8"/>
    <w:rsid w:val="00A34267"/>
    <w:rsid w:val="00A348F8"/>
    <w:rsid w:val="00A3505F"/>
    <w:rsid w:val="00A3537D"/>
    <w:rsid w:val="00A3564F"/>
    <w:rsid w:val="00A3786C"/>
    <w:rsid w:val="00A40111"/>
    <w:rsid w:val="00A4036B"/>
    <w:rsid w:val="00A403AC"/>
    <w:rsid w:val="00A40520"/>
    <w:rsid w:val="00A430D0"/>
    <w:rsid w:val="00A430D8"/>
    <w:rsid w:val="00A439FA"/>
    <w:rsid w:val="00A44B7B"/>
    <w:rsid w:val="00A45B74"/>
    <w:rsid w:val="00A4621D"/>
    <w:rsid w:val="00A46DE5"/>
    <w:rsid w:val="00A54DC4"/>
    <w:rsid w:val="00A55A26"/>
    <w:rsid w:val="00A56832"/>
    <w:rsid w:val="00A57C0F"/>
    <w:rsid w:val="00A627B8"/>
    <w:rsid w:val="00A65D93"/>
    <w:rsid w:val="00A66F0C"/>
    <w:rsid w:val="00A70790"/>
    <w:rsid w:val="00A715D8"/>
    <w:rsid w:val="00A71F34"/>
    <w:rsid w:val="00A7304F"/>
    <w:rsid w:val="00A73B57"/>
    <w:rsid w:val="00A744BE"/>
    <w:rsid w:val="00A7492F"/>
    <w:rsid w:val="00A7617B"/>
    <w:rsid w:val="00A81075"/>
    <w:rsid w:val="00A84476"/>
    <w:rsid w:val="00A84D5C"/>
    <w:rsid w:val="00A85639"/>
    <w:rsid w:val="00A85A1D"/>
    <w:rsid w:val="00A85B38"/>
    <w:rsid w:val="00A86BB4"/>
    <w:rsid w:val="00A87E9E"/>
    <w:rsid w:val="00A90241"/>
    <w:rsid w:val="00A93284"/>
    <w:rsid w:val="00A94606"/>
    <w:rsid w:val="00A94B44"/>
    <w:rsid w:val="00A9742A"/>
    <w:rsid w:val="00AA0E97"/>
    <w:rsid w:val="00AA10B0"/>
    <w:rsid w:val="00AA13BF"/>
    <w:rsid w:val="00AA17BB"/>
    <w:rsid w:val="00AA3D7B"/>
    <w:rsid w:val="00AA4870"/>
    <w:rsid w:val="00AB1762"/>
    <w:rsid w:val="00AB331D"/>
    <w:rsid w:val="00AB367E"/>
    <w:rsid w:val="00AB36BC"/>
    <w:rsid w:val="00AB3A86"/>
    <w:rsid w:val="00AB3DAB"/>
    <w:rsid w:val="00AB59D2"/>
    <w:rsid w:val="00AB5A2A"/>
    <w:rsid w:val="00AB5F4A"/>
    <w:rsid w:val="00AB77B5"/>
    <w:rsid w:val="00AC31E8"/>
    <w:rsid w:val="00AC3303"/>
    <w:rsid w:val="00AC3621"/>
    <w:rsid w:val="00AC4751"/>
    <w:rsid w:val="00AC591E"/>
    <w:rsid w:val="00AC5AA0"/>
    <w:rsid w:val="00AD184C"/>
    <w:rsid w:val="00AD1BE1"/>
    <w:rsid w:val="00AD2A62"/>
    <w:rsid w:val="00AD35EA"/>
    <w:rsid w:val="00AD41F2"/>
    <w:rsid w:val="00AD42B6"/>
    <w:rsid w:val="00AD4C76"/>
    <w:rsid w:val="00AE020D"/>
    <w:rsid w:val="00AE29CB"/>
    <w:rsid w:val="00AE2D01"/>
    <w:rsid w:val="00AE301D"/>
    <w:rsid w:val="00AE40FF"/>
    <w:rsid w:val="00AE4A62"/>
    <w:rsid w:val="00AE53E5"/>
    <w:rsid w:val="00AE6C84"/>
    <w:rsid w:val="00AF00DD"/>
    <w:rsid w:val="00AF018E"/>
    <w:rsid w:val="00AF0196"/>
    <w:rsid w:val="00AF08D6"/>
    <w:rsid w:val="00AF354F"/>
    <w:rsid w:val="00AF4743"/>
    <w:rsid w:val="00AF7322"/>
    <w:rsid w:val="00B00AD1"/>
    <w:rsid w:val="00B021B1"/>
    <w:rsid w:val="00B04DCF"/>
    <w:rsid w:val="00B06967"/>
    <w:rsid w:val="00B07CDD"/>
    <w:rsid w:val="00B07DA2"/>
    <w:rsid w:val="00B10011"/>
    <w:rsid w:val="00B1102F"/>
    <w:rsid w:val="00B11A51"/>
    <w:rsid w:val="00B122D0"/>
    <w:rsid w:val="00B12436"/>
    <w:rsid w:val="00B12E2B"/>
    <w:rsid w:val="00B17524"/>
    <w:rsid w:val="00B176D8"/>
    <w:rsid w:val="00B17E29"/>
    <w:rsid w:val="00B200E2"/>
    <w:rsid w:val="00B213D6"/>
    <w:rsid w:val="00B243BB"/>
    <w:rsid w:val="00B253C6"/>
    <w:rsid w:val="00B26BF3"/>
    <w:rsid w:val="00B26F4B"/>
    <w:rsid w:val="00B275FA"/>
    <w:rsid w:val="00B34A74"/>
    <w:rsid w:val="00B34BEB"/>
    <w:rsid w:val="00B34F4C"/>
    <w:rsid w:val="00B35445"/>
    <w:rsid w:val="00B35B41"/>
    <w:rsid w:val="00B35EB3"/>
    <w:rsid w:val="00B371AC"/>
    <w:rsid w:val="00B37F77"/>
    <w:rsid w:val="00B42A3F"/>
    <w:rsid w:val="00B42E47"/>
    <w:rsid w:val="00B43085"/>
    <w:rsid w:val="00B45032"/>
    <w:rsid w:val="00B474F9"/>
    <w:rsid w:val="00B5190D"/>
    <w:rsid w:val="00B540E1"/>
    <w:rsid w:val="00B543F0"/>
    <w:rsid w:val="00B54E52"/>
    <w:rsid w:val="00B558D5"/>
    <w:rsid w:val="00B55FEB"/>
    <w:rsid w:val="00B569B0"/>
    <w:rsid w:val="00B5725C"/>
    <w:rsid w:val="00B57866"/>
    <w:rsid w:val="00B60ACB"/>
    <w:rsid w:val="00B61745"/>
    <w:rsid w:val="00B61B6C"/>
    <w:rsid w:val="00B61BF0"/>
    <w:rsid w:val="00B63AFE"/>
    <w:rsid w:val="00B64FF0"/>
    <w:rsid w:val="00B6559D"/>
    <w:rsid w:val="00B6622F"/>
    <w:rsid w:val="00B6646D"/>
    <w:rsid w:val="00B66FA6"/>
    <w:rsid w:val="00B67C7A"/>
    <w:rsid w:val="00B711A4"/>
    <w:rsid w:val="00B7196C"/>
    <w:rsid w:val="00B72615"/>
    <w:rsid w:val="00B72F55"/>
    <w:rsid w:val="00B750EE"/>
    <w:rsid w:val="00B761EE"/>
    <w:rsid w:val="00B769FD"/>
    <w:rsid w:val="00B76CE6"/>
    <w:rsid w:val="00B76FC1"/>
    <w:rsid w:val="00B77781"/>
    <w:rsid w:val="00B80E10"/>
    <w:rsid w:val="00B825F5"/>
    <w:rsid w:val="00B834BF"/>
    <w:rsid w:val="00B8444C"/>
    <w:rsid w:val="00B85F6A"/>
    <w:rsid w:val="00B86478"/>
    <w:rsid w:val="00B90AD8"/>
    <w:rsid w:val="00B90C67"/>
    <w:rsid w:val="00B92083"/>
    <w:rsid w:val="00B92528"/>
    <w:rsid w:val="00B94F0D"/>
    <w:rsid w:val="00B9500D"/>
    <w:rsid w:val="00B95444"/>
    <w:rsid w:val="00B965BF"/>
    <w:rsid w:val="00B97583"/>
    <w:rsid w:val="00B97C7D"/>
    <w:rsid w:val="00BA0379"/>
    <w:rsid w:val="00BA0E05"/>
    <w:rsid w:val="00BA19EE"/>
    <w:rsid w:val="00BA2588"/>
    <w:rsid w:val="00BA2757"/>
    <w:rsid w:val="00BA5398"/>
    <w:rsid w:val="00BA6445"/>
    <w:rsid w:val="00BA73C2"/>
    <w:rsid w:val="00BB01D3"/>
    <w:rsid w:val="00BB14E5"/>
    <w:rsid w:val="00BB2F1A"/>
    <w:rsid w:val="00BB2F5A"/>
    <w:rsid w:val="00BB48D6"/>
    <w:rsid w:val="00BB59D1"/>
    <w:rsid w:val="00BB67B5"/>
    <w:rsid w:val="00BB78DA"/>
    <w:rsid w:val="00BB7972"/>
    <w:rsid w:val="00BC117A"/>
    <w:rsid w:val="00BC1B01"/>
    <w:rsid w:val="00BC41B9"/>
    <w:rsid w:val="00BC4516"/>
    <w:rsid w:val="00BC47F1"/>
    <w:rsid w:val="00BC5C6F"/>
    <w:rsid w:val="00BC76F6"/>
    <w:rsid w:val="00BC7CE6"/>
    <w:rsid w:val="00BD2AB6"/>
    <w:rsid w:val="00BD4E5E"/>
    <w:rsid w:val="00BD51B1"/>
    <w:rsid w:val="00BD6E29"/>
    <w:rsid w:val="00BD71B2"/>
    <w:rsid w:val="00BE0523"/>
    <w:rsid w:val="00BE076F"/>
    <w:rsid w:val="00BE2444"/>
    <w:rsid w:val="00BE3369"/>
    <w:rsid w:val="00BE47B7"/>
    <w:rsid w:val="00BE5F59"/>
    <w:rsid w:val="00BE7098"/>
    <w:rsid w:val="00BE753C"/>
    <w:rsid w:val="00BF0616"/>
    <w:rsid w:val="00BF097D"/>
    <w:rsid w:val="00BF2C13"/>
    <w:rsid w:val="00BF2C6D"/>
    <w:rsid w:val="00BF3256"/>
    <w:rsid w:val="00BF3389"/>
    <w:rsid w:val="00BF41FF"/>
    <w:rsid w:val="00BF45E1"/>
    <w:rsid w:val="00C00C59"/>
    <w:rsid w:val="00C066A7"/>
    <w:rsid w:val="00C06949"/>
    <w:rsid w:val="00C10049"/>
    <w:rsid w:val="00C113AD"/>
    <w:rsid w:val="00C11DE8"/>
    <w:rsid w:val="00C12336"/>
    <w:rsid w:val="00C12351"/>
    <w:rsid w:val="00C125D2"/>
    <w:rsid w:val="00C140AC"/>
    <w:rsid w:val="00C14186"/>
    <w:rsid w:val="00C1482E"/>
    <w:rsid w:val="00C1687D"/>
    <w:rsid w:val="00C16E7D"/>
    <w:rsid w:val="00C16F21"/>
    <w:rsid w:val="00C16FF1"/>
    <w:rsid w:val="00C1709D"/>
    <w:rsid w:val="00C20E00"/>
    <w:rsid w:val="00C21165"/>
    <w:rsid w:val="00C221C5"/>
    <w:rsid w:val="00C2242A"/>
    <w:rsid w:val="00C2550D"/>
    <w:rsid w:val="00C25711"/>
    <w:rsid w:val="00C2617D"/>
    <w:rsid w:val="00C2760E"/>
    <w:rsid w:val="00C31F3A"/>
    <w:rsid w:val="00C328C1"/>
    <w:rsid w:val="00C33194"/>
    <w:rsid w:val="00C33E24"/>
    <w:rsid w:val="00C343C1"/>
    <w:rsid w:val="00C371EB"/>
    <w:rsid w:val="00C37738"/>
    <w:rsid w:val="00C379B8"/>
    <w:rsid w:val="00C40796"/>
    <w:rsid w:val="00C409F0"/>
    <w:rsid w:val="00C42FB5"/>
    <w:rsid w:val="00C4427A"/>
    <w:rsid w:val="00C44A51"/>
    <w:rsid w:val="00C45232"/>
    <w:rsid w:val="00C46534"/>
    <w:rsid w:val="00C46CC2"/>
    <w:rsid w:val="00C46EFF"/>
    <w:rsid w:val="00C4746B"/>
    <w:rsid w:val="00C47984"/>
    <w:rsid w:val="00C521B8"/>
    <w:rsid w:val="00C52975"/>
    <w:rsid w:val="00C5368B"/>
    <w:rsid w:val="00C551FD"/>
    <w:rsid w:val="00C60357"/>
    <w:rsid w:val="00C61A51"/>
    <w:rsid w:val="00C632F7"/>
    <w:rsid w:val="00C63821"/>
    <w:rsid w:val="00C643AE"/>
    <w:rsid w:val="00C654AE"/>
    <w:rsid w:val="00C655DE"/>
    <w:rsid w:val="00C66968"/>
    <w:rsid w:val="00C67353"/>
    <w:rsid w:val="00C70C18"/>
    <w:rsid w:val="00C7163A"/>
    <w:rsid w:val="00C73827"/>
    <w:rsid w:val="00C73B8F"/>
    <w:rsid w:val="00C74925"/>
    <w:rsid w:val="00C76DB7"/>
    <w:rsid w:val="00C80AF2"/>
    <w:rsid w:val="00C80BD6"/>
    <w:rsid w:val="00C81298"/>
    <w:rsid w:val="00C815B4"/>
    <w:rsid w:val="00C838C8"/>
    <w:rsid w:val="00C84065"/>
    <w:rsid w:val="00C84A6C"/>
    <w:rsid w:val="00C85B14"/>
    <w:rsid w:val="00C8665B"/>
    <w:rsid w:val="00C86DA7"/>
    <w:rsid w:val="00C86FAF"/>
    <w:rsid w:val="00C93C0B"/>
    <w:rsid w:val="00C96AEC"/>
    <w:rsid w:val="00CA13D1"/>
    <w:rsid w:val="00CA15EE"/>
    <w:rsid w:val="00CA3E15"/>
    <w:rsid w:val="00CA5018"/>
    <w:rsid w:val="00CA5C6C"/>
    <w:rsid w:val="00CA5CAD"/>
    <w:rsid w:val="00CA7405"/>
    <w:rsid w:val="00CA7CF9"/>
    <w:rsid w:val="00CB0118"/>
    <w:rsid w:val="00CB03F1"/>
    <w:rsid w:val="00CB12F7"/>
    <w:rsid w:val="00CB15CC"/>
    <w:rsid w:val="00CB1639"/>
    <w:rsid w:val="00CB2A42"/>
    <w:rsid w:val="00CB2A89"/>
    <w:rsid w:val="00CB2F9A"/>
    <w:rsid w:val="00CB31DC"/>
    <w:rsid w:val="00CB73AD"/>
    <w:rsid w:val="00CC1790"/>
    <w:rsid w:val="00CC2B99"/>
    <w:rsid w:val="00CC3AAF"/>
    <w:rsid w:val="00CC488C"/>
    <w:rsid w:val="00CC6F2E"/>
    <w:rsid w:val="00CC7205"/>
    <w:rsid w:val="00CC7A2B"/>
    <w:rsid w:val="00CD15C3"/>
    <w:rsid w:val="00CD1D27"/>
    <w:rsid w:val="00CD2D3A"/>
    <w:rsid w:val="00CD31B1"/>
    <w:rsid w:val="00CD3300"/>
    <w:rsid w:val="00CD34FE"/>
    <w:rsid w:val="00CD38B1"/>
    <w:rsid w:val="00CD51E6"/>
    <w:rsid w:val="00CD5BD6"/>
    <w:rsid w:val="00CD70A3"/>
    <w:rsid w:val="00CD7A15"/>
    <w:rsid w:val="00CE038B"/>
    <w:rsid w:val="00CE088C"/>
    <w:rsid w:val="00CE103E"/>
    <w:rsid w:val="00CE25B9"/>
    <w:rsid w:val="00CE3DD6"/>
    <w:rsid w:val="00CE4402"/>
    <w:rsid w:val="00CE593C"/>
    <w:rsid w:val="00CE5942"/>
    <w:rsid w:val="00CE594B"/>
    <w:rsid w:val="00CE5AD5"/>
    <w:rsid w:val="00CF0811"/>
    <w:rsid w:val="00CF122C"/>
    <w:rsid w:val="00CF122F"/>
    <w:rsid w:val="00CF24B2"/>
    <w:rsid w:val="00CF3E33"/>
    <w:rsid w:val="00CF4857"/>
    <w:rsid w:val="00CF53F8"/>
    <w:rsid w:val="00D017D4"/>
    <w:rsid w:val="00D02557"/>
    <w:rsid w:val="00D0428B"/>
    <w:rsid w:val="00D04368"/>
    <w:rsid w:val="00D11393"/>
    <w:rsid w:val="00D12A4B"/>
    <w:rsid w:val="00D131C7"/>
    <w:rsid w:val="00D13692"/>
    <w:rsid w:val="00D203BE"/>
    <w:rsid w:val="00D20BF5"/>
    <w:rsid w:val="00D21BCC"/>
    <w:rsid w:val="00D22A64"/>
    <w:rsid w:val="00D241AB"/>
    <w:rsid w:val="00D246FD"/>
    <w:rsid w:val="00D24A33"/>
    <w:rsid w:val="00D24CAF"/>
    <w:rsid w:val="00D263DA"/>
    <w:rsid w:val="00D2732B"/>
    <w:rsid w:val="00D2743C"/>
    <w:rsid w:val="00D30D44"/>
    <w:rsid w:val="00D30E4F"/>
    <w:rsid w:val="00D31CEE"/>
    <w:rsid w:val="00D31D6C"/>
    <w:rsid w:val="00D3206C"/>
    <w:rsid w:val="00D3308E"/>
    <w:rsid w:val="00D3370D"/>
    <w:rsid w:val="00D3412B"/>
    <w:rsid w:val="00D3487A"/>
    <w:rsid w:val="00D3746A"/>
    <w:rsid w:val="00D3759B"/>
    <w:rsid w:val="00D37A50"/>
    <w:rsid w:val="00D402D6"/>
    <w:rsid w:val="00D404B6"/>
    <w:rsid w:val="00D40BF5"/>
    <w:rsid w:val="00D40DF1"/>
    <w:rsid w:val="00D416E7"/>
    <w:rsid w:val="00D41947"/>
    <w:rsid w:val="00D4300A"/>
    <w:rsid w:val="00D44D56"/>
    <w:rsid w:val="00D4509B"/>
    <w:rsid w:val="00D4558E"/>
    <w:rsid w:val="00D4634D"/>
    <w:rsid w:val="00D47A34"/>
    <w:rsid w:val="00D47F32"/>
    <w:rsid w:val="00D5030C"/>
    <w:rsid w:val="00D514BB"/>
    <w:rsid w:val="00D54501"/>
    <w:rsid w:val="00D56909"/>
    <w:rsid w:val="00D57622"/>
    <w:rsid w:val="00D605FC"/>
    <w:rsid w:val="00D60F8F"/>
    <w:rsid w:val="00D61746"/>
    <w:rsid w:val="00D61FE9"/>
    <w:rsid w:val="00D6260E"/>
    <w:rsid w:val="00D64B79"/>
    <w:rsid w:val="00D66088"/>
    <w:rsid w:val="00D70BA8"/>
    <w:rsid w:val="00D70E40"/>
    <w:rsid w:val="00D71042"/>
    <w:rsid w:val="00D71334"/>
    <w:rsid w:val="00D71A68"/>
    <w:rsid w:val="00D72871"/>
    <w:rsid w:val="00D72B9E"/>
    <w:rsid w:val="00D7315B"/>
    <w:rsid w:val="00D7428A"/>
    <w:rsid w:val="00D74A29"/>
    <w:rsid w:val="00D7543C"/>
    <w:rsid w:val="00D754EE"/>
    <w:rsid w:val="00D76559"/>
    <w:rsid w:val="00D80A77"/>
    <w:rsid w:val="00D80F19"/>
    <w:rsid w:val="00D83157"/>
    <w:rsid w:val="00D83221"/>
    <w:rsid w:val="00D84EF4"/>
    <w:rsid w:val="00D862F3"/>
    <w:rsid w:val="00D876FB"/>
    <w:rsid w:val="00D91405"/>
    <w:rsid w:val="00D91D6B"/>
    <w:rsid w:val="00D92A6F"/>
    <w:rsid w:val="00D9323B"/>
    <w:rsid w:val="00D9374D"/>
    <w:rsid w:val="00D93DE4"/>
    <w:rsid w:val="00D9420B"/>
    <w:rsid w:val="00D949F8"/>
    <w:rsid w:val="00D95312"/>
    <w:rsid w:val="00D957A6"/>
    <w:rsid w:val="00DA09E7"/>
    <w:rsid w:val="00DA1EC2"/>
    <w:rsid w:val="00DA3F61"/>
    <w:rsid w:val="00DA5A06"/>
    <w:rsid w:val="00DA7256"/>
    <w:rsid w:val="00DB0C01"/>
    <w:rsid w:val="00DB12C4"/>
    <w:rsid w:val="00DB2FA1"/>
    <w:rsid w:val="00DB446E"/>
    <w:rsid w:val="00DB5FE7"/>
    <w:rsid w:val="00DB6F44"/>
    <w:rsid w:val="00DC055B"/>
    <w:rsid w:val="00DC06C8"/>
    <w:rsid w:val="00DC205A"/>
    <w:rsid w:val="00DC3B82"/>
    <w:rsid w:val="00DC4EA9"/>
    <w:rsid w:val="00DC57A2"/>
    <w:rsid w:val="00DD0A54"/>
    <w:rsid w:val="00DD3C0A"/>
    <w:rsid w:val="00DD4545"/>
    <w:rsid w:val="00DD4C69"/>
    <w:rsid w:val="00DE10DC"/>
    <w:rsid w:val="00DE1564"/>
    <w:rsid w:val="00DE15C7"/>
    <w:rsid w:val="00DE1D08"/>
    <w:rsid w:val="00DE2729"/>
    <w:rsid w:val="00DE2885"/>
    <w:rsid w:val="00DE28CD"/>
    <w:rsid w:val="00DE31AC"/>
    <w:rsid w:val="00DE3643"/>
    <w:rsid w:val="00DE3B68"/>
    <w:rsid w:val="00DE3CD9"/>
    <w:rsid w:val="00DE45C1"/>
    <w:rsid w:val="00DE4A7E"/>
    <w:rsid w:val="00DE5A77"/>
    <w:rsid w:val="00DE7D00"/>
    <w:rsid w:val="00DF2B5F"/>
    <w:rsid w:val="00DF2C74"/>
    <w:rsid w:val="00DF35AC"/>
    <w:rsid w:val="00DF545B"/>
    <w:rsid w:val="00DF722E"/>
    <w:rsid w:val="00DF7E89"/>
    <w:rsid w:val="00E0049B"/>
    <w:rsid w:val="00E0336E"/>
    <w:rsid w:val="00E0353E"/>
    <w:rsid w:val="00E03E93"/>
    <w:rsid w:val="00E0479F"/>
    <w:rsid w:val="00E04AB9"/>
    <w:rsid w:val="00E05ED2"/>
    <w:rsid w:val="00E060D0"/>
    <w:rsid w:val="00E078B7"/>
    <w:rsid w:val="00E12B55"/>
    <w:rsid w:val="00E13F0F"/>
    <w:rsid w:val="00E141E4"/>
    <w:rsid w:val="00E152CB"/>
    <w:rsid w:val="00E2013E"/>
    <w:rsid w:val="00E207B4"/>
    <w:rsid w:val="00E21627"/>
    <w:rsid w:val="00E221B3"/>
    <w:rsid w:val="00E23689"/>
    <w:rsid w:val="00E236E6"/>
    <w:rsid w:val="00E27515"/>
    <w:rsid w:val="00E27949"/>
    <w:rsid w:val="00E306AA"/>
    <w:rsid w:val="00E307F2"/>
    <w:rsid w:val="00E30B5A"/>
    <w:rsid w:val="00E30E98"/>
    <w:rsid w:val="00E31C5A"/>
    <w:rsid w:val="00E34088"/>
    <w:rsid w:val="00E3438C"/>
    <w:rsid w:val="00E34DA4"/>
    <w:rsid w:val="00E35E40"/>
    <w:rsid w:val="00E364A0"/>
    <w:rsid w:val="00E36DFA"/>
    <w:rsid w:val="00E40280"/>
    <w:rsid w:val="00E40AC3"/>
    <w:rsid w:val="00E4160F"/>
    <w:rsid w:val="00E41FAC"/>
    <w:rsid w:val="00E45B9C"/>
    <w:rsid w:val="00E45F2F"/>
    <w:rsid w:val="00E504A3"/>
    <w:rsid w:val="00E509A3"/>
    <w:rsid w:val="00E517D2"/>
    <w:rsid w:val="00E51D80"/>
    <w:rsid w:val="00E523CF"/>
    <w:rsid w:val="00E534C4"/>
    <w:rsid w:val="00E54ED2"/>
    <w:rsid w:val="00E55D48"/>
    <w:rsid w:val="00E601C1"/>
    <w:rsid w:val="00E65102"/>
    <w:rsid w:val="00E6708E"/>
    <w:rsid w:val="00E70642"/>
    <w:rsid w:val="00E70AFD"/>
    <w:rsid w:val="00E72A0A"/>
    <w:rsid w:val="00E7322D"/>
    <w:rsid w:val="00E742A4"/>
    <w:rsid w:val="00E75963"/>
    <w:rsid w:val="00E75E04"/>
    <w:rsid w:val="00E76031"/>
    <w:rsid w:val="00E773E7"/>
    <w:rsid w:val="00E77971"/>
    <w:rsid w:val="00E8015E"/>
    <w:rsid w:val="00E82879"/>
    <w:rsid w:val="00E857AC"/>
    <w:rsid w:val="00E85B39"/>
    <w:rsid w:val="00E860C7"/>
    <w:rsid w:val="00E868B1"/>
    <w:rsid w:val="00E86967"/>
    <w:rsid w:val="00E879D4"/>
    <w:rsid w:val="00E9006E"/>
    <w:rsid w:val="00E903D2"/>
    <w:rsid w:val="00E90523"/>
    <w:rsid w:val="00E90853"/>
    <w:rsid w:val="00E90BEA"/>
    <w:rsid w:val="00E91B4F"/>
    <w:rsid w:val="00E92623"/>
    <w:rsid w:val="00E92CD6"/>
    <w:rsid w:val="00E92D2B"/>
    <w:rsid w:val="00E92F80"/>
    <w:rsid w:val="00E930AD"/>
    <w:rsid w:val="00E93A63"/>
    <w:rsid w:val="00E94E13"/>
    <w:rsid w:val="00E96F5B"/>
    <w:rsid w:val="00EA06B0"/>
    <w:rsid w:val="00EA1831"/>
    <w:rsid w:val="00EA570F"/>
    <w:rsid w:val="00EA5A21"/>
    <w:rsid w:val="00EA60FE"/>
    <w:rsid w:val="00EA77E5"/>
    <w:rsid w:val="00EA78AE"/>
    <w:rsid w:val="00EB32E2"/>
    <w:rsid w:val="00EB52E6"/>
    <w:rsid w:val="00EB71D7"/>
    <w:rsid w:val="00EB7983"/>
    <w:rsid w:val="00EC0B18"/>
    <w:rsid w:val="00EC0D8F"/>
    <w:rsid w:val="00EC21BA"/>
    <w:rsid w:val="00EC229C"/>
    <w:rsid w:val="00EC2E31"/>
    <w:rsid w:val="00EC64A7"/>
    <w:rsid w:val="00EC64DD"/>
    <w:rsid w:val="00EC7237"/>
    <w:rsid w:val="00EC7FC8"/>
    <w:rsid w:val="00ED0510"/>
    <w:rsid w:val="00ED0CFD"/>
    <w:rsid w:val="00ED2CB6"/>
    <w:rsid w:val="00ED3FF0"/>
    <w:rsid w:val="00ED4F95"/>
    <w:rsid w:val="00ED5B1D"/>
    <w:rsid w:val="00ED6DA8"/>
    <w:rsid w:val="00EE1FCB"/>
    <w:rsid w:val="00EE339E"/>
    <w:rsid w:val="00EE33AF"/>
    <w:rsid w:val="00EE404C"/>
    <w:rsid w:val="00EE7A1A"/>
    <w:rsid w:val="00EF0648"/>
    <w:rsid w:val="00EF1BE3"/>
    <w:rsid w:val="00EF207E"/>
    <w:rsid w:val="00EF3341"/>
    <w:rsid w:val="00EF6AC9"/>
    <w:rsid w:val="00EF7497"/>
    <w:rsid w:val="00EF76EE"/>
    <w:rsid w:val="00F00F53"/>
    <w:rsid w:val="00F04238"/>
    <w:rsid w:val="00F05F3F"/>
    <w:rsid w:val="00F074A2"/>
    <w:rsid w:val="00F07EF5"/>
    <w:rsid w:val="00F10936"/>
    <w:rsid w:val="00F13773"/>
    <w:rsid w:val="00F14785"/>
    <w:rsid w:val="00F147E6"/>
    <w:rsid w:val="00F14ACF"/>
    <w:rsid w:val="00F152AB"/>
    <w:rsid w:val="00F159F6"/>
    <w:rsid w:val="00F16295"/>
    <w:rsid w:val="00F163C3"/>
    <w:rsid w:val="00F163F7"/>
    <w:rsid w:val="00F172C4"/>
    <w:rsid w:val="00F213E7"/>
    <w:rsid w:val="00F21479"/>
    <w:rsid w:val="00F2367A"/>
    <w:rsid w:val="00F25CF9"/>
    <w:rsid w:val="00F2734A"/>
    <w:rsid w:val="00F302C7"/>
    <w:rsid w:val="00F30D46"/>
    <w:rsid w:val="00F31202"/>
    <w:rsid w:val="00F314DE"/>
    <w:rsid w:val="00F31E29"/>
    <w:rsid w:val="00F31FC0"/>
    <w:rsid w:val="00F3229A"/>
    <w:rsid w:val="00F32A2D"/>
    <w:rsid w:val="00F32A46"/>
    <w:rsid w:val="00F34034"/>
    <w:rsid w:val="00F35017"/>
    <w:rsid w:val="00F36C3A"/>
    <w:rsid w:val="00F374FC"/>
    <w:rsid w:val="00F41C54"/>
    <w:rsid w:val="00F42F5B"/>
    <w:rsid w:val="00F43DDD"/>
    <w:rsid w:val="00F44CB3"/>
    <w:rsid w:val="00F44E33"/>
    <w:rsid w:val="00F45554"/>
    <w:rsid w:val="00F468CB"/>
    <w:rsid w:val="00F474B5"/>
    <w:rsid w:val="00F505CC"/>
    <w:rsid w:val="00F511D6"/>
    <w:rsid w:val="00F515ED"/>
    <w:rsid w:val="00F52789"/>
    <w:rsid w:val="00F53C3D"/>
    <w:rsid w:val="00F53D63"/>
    <w:rsid w:val="00F54EAB"/>
    <w:rsid w:val="00F558A1"/>
    <w:rsid w:val="00F55E36"/>
    <w:rsid w:val="00F55F3B"/>
    <w:rsid w:val="00F615A5"/>
    <w:rsid w:val="00F62D47"/>
    <w:rsid w:val="00F63BB3"/>
    <w:rsid w:val="00F64050"/>
    <w:rsid w:val="00F67217"/>
    <w:rsid w:val="00F67E3D"/>
    <w:rsid w:val="00F7032E"/>
    <w:rsid w:val="00F72121"/>
    <w:rsid w:val="00F72A57"/>
    <w:rsid w:val="00F72DF9"/>
    <w:rsid w:val="00F73291"/>
    <w:rsid w:val="00F73A97"/>
    <w:rsid w:val="00F751F4"/>
    <w:rsid w:val="00F76870"/>
    <w:rsid w:val="00F82E6E"/>
    <w:rsid w:val="00F83993"/>
    <w:rsid w:val="00F83F86"/>
    <w:rsid w:val="00F843EA"/>
    <w:rsid w:val="00F84A76"/>
    <w:rsid w:val="00F86F7F"/>
    <w:rsid w:val="00F870C2"/>
    <w:rsid w:val="00F87833"/>
    <w:rsid w:val="00F917E8"/>
    <w:rsid w:val="00F91C2F"/>
    <w:rsid w:val="00F935BB"/>
    <w:rsid w:val="00F965AF"/>
    <w:rsid w:val="00F96E47"/>
    <w:rsid w:val="00FA0997"/>
    <w:rsid w:val="00FA1651"/>
    <w:rsid w:val="00FA3364"/>
    <w:rsid w:val="00FA3BCC"/>
    <w:rsid w:val="00FA4047"/>
    <w:rsid w:val="00FA47E4"/>
    <w:rsid w:val="00FA54C5"/>
    <w:rsid w:val="00FA6478"/>
    <w:rsid w:val="00FA6EA4"/>
    <w:rsid w:val="00FB015A"/>
    <w:rsid w:val="00FB115C"/>
    <w:rsid w:val="00FB129C"/>
    <w:rsid w:val="00FB1D9E"/>
    <w:rsid w:val="00FB34B7"/>
    <w:rsid w:val="00FB4241"/>
    <w:rsid w:val="00FB4406"/>
    <w:rsid w:val="00FB64DA"/>
    <w:rsid w:val="00FB6E05"/>
    <w:rsid w:val="00FC0477"/>
    <w:rsid w:val="00FC21C3"/>
    <w:rsid w:val="00FC2993"/>
    <w:rsid w:val="00FC2DB9"/>
    <w:rsid w:val="00FC5F5E"/>
    <w:rsid w:val="00FD05D1"/>
    <w:rsid w:val="00FD1452"/>
    <w:rsid w:val="00FD154D"/>
    <w:rsid w:val="00FD21B4"/>
    <w:rsid w:val="00FD39D3"/>
    <w:rsid w:val="00FD7A18"/>
    <w:rsid w:val="00FE1FBD"/>
    <w:rsid w:val="00FE2962"/>
    <w:rsid w:val="00FE2C73"/>
    <w:rsid w:val="00FE2EF9"/>
    <w:rsid w:val="00FE3FBC"/>
    <w:rsid w:val="00FE4727"/>
    <w:rsid w:val="00FE4BAC"/>
    <w:rsid w:val="00FE51F4"/>
    <w:rsid w:val="00FE5620"/>
    <w:rsid w:val="00FE571F"/>
    <w:rsid w:val="00FE6616"/>
    <w:rsid w:val="00FE6C03"/>
    <w:rsid w:val="00FE6DE9"/>
    <w:rsid w:val="00FF0472"/>
    <w:rsid w:val="00FF0D2A"/>
    <w:rsid w:val="00FF0D73"/>
    <w:rsid w:val="00FF246A"/>
    <w:rsid w:val="00FF31A3"/>
    <w:rsid w:val="00FF460A"/>
    <w:rsid w:val="00FF49B3"/>
    <w:rsid w:val="00FF5703"/>
    <w:rsid w:val="00FF62B6"/>
    <w:rsid w:val="00FF6437"/>
    <w:rsid w:val="00FF77A1"/>
    <w:rsid w:val="00FF78F6"/>
    <w:rsid w:val="01CE7923"/>
    <w:rsid w:val="02E003C5"/>
    <w:rsid w:val="02FF6C95"/>
    <w:rsid w:val="033835B9"/>
    <w:rsid w:val="04363AE8"/>
    <w:rsid w:val="04AA589D"/>
    <w:rsid w:val="05027B01"/>
    <w:rsid w:val="06606BFB"/>
    <w:rsid w:val="07603356"/>
    <w:rsid w:val="07E53B19"/>
    <w:rsid w:val="08597DA5"/>
    <w:rsid w:val="088210AA"/>
    <w:rsid w:val="08A4332D"/>
    <w:rsid w:val="09625C05"/>
    <w:rsid w:val="09AC24BF"/>
    <w:rsid w:val="09CD45A7"/>
    <w:rsid w:val="09FE0C04"/>
    <w:rsid w:val="0A1C52DC"/>
    <w:rsid w:val="0B225DFB"/>
    <w:rsid w:val="0B354AFA"/>
    <w:rsid w:val="0BA36D7E"/>
    <w:rsid w:val="0BDC095C"/>
    <w:rsid w:val="0BDD7C8A"/>
    <w:rsid w:val="0BE300B2"/>
    <w:rsid w:val="0D4C1C87"/>
    <w:rsid w:val="0D935B07"/>
    <w:rsid w:val="0DF50570"/>
    <w:rsid w:val="0E8A2A67"/>
    <w:rsid w:val="0F953DB9"/>
    <w:rsid w:val="1059113B"/>
    <w:rsid w:val="108A4FA0"/>
    <w:rsid w:val="10E721A2"/>
    <w:rsid w:val="11217992"/>
    <w:rsid w:val="113D27CE"/>
    <w:rsid w:val="11C62A58"/>
    <w:rsid w:val="11FA674D"/>
    <w:rsid w:val="12AF4254"/>
    <w:rsid w:val="12C64616"/>
    <w:rsid w:val="132C67E2"/>
    <w:rsid w:val="134753CA"/>
    <w:rsid w:val="13814F69"/>
    <w:rsid w:val="13FA068E"/>
    <w:rsid w:val="14E153AA"/>
    <w:rsid w:val="151449A5"/>
    <w:rsid w:val="16314110"/>
    <w:rsid w:val="163C6526"/>
    <w:rsid w:val="16EE555F"/>
    <w:rsid w:val="177004DE"/>
    <w:rsid w:val="18026803"/>
    <w:rsid w:val="18203C3B"/>
    <w:rsid w:val="1ACB68E1"/>
    <w:rsid w:val="1ACC0453"/>
    <w:rsid w:val="1B844596"/>
    <w:rsid w:val="1CE26164"/>
    <w:rsid w:val="1D61352C"/>
    <w:rsid w:val="203C3F13"/>
    <w:rsid w:val="20661027"/>
    <w:rsid w:val="209440AA"/>
    <w:rsid w:val="20B1704B"/>
    <w:rsid w:val="21016E14"/>
    <w:rsid w:val="214D627F"/>
    <w:rsid w:val="217E1BBD"/>
    <w:rsid w:val="21C80684"/>
    <w:rsid w:val="21F47A2F"/>
    <w:rsid w:val="228A1178"/>
    <w:rsid w:val="22DF10E6"/>
    <w:rsid w:val="24561F7E"/>
    <w:rsid w:val="26C64867"/>
    <w:rsid w:val="270F24F9"/>
    <w:rsid w:val="27344754"/>
    <w:rsid w:val="273F0FBB"/>
    <w:rsid w:val="27BB3D17"/>
    <w:rsid w:val="27CB586F"/>
    <w:rsid w:val="27E233C2"/>
    <w:rsid w:val="28A511F0"/>
    <w:rsid w:val="28FE01DA"/>
    <w:rsid w:val="29AC3D81"/>
    <w:rsid w:val="29F36631"/>
    <w:rsid w:val="2A9A660B"/>
    <w:rsid w:val="2B3D17CB"/>
    <w:rsid w:val="2B8F74B6"/>
    <w:rsid w:val="2BA031C8"/>
    <w:rsid w:val="2EA64C4C"/>
    <w:rsid w:val="2F320885"/>
    <w:rsid w:val="2F552A64"/>
    <w:rsid w:val="2F701BED"/>
    <w:rsid w:val="2F921D46"/>
    <w:rsid w:val="31291AF0"/>
    <w:rsid w:val="3196326F"/>
    <w:rsid w:val="324F79A0"/>
    <w:rsid w:val="32C956F9"/>
    <w:rsid w:val="32D87995"/>
    <w:rsid w:val="33624D6F"/>
    <w:rsid w:val="33F71E1E"/>
    <w:rsid w:val="34B14942"/>
    <w:rsid w:val="35135550"/>
    <w:rsid w:val="35386647"/>
    <w:rsid w:val="3569521C"/>
    <w:rsid w:val="3591124E"/>
    <w:rsid w:val="36245220"/>
    <w:rsid w:val="364D603B"/>
    <w:rsid w:val="36CE4570"/>
    <w:rsid w:val="36D94B9B"/>
    <w:rsid w:val="36E42DAC"/>
    <w:rsid w:val="373A6E70"/>
    <w:rsid w:val="394624FA"/>
    <w:rsid w:val="3A527AF7"/>
    <w:rsid w:val="3B3D1319"/>
    <w:rsid w:val="3B914B85"/>
    <w:rsid w:val="3BDD7DCA"/>
    <w:rsid w:val="3C1C4D96"/>
    <w:rsid w:val="3C597D99"/>
    <w:rsid w:val="3DB13E3B"/>
    <w:rsid w:val="3DFD24EF"/>
    <w:rsid w:val="3E7C60D2"/>
    <w:rsid w:val="3F2F3033"/>
    <w:rsid w:val="3F836EDA"/>
    <w:rsid w:val="3FC05505"/>
    <w:rsid w:val="414032D5"/>
    <w:rsid w:val="42343402"/>
    <w:rsid w:val="42995053"/>
    <w:rsid w:val="42CE66BF"/>
    <w:rsid w:val="434019E2"/>
    <w:rsid w:val="434D354E"/>
    <w:rsid w:val="44E328F5"/>
    <w:rsid w:val="45814E84"/>
    <w:rsid w:val="45BF7797"/>
    <w:rsid w:val="45F621B4"/>
    <w:rsid w:val="465F578E"/>
    <w:rsid w:val="468B4FF2"/>
    <w:rsid w:val="46A7644D"/>
    <w:rsid w:val="46F7142F"/>
    <w:rsid w:val="478A34FC"/>
    <w:rsid w:val="480F6956"/>
    <w:rsid w:val="481C5B2A"/>
    <w:rsid w:val="490E1F0B"/>
    <w:rsid w:val="499B58EF"/>
    <w:rsid w:val="49DE368B"/>
    <w:rsid w:val="4A6C0C97"/>
    <w:rsid w:val="4AEA6060"/>
    <w:rsid w:val="4B5C08BE"/>
    <w:rsid w:val="4CB64A05"/>
    <w:rsid w:val="4CF14006"/>
    <w:rsid w:val="4D213F1E"/>
    <w:rsid w:val="50854950"/>
    <w:rsid w:val="509F6B09"/>
    <w:rsid w:val="50BD2394"/>
    <w:rsid w:val="515B54F1"/>
    <w:rsid w:val="526D7CA2"/>
    <w:rsid w:val="52800513"/>
    <w:rsid w:val="52816F9E"/>
    <w:rsid w:val="52CD0328"/>
    <w:rsid w:val="532C1C51"/>
    <w:rsid w:val="533D6EDC"/>
    <w:rsid w:val="5398055B"/>
    <w:rsid w:val="539B34DD"/>
    <w:rsid w:val="54332D0A"/>
    <w:rsid w:val="550F51D5"/>
    <w:rsid w:val="56051FA0"/>
    <w:rsid w:val="5634515D"/>
    <w:rsid w:val="569D69D1"/>
    <w:rsid w:val="57550251"/>
    <w:rsid w:val="580C6CA6"/>
    <w:rsid w:val="58775AAE"/>
    <w:rsid w:val="58BD6F6A"/>
    <w:rsid w:val="59155BDF"/>
    <w:rsid w:val="5AB75F5E"/>
    <w:rsid w:val="5AF47185"/>
    <w:rsid w:val="5B9C6656"/>
    <w:rsid w:val="5C484D92"/>
    <w:rsid w:val="5D413B33"/>
    <w:rsid w:val="5E282CCF"/>
    <w:rsid w:val="5EA617B3"/>
    <w:rsid w:val="5F076D88"/>
    <w:rsid w:val="5FB94527"/>
    <w:rsid w:val="5FF22466"/>
    <w:rsid w:val="604C539B"/>
    <w:rsid w:val="60A52CFD"/>
    <w:rsid w:val="60C07B37"/>
    <w:rsid w:val="616F3601"/>
    <w:rsid w:val="617F2D1C"/>
    <w:rsid w:val="619C04EF"/>
    <w:rsid w:val="62653000"/>
    <w:rsid w:val="62B0253E"/>
    <w:rsid w:val="633E24E3"/>
    <w:rsid w:val="63DF6526"/>
    <w:rsid w:val="64085A7D"/>
    <w:rsid w:val="645C36D2"/>
    <w:rsid w:val="646D1D84"/>
    <w:rsid w:val="649B244D"/>
    <w:rsid w:val="64B2784F"/>
    <w:rsid w:val="64CC2606"/>
    <w:rsid w:val="655B0B17"/>
    <w:rsid w:val="65D33E68"/>
    <w:rsid w:val="661A6960"/>
    <w:rsid w:val="66B521F3"/>
    <w:rsid w:val="675A18E7"/>
    <w:rsid w:val="67AB7CE7"/>
    <w:rsid w:val="67FD51CC"/>
    <w:rsid w:val="681731FB"/>
    <w:rsid w:val="689C6793"/>
    <w:rsid w:val="6A554E4C"/>
    <w:rsid w:val="6A6D7AAB"/>
    <w:rsid w:val="6AFF6568"/>
    <w:rsid w:val="6B3510E1"/>
    <w:rsid w:val="6BAB09F8"/>
    <w:rsid w:val="6C136D6D"/>
    <w:rsid w:val="6C145E5A"/>
    <w:rsid w:val="6CC90455"/>
    <w:rsid w:val="6D7D3037"/>
    <w:rsid w:val="6D92578D"/>
    <w:rsid w:val="6DCD4EFC"/>
    <w:rsid w:val="6EF015E7"/>
    <w:rsid w:val="6EF62979"/>
    <w:rsid w:val="70860455"/>
    <w:rsid w:val="70CD1BFC"/>
    <w:rsid w:val="711F7F62"/>
    <w:rsid w:val="732B0E40"/>
    <w:rsid w:val="73CE71AB"/>
    <w:rsid w:val="74424693"/>
    <w:rsid w:val="74B86703"/>
    <w:rsid w:val="74EA7F3B"/>
    <w:rsid w:val="74FF7F1D"/>
    <w:rsid w:val="751F2C26"/>
    <w:rsid w:val="75E25E85"/>
    <w:rsid w:val="75ED6880"/>
    <w:rsid w:val="762D0983"/>
    <w:rsid w:val="7651520C"/>
    <w:rsid w:val="76DF266D"/>
    <w:rsid w:val="77FC07C4"/>
    <w:rsid w:val="78F82795"/>
    <w:rsid w:val="792D1ED3"/>
    <w:rsid w:val="7A36248D"/>
    <w:rsid w:val="7A8552D9"/>
    <w:rsid w:val="7AFC7326"/>
    <w:rsid w:val="7B191C40"/>
    <w:rsid w:val="7B26234D"/>
    <w:rsid w:val="7B7428EB"/>
    <w:rsid w:val="7C277F07"/>
    <w:rsid w:val="7C6D6C5F"/>
    <w:rsid w:val="7D562F5D"/>
    <w:rsid w:val="7D56740C"/>
    <w:rsid w:val="7DA0242A"/>
    <w:rsid w:val="7EBE0DBA"/>
    <w:rsid w:val="7F351213"/>
    <w:rsid w:val="7F3720F0"/>
    <w:rsid w:val="7F4D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iPriority="0" w:semiHidden="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semiHidden="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iPriority="0" w:semiHidden="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143"/>
    <w:qFormat/>
    <w:uiPriority w:val="0"/>
    <w:pPr>
      <w:keepNext/>
      <w:keepLines/>
      <w:spacing w:before="340" w:after="330"/>
      <w:outlineLvl w:val="0"/>
    </w:pPr>
    <w:rPr>
      <w:rFonts w:ascii="华文细黑"/>
      <w:b/>
      <w:bCs/>
      <w:snapToGrid w:val="0"/>
      <w:sz w:val="28"/>
      <w:szCs w:val="44"/>
      <w:lang w:val="zh-CN"/>
    </w:rPr>
  </w:style>
  <w:style w:type="paragraph" w:styleId="5">
    <w:name w:val="heading 2"/>
    <w:basedOn w:val="6"/>
    <w:next w:val="7"/>
    <w:link w:val="144"/>
    <w:qFormat/>
    <w:uiPriority w:val="0"/>
    <w:pPr>
      <w:jc w:val="center"/>
      <w:outlineLvl w:val="1"/>
    </w:pPr>
    <w:rPr>
      <w:rFonts w:ascii="华文细黑"/>
      <w:sz w:val="44"/>
    </w:rPr>
  </w:style>
  <w:style w:type="paragraph" w:styleId="6">
    <w:name w:val="heading 3"/>
    <w:basedOn w:val="7"/>
    <w:next w:val="1"/>
    <w:link w:val="145"/>
    <w:qFormat/>
    <w:uiPriority w:val="0"/>
    <w:pPr>
      <w:spacing w:before="260" w:after="260" w:line="416" w:lineRule="auto"/>
      <w:outlineLvl w:val="2"/>
    </w:pPr>
    <w:rPr>
      <w:rFonts w:eastAsia="华文细黑"/>
      <w:sz w:val="36"/>
      <w:szCs w:val="32"/>
    </w:rPr>
  </w:style>
  <w:style w:type="paragraph" w:styleId="7">
    <w:name w:val="heading 4"/>
    <w:basedOn w:val="1"/>
    <w:next w:val="1"/>
    <w:link w:val="146"/>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147"/>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148"/>
    <w:qFormat/>
    <w:uiPriority w:val="0"/>
    <w:pPr>
      <w:keepNext/>
      <w:keepLines/>
      <w:spacing w:before="240" w:after="64" w:line="320" w:lineRule="auto"/>
      <w:outlineLvl w:val="5"/>
    </w:pPr>
    <w:rPr>
      <w:rFonts w:ascii="Arial" w:hAnsi="Arial" w:eastAsia="黑体"/>
      <w:b/>
      <w:bCs/>
      <w:lang w:val="zh-CN"/>
    </w:rPr>
  </w:style>
  <w:style w:type="paragraph" w:styleId="10">
    <w:name w:val="heading 7"/>
    <w:basedOn w:val="1"/>
    <w:next w:val="1"/>
    <w:link w:val="149"/>
    <w:qFormat/>
    <w:uiPriority w:val="0"/>
    <w:pPr>
      <w:keepNext/>
      <w:keepLines/>
      <w:spacing w:before="240" w:after="64" w:line="320" w:lineRule="auto"/>
      <w:outlineLvl w:val="6"/>
    </w:pPr>
    <w:rPr>
      <w:b/>
      <w:bCs/>
      <w:lang w:val="zh-CN"/>
    </w:rPr>
  </w:style>
  <w:style w:type="paragraph" w:styleId="11">
    <w:name w:val="heading 8"/>
    <w:basedOn w:val="1"/>
    <w:next w:val="1"/>
    <w:link w:val="150"/>
    <w:qFormat/>
    <w:uiPriority w:val="0"/>
    <w:pPr>
      <w:keepNext/>
      <w:keepLines/>
      <w:spacing w:before="240" w:after="64" w:line="320" w:lineRule="auto"/>
      <w:outlineLvl w:val="7"/>
    </w:pPr>
    <w:rPr>
      <w:rFonts w:ascii="Arial" w:hAnsi="Arial" w:eastAsia="黑体"/>
      <w:lang w:val="zh-CN"/>
    </w:rPr>
  </w:style>
  <w:style w:type="paragraph" w:styleId="12">
    <w:name w:val="heading 9"/>
    <w:basedOn w:val="1"/>
    <w:next w:val="1"/>
    <w:link w:val="151"/>
    <w:qFormat/>
    <w:uiPriority w:val="0"/>
    <w:pPr>
      <w:keepNext/>
      <w:keepLines/>
      <w:spacing w:before="240" w:after="64" w:line="320" w:lineRule="auto"/>
      <w:outlineLvl w:val="8"/>
    </w:pPr>
    <w:rPr>
      <w:rFonts w:ascii="Arial" w:hAnsi="Arial" w:eastAsia="黑体"/>
      <w:szCs w:val="21"/>
      <w:lang w:val="zh-CN"/>
    </w:rPr>
  </w:style>
  <w:style w:type="character" w:default="1" w:styleId="127">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21"/>
    <w:unhideWhenUsed/>
    <w:qFormat/>
    <w:uiPriority w:val="0"/>
    <w:pPr>
      <w:ind w:firstLine="420" w:firstLineChars="200"/>
    </w:pPr>
  </w:style>
  <w:style w:type="paragraph" w:styleId="3">
    <w:name w:val="Body Text Indent"/>
    <w:basedOn w:val="1"/>
    <w:next w:val="1"/>
    <w:link w:val="166"/>
    <w:qFormat/>
    <w:uiPriority w:val="99"/>
    <w:pPr>
      <w:spacing w:line="360" w:lineRule="auto"/>
      <w:ind w:firstLine="630"/>
    </w:pPr>
    <w:rPr>
      <w:szCs w:val="20"/>
    </w:rPr>
  </w:style>
  <w:style w:type="paragraph" w:styleId="13">
    <w:name w:val="List 3"/>
    <w:basedOn w:val="1"/>
    <w:semiHidden/>
    <w:qFormat/>
    <w:uiPriority w:val="0"/>
    <w:pPr>
      <w:widowControl w:val="0"/>
      <w:ind w:left="100" w:leftChars="400" w:hanging="200" w:hangingChars="200"/>
      <w:jc w:val="both"/>
    </w:pPr>
    <w:rPr>
      <w:rFonts w:ascii="Times New Roman" w:hAnsi="Times New Roman" w:cs="Times New Roman"/>
      <w:kern w:val="2"/>
      <w:sz w:val="21"/>
    </w:rPr>
  </w:style>
  <w:style w:type="paragraph" w:styleId="14">
    <w:name w:val="toc 7"/>
    <w:basedOn w:val="1"/>
    <w:next w:val="1"/>
    <w:qFormat/>
    <w:uiPriority w:val="0"/>
    <w:pPr>
      <w:ind w:left="1440"/>
    </w:pPr>
    <w:rPr>
      <w:sz w:val="18"/>
      <w:szCs w:val="18"/>
    </w:rPr>
  </w:style>
  <w:style w:type="paragraph" w:styleId="15">
    <w:name w:val="List Number 2"/>
    <w:basedOn w:val="1"/>
    <w:semiHidden/>
    <w:qFormat/>
    <w:uiPriority w:val="0"/>
    <w:pPr>
      <w:widowControl w:val="0"/>
      <w:numPr>
        <w:ilvl w:val="0"/>
        <w:numId w:val="1"/>
      </w:numPr>
      <w:jc w:val="both"/>
    </w:pPr>
    <w:rPr>
      <w:rFonts w:ascii="Times New Roman" w:hAnsi="Times New Roman" w:cs="Times New Roman"/>
      <w:kern w:val="2"/>
      <w:sz w:val="21"/>
    </w:rPr>
  </w:style>
  <w:style w:type="paragraph" w:styleId="16">
    <w:name w:val="Note Heading"/>
    <w:basedOn w:val="1"/>
    <w:next w:val="1"/>
    <w:link w:val="239"/>
    <w:semiHidden/>
    <w:qFormat/>
    <w:uiPriority w:val="0"/>
    <w:pPr>
      <w:widowControl w:val="0"/>
      <w:jc w:val="center"/>
    </w:pPr>
    <w:rPr>
      <w:rFonts w:ascii="Times New Roman" w:hAnsi="Times New Roman" w:cs="Times New Roman"/>
      <w:sz w:val="20"/>
    </w:rPr>
  </w:style>
  <w:style w:type="paragraph" w:styleId="17">
    <w:name w:val="List Bullet 4"/>
    <w:basedOn w:val="1"/>
    <w:semiHidden/>
    <w:qFormat/>
    <w:uiPriority w:val="0"/>
    <w:pPr>
      <w:widowControl w:val="0"/>
      <w:numPr>
        <w:ilvl w:val="0"/>
        <w:numId w:val="2"/>
      </w:numPr>
      <w:tabs>
        <w:tab w:val="left" w:pos="360"/>
        <w:tab w:val="clear" w:pos="1620"/>
      </w:tabs>
      <w:ind w:left="0" w:firstLine="0"/>
      <w:jc w:val="both"/>
    </w:pPr>
    <w:rPr>
      <w:rFonts w:ascii="Times New Roman" w:hAnsi="Times New Roman" w:cs="Times New Roman"/>
      <w:kern w:val="2"/>
      <w:sz w:val="21"/>
    </w:rPr>
  </w:style>
  <w:style w:type="paragraph" w:styleId="18">
    <w:name w:val="index 8"/>
    <w:basedOn w:val="1"/>
    <w:next w:val="1"/>
    <w:semiHidden/>
    <w:qFormat/>
    <w:uiPriority w:val="0"/>
    <w:pPr>
      <w:widowControl w:val="0"/>
      <w:ind w:left="1680" w:hanging="210"/>
    </w:pPr>
    <w:rPr>
      <w:rFonts w:ascii="Times New Roman" w:hAnsi="Times New Roman" w:cs="Times New Roman"/>
      <w:kern w:val="2"/>
      <w:sz w:val="20"/>
      <w:szCs w:val="20"/>
    </w:rPr>
  </w:style>
  <w:style w:type="paragraph" w:styleId="19">
    <w:name w:val="E-mail Signature"/>
    <w:basedOn w:val="1"/>
    <w:link w:val="241"/>
    <w:semiHidden/>
    <w:qFormat/>
    <w:uiPriority w:val="0"/>
    <w:pPr>
      <w:widowControl w:val="0"/>
      <w:jc w:val="both"/>
    </w:pPr>
    <w:rPr>
      <w:rFonts w:ascii="Times New Roman" w:hAnsi="Times New Roman" w:cs="Times New Roman"/>
      <w:sz w:val="20"/>
    </w:rPr>
  </w:style>
  <w:style w:type="paragraph" w:styleId="20">
    <w:name w:val="List Number"/>
    <w:basedOn w:val="1"/>
    <w:semiHidden/>
    <w:qFormat/>
    <w:uiPriority w:val="0"/>
    <w:pPr>
      <w:widowControl w:val="0"/>
      <w:numPr>
        <w:ilvl w:val="0"/>
        <w:numId w:val="3"/>
      </w:numPr>
      <w:jc w:val="both"/>
    </w:pPr>
    <w:rPr>
      <w:rFonts w:ascii="Times New Roman" w:hAnsi="Times New Roman" w:cs="Times New Roman"/>
      <w:kern w:val="2"/>
      <w:sz w:val="21"/>
    </w:rPr>
  </w:style>
  <w:style w:type="paragraph" w:styleId="21">
    <w:name w:val="Normal Indent"/>
    <w:basedOn w:val="1"/>
    <w:qFormat/>
    <w:uiPriority w:val="0"/>
    <w:pPr>
      <w:ind w:firstLine="420"/>
    </w:pPr>
    <w:rPr>
      <w:szCs w:val="20"/>
    </w:rPr>
  </w:style>
  <w:style w:type="paragraph" w:styleId="22">
    <w:name w:val="index 5"/>
    <w:basedOn w:val="1"/>
    <w:next w:val="1"/>
    <w:semiHidden/>
    <w:qFormat/>
    <w:uiPriority w:val="0"/>
    <w:pPr>
      <w:widowControl w:val="0"/>
      <w:ind w:left="1050" w:hanging="210"/>
    </w:pPr>
    <w:rPr>
      <w:rFonts w:ascii="Times New Roman" w:hAnsi="Times New Roman" w:cs="Times New Roman"/>
      <w:kern w:val="2"/>
      <w:sz w:val="20"/>
      <w:szCs w:val="20"/>
    </w:rPr>
  </w:style>
  <w:style w:type="paragraph" w:styleId="23">
    <w:name w:val="List Bullet"/>
    <w:basedOn w:val="1"/>
    <w:semiHidden/>
    <w:qFormat/>
    <w:uiPriority w:val="0"/>
    <w:pPr>
      <w:widowControl w:val="0"/>
      <w:numPr>
        <w:ilvl w:val="0"/>
        <w:numId w:val="4"/>
      </w:numPr>
      <w:jc w:val="both"/>
    </w:pPr>
    <w:rPr>
      <w:rFonts w:ascii="Times New Roman" w:hAnsi="Times New Roman" w:cs="Times New Roman"/>
      <w:kern w:val="2"/>
      <w:sz w:val="21"/>
    </w:rPr>
  </w:style>
  <w:style w:type="paragraph" w:styleId="24">
    <w:name w:val="envelope address"/>
    <w:basedOn w:val="1"/>
    <w:semiHidden/>
    <w:qFormat/>
    <w:uiPriority w:val="0"/>
    <w:pPr>
      <w:framePr w:w="7920" w:h="1980" w:hRule="exact" w:hSpace="180" w:wrap="around" w:vAnchor="margin" w:hAnchor="page" w:xAlign="center" w:yAlign="bottom"/>
      <w:widowControl w:val="0"/>
      <w:snapToGrid w:val="0"/>
      <w:ind w:left="100" w:leftChars="1400"/>
      <w:jc w:val="both"/>
    </w:pPr>
    <w:rPr>
      <w:rFonts w:ascii="Arial" w:hAnsi="Arial" w:cs="Arial"/>
      <w:kern w:val="2"/>
    </w:rPr>
  </w:style>
  <w:style w:type="paragraph" w:styleId="25">
    <w:name w:val="Document Map"/>
    <w:basedOn w:val="1"/>
    <w:link w:val="155"/>
    <w:qFormat/>
    <w:uiPriority w:val="0"/>
    <w:pPr>
      <w:shd w:val="clear" w:color="auto" w:fill="000080"/>
    </w:pPr>
    <w:rPr>
      <w:rFonts w:eastAsiaTheme="minorEastAsia" w:cstheme="minorBidi"/>
    </w:rPr>
  </w:style>
  <w:style w:type="paragraph" w:styleId="26">
    <w:name w:val="toa heading"/>
    <w:basedOn w:val="1"/>
    <w:next w:val="1"/>
    <w:semiHidden/>
    <w:qFormat/>
    <w:uiPriority w:val="0"/>
    <w:pPr>
      <w:widowControl w:val="0"/>
      <w:autoSpaceDE w:val="0"/>
      <w:autoSpaceDN w:val="0"/>
      <w:adjustRightInd w:val="0"/>
      <w:spacing w:before="120" w:after="60" w:line="360" w:lineRule="auto"/>
      <w:ind w:right="-425"/>
      <w:jc w:val="both"/>
    </w:pPr>
    <w:rPr>
      <w:rFonts w:ascii="Arial" w:hAnsi="Arial" w:cs="Times New Roman"/>
      <w:color w:val="000000"/>
      <w:kern w:val="2"/>
      <w:szCs w:val="20"/>
    </w:rPr>
  </w:style>
  <w:style w:type="paragraph" w:styleId="27">
    <w:name w:val="annotation text"/>
    <w:basedOn w:val="1"/>
    <w:link w:val="152"/>
    <w:qFormat/>
    <w:uiPriority w:val="0"/>
    <w:rPr>
      <w:rFonts w:eastAsiaTheme="minorEastAsia" w:cstheme="minorBidi"/>
    </w:rPr>
  </w:style>
  <w:style w:type="paragraph" w:styleId="28">
    <w:name w:val="index 6"/>
    <w:basedOn w:val="1"/>
    <w:next w:val="1"/>
    <w:semiHidden/>
    <w:qFormat/>
    <w:uiPriority w:val="0"/>
    <w:pPr>
      <w:widowControl w:val="0"/>
      <w:ind w:left="1260" w:hanging="210"/>
    </w:pPr>
    <w:rPr>
      <w:rFonts w:ascii="Times New Roman" w:hAnsi="Times New Roman" w:cs="Times New Roman"/>
      <w:kern w:val="2"/>
      <w:sz w:val="20"/>
      <w:szCs w:val="20"/>
    </w:rPr>
  </w:style>
  <w:style w:type="paragraph" w:styleId="29">
    <w:name w:val="Salutation"/>
    <w:basedOn w:val="1"/>
    <w:next w:val="1"/>
    <w:link w:val="227"/>
    <w:semiHidden/>
    <w:qFormat/>
    <w:uiPriority w:val="0"/>
    <w:pPr>
      <w:widowControl w:val="0"/>
      <w:jc w:val="both"/>
    </w:pPr>
    <w:rPr>
      <w:rFonts w:ascii="Times New Roman" w:hAnsi="Times New Roman" w:cs="Times New Roman"/>
      <w:sz w:val="20"/>
    </w:rPr>
  </w:style>
  <w:style w:type="paragraph" w:styleId="30">
    <w:name w:val="Body Text 3"/>
    <w:basedOn w:val="1"/>
    <w:link w:val="228"/>
    <w:semiHidden/>
    <w:qFormat/>
    <w:uiPriority w:val="0"/>
    <w:pPr>
      <w:widowControl w:val="0"/>
      <w:spacing w:after="120"/>
      <w:jc w:val="both"/>
    </w:pPr>
    <w:rPr>
      <w:rFonts w:ascii="Times New Roman" w:hAnsi="Times New Roman" w:cs="Times New Roman"/>
      <w:sz w:val="16"/>
      <w:szCs w:val="16"/>
    </w:rPr>
  </w:style>
  <w:style w:type="paragraph" w:styleId="31">
    <w:name w:val="Closing"/>
    <w:basedOn w:val="1"/>
    <w:link w:val="214"/>
    <w:semiHidden/>
    <w:qFormat/>
    <w:uiPriority w:val="0"/>
    <w:pPr>
      <w:widowControl w:val="0"/>
      <w:ind w:left="100" w:leftChars="2100"/>
      <w:jc w:val="both"/>
    </w:pPr>
    <w:rPr>
      <w:rFonts w:ascii="Times New Roman" w:hAnsi="Times New Roman" w:cs="Times New Roman"/>
      <w:sz w:val="20"/>
    </w:rPr>
  </w:style>
  <w:style w:type="paragraph" w:styleId="32">
    <w:name w:val="List Bullet 3"/>
    <w:basedOn w:val="1"/>
    <w:semiHidden/>
    <w:qFormat/>
    <w:uiPriority w:val="0"/>
    <w:pPr>
      <w:widowControl w:val="0"/>
      <w:numPr>
        <w:ilvl w:val="0"/>
        <w:numId w:val="5"/>
      </w:numPr>
      <w:jc w:val="both"/>
    </w:pPr>
    <w:rPr>
      <w:rFonts w:ascii="Times New Roman" w:hAnsi="Times New Roman" w:cs="Times New Roman"/>
      <w:kern w:val="2"/>
      <w:sz w:val="21"/>
    </w:rPr>
  </w:style>
  <w:style w:type="paragraph" w:styleId="33">
    <w:name w:val="Body Text"/>
    <w:basedOn w:val="1"/>
    <w:next w:val="1"/>
    <w:link w:val="164"/>
    <w:qFormat/>
    <w:uiPriority w:val="99"/>
    <w:pPr>
      <w:spacing w:line="320" w:lineRule="exact"/>
    </w:pPr>
    <w:rPr>
      <w:b/>
      <w:bCs/>
    </w:rPr>
  </w:style>
  <w:style w:type="paragraph" w:styleId="34">
    <w:name w:val="List Number 3"/>
    <w:basedOn w:val="1"/>
    <w:semiHidden/>
    <w:qFormat/>
    <w:uiPriority w:val="0"/>
    <w:pPr>
      <w:widowControl w:val="0"/>
      <w:numPr>
        <w:ilvl w:val="0"/>
        <w:numId w:val="6"/>
      </w:numPr>
      <w:jc w:val="both"/>
    </w:pPr>
    <w:rPr>
      <w:rFonts w:ascii="Times New Roman" w:hAnsi="Times New Roman" w:cs="Times New Roman"/>
      <w:kern w:val="2"/>
      <w:sz w:val="21"/>
    </w:rPr>
  </w:style>
  <w:style w:type="paragraph" w:styleId="35">
    <w:name w:val="List 2"/>
    <w:basedOn w:val="1"/>
    <w:semiHidden/>
    <w:qFormat/>
    <w:uiPriority w:val="0"/>
    <w:pPr>
      <w:widowControl w:val="0"/>
      <w:ind w:left="100" w:leftChars="200" w:hanging="200" w:hangingChars="200"/>
      <w:jc w:val="both"/>
    </w:pPr>
    <w:rPr>
      <w:rFonts w:ascii="Times New Roman" w:hAnsi="Times New Roman" w:cs="Times New Roman"/>
      <w:kern w:val="2"/>
      <w:sz w:val="21"/>
    </w:rPr>
  </w:style>
  <w:style w:type="paragraph" w:styleId="36">
    <w:name w:val="List Continue"/>
    <w:basedOn w:val="1"/>
    <w:semiHidden/>
    <w:qFormat/>
    <w:uiPriority w:val="0"/>
    <w:pPr>
      <w:widowControl w:val="0"/>
      <w:spacing w:after="120"/>
      <w:ind w:left="420" w:leftChars="200"/>
      <w:jc w:val="both"/>
    </w:pPr>
    <w:rPr>
      <w:rFonts w:ascii="Times New Roman" w:hAnsi="Times New Roman" w:cs="Times New Roman"/>
      <w:kern w:val="2"/>
      <w:sz w:val="21"/>
    </w:rPr>
  </w:style>
  <w:style w:type="paragraph" w:styleId="37">
    <w:name w:val="Block Text"/>
    <w:basedOn w:val="1"/>
    <w:semiHidden/>
    <w:qFormat/>
    <w:uiPriority w:val="0"/>
    <w:pPr>
      <w:widowControl w:val="0"/>
      <w:spacing w:after="120"/>
      <w:ind w:left="1440" w:leftChars="700" w:right="1440" w:rightChars="700"/>
      <w:jc w:val="both"/>
    </w:pPr>
    <w:rPr>
      <w:rFonts w:ascii="Times New Roman" w:hAnsi="Times New Roman" w:cs="Times New Roman"/>
      <w:kern w:val="2"/>
      <w:sz w:val="21"/>
    </w:rPr>
  </w:style>
  <w:style w:type="paragraph" w:styleId="38">
    <w:name w:val="List Bullet 2"/>
    <w:basedOn w:val="1"/>
    <w:semiHidden/>
    <w:qFormat/>
    <w:uiPriority w:val="0"/>
    <w:pPr>
      <w:widowControl w:val="0"/>
      <w:numPr>
        <w:ilvl w:val="0"/>
        <w:numId w:val="7"/>
      </w:numPr>
      <w:jc w:val="both"/>
    </w:pPr>
    <w:rPr>
      <w:rFonts w:ascii="Times New Roman" w:hAnsi="Times New Roman" w:cs="Times New Roman"/>
      <w:kern w:val="2"/>
      <w:sz w:val="21"/>
    </w:rPr>
  </w:style>
  <w:style w:type="paragraph" w:styleId="39">
    <w:name w:val="HTML Address"/>
    <w:basedOn w:val="1"/>
    <w:link w:val="212"/>
    <w:semiHidden/>
    <w:qFormat/>
    <w:uiPriority w:val="0"/>
    <w:pPr>
      <w:widowControl w:val="0"/>
      <w:jc w:val="both"/>
    </w:pPr>
    <w:rPr>
      <w:rFonts w:ascii="Times New Roman" w:hAnsi="Times New Roman" w:cs="Times New Roman"/>
      <w:i/>
      <w:iCs/>
      <w:sz w:val="20"/>
    </w:rPr>
  </w:style>
  <w:style w:type="paragraph" w:styleId="40">
    <w:name w:val="index 4"/>
    <w:basedOn w:val="1"/>
    <w:next w:val="1"/>
    <w:semiHidden/>
    <w:qFormat/>
    <w:uiPriority w:val="0"/>
    <w:pPr>
      <w:widowControl w:val="0"/>
      <w:ind w:left="840" w:hanging="210"/>
    </w:pPr>
    <w:rPr>
      <w:rFonts w:ascii="Times New Roman" w:hAnsi="Times New Roman" w:cs="Times New Roman"/>
      <w:kern w:val="2"/>
      <w:sz w:val="20"/>
      <w:szCs w:val="20"/>
    </w:rPr>
  </w:style>
  <w:style w:type="paragraph" w:styleId="41">
    <w:name w:val="toc 5"/>
    <w:basedOn w:val="1"/>
    <w:next w:val="1"/>
    <w:qFormat/>
    <w:uiPriority w:val="0"/>
    <w:pPr>
      <w:ind w:left="960"/>
    </w:pPr>
    <w:rPr>
      <w:sz w:val="18"/>
      <w:szCs w:val="18"/>
    </w:rPr>
  </w:style>
  <w:style w:type="paragraph" w:styleId="42">
    <w:name w:val="toc 3"/>
    <w:basedOn w:val="1"/>
    <w:next w:val="1"/>
    <w:qFormat/>
    <w:uiPriority w:val="0"/>
    <w:pPr>
      <w:ind w:left="480"/>
    </w:pPr>
    <w:rPr>
      <w:i/>
      <w:iCs/>
      <w:sz w:val="20"/>
      <w:szCs w:val="20"/>
    </w:rPr>
  </w:style>
  <w:style w:type="paragraph" w:styleId="43">
    <w:name w:val="Plain Text"/>
    <w:basedOn w:val="1"/>
    <w:link w:val="163"/>
    <w:qFormat/>
    <w:uiPriority w:val="0"/>
    <w:rPr>
      <w:rFonts w:hAnsi="Courier New" w:cs="Courier New"/>
      <w:szCs w:val="21"/>
    </w:rPr>
  </w:style>
  <w:style w:type="paragraph" w:styleId="44">
    <w:name w:val="List Bullet 5"/>
    <w:basedOn w:val="1"/>
    <w:semiHidden/>
    <w:qFormat/>
    <w:uiPriority w:val="0"/>
    <w:pPr>
      <w:widowControl w:val="0"/>
      <w:tabs>
        <w:tab w:val="left" w:pos="2040"/>
      </w:tabs>
      <w:ind w:left="2040" w:hanging="360"/>
      <w:jc w:val="both"/>
    </w:pPr>
    <w:rPr>
      <w:rFonts w:ascii="Times New Roman" w:hAnsi="Times New Roman" w:cs="Times New Roman"/>
      <w:kern w:val="2"/>
      <w:sz w:val="21"/>
    </w:rPr>
  </w:style>
  <w:style w:type="paragraph" w:styleId="45">
    <w:name w:val="List Number 4"/>
    <w:basedOn w:val="1"/>
    <w:semiHidden/>
    <w:qFormat/>
    <w:uiPriority w:val="0"/>
    <w:pPr>
      <w:widowControl w:val="0"/>
      <w:numPr>
        <w:ilvl w:val="0"/>
        <w:numId w:val="8"/>
      </w:numPr>
      <w:jc w:val="both"/>
    </w:pPr>
    <w:rPr>
      <w:rFonts w:ascii="Times New Roman" w:hAnsi="Times New Roman" w:cs="Times New Roman"/>
      <w:kern w:val="2"/>
      <w:sz w:val="21"/>
    </w:rPr>
  </w:style>
  <w:style w:type="paragraph" w:styleId="46">
    <w:name w:val="toc 8"/>
    <w:basedOn w:val="1"/>
    <w:next w:val="1"/>
    <w:qFormat/>
    <w:uiPriority w:val="0"/>
    <w:pPr>
      <w:ind w:left="1680"/>
    </w:pPr>
    <w:rPr>
      <w:sz w:val="18"/>
      <w:szCs w:val="18"/>
    </w:rPr>
  </w:style>
  <w:style w:type="paragraph" w:styleId="47">
    <w:name w:val="index 3"/>
    <w:basedOn w:val="1"/>
    <w:next w:val="1"/>
    <w:semiHidden/>
    <w:qFormat/>
    <w:uiPriority w:val="0"/>
    <w:pPr>
      <w:widowControl w:val="0"/>
      <w:ind w:left="630" w:hanging="210"/>
    </w:pPr>
    <w:rPr>
      <w:rFonts w:ascii="Times New Roman" w:hAnsi="Times New Roman" w:cs="Times New Roman"/>
      <w:kern w:val="2"/>
      <w:sz w:val="20"/>
      <w:szCs w:val="20"/>
    </w:rPr>
  </w:style>
  <w:style w:type="paragraph" w:styleId="48">
    <w:name w:val="Date"/>
    <w:basedOn w:val="1"/>
    <w:next w:val="1"/>
    <w:link w:val="169"/>
    <w:qFormat/>
    <w:uiPriority w:val="0"/>
    <w:pPr>
      <w:ind w:left="100" w:leftChars="2500"/>
    </w:pPr>
    <w:rPr>
      <w:rFonts w:asciiTheme="minorHAnsi" w:hAnsiTheme="minorHAnsi" w:eastAsiaTheme="minorEastAsia" w:cstheme="minorBidi"/>
    </w:rPr>
  </w:style>
  <w:style w:type="paragraph" w:styleId="49">
    <w:name w:val="Body Text Indent 2"/>
    <w:basedOn w:val="1"/>
    <w:link w:val="165"/>
    <w:qFormat/>
    <w:uiPriority w:val="0"/>
    <w:pPr>
      <w:ind w:firstLine="640" w:firstLineChars="200"/>
    </w:pPr>
    <w:rPr>
      <w:rFonts w:eastAsia="仿宋_GB2312"/>
      <w:sz w:val="32"/>
    </w:rPr>
  </w:style>
  <w:style w:type="paragraph" w:styleId="50">
    <w:name w:val="List Continue 5"/>
    <w:basedOn w:val="1"/>
    <w:semiHidden/>
    <w:qFormat/>
    <w:uiPriority w:val="0"/>
    <w:pPr>
      <w:widowControl w:val="0"/>
      <w:spacing w:after="120"/>
      <w:ind w:left="2100" w:leftChars="1000"/>
      <w:jc w:val="both"/>
    </w:pPr>
    <w:rPr>
      <w:rFonts w:ascii="Times New Roman" w:hAnsi="Times New Roman" w:cs="Times New Roman"/>
      <w:kern w:val="2"/>
      <w:sz w:val="21"/>
    </w:rPr>
  </w:style>
  <w:style w:type="paragraph" w:styleId="51">
    <w:name w:val="Balloon Text"/>
    <w:basedOn w:val="1"/>
    <w:link w:val="154"/>
    <w:qFormat/>
    <w:uiPriority w:val="0"/>
    <w:rPr>
      <w:sz w:val="18"/>
      <w:szCs w:val="18"/>
      <w:lang w:val="zh-CN"/>
    </w:rPr>
  </w:style>
  <w:style w:type="paragraph" w:styleId="52">
    <w:name w:val="footer"/>
    <w:basedOn w:val="1"/>
    <w:link w:val="161"/>
    <w:unhideWhenUsed/>
    <w:qFormat/>
    <w:uiPriority w:val="0"/>
    <w:pPr>
      <w:tabs>
        <w:tab w:val="center" w:pos="4153"/>
        <w:tab w:val="right" w:pos="8306"/>
      </w:tabs>
      <w:snapToGrid w:val="0"/>
    </w:pPr>
    <w:rPr>
      <w:sz w:val="18"/>
      <w:szCs w:val="18"/>
    </w:rPr>
  </w:style>
  <w:style w:type="paragraph" w:styleId="53">
    <w:name w:val="envelope return"/>
    <w:basedOn w:val="1"/>
    <w:semiHidden/>
    <w:qFormat/>
    <w:uiPriority w:val="0"/>
    <w:pPr>
      <w:widowControl w:val="0"/>
      <w:snapToGrid w:val="0"/>
      <w:jc w:val="both"/>
    </w:pPr>
    <w:rPr>
      <w:rFonts w:ascii="Arial" w:hAnsi="Arial" w:cs="Arial"/>
      <w:kern w:val="2"/>
      <w:sz w:val="21"/>
    </w:rPr>
  </w:style>
  <w:style w:type="paragraph" w:styleId="54">
    <w:name w:val="header"/>
    <w:basedOn w:val="1"/>
    <w:link w:val="157"/>
    <w:unhideWhenUsed/>
    <w:qFormat/>
    <w:uiPriority w:val="0"/>
    <w:pPr>
      <w:pBdr>
        <w:bottom w:val="single" w:color="auto" w:sz="6" w:space="1"/>
      </w:pBdr>
      <w:tabs>
        <w:tab w:val="center" w:pos="4153"/>
        <w:tab w:val="right" w:pos="8306"/>
      </w:tabs>
      <w:snapToGrid w:val="0"/>
      <w:jc w:val="center"/>
    </w:pPr>
    <w:rPr>
      <w:sz w:val="18"/>
      <w:szCs w:val="18"/>
    </w:rPr>
  </w:style>
  <w:style w:type="paragraph" w:styleId="55">
    <w:name w:val="Signature"/>
    <w:basedOn w:val="1"/>
    <w:link w:val="238"/>
    <w:semiHidden/>
    <w:qFormat/>
    <w:uiPriority w:val="0"/>
    <w:pPr>
      <w:widowControl w:val="0"/>
      <w:ind w:left="100" w:leftChars="2100"/>
      <w:jc w:val="both"/>
    </w:pPr>
    <w:rPr>
      <w:rFonts w:ascii="Times New Roman" w:hAnsi="Times New Roman" w:cs="Times New Roman"/>
      <w:sz w:val="20"/>
    </w:rPr>
  </w:style>
  <w:style w:type="paragraph" w:styleId="56">
    <w:name w:val="toc 1"/>
    <w:basedOn w:val="1"/>
    <w:next w:val="1"/>
    <w:qFormat/>
    <w:uiPriority w:val="0"/>
    <w:pPr>
      <w:spacing w:before="120" w:after="120"/>
    </w:pPr>
    <w:rPr>
      <w:b/>
      <w:bCs/>
      <w:caps/>
      <w:sz w:val="20"/>
      <w:szCs w:val="20"/>
    </w:rPr>
  </w:style>
  <w:style w:type="paragraph" w:styleId="57">
    <w:name w:val="List Continue 4"/>
    <w:basedOn w:val="1"/>
    <w:semiHidden/>
    <w:qFormat/>
    <w:uiPriority w:val="0"/>
    <w:pPr>
      <w:widowControl w:val="0"/>
      <w:spacing w:after="120"/>
      <w:ind w:left="1680" w:leftChars="800"/>
      <w:jc w:val="both"/>
    </w:pPr>
    <w:rPr>
      <w:rFonts w:ascii="Times New Roman" w:hAnsi="Times New Roman" w:cs="Times New Roman"/>
      <w:kern w:val="2"/>
      <w:sz w:val="21"/>
    </w:rPr>
  </w:style>
  <w:style w:type="paragraph" w:styleId="58">
    <w:name w:val="toc 4"/>
    <w:basedOn w:val="1"/>
    <w:next w:val="1"/>
    <w:qFormat/>
    <w:uiPriority w:val="0"/>
    <w:pPr>
      <w:ind w:left="720"/>
    </w:pPr>
    <w:rPr>
      <w:sz w:val="18"/>
      <w:szCs w:val="18"/>
    </w:rPr>
  </w:style>
  <w:style w:type="paragraph" w:styleId="59">
    <w:name w:val="index heading"/>
    <w:basedOn w:val="1"/>
    <w:next w:val="60"/>
    <w:semiHidden/>
    <w:qFormat/>
    <w:uiPriority w:val="0"/>
    <w:pPr>
      <w:widowControl w:val="0"/>
      <w:spacing w:before="120" w:after="120"/>
    </w:pPr>
    <w:rPr>
      <w:rFonts w:ascii="Times New Roman" w:hAnsi="Times New Roman" w:cs="Times New Roman"/>
      <w:b/>
      <w:bCs/>
      <w:i/>
      <w:iCs/>
      <w:kern w:val="2"/>
      <w:sz w:val="20"/>
      <w:szCs w:val="20"/>
    </w:rPr>
  </w:style>
  <w:style w:type="paragraph" w:styleId="60">
    <w:name w:val="index 1"/>
    <w:basedOn w:val="1"/>
    <w:next w:val="1"/>
    <w:qFormat/>
    <w:uiPriority w:val="0"/>
    <w:pPr>
      <w:spacing w:line="360" w:lineRule="auto"/>
    </w:pPr>
    <w:rPr>
      <w:b/>
      <w:color w:val="0000FF"/>
    </w:rPr>
  </w:style>
  <w:style w:type="paragraph" w:styleId="61">
    <w:name w:val="Subtitle"/>
    <w:basedOn w:val="1"/>
    <w:next w:val="1"/>
    <w:link w:val="233"/>
    <w:qFormat/>
    <w:uiPriority w:val="11"/>
    <w:pPr>
      <w:widowControl w:val="0"/>
      <w:spacing w:before="240" w:after="60" w:line="312" w:lineRule="auto"/>
      <w:outlineLvl w:val="1"/>
    </w:pPr>
    <w:rPr>
      <w:rFonts w:ascii="Cambria" w:hAnsi="Cambria" w:eastAsia="黑体" w:cs="Times New Roman"/>
      <w:bCs/>
      <w:kern w:val="28"/>
      <w:sz w:val="28"/>
      <w:szCs w:val="32"/>
    </w:rPr>
  </w:style>
  <w:style w:type="paragraph" w:styleId="62">
    <w:name w:val="List Number 5"/>
    <w:basedOn w:val="1"/>
    <w:semiHidden/>
    <w:qFormat/>
    <w:uiPriority w:val="0"/>
    <w:pPr>
      <w:widowControl w:val="0"/>
      <w:numPr>
        <w:ilvl w:val="0"/>
        <w:numId w:val="9"/>
      </w:numPr>
      <w:jc w:val="both"/>
    </w:pPr>
    <w:rPr>
      <w:rFonts w:ascii="Times New Roman" w:hAnsi="Times New Roman" w:cs="Times New Roman"/>
      <w:kern w:val="2"/>
      <w:sz w:val="21"/>
    </w:rPr>
  </w:style>
  <w:style w:type="paragraph" w:styleId="63">
    <w:name w:val="List"/>
    <w:basedOn w:val="1"/>
    <w:semiHidden/>
    <w:qFormat/>
    <w:uiPriority w:val="0"/>
    <w:pPr>
      <w:widowControl w:val="0"/>
      <w:ind w:left="200" w:hanging="200" w:hangingChars="200"/>
      <w:jc w:val="both"/>
    </w:pPr>
    <w:rPr>
      <w:rFonts w:ascii="Times New Roman" w:hAnsi="Times New Roman" w:cs="Times New Roman"/>
      <w:kern w:val="2"/>
      <w:sz w:val="21"/>
    </w:rPr>
  </w:style>
  <w:style w:type="paragraph" w:styleId="64">
    <w:name w:val="toc 6"/>
    <w:basedOn w:val="1"/>
    <w:next w:val="1"/>
    <w:qFormat/>
    <w:uiPriority w:val="0"/>
    <w:pPr>
      <w:ind w:left="1200"/>
    </w:pPr>
    <w:rPr>
      <w:sz w:val="18"/>
      <w:szCs w:val="18"/>
    </w:rPr>
  </w:style>
  <w:style w:type="paragraph" w:styleId="65">
    <w:name w:val="List 5"/>
    <w:basedOn w:val="1"/>
    <w:qFormat/>
    <w:uiPriority w:val="0"/>
    <w:pPr>
      <w:ind w:left="2100" w:hanging="420"/>
    </w:pPr>
    <w:rPr>
      <w:szCs w:val="20"/>
    </w:rPr>
  </w:style>
  <w:style w:type="paragraph" w:styleId="66">
    <w:name w:val="Body Text Indent 3"/>
    <w:basedOn w:val="1"/>
    <w:link w:val="167"/>
    <w:qFormat/>
    <w:uiPriority w:val="0"/>
    <w:pPr>
      <w:spacing w:line="400" w:lineRule="exact"/>
      <w:ind w:firstLine="630"/>
    </w:pPr>
  </w:style>
  <w:style w:type="paragraph" w:styleId="67">
    <w:name w:val="index 7"/>
    <w:basedOn w:val="1"/>
    <w:next w:val="1"/>
    <w:semiHidden/>
    <w:qFormat/>
    <w:uiPriority w:val="0"/>
    <w:pPr>
      <w:widowControl w:val="0"/>
      <w:ind w:left="1470" w:hanging="210"/>
    </w:pPr>
    <w:rPr>
      <w:rFonts w:ascii="Times New Roman" w:hAnsi="Times New Roman" w:cs="Times New Roman"/>
      <w:kern w:val="2"/>
      <w:sz w:val="20"/>
      <w:szCs w:val="20"/>
    </w:rPr>
  </w:style>
  <w:style w:type="paragraph" w:styleId="68">
    <w:name w:val="index 9"/>
    <w:basedOn w:val="1"/>
    <w:next w:val="1"/>
    <w:semiHidden/>
    <w:qFormat/>
    <w:uiPriority w:val="0"/>
    <w:pPr>
      <w:widowControl w:val="0"/>
      <w:ind w:left="1890" w:hanging="210"/>
    </w:pPr>
    <w:rPr>
      <w:rFonts w:ascii="Times New Roman" w:hAnsi="Times New Roman" w:cs="Times New Roman"/>
      <w:kern w:val="2"/>
      <w:sz w:val="20"/>
      <w:szCs w:val="20"/>
    </w:rPr>
  </w:style>
  <w:style w:type="paragraph" w:styleId="69">
    <w:name w:val="toc 2"/>
    <w:basedOn w:val="1"/>
    <w:next w:val="1"/>
    <w:qFormat/>
    <w:uiPriority w:val="0"/>
    <w:pPr>
      <w:ind w:left="240"/>
    </w:pPr>
    <w:rPr>
      <w:smallCaps/>
      <w:sz w:val="20"/>
      <w:szCs w:val="20"/>
    </w:rPr>
  </w:style>
  <w:style w:type="paragraph" w:styleId="70">
    <w:name w:val="toc 9"/>
    <w:basedOn w:val="1"/>
    <w:next w:val="1"/>
    <w:qFormat/>
    <w:uiPriority w:val="0"/>
    <w:pPr>
      <w:ind w:left="1920"/>
    </w:pPr>
    <w:rPr>
      <w:sz w:val="18"/>
      <w:szCs w:val="18"/>
    </w:rPr>
  </w:style>
  <w:style w:type="paragraph" w:styleId="71">
    <w:name w:val="Body Text 2"/>
    <w:basedOn w:val="1"/>
    <w:link w:val="168"/>
    <w:qFormat/>
    <w:uiPriority w:val="0"/>
    <w:rPr>
      <w:rFonts w:ascii="楷体_GB2312" w:eastAsia="楷体_GB2312"/>
      <w:color w:val="000000"/>
      <w:szCs w:val="21"/>
    </w:rPr>
  </w:style>
  <w:style w:type="paragraph" w:styleId="72">
    <w:name w:val="List 4"/>
    <w:basedOn w:val="1"/>
    <w:semiHidden/>
    <w:qFormat/>
    <w:uiPriority w:val="0"/>
    <w:pPr>
      <w:widowControl w:val="0"/>
      <w:ind w:left="100" w:leftChars="600" w:hanging="200" w:hangingChars="200"/>
      <w:jc w:val="both"/>
    </w:pPr>
    <w:rPr>
      <w:rFonts w:ascii="Times New Roman" w:hAnsi="Times New Roman" w:cs="Times New Roman"/>
      <w:kern w:val="2"/>
      <w:sz w:val="21"/>
    </w:rPr>
  </w:style>
  <w:style w:type="paragraph" w:styleId="73">
    <w:name w:val="List Continue 2"/>
    <w:basedOn w:val="1"/>
    <w:semiHidden/>
    <w:qFormat/>
    <w:uiPriority w:val="0"/>
    <w:pPr>
      <w:widowControl w:val="0"/>
      <w:spacing w:after="120"/>
      <w:ind w:left="840" w:leftChars="400"/>
      <w:jc w:val="both"/>
    </w:pPr>
    <w:rPr>
      <w:rFonts w:ascii="Times New Roman" w:hAnsi="Times New Roman" w:cs="Times New Roman"/>
      <w:kern w:val="2"/>
      <w:sz w:val="21"/>
    </w:rPr>
  </w:style>
  <w:style w:type="paragraph" w:styleId="74">
    <w:name w:val="Message Header"/>
    <w:basedOn w:val="1"/>
    <w:link w:val="220"/>
    <w:semiHidden/>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cs="Arial"/>
    </w:rPr>
  </w:style>
  <w:style w:type="paragraph" w:styleId="75">
    <w:name w:val="HTML Preformatted"/>
    <w:basedOn w:val="1"/>
    <w:link w:val="2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paragraph" w:styleId="76">
    <w:name w:val="Normal (Web)"/>
    <w:basedOn w:val="1"/>
    <w:unhideWhenUsed/>
    <w:qFormat/>
    <w:uiPriority w:val="99"/>
    <w:pPr>
      <w:spacing w:before="100" w:beforeAutospacing="1" w:after="100" w:afterAutospacing="1"/>
    </w:pPr>
  </w:style>
  <w:style w:type="paragraph" w:styleId="77">
    <w:name w:val="List Continue 3"/>
    <w:basedOn w:val="1"/>
    <w:semiHidden/>
    <w:qFormat/>
    <w:uiPriority w:val="0"/>
    <w:pPr>
      <w:widowControl w:val="0"/>
      <w:spacing w:after="120"/>
      <w:ind w:left="1260" w:leftChars="600"/>
      <w:jc w:val="both"/>
    </w:pPr>
    <w:rPr>
      <w:rFonts w:ascii="Times New Roman" w:hAnsi="Times New Roman" w:cs="Times New Roman"/>
      <w:kern w:val="2"/>
      <w:sz w:val="21"/>
    </w:rPr>
  </w:style>
  <w:style w:type="paragraph" w:styleId="78">
    <w:name w:val="index 2"/>
    <w:basedOn w:val="1"/>
    <w:next w:val="1"/>
    <w:semiHidden/>
    <w:qFormat/>
    <w:uiPriority w:val="0"/>
    <w:pPr>
      <w:widowControl w:val="0"/>
      <w:ind w:left="420" w:hanging="210"/>
    </w:pPr>
    <w:rPr>
      <w:rFonts w:ascii="Times New Roman" w:hAnsi="Times New Roman" w:cs="Times New Roman"/>
      <w:kern w:val="2"/>
      <w:sz w:val="20"/>
      <w:szCs w:val="20"/>
    </w:rPr>
  </w:style>
  <w:style w:type="paragraph" w:styleId="79">
    <w:name w:val="Title"/>
    <w:basedOn w:val="1"/>
    <w:next w:val="1"/>
    <w:link w:val="176"/>
    <w:qFormat/>
    <w:uiPriority w:val="10"/>
    <w:pPr>
      <w:spacing w:before="240" w:after="60"/>
      <w:jc w:val="center"/>
      <w:outlineLvl w:val="0"/>
    </w:pPr>
    <w:rPr>
      <w:rFonts w:ascii="Cambria" w:hAnsi="Cambria"/>
      <w:b/>
      <w:bCs/>
      <w:sz w:val="32"/>
      <w:szCs w:val="32"/>
    </w:rPr>
  </w:style>
  <w:style w:type="paragraph" w:styleId="80">
    <w:name w:val="annotation subject"/>
    <w:basedOn w:val="27"/>
    <w:next w:val="27"/>
    <w:link w:val="159"/>
    <w:unhideWhenUsed/>
    <w:qFormat/>
    <w:uiPriority w:val="0"/>
    <w:rPr>
      <w:b/>
      <w:bCs/>
    </w:rPr>
  </w:style>
  <w:style w:type="paragraph" w:styleId="81">
    <w:name w:val="Body Text First Indent"/>
    <w:basedOn w:val="1"/>
    <w:link w:val="240"/>
    <w:semiHidden/>
    <w:qFormat/>
    <w:uiPriority w:val="0"/>
    <w:pPr>
      <w:widowControl w:val="0"/>
      <w:spacing w:after="120"/>
      <w:ind w:firstLine="420" w:firstLineChars="100"/>
      <w:jc w:val="both"/>
    </w:pPr>
    <w:rPr>
      <w:rFonts w:ascii="Times New Roman" w:hAnsi="Times New Roman" w:cs="Times New Roman"/>
      <w:sz w:val="20"/>
    </w:rPr>
  </w:style>
  <w:style w:type="table" w:styleId="83">
    <w:name w:val="Table Grid"/>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4">
    <w:name w:val="Table Theme"/>
    <w:basedOn w:val="8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5">
    <w:name w:val="Table Colorful 1"/>
    <w:basedOn w:val="82"/>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6">
    <w:name w:val="Table Colorful 2"/>
    <w:basedOn w:val="82"/>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7">
    <w:name w:val="Table Colorful 3"/>
    <w:basedOn w:val="82"/>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8">
    <w:name w:val="Table Elegant"/>
    <w:basedOn w:val="82"/>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9">
    <w:name w:val="Table Classic 1"/>
    <w:basedOn w:val="82"/>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Classic 2"/>
    <w:basedOn w:val="82"/>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1">
    <w:name w:val="Table Classic 3"/>
    <w:basedOn w:val="82"/>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2">
    <w:name w:val="Table Classic 4"/>
    <w:basedOn w:val="82"/>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3">
    <w:name w:val="Table Simple 1"/>
    <w:basedOn w:val="82"/>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4">
    <w:name w:val="Table Simple 2"/>
    <w:basedOn w:val="82"/>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Simple 3"/>
    <w:basedOn w:val="8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6">
    <w:name w:val="Table Subtle 1"/>
    <w:basedOn w:val="82"/>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Subtle 2"/>
    <w:basedOn w:val="82"/>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3D effects 1"/>
    <w:basedOn w:val="82"/>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3D effects 2"/>
    <w:basedOn w:val="82"/>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3D effects 3"/>
    <w:basedOn w:val="82"/>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List 1"/>
    <w:basedOn w:val="82"/>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2"/>
    <w:basedOn w:val="82"/>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3"/>
    <w:basedOn w:val="82"/>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4">
    <w:name w:val="Table List 4"/>
    <w:basedOn w:val="8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5">
    <w:name w:val="Table List 5"/>
    <w:basedOn w:val="8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6">
    <w:name w:val="Table List 6"/>
    <w:basedOn w:val="82"/>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7">
    <w:name w:val="Table List 7"/>
    <w:basedOn w:val="82"/>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8">
    <w:name w:val="Table List 8"/>
    <w:basedOn w:val="8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9">
    <w:name w:val="Table Contemporary"/>
    <w:basedOn w:val="82"/>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Columns 1"/>
    <w:basedOn w:val="8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1">
    <w:name w:val="Table Columns 2"/>
    <w:basedOn w:val="82"/>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3"/>
    <w:basedOn w:val="82"/>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3">
    <w:name w:val="Table Columns 4"/>
    <w:basedOn w:val="82"/>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4">
    <w:name w:val="Table Columns 5"/>
    <w:basedOn w:val="82"/>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5">
    <w:name w:val="Table Grid 1"/>
    <w:basedOn w:val="8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2"/>
    <w:basedOn w:val="82"/>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7">
    <w:name w:val="Table Grid 3"/>
    <w:basedOn w:val="82"/>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4"/>
    <w:basedOn w:val="82"/>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Grid 5"/>
    <w:basedOn w:val="8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6"/>
    <w:basedOn w:val="8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7"/>
    <w:basedOn w:val="8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8"/>
    <w:basedOn w:val="82"/>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Web 1"/>
    <w:basedOn w:val="82"/>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4">
    <w:name w:val="Table Web 2"/>
    <w:basedOn w:val="82"/>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3"/>
    <w:basedOn w:val="82"/>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Professional"/>
    <w:basedOn w:val="8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8">
    <w:name w:val="Strong"/>
    <w:qFormat/>
    <w:uiPriority w:val="0"/>
    <w:rPr>
      <w:b/>
      <w:bCs/>
    </w:rPr>
  </w:style>
  <w:style w:type="character" w:styleId="129">
    <w:name w:val="page number"/>
    <w:basedOn w:val="127"/>
    <w:qFormat/>
    <w:uiPriority w:val="0"/>
  </w:style>
  <w:style w:type="character" w:styleId="130">
    <w:name w:val="FollowedHyperlink"/>
    <w:unhideWhenUsed/>
    <w:qFormat/>
    <w:uiPriority w:val="99"/>
    <w:rPr>
      <w:color w:val="800080"/>
      <w:u w:val="single"/>
    </w:rPr>
  </w:style>
  <w:style w:type="character" w:styleId="131">
    <w:name w:val="Emphasis"/>
    <w:basedOn w:val="127"/>
    <w:qFormat/>
    <w:uiPriority w:val="20"/>
  </w:style>
  <w:style w:type="character" w:styleId="132">
    <w:name w:val="line number"/>
    <w:semiHidden/>
    <w:qFormat/>
    <w:uiPriority w:val="0"/>
  </w:style>
  <w:style w:type="character" w:styleId="133">
    <w:name w:val="HTML Definition"/>
    <w:semiHidden/>
    <w:qFormat/>
    <w:uiPriority w:val="0"/>
    <w:rPr>
      <w:i/>
      <w:iCs/>
    </w:rPr>
  </w:style>
  <w:style w:type="character" w:styleId="134">
    <w:name w:val="HTML Typewriter"/>
    <w:semiHidden/>
    <w:qFormat/>
    <w:uiPriority w:val="0"/>
    <w:rPr>
      <w:rFonts w:ascii="Courier New" w:hAnsi="Courier New" w:cs="Courier New"/>
      <w:sz w:val="20"/>
      <w:szCs w:val="20"/>
    </w:rPr>
  </w:style>
  <w:style w:type="character" w:styleId="135">
    <w:name w:val="HTML Acronym"/>
    <w:semiHidden/>
    <w:qFormat/>
    <w:uiPriority w:val="0"/>
  </w:style>
  <w:style w:type="character" w:styleId="136">
    <w:name w:val="HTML Variable"/>
    <w:semiHidden/>
    <w:qFormat/>
    <w:uiPriority w:val="0"/>
    <w:rPr>
      <w:i/>
      <w:iCs/>
    </w:rPr>
  </w:style>
  <w:style w:type="character" w:styleId="137">
    <w:name w:val="Hyperlink"/>
    <w:qFormat/>
    <w:uiPriority w:val="99"/>
    <w:rPr>
      <w:color w:val="0000FF"/>
      <w:u w:val="single"/>
    </w:rPr>
  </w:style>
  <w:style w:type="character" w:styleId="138">
    <w:name w:val="HTML Code"/>
    <w:semiHidden/>
    <w:qFormat/>
    <w:uiPriority w:val="0"/>
    <w:rPr>
      <w:rFonts w:ascii="Courier New" w:hAnsi="Courier New" w:cs="Courier New"/>
      <w:sz w:val="20"/>
      <w:szCs w:val="20"/>
    </w:rPr>
  </w:style>
  <w:style w:type="character" w:styleId="139">
    <w:name w:val="annotation reference"/>
    <w:unhideWhenUsed/>
    <w:qFormat/>
    <w:uiPriority w:val="0"/>
    <w:rPr>
      <w:sz w:val="21"/>
      <w:szCs w:val="21"/>
    </w:rPr>
  </w:style>
  <w:style w:type="character" w:styleId="140">
    <w:name w:val="HTML Cite"/>
    <w:semiHidden/>
    <w:qFormat/>
    <w:uiPriority w:val="0"/>
    <w:rPr>
      <w:i/>
      <w:iCs/>
    </w:rPr>
  </w:style>
  <w:style w:type="character" w:styleId="141">
    <w:name w:val="HTML Keyboard"/>
    <w:semiHidden/>
    <w:qFormat/>
    <w:uiPriority w:val="0"/>
    <w:rPr>
      <w:rFonts w:ascii="Courier New" w:hAnsi="Courier New" w:cs="Courier New"/>
      <w:sz w:val="20"/>
      <w:szCs w:val="20"/>
    </w:rPr>
  </w:style>
  <w:style w:type="character" w:styleId="142">
    <w:name w:val="HTML Sample"/>
    <w:semiHidden/>
    <w:qFormat/>
    <w:uiPriority w:val="0"/>
    <w:rPr>
      <w:rFonts w:ascii="Courier New" w:hAnsi="Courier New" w:cs="Courier New"/>
    </w:rPr>
  </w:style>
  <w:style w:type="character" w:customStyle="1" w:styleId="143">
    <w:name w:val="标题 1 Char"/>
    <w:basedOn w:val="127"/>
    <w:link w:val="4"/>
    <w:qFormat/>
    <w:uiPriority w:val="0"/>
    <w:rPr>
      <w:rFonts w:ascii="华文细黑" w:hAnsi="Times New Roman" w:eastAsia="宋体" w:cs="Times New Roman"/>
      <w:b/>
      <w:bCs/>
      <w:snapToGrid w:val="0"/>
      <w:kern w:val="0"/>
      <w:sz w:val="28"/>
      <w:szCs w:val="44"/>
      <w:lang w:val="zh-CN" w:eastAsia="zh-CN"/>
    </w:rPr>
  </w:style>
  <w:style w:type="character" w:customStyle="1" w:styleId="144">
    <w:name w:val="标题 2 Char"/>
    <w:basedOn w:val="127"/>
    <w:link w:val="5"/>
    <w:qFormat/>
    <w:uiPriority w:val="0"/>
    <w:rPr>
      <w:rFonts w:ascii="华文细黑" w:hAnsi="Arial" w:eastAsia="宋体" w:cs="Times New Roman"/>
      <w:b/>
      <w:bCs/>
      <w:kern w:val="0"/>
      <w:sz w:val="44"/>
      <w:szCs w:val="32"/>
      <w:lang w:val="zh-CN" w:eastAsia="zh-CN"/>
    </w:rPr>
  </w:style>
  <w:style w:type="character" w:customStyle="1" w:styleId="145">
    <w:name w:val="标题 3 Char"/>
    <w:basedOn w:val="127"/>
    <w:link w:val="6"/>
    <w:qFormat/>
    <w:uiPriority w:val="0"/>
    <w:rPr>
      <w:rFonts w:ascii="Times New Roman" w:hAnsi="Times New Roman" w:eastAsia="华文细黑" w:cs="Times New Roman"/>
      <w:bCs/>
      <w:kern w:val="0"/>
      <w:sz w:val="36"/>
      <w:szCs w:val="32"/>
      <w:lang w:val="zh-CN" w:eastAsia="zh-CN"/>
    </w:rPr>
  </w:style>
  <w:style w:type="character" w:customStyle="1" w:styleId="146">
    <w:name w:val="标题 4 Char"/>
    <w:basedOn w:val="127"/>
    <w:link w:val="7"/>
    <w:qFormat/>
    <w:uiPriority w:val="0"/>
    <w:rPr>
      <w:rFonts w:ascii="Arial" w:hAnsi="Arial" w:eastAsia="黑体" w:cs="Times New Roman"/>
      <w:b/>
      <w:bCs/>
      <w:kern w:val="0"/>
      <w:sz w:val="28"/>
      <w:szCs w:val="28"/>
      <w:lang w:val="zh-CN" w:eastAsia="zh-CN"/>
    </w:rPr>
  </w:style>
  <w:style w:type="character" w:customStyle="1" w:styleId="147">
    <w:name w:val="标题 5 Char"/>
    <w:basedOn w:val="127"/>
    <w:link w:val="8"/>
    <w:qFormat/>
    <w:uiPriority w:val="0"/>
    <w:rPr>
      <w:rFonts w:ascii="Times New Roman" w:hAnsi="Times New Roman" w:eastAsia="宋体" w:cs="Times New Roman"/>
      <w:b/>
      <w:bCs/>
      <w:kern w:val="0"/>
      <w:sz w:val="28"/>
      <w:szCs w:val="28"/>
      <w:lang w:val="zh-CN" w:eastAsia="zh-CN"/>
    </w:rPr>
  </w:style>
  <w:style w:type="character" w:customStyle="1" w:styleId="148">
    <w:name w:val="标题 6 Char"/>
    <w:basedOn w:val="127"/>
    <w:link w:val="9"/>
    <w:qFormat/>
    <w:uiPriority w:val="0"/>
    <w:rPr>
      <w:rFonts w:ascii="Arial" w:hAnsi="Arial" w:eastAsia="黑体" w:cs="Times New Roman"/>
      <w:b/>
      <w:bCs/>
      <w:kern w:val="0"/>
      <w:sz w:val="24"/>
      <w:szCs w:val="24"/>
      <w:lang w:val="zh-CN" w:eastAsia="zh-CN"/>
    </w:rPr>
  </w:style>
  <w:style w:type="character" w:customStyle="1" w:styleId="149">
    <w:name w:val="标题 7 Char"/>
    <w:basedOn w:val="127"/>
    <w:link w:val="10"/>
    <w:qFormat/>
    <w:uiPriority w:val="0"/>
    <w:rPr>
      <w:rFonts w:ascii="Times New Roman" w:hAnsi="Times New Roman" w:eastAsia="宋体" w:cs="Times New Roman"/>
      <w:b/>
      <w:bCs/>
      <w:kern w:val="0"/>
      <w:sz w:val="24"/>
      <w:szCs w:val="24"/>
      <w:lang w:val="zh-CN" w:eastAsia="zh-CN"/>
    </w:rPr>
  </w:style>
  <w:style w:type="character" w:customStyle="1" w:styleId="150">
    <w:name w:val="标题 8 Char"/>
    <w:basedOn w:val="127"/>
    <w:link w:val="11"/>
    <w:qFormat/>
    <w:uiPriority w:val="0"/>
    <w:rPr>
      <w:rFonts w:ascii="Arial" w:hAnsi="Arial" w:eastAsia="黑体" w:cs="Times New Roman"/>
      <w:kern w:val="0"/>
      <w:sz w:val="24"/>
      <w:szCs w:val="24"/>
      <w:lang w:val="zh-CN" w:eastAsia="zh-CN"/>
    </w:rPr>
  </w:style>
  <w:style w:type="character" w:customStyle="1" w:styleId="151">
    <w:name w:val="标题 9 Char"/>
    <w:basedOn w:val="127"/>
    <w:link w:val="12"/>
    <w:qFormat/>
    <w:uiPriority w:val="0"/>
    <w:rPr>
      <w:rFonts w:ascii="Arial" w:hAnsi="Arial" w:eastAsia="黑体" w:cs="Times New Roman"/>
      <w:kern w:val="0"/>
      <w:szCs w:val="21"/>
      <w:lang w:val="zh-CN" w:eastAsia="zh-CN"/>
    </w:rPr>
  </w:style>
  <w:style w:type="character" w:customStyle="1" w:styleId="152">
    <w:name w:val="批注文字 Char"/>
    <w:link w:val="27"/>
    <w:qFormat/>
    <w:uiPriority w:val="0"/>
    <w:rPr>
      <w:rFonts w:ascii="Times New Roman" w:hAnsi="Times New Roman"/>
      <w:szCs w:val="24"/>
    </w:rPr>
  </w:style>
  <w:style w:type="character" w:customStyle="1" w:styleId="153">
    <w:name w:val="批注文字 Char1"/>
    <w:basedOn w:val="127"/>
    <w:qFormat/>
    <w:uiPriority w:val="99"/>
    <w:rPr>
      <w:rFonts w:ascii="Times New Roman" w:hAnsi="Times New Roman" w:eastAsia="宋体" w:cs="Times New Roman"/>
      <w:szCs w:val="24"/>
    </w:rPr>
  </w:style>
  <w:style w:type="character" w:customStyle="1" w:styleId="154">
    <w:name w:val="批注框文本 Char"/>
    <w:basedOn w:val="127"/>
    <w:link w:val="51"/>
    <w:qFormat/>
    <w:uiPriority w:val="0"/>
    <w:rPr>
      <w:rFonts w:ascii="Times New Roman" w:hAnsi="Times New Roman" w:eastAsia="宋体" w:cs="Times New Roman"/>
      <w:kern w:val="0"/>
      <w:sz w:val="18"/>
      <w:szCs w:val="18"/>
      <w:lang w:val="zh-CN" w:eastAsia="zh-CN"/>
    </w:rPr>
  </w:style>
  <w:style w:type="character" w:customStyle="1" w:styleId="155">
    <w:name w:val="文档结构图 Char"/>
    <w:link w:val="25"/>
    <w:qFormat/>
    <w:uiPriority w:val="0"/>
    <w:rPr>
      <w:rFonts w:ascii="Times New Roman" w:hAnsi="Times New Roman"/>
      <w:sz w:val="24"/>
      <w:szCs w:val="24"/>
      <w:shd w:val="clear" w:color="auto" w:fill="000080"/>
    </w:rPr>
  </w:style>
  <w:style w:type="character" w:customStyle="1" w:styleId="156">
    <w:name w:val="文档结构图 Char1"/>
    <w:basedOn w:val="127"/>
    <w:qFormat/>
    <w:uiPriority w:val="99"/>
    <w:rPr>
      <w:rFonts w:ascii="宋体" w:hAnsi="Times New Roman" w:eastAsia="宋体" w:cs="Times New Roman"/>
      <w:sz w:val="18"/>
      <w:szCs w:val="18"/>
    </w:rPr>
  </w:style>
  <w:style w:type="character" w:customStyle="1" w:styleId="157">
    <w:name w:val="页眉 Char"/>
    <w:basedOn w:val="127"/>
    <w:link w:val="54"/>
    <w:qFormat/>
    <w:uiPriority w:val="0"/>
    <w:rPr>
      <w:rFonts w:ascii="Times New Roman" w:hAnsi="Times New Roman" w:eastAsia="宋体" w:cs="Times New Roman"/>
      <w:sz w:val="18"/>
      <w:szCs w:val="18"/>
    </w:rPr>
  </w:style>
  <w:style w:type="character" w:customStyle="1" w:styleId="158">
    <w:name w:val="日期 Char1"/>
    <w:basedOn w:val="127"/>
    <w:qFormat/>
    <w:uiPriority w:val="99"/>
    <w:rPr>
      <w:rFonts w:ascii="Times New Roman" w:hAnsi="Times New Roman" w:eastAsia="宋体" w:cs="Times New Roman"/>
      <w:szCs w:val="24"/>
    </w:rPr>
  </w:style>
  <w:style w:type="character" w:customStyle="1" w:styleId="159">
    <w:name w:val="批注主题 Char"/>
    <w:basedOn w:val="153"/>
    <w:link w:val="80"/>
    <w:qFormat/>
    <w:uiPriority w:val="0"/>
    <w:rPr>
      <w:rFonts w:ascii="Times New Roman" w:hAnsi="Times New Roman" w:eastAsia="宋体" w:cs="Times New Roman"/>
      <w:b/>
      <w:bCs/>
      <w:szCs w:val="24"/>
    </w:rPr>
  </w:style>
  <w:style w:type="paragraph" w:customStyle="1" w:styleId="160">
    <w:name w:val="修订1"/>
    <w:hidden/>
    <w:qFormat/>
    <w:uiPriority w:val="99"/>
    <w:rPr>
      <w:rFonts w:ascii="Times New Roman" w:hAnsi="Times New Roman" w:eastAsia="宋体" w:cs="Times New Roman"/>
      <w:kern w:val="2"/>
      <w:sz w:val="21"/>
      <w:szCs w:val="24"/>
      <w:lang w:val="en-US" w:eastAsia="zh-CN" w:bidi="ar-SA"/>
    </w:rPr>
  </w:style>
  <w:style w:type="character" w:customStyle="1" w:styleId="161">
    <w:name w:val="页脚 Char"/>
    <w:basedOn w:val="127"/>
    <w:link w:val="52"/>
    <w:qFormat/>
    <w:uiPriority w:val="0"/>
    <w:rPr>
      <w:rFonts w:ascii="Times New Roman" w:hAnsi="Times New Roman" w:eastAsia="宋体" w:cs="Times New Roman"/>
      <w:sz w:val="18"/>
      <w:szCs w:val="18"/>
    </w:rPr>
  </w:style>
  <w:style w:type="paragraph" w:customStyle="1" w:styleId="162">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163">
    <w:name w:val="纯文本 Char"/>
    <w:basedOn w:val="127"/>
    <w:link w:val="43"/>
    <w:qFormat/>
    <w:uiPriority w:val="0"/>
    <w:rPr>
      <w:rFonts w:ascii="宋体" w:hAnsi="Courier New" w:eastAsia="宋体" w:cs="Courier New"/>
      <w:szCs w:val="21"/>
    </w:rPr>
  </w:style>
  <w:style w:type="character" w:customStyle="1" w:styleId="164">
    <w:name w:val="正文文本 Char"/>
    <w:basedOn w:val="127"/>
    <w:link w:val="33"/>
    <w:qFormat/>
    <w:uiPriority w:val="99"/>
    <w:rPr>
      <w:rFonts w:ascii="Times New Roman" w:hAnsi="Times New Roman" w:eastAsia="宋体" w:cs="Times New Roman"/>
      <w:b/>
      <w:bCs/>
      <w:szCs w:val="24"/>
    </w:rPr>
  </w:style>
  <w:style w:type="character" w:customStyle="1" w:styleId="165">
    <w:name w:val="正文文本缩进 2 Char"/>
    <w:basedOn w:val="127"/>
    <w:link w:val="49"/>
    <w:qFormat/>
    <w:uiPriority w:val="0"/>
    <w:rPr>
      <w:rFonts w:ascii="Times New Roman" w:hAnsi="Times New Roman" w:eastAsia="仿宋_GB2312" w:cs="Times New Roman"/>
      <w:sz w:val="32"/>
      <w:szCs w:val="24"/>
    </w:rPr>
  </w:style>
  <w:style w:type="character" w:customStyle="1" w:styleId="166">
    <w:name w:val="正文文本缩进 Char"/>
    <w:basedOn w:val="127"/>
    <w:link w:val="3"/>
    <w:qFormat/>
    <w:uiPriority w:val="99"/>
    <w:rPr>
      <w:rFonts w:ascii="宋体" w:hAnsi="宋体" w:eastAsia="宋体" w:cs="Times New Roman"/>
      <w:sz w:val="24"/>
      <w:szCs w:val="20"/>
    </w:rPr>
  </w:style>
  <w:style w:type="character" w:customStyle="1" w:styleId="167">
    <w:name w:val="正文文本缩进 3 Char"/>
    <w:basedOn w:val="127"/>
    <w:link w:val="66"/>
    <w:qFormat/>
    <w:uiPriority w:val="0"/>
    <w:rPr>
      <w:rFonts w:ascii="宋体" w:hAnsi="宋体" w:eastAsia="宋体" w:cs="Times New Roman"/>
      <w:szCs w:val="24"/>
    </w:rPr>
  </w:style>
  <w:style w:type="character" w:customStyle="1" w:styleId="168">
    <w:name w:val="正文文本 2 Char"/>
    <w:basedOn w:val="127"/>
    <w:link w:val="71"/>
    <w:qFormat/>
    <w:uiPriority w:val="0"/>
    <w:rPr>
      <w:rFonts w:ascii="楷体_GB2312" w:hAnsi="宋体" w:eastAsia="楷体_GB2312" w:cs="Times New Roman"/>
      <w:color w:val="000000"/>
      <w:kern w:val="0"/>
      <w:szCs w:val="21"/>
    </w:rPr>
  </w:style>
  <w:style w:type="character" w:customStyle="1" w:styleId="169">
    <w:name w:val="日期 Char"/>
    <w:link w:val="48"/>
    <w:qFormat/>
    <w:uiPriority w:val="0"/>
    <w:rPr>
      <w:szCs w:val="24"/>
    </w:rPr>
  </w:style>
  <w:style w:type="character" w:customStyle="1" w:styleId="170">
    <w:name w:val="日期 Char2"/>
    <w:basedOn w:val="127"/>
    <w:semiHidden/>
    <w:qFormat/>
    <w:uiPriority w:val="0"/>
    <w:rPr>
      <w:rFonts w:ascii="Times New Roman" w:hAnsi="Times New Roman" w:eastAsia="宋体" w:cs="Times New Roman"/>
      <w:szCs w:val="24"/>
    </w:rPr>
  </w:style>
  <w:style w:type="paragraph" w:customStyle="1" w:styleId="171">
    <w:name w:val="Char"/>
    <w:basedOn w:val="1"/>
    <w:qFormat/>
    <w:uiPriority w:val="0"/>
    <w:pPr>
      <w:tabs>
        <w:tab w:val="left" w:pos="360"/>
      </w:tabs>
    </w:pPr>
  </w:style>
  <w:style w:type="paragraph" w:customStyle="1" w:styleId="172">
    <w:name w:val="彩色列表 - 强调文字颜色 11"/>
    <w:basedOn w:val="1"/>
    <w:qFormat/>
    <w:uiPriority w:val="0"/>
    <w:pPr>
      <w:ind w:firstLine="420" w:firstLineChars="200"/>
    </w:pPr>
    <w:rPr>
      <w:rFonts w:ascii="Calibri" w:hAnsi="Calibri"/>
      <w:szCs w:val="22"/>
    </w:rPr>
  </w:style>
  <w:style w:type="paragraph" w:customStyle="1" w:styleId="173">
    <w:name w:val="Char Char Char Char"/>
    <w:basedOn w:val="1"/>
    <w:qFormat/>
    <w:uiPriority w:val="0"/>
    <w:pPr>
      <w:tabs>
        <w:tab w:val="left" w:pos="360"/>
      </w:tabs>
    </w:pPr>
  </w:style>
  <w:style w:type="paragraph" w:customStyle="1" w:styleId="174">
    <w:name w:val="Char1"/>
    <w:basedOn w:val="1"/>
    <w:qFormat/>
    <w:uiPriority w:val="0"/>
    <w:pPr>
      <w:tabs>
        <w:tab w:val="left" w:pos="360"/>
      </w:tabs>
    </w:pPr>
  </w:style>
  <w:style w:type="character" w:customStyle="1" w:styleId="175">
    <w:name w:val="defaultfont1"/>
    <w:basedOn w:val="127"/>
    <w:qFormat/>
    <w:uiPriority w:val="0"/>
  </w:style>
  <w:style w:type="character" w:customStyle="1" w:styleId="176">
    <w:name w:val="标题 Char"/>
    <w:basedOn w:val="127"/>
    <w:link w:val="79"/>
    <w:qFormat/>
    <w:uiPriority w:val="10"/>
    <w:rPr>
      <w:rFonts w:ascii="Cambria" w:hAnsi="Cambria" w:eastAsia="宋体" w:cs="Times New Roman"/>
      <w:b/>
      <w:bCs/>
      <w:sz w:val="32"/>
      <w:szCs w:val="32"/>
    </w:rPr>
  </w:style>
  <w:style w:type="character" w:customStyle="1" w:styleId="177">
    <w:name w:val="Char Char16"/>
    <w:qFormat/>
    <w:uiPriority w:val="0"/>
    <w:rPr>
      <w:rFonts w:ascii="华文细黑" w:hAnsi="Arial" w:eastAsia="宋体"/>
      <w:b/>
      <w:bCs/>
      <w:sz w:val="44"/>
      <w:szCs w:val="32"/>
      <w:lang w:val="en-US" w:eastAsia="zh-CN" w:bidi="ar-SA"/>
    </w:rPr>
  </w:style>
  <w:style w:type="character" w:customStyle="1" w:styleId="178">
    <w:name w:val="正文文本 (32) + 10.5 pt5"/>
    <w:qFormat/>
    <w:uiPriority w:val="99"/>
    <w:rPr>
      <w:rFonts w:ascii="MingLiU" w:eastAsia="MingLiU" w:cs="MingLiU"/>
      <w:sz w:val="21"/>
      <w:szCs w:val="21"/>
      <w:u w:val="none"/>
    </w:rPr>
  </w:style>
  <w:style w:type="character" w:customStyle="1" w:styleId="179">
    <w:name w:val="正文文本 (2)_"/>
    <w:link w:val="180"/>
    <w:qFormat/>
    <w:uiPriority w:val="99"/>
    <w:rPr>
      <w:rFonts w:ascii="MingLiU" w:eastAsia="MingLiU" w:cs="MingLiU"/>
      <w:spacing w:val="20"/>
      <w:sz w:val="19"/>
      <w:szCs w:val="19"/>
      <w:shd w:val="clear" w:color="auto" w:fill="FFFFFF"/>
    </w:rPr>
  </w:style>
  <w:style w:type="paragraph" w:customStyle="1" w:styleId="180">
    <w:name w:val="正文文本 (2)1"/>
    <w:basedOn w:val="1"/>
    <w:link w:val="179"/>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181">
    <w:name w:val="正文文本 (32) + 10.5 pt"/>
    <w:qFormat/>
    <w:uiPriority w:val="99"/>
    <w:rPr>
      <w:rFonts w:ascii="MingLiU" w:eastAsia="MingLiU" w:cs="MingLiU"/>
      <w:sz w:val="21"/>
      <w:szCs w:val="21"/>
      <w:u w:val="none"/>
    </w:rPr>
  </w:style>
  <w:style w:type="character" w:customStyle="1" w:styleId="182">
    <w:name w:val="正文文本 (2) + 6 pt"/>
    <w:qFormat/>
    <w:uiPriority w:val="99"/>
    <w:rPr>
      <w:rFonts w:ascii="MingLiU" w:eastAsia="MingLiU" w:cs="MingLiU"/>
      <w:spacing w:val="0"/>
      <w:sz w:val="12"/>
      <w:szCs w:val="12"/>
      <w:u w:val="none"/>
      <w:shd w:val="clear" w:color="auto" w:fill="FFFFFF"/>
    </w:rPr>
  </w:style>
  <w:style w:type="paragraph" w:customStyle="1" w:styleId="18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4">
    <w:name w:val="reader-word-layer reader-word-s1-4"/>
    <w:basedOn w:val="1"/>
    <w:qFormat/>
    <w:uiPriority w:val="0"/>
    <w:pPr>
      <w:spacing w:before="100" w:beforeAutospacing="1" w:after="100" w:afterAutospacing="1"/>
    </w:pPr>
  </w:style>
  <w:style w:type="paragraph" w:customStyle="1" w:styleId="185">
    <w:name w:val="reader-word-layer reader-word-s1-6"/>
    <w:basedOn w:val="1"/>
    <w:qFormat/>
    <w:uiPriority w:val="0"/>
    <w:pPr>
      <w:spacing w:before="100" w:beforeAutospacing="1" w:after="100" w:afterAutospacing="1"/>
    </w:pPr>
  </w:style>
  <w:style w:type="paragraph" w:customStyle="1" w:styleId="186">
    <w:name w:val="reader-word-layer reader-word-s1-7"/>
    <w:basedOn w:val="1"/>
    <w:qFormat/>
    <w:uiPriority w:val="0"/>
    <w:pPr>
      <w:spacing w:before="100" w:beforeAutospacing="1" w:after="100" w:afterAutospacing="1"/>
    </w:pPr>
  </w:style>
  <w:style w:type="paragraph" w:styleId="187">
    <w:name w:val="List Paragraph"/>
    <w:basedOn w:val="1"/>
    <w:qFormat/>
    <w:uiPriority w:val="99"/>
    <w:pPr>
      <w:ind w:firstLine="420" w:firstLineChars="200"/>
    </w:pPr>
  </w:style>
  <w:style w:type="paragraph" w:customStyle="1" w:styleId="188">
    <w:name w:val="Normal_0"/>
    <w:qFormat/>
    <w:uiPriority w:val="0"/>
    <w:pPr>
      <w:widowControl w:val="0"/>
      <w:jc w:val="both"/>
    </w:pPr>
    <w:rPr>
      <w:rFonts w:ascii="DengXian" w:hAnsi="DengXian" w:eastAsia="DengXian" w:cs="Times New Roman"/>
      <w:lang w:val="en-US" w:eastAsia="zh-CN" w:bidi="ar-SA"/>
    </w:rPr>
  </w:style>
  <w:style w:type="paragraph" w:customStyle="1" w:styleId="189">
    <w:name w:val="Normal_3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Default_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1">
    <w:name w:val="Normal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Normal_1"/>
    <w:qFormat/>
    <w:uiPriority w:val="0"/>
    <w:rPr>
      <w:rFonts w:ascii="宋体" w:hAnsi="宋体" w:eastAsia="宋体" w:cs="宋体"/>
      <w:sz w:val="24"/>
      <w:szCs w:val="24"/>
      <w:lang w:val="en-US" w:eastAsia="zh-CN" w:bidi="ar-SA"/>
    </w:rPr>
  </w:style>
  <w:style w:type="paragraph" w:customStyle="1" w:styleId="194">
    <w:name w:val="Normal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p2"/>
    <w:basedOn w:val="191"/>
    <w:qFormat/>
    <w:uiPriority w:val="0"/>
    <w:pPr>
      <w:widowControl/>
      <w:spacing w:line="480" w:lineRule="auto"/>
      <w:ind w:firstLine="480"/>
      <w:jc w:val="left"/>
    </w:pPr>
    <w:rPr>
      <w:rFonts w:ascii="宋体" w:hAnsi="宋体" w:cs="宋体"/>
      <w:kern w:val="0"/>
      <w:sz w:val="24"/>
    </w:rPr>
  </w:style>
  <w:style w:type="paragraph" w:customStyle="1" w:styleId="196">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7">
    <w:name w:val="Default_0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Normal_2"/>
    <w:qFormat/>
    <w:uiPriority w:val="0"/>
    <w:rPr>
      <w:rFonts w:ascii="Times New Roman" w:hAnsi="Times New Roman" w:eastAsia="Times New Roman" w:cs="Times New Roman"/>
      <w:sz w:val="24"/>
      <w:szCs w:val="24"/>
      <w:lang w:val="en-US" w:eastAsia="zh-CN" w:bidi="ar-SA"/>
    </w:rPr>
  </w:style>
  <w:style w:type="paragraph" w:customStyle="1" w:styleId="200">
    <w:name w:val="Normal_3"/>
    <w:qFormat/>
    <w:uiPriority w:val="0"/>
    <w:rPr>
      <w:rFonts w:ascii="Times New Roman" w:hAnsi="Times New Roman" w:eastAsia="Times New Roman" w:cs="Times New Roman"/>
      <w:sz w:val="24"/>
      <w:szCs w:val="24"/>
      <w:lang w:val="en-US" w:eastAsia="zh-CN" w:bidi="ar-SA"/>
    </w:rPr>
  </w:style>
  <w:style w:type="character" w:customStyle="1" w:styleId="201">
    <w:name w:val="纯文本 Char4"/>
    <w:basedOn w:val="127"/>
    <w:qFormat/>
    <w:uiPriority w:val="0"/>
    <w:rPr>
      <w:rFonts w:hint="eastAsia" w:ascii="宋体" w:hAnsi="Courier New" w:eastAsia="宋体" w:cs="Courier New"/>
      <w:kern w:val="2"/>
      <w:sz w:val="21"/>
      <w:szCs w:val="21"/>
    </w:rPr>
  </w:style>
  <w:style w:type="paragraph" w:customStyle="1" w:styleId="202">
    <w:name w:val="A一表格"/>
    <w:qFormat/>
    <w:uiPriority w:val="0"/>
    <w:rPr>
      <w:rFonts w:ascii="宋体" w:hAnsi="宋体" w:eastAsia="宋体" w:cs="Times New Roman"/>
      <w:kern w:val="2"/>
      <w:sz w:val="21"/>
      <w:szCs w:val="21"/>
      <w:lang w:val="en-US" w:eastAsia="zh-CN" w:bidi="ar-SA"/>
    </w:rPr>
  </w:style>
  <w:style w:type="character" w:customStyle="1" w:styleId="203">
    <w:name w:val="A一字符（加粗）"/>
    <w:qFormat/>
    <w:uiPriority w:val="0"/>
    <w:rPr>
      <w:b/>
    </w:rPr>
  </w:style>
  <w:style w:type="table" w:customStyle="1" w:styleId="204">
    <w:name w:val="Table Grid_0"/>
    <w:basedOn w:val="8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5">
    <w:name w:val="style93"/>
    <w:basedOn w:val="1"/>
    <w:qFormat/>
    <w:uiPriority w:val="0"/>
    <w:pPr>
      <w:spacing w:before="100" w:beforeAutospacing="1" w:after="100" w:afterAutospacing="1"/>
    </w:pPr>
  </w:style>
  <w:style w:type="paragraph" w:customStyle="1" w:styleId="206">
    <w:name w:val="Normal_2_0"/>
    <w:qFormat/>
    <w:uiPriority w:val="0"/>
    <w:pPr>
      <w:widowControl w:val="0"/>
      <w:jc w:val="both"/>
    </w:pPr>
    <w:rPr>
      <w:rFonts w:ascii="Calibri" w:hAnsi="Calibri" w:eastAsia="宋体" w:cs="Times New Roman"/>
      <w:lang w:val="en-US" w:eastAsia="zh-CN" w:bidi="ar-SA"/>
    </w:rPr>
  </w:style>
  <w:style w:type="table" w:customStyle="1" w:styleId="207">
    <w:name w:val="Table Normal"/>
    <w:semiHidden/>
    <w:unhideWhenUsed/>
    <w:qFormat/>
    <w:uiPriority w:val="0"/>
    <w:tblPr>
      <w:tblCellMar>
        <w:top w:w="0" w:type="dxa"/>
        <w:left w:w="0" w:type="dxa"/>
        <w:bottom w:w="0" w:type="dxa"/>
        <w:right w:w="0" w:type="dxa"/>
      </w:tblCellMar>
    </w:tblPr>
  </w:style>
  <w:style w:type="paragraph" w:customStyle="1" w:styleId="208">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09">
    <w:name w:val="副标题 字符2"/>
    <w:qFormat/>
    <w:uiPriority w:val="11"/>
    <w:rPr>
      <w:rFonts w:eastAsia="宋体"/>
      <w:b/>
      <w:bCs/>
      <w:kern w:val="28"/>
      <w:sz w:val="32"/>
      <w:szCs w:val="32"/>
    </w:rPr>
  </w:style>
  <w:style w:type="character" w:customStyle="1" w:styleId="210">
    <w:name w:val="批注文字 字符"/>
    <w:qFormat/>
    <w:uiPriority w:val="0"/>
    <w:rPr>
      <w:rFonts w:ascii="Times New Roman" w:hAnsi="Times New Roman"/>
      <w:kern w:val="2"/>
      <w:sz w:val="21"/>
      <w:szCs w:val="24"/>
    </w:rPr>
  </w:style>
  <w:style w:type="character" w:customStyle="1" w:styleId="211">
    <w:name w:val="f14b1"/>
    <w:semiHidden/>
    <w:qFormat/>
    <w:uiPriority w:val="0"/>
    <w:rPr>
      <w:b/>
      <w:bCs/>
      <w:sz w:val="21"/>
      <w:szCs w:val="21"/>
    </w:rPr>
  </w:style>
  <w:style w:type="character" w:customStyle="1" w:styleId="212">
    <w:name w:val="HTML 地址 Char"/>
    <w:link w:val="39"/>
    <w:semiHidden/>
    <w:qFormat/>
    <w:uiPriority w:val="0"/>
    <w:rPr>
      <w:i/>
      <w:iCs/>
      <w:szCs w:val="24"/>
    </w:rPr>
  </w:style>
  <w:style w:type="character" w:customStyle="1" w:styleId="213">
    <w:name w:val="页眉 字符"/>
    <w:qFormat/>
    <w:uiPriority w:val="99"/>
    <w:rPr>
      <w:rFonts w:ascii="Times New Roman" w:hAnsi="Times New Roman"/>
      <w:kern w:val="2"/>
      <w:sz w:val="18"/>
      <w:szCs w:val="24"/>
    </w:rPr>
  </w:style>
  <w:style w:type="character" w:customStyle="1" w:styleId="214">
    <w:name w:val="结束语 Char"/>
    <w:link w:val="31"/>
    <w:semiHidden/>
    <w:qFormat/>
    <w:uiPriority w:val="0"/>
    <w:rPr>
      <w:szCs w:val="24"/>
    </w:rPr>
  </w:style>
  <w:style w:type="character" w:customStyle="1" w:styleId="215">
    <w:name w:val="unnamed211"/>
    <w:semiHidden/>
    <w:qFormat/>
    <w:uiPriority w:val="0"/>
    <w:rPr>
      <w:sz w:val="23"/>
      <w:szCs w:val="23"/>
    </w:rPr>
  </w:style>
  <w:style w:type="character" w:customStyle="1" w:styleId="216">
    <w:name w:val="ss1"/>
    <w:semiHidden/>
    <w:qFormat/>
    <w:uiPriority w:val="0"/>
    <w:rPr>
      <w:rFonts w:hint="default" w:ascii="ˎ̥" w:hAnsi="ˎ̥"/>
      <w:color w:val="000000"/>
      <w:sz w:val="18"/>
      <w:szCs w:val="18"/>
      <w:u w:val="none"/>
    </w:rPr>
  </w:style>
  <w:style w:type="character" w:customStyle="1" w:styleId="217">
    <w:name w:val="标题 Char1"/>
    <w:qFormat/>
    <w:uiPriority w:val="10"/>
    <w:rPr>
      <w:rFonts w:ascii="Cambria" w:hAnsi="Cambria" w:cs="Times New Roman"/>
      <w:b/>
      <w:bCs/>
      <w:kern w:val="2"/>
      <w:sz w:val="32"/>
      <w:szCs w:val="32"/>
    </w:rPr>
  </w:style>
  <w:style w:type="character" w:customStyle="1" w:styleId="218">
    <w:name w:val="z-窗体顶端 字符"/>
    <w:link w:val="219"/>
    <w:qFormat/>
    <w:uiPriority w:val="99"/>
    <w:rPr>
      <w:rFonts w:ascii="Arial" w:hAnsi="Arial"/>
      <w:vanish/>
      <w:sz w:val="16"/>
      <w:szCs w:val="16"/>
    </w:rPr>
  </w:style>
  <w:style w:type="paragraph" w:customStyle="1" w:styleId="219">
    <w:name w:val="z-窗体顶端1"/>
    <w:basedOn w:val="1"/>
    <w:next w:val="1"/>
    <w:link w:val="218"/>
    <w:unhideWhenUsed/>
    <w:qFormat/>
    <w:uiPriority w:val="99"/>
    <w:pPr>
      <w:pBdr>
        <w:bottom w:val="single" w:color="auto" w:sz="6" w:space="1"/>
      </w:pBdr>
      <w:jc w:val="center"/>
    </w:pPr>
    <w:rPr>
      <w:rFonts w:ascii="Arial" w:hAnsi="Arial" w:cs="Times New Roman"/>
      <w:vanish/>
      <w:sz w:val="16"/>
      <w:szCs w:val="16"/>
    </w:rPr>
  </w:style>
  <w:style w:type="character" w:customStyle="1" w:styleId="220">
    <w:name w:val="信息标题 Char"/>
    <w:link w:val="74"/>
    <w:semiHidden/>
    <w:qFormat/>
    <w:uiPriority w:val="0"/>
    <w:rPr>
      <w:rFonts w:ascii="Arial" w:hAnsi="Arial" w:cs="Arial"/>
      <w:sz w:val="24"/>
      <w:szCs w:val="24"/>
      <w:shd w:val="pct20" w:color="auto" w:fill="auto"/>
    </w:rPr>
  </w:style>
  <w:style w:type="character" w:customStyle="1" w:styleId="221">
    <w:name w:val="正文首行缩进 2 Char"/>
    <w:link w:val="2"/>
    <w:qFormat/>
    <w:uiPriority w:val="0"/>
    <w:rPr>
      <w:rFonts w:ascii="宋体" w:hAnsi="宋体" w:cs="宋体"/>
      <w:sz w:val="24"/>
    </w:rPr>
  </w:style>
  <w:style w:type="character" w:customStyle="1" w:styleId="222">
    <w:name w:val="纯文本 字符"/>
    <w:qFormat/>
    <w:uiPriority w:val="99"/>
    <w:rPr>
      <w:rFonts w:ascii="宋体" w:hAnsi="Courier New"/>
      <w:szCs w:val="21"/>
    </w:rPr>
  </w:style>
  <w:style w:type="character" w:customStyle="1" w:styleId="223">
    <w:name w:val="页脚 字符"/>
    <w:qFormat/>
    <w:uiPriority w:val="99"/>
    <w:rPr>
      <w:rFonts w:ascii="Times New Roman" w:hAnsi="Times New Roman"/>
      <w:kern w:val="2"/>
      <w:sz w:val="18"/>
      <w:szCs w:val="24"/>
    </w:rPr>
  </w:style>
  <w:style w:type="character" w:customStyle="1" w:styleId="224">
    <w:name w:val="标题 字符"/>
    <w:qFormat/>
    <w:uiPriority w:val="99"/>
    <w:rPr>
      <w:rFonts w:ascii="Cambria" w:hAnsi="Cambria" w:eastAsia="黑体"/>
      <w:bCs/>
      <w:kern w:val="2"/>
      <w:sz w:val="30"/>
      <w:szCs w:val="32"/>
    </w:rPr>
  </w:style>
  <w:style w:type="character" w:customStyle="1" w:styleId="225">
    <w:name w:val="副标题 Char1"/>
    <w:qFormat/>
    <w:uiPriority w:val="11"/>
    <w:rPr>
      <w:rFonts w:ascii="Cambria" w:hAnsi="Cambria" w:cs="Times New Roman"/>
      <w:b/>
      <w:bCs/>
      <w:kern w:val="28"/>
      <w:sz w:val="32"/>
      <w:szCs w:val="32"/>
    </w:rPr>
  </w:style>
  <w:style w:type="character" w:customStyle="1" w:styleId="226">
    <w:name w:val="ggwenhao"/>
    <w:semiHidden/>
    <w:qFormat/>
    <w:uiPriority w:val="0"/>
  </w:style>
  <w:style w:type="character" w:customStyle="1" w:styleId="227">
    <w:name w:val="称呼 Char"/>
    <w:link w:val="29"/>
    <w:semiHidden/>
    <w:qFormat/>
    <w:uiPriority w:val="0"/>
    <w:rPr>
      <w:szCs w:val="24"/>
    </w:rPr>
  </w:style>
  <w:style w:type="character" w:customStyle="1" w:styleId="228">
    <w:name w:val="正文文本 3 Char"/>
    <w:link w:val="30"/>
    <w:semiHidden/>
    <w:qFormat/>
    <w:uiPriority w:val="0"/>
    <w:rPr>
      <w:sz w:val="16"/>
      <w:szCs w:val="16"/>
    </w:rPr>
  </w:style>
  <w:style w:type="character" w:customStyle="1" w:styleId="229">
    <w:name w:val="f142"/>
    <w:semiHidden/>
    <w:qFormat/>
    <w:uiPriority w:val="0"/>
    <w:rPr>
      <w:sz w:val="21"/>
      <w:szCs w:val="21"/>
    </w:rPr>
  </w:style>
  <w:style w:type="character" w:customStyle="1" w:styleId="230">
    <w:name w:val="HTML 预设格式 Char"/>
    <w:link w:val="75"/>
    <w:qFormat/>
    <w:uiPriority w:val="0"/>
    <w:rPr>
      <w:rFonts w:ascii="宋体" w:hAnsi="宋体" w:cs="宋体"/>
      <w:color w:val="000000"/>
      <w:sz w:val="24"/>
      <w:szCs w:val="24"/>
    </w:rPr>
  </w:style>
  <w:style w:type="character" w:customStyle="1" w:styleId="231">
    <w:name w:val="HTML 预设格式 字符"/>
    <w:qFormat/>
    <w:uiPriority w:val="99"/>
    <w:rPr>
      <w:rFonts w:ascii="宋体" w:hAnsi="宋体"/>
      <w:sz w:val="24"/>
      <w:szCs w:val="24"/>
    </w:rPr>
  </w:style>
  <w:style w:type="character" w:customStyle="1" w:styleId="232">
    <w:name w:val="副标题 字符"/>
    <w:qFormat/>
    <w:uiPriority w:val="99"/>
    <w:rPr>
      <w:rFonts w:ascii="Cambria" w:hAnsi="Cambria" w:eastAsia="黑体"/>
      <w:bCs/>
      <w:kern w:val="28"/>
      <w:sz w:val="28"/>
      <w:szCs w:val="32"/>
    </w:rPr>
  </w:style>
  <w:style w:type="character" w:customStyle="1" w:styleId="233">
    <w:name w:val="副标题 Char"/>
    <w:link w:val="61"/>
    <w:qFormat/>
    <w:uiPriority w:val="11"/>
    <w:rPr>
      <w:rFonts w:ascii="Cambria" w:hAnsi="Cambria" w:eastAsia="黑体"/>
      <w:bCs/>
      <w:kern w:val="28"/>
      <w:sz w:val="28"/>
      <w:szCs w:val="32"/>
    </w:rPr>
  </w:style>
  <w:style w:type="character" w:customStyle="1" w:styleId="234">
    <w:name w:val="z-窗体底端 字符"/>
    <w:link w:val="235"/>
    <w:qFormat/>
    <w:uiPriority w:val="99"/>
    <w:rPr>
      <w:rFonts w:ascii="Arial" w:hAnsi="Arial"/>
      <w:vanish/>
      <w:sz w:val="16"/>
      <w:szCs w:val="16"/>
    </w:rPr>
  </w:style>
  <w:style w:type="paragraph" w:customStyle="1" w:styleId="235">
    <w:name w:val="z-窗体底端1"/>
    <w:basedOn w:val="1"/>
    <w:next w:val="1"/>
    <w:link w:val="234"/>
    <w:unhideWhenUsed/>
    <w:qFormat/>
    <w:uiPriority w:val="99"/>
    <w:pPr>
      <w:pBdr>
        <w:top w:val="single" w:color="auto" w:sz="6" w:space="1"/>
      </w:pBdr>
      <w:jc w:val="center"/>
    </w:pPr>
    <w:rPr>
      <w:rFonts w:ascii="Arial" w:hAnsi="Arial" w:cs="Times New Roman"/>
      <w:vanish/>
      <w:sz w:val="16"/>
      <w:szCs w:val="16"/>
    </w:rPr>
  </w:style>
  <w:style w:type="character" w:customStyle="1" w:styleId="236">
    <w:name w:val="标题 字符2"/>
    <w:qFormat/>
    <w:uiPriority w:val="10"/>
    <w:rPr>
      <w:rFonts w:ascii="Cambria" w:hAnsi="Cambria" w:eastAsia="宋体" w:cs="Times New Roman"/>
      <w:b/>
      <w:bCs/>
      <w:sz w:val="32"/>
      <w:szCs w:val="32"/>
    </w:rPr>
  </w:style>
  <w:style w:type="character" w:customStyle="1" w:styleId="237">
    <w:name w:val="正文文本 字符"/>
    <w:qFormat/>
    <w:uiPriority w:val="99"/>
    <w:rPr>
      <w:rFonts w:ascii="Times New Roman" w:hAnsi="Times New Roman"/>
      <w:b/>
      <w:bCs/>
      <w:kern w:val="2"/>
      <w:sz w:val="21"/>
      <w:szCs w:val="24"/>
    </w:rPr>
  </w:style>
  <w:style w:type="character" w:customStyle="1" w:styleId="238">
    <w:name w:val="签名 Char"/>
    <w:link w:val="55"/>
    <w:semiHidden/>
    <w:qFormat/>
    <w:uiPriority w:val="0"/>
    <w:rPr>
      <w:szCs w:val="24"/>
    </w:rPr>
  </w:style>
  <w:style w:type="character" w:customStyle="1" w:styleId="239">
    <w:name w:val="注释标题 Char"/>
    <w:link w:val="16"/>
    <w:semiHidden/>
    <w:qFormat/>
    <w:uiPriority w:val="0"/>
    <w:rPr>
      <w:szCs w:val="24"/>
    </w:rPr>
  </w:style>
  <w:style w:type="character" w:customStyle="1" w:styleId="240">
    <w:name w:val="正文首行缩进 Char"/>
    <w:link w:val="81"/>
    <w:semiHidden/>
    <w:qFormat/>
    <w:uiPriority w:val="0"/>
    <w:rPr>
      <w:szCs w:val="24"/>
    </w:rPr>
  </w:style>
  <w:style w:type="character" w:customStyle="1" w:styleId="241">
    <w:name w:val="电子邮件签名 Char"/>
    <w:link w:val="19"/>
    <w:semiHidden/>
    <w:qFormat/>
    <w:uiPriority w:val="0"/>
    <w:rPr>
      <w:szCs w:val="24"/>
    </w:rPr>
  </w:style>
  <w:style w:type="character" w:customStyle="1" w:styleId="242">
    <w:name w:val="签名 Char1"/>
    <w:basedOn w:val="127"/>
    <w:semiHidden/>
    <w:qFormat/>
    <w:uiPriority w:val="99"/>
    <w:rPr>
      <w:rFonts w:ascii="宋体" w:hAnsi="宋体" w:cs="宋体"/>
      <w:sz w:val="24"/>
      <w:szCs w:val="24"/>
    </w:rPr>
  </w:style>
  <w:style w:type="character" w:customStyle="1" w:styleId="243">
    <w:name w:val="正文文本 Char1"/>
    <w:basedOn w:val="127"/>
    <w:semiHidden/>
    <w:qFormat/>
    <w:uiPriority w:val="99"/>
    <w:rPr>
      <w:rFonts w:ascii="Calibri" w:hAnsi="Calibri" w:eastAsia="宋体" w:cs="Times New Roman"/>
    </w:rPr>
  </w:style>
  <w:style w:type="character" w:customStyle="1" w:styleId="244">
    <w:name w:val="页眉 Char1"/>
    <w:basedOn w:val="127"/>
    <w:semiHidden/>
    <w:qFormat/>
    <w:uiPriority w:val="99"/>
    <w:rPr>
      <w:rFonts w:ascii="Calibri" w:hAnsi="Calibri" w:eastAsia="宋体" w:cs="Times New Roman"/>
      <w:sz w:val="18"/>
      <w:szCs w:val="18"/>
    </w:rPr>
  </w:style>
  <w:style w:type="character" w:customStyle="1" w:styleId="245">
    <w:name w:val="HTML 地址 Char1"/>
    <w:basedOn w:val="127"/>
    <w:semiHidden/>
    <w:qFormat/>
    <w:uiPriority w:val="99"/>
    <w:rPr>
      <w:rFonts w:ascii="宋体" w:hAnsi="宋体" w:cs="宋体"/>
      <w:i/>
      <w:iCs/>
      <w:sz w:val="24"/>
      <w:szCs w:val="24"/>
    </w:rPr>
  </w:style>
  <w:style w:type="character" w:customStyle="1" w:styleId="246">
    <w:name w:val="z-窗体顶端 Char1"/>
    <w:basedOn w:val="127"/>
    <w:semiHidden/>
    <w:qFormat/>
    <w:uiPriority w:val="99"/>
    <w:rPr>
      <w:rFonts w:ascii="Arial" w:hAnsi="Arial" w:cs="Arial"/>
      <w:vanish/>
      <w:sz w:val="16"/>
      <w:szCs w:val="16"/>
    </w:rPr>
  </w:style>
  <w:style w:type="character" w:customStyle="1" w:styleId="247">
    <w:name w:val="结束语 Char1"/>
    <w:basedOn w:val="127"/>
    <w:semiHidden/>
    <w:qFormat/>
    <w:uiPriority w:val="99"/>
    <w:rPr>
      <w:rFonts w:ascii="宋体" w:hAnsi="宋体" w:cs="宋体"/>
      <w:sz w:val="24"/>
      <w:szCs w:val="24"/>
    </w:rPr>
  </w:style>
  <w:style w:type="paragraph" w:customStyle="1" w:styleId="248">
    <w:name w:val="ggtitle"/>
    <w:basedOn w:val="1"/>
    <w:semiHidden/>
    <w:qFormat/>
    <w:uiPriority w:val="0"/>
    <w:pPr>
      <w:spacing w:before="100" w:beforeAutospacing="1" w:after="100" w:afterAutospacing="1" w:line="330" w:lineRule="atLeast"/>
    </w:pPr>
    <w:rPr>
      <w:sz w:val="23"/>
      <w:szCs w:val="23"/>
    </w:rPr>
  </w:style>
  <w:style w:type="character" w:customStyle="1" w:styleId="249">
    <w:name w:val="注释标题 Char1"/>
    <w:basedOn w:val="127"/>
    <w:semiHidden/>
    <w:qFormat/>
    <w:uiPriority w:val="99"/>
    <w:rPr>
      <w:rFonts w:ascii="宋体" w:hAnsi="宋体" w:cs="宋体"/>
      <w:sz w:val="24"/>
      <w:szCs w:val="24"/>
    </w:rPr>
  </w:style>
  <w:style w:type="character" w:customStyle="1" w:styleId="250">
    <w:name w:val="副标题 Char2"/>
    <w:basedOn w:val="127"/>
    <w:qFormat/>
    <w:uiPriority w:val="11"/>
    <w:rPr>
      <w:rFonts w:asciiTheme="majorHAnsi" w:hAnsiTheme="majorHAnsi" w:cstheme="majorBidi"/>
      <w:b/>
      <w:bCs/>
      <w:kern w:val="28"/>
      <w:sz w:val="32"/>
      <w:szCs w:val="32"/>
    </w:rPr>
  </w:style>
  <w:style w:type="character" w:customStyle="1" w:styleId="251">
    <w:name w:val="页脚 Char1"/>
    <w:basedOn w:val="127"/>
    <w:semiHidden/>
    <w:qFormat/>
    <w:uiPriority w:val="99"/>
    <w:rPr>
      <w:rFonts w:ascii="Calibri" w:hAnsi="Calibri" w:eastAsia="宋体" w:cs="Times New Roman"/>
      <w:sz w:val="18"/>
      <w:szCs w:val="18"/>
    </w:rPr>
  </w:style>
  <w:style w:type="character" w:customStyle="1" w:styleId="252">
    <w:name w:val="正文文本 3 Char1"/>
    <w:basedOn w:val="127"/>
    <w:semiHidden/>
    <w:qFormat/>
    <w:uiPriority w:val="99"/>
    <w:rPr>
      <w:rFonts w:ascii="宋体" w:hAnsi="宋体" w:cs="宋体"/>
      <w:sz w:val="16"/>
      <w:szCs w:val="16"/>
    </w:rPr>
  </w:style>
  <w:style w:type="character" w:customStyle="1" w:styleId="253">
    <w:name w:val="正文文本缩进 Char1"/>
    <w:basedOn w:val="127"/>
    <w:semiHidden/>
    <w:qFormat/>
    <w:uiPriority w:val="99"/>
    <w:rPr>
      <w:rFonts w:ascii="Calibri" w:hAnsi="Calibri" w:eastAsia="宋体" w:cs="Times New Roman"/>
    </w:rPr>
  </w:style>
  <w:style w:type="character" w:customStyle="1" w:styleId="254">
    <w:name w:val="正文首行缩进 2 Char1"/>
    <w:basedOn w:val="253"/>
    <w:semiHidden/>
    <w:qFormat/>
    <w:uiPriority w:val="99"/>
    <w:rPr>
      <w:rFonts w:ascii="Calibri" w:hAnsi="Calibri" w:eastAsia="宋体" w:cs="Times New Roman"/>
    </w:rPr>
  </w:style>
  <w:style w:type="character" w:customStyle="1" w:styleId="255">
    <w:name w:val="批注框文本 Char1"/>
    <w:basedOn w:val="127"/>
    <w:semiHidden/>
    <w:qFormat/>
    <w:uiPriority w:val="99"/>
    <w:rPr>
      <w:rFonts w:ascii="Calibri" w:hAnsi="Calibri" w:eastAsia="宋体" w:cs="Times New Roman"/>
      <w:sz w:val="18"/>
      <w:szCs w:val="18"/>
    </w:rPr>
  </w:style>
  <w:style w:type="character" w:customStyle="1" w:styleId="256">
    <w:name w:val="称呼 Char1"/>
    <w:basedOn w:val="127"/>
    <w:semiHidden/>
    <w:qFormat/>
    <w:uiPriority w:val="99"/>
    <w:rPr>
      <w:rFonts w:ascii="宋体" w:hAnsi="宋体" w:cs="宋体"/>
      <w:sz w:val="24"/>
      <w:szCs w:val="24"/>
    </w:rPr>
  </w:style>
  <w:style w:type="character" w:customStyle="1" w:styleId="257">
    <w:name w:val="信息标题 Char1"/>
    <w:basedOn w:val="127"/>
    <w:semiHidden/>
    <w:qFormat/>
    <w:uiPriority w:val="99"/>
    <w:rPr>
      <w:rFonts w:asciiTheme="majorHAnsi" w:hAnsiTheme="majorHAnsi" w:eastAsiaTheme="majorEastAsia" w:cstheme="majorBidi"/>
      <w:sz w:val="24"/>
      <w:szCs w:val="24"/>
      <w:shd w:val="pct20" w:color="auto" w:fill="auto"/>
    </w:rPr>
  </w:style>
  <w:style w:type="character" w:customStyle="1" w:styleId="258">
    <w:name w:val="纯文本 Char1"/>
    <w:basedOn w:val="127"/>
    <w:semiHidden/>
    <w:qFormat/>
    <w:uiPriority w:val="99"/>
    <w:rPr>
      <w:rFonts w:ascii="宋体" w:hAnsi="Courier New" w:eastAsia="宋体" w:cs="Courier New"/>
      <w:szCs w:val="21"/>
    </w:rPr>
  </w:style>
  <w:style w:type="paragraph" w:customStyle="1" w:styleId="259">
    <w:name w:val="列出段落1"/>
    <w:basedOn w:val="1"/>
    <w:qFormat/>
    <w:uiPriority w:val="99"/>
    <w:pPr>
      <w:widowControl w:val="0"/>
      <w:ind w:firstLine="420" w:firstLineChars="200"/>
      <w:jc w:val="both"/>
    </w:pPr>
    <w:rPr>
      <w:rFonts w:ascii="Times New Roman" w:hAnsi="Times New Roman" w:cs="Times New Roman"/>
      <w:kern w:val="2"/>
      <w:sz w:val="21"/>
    </w:rPr>
  </w:style>
  <w:style w:type="character" w:customStyle="1" w:styleId="260">
    <w:name w:val="标题 Char2"/>
    <w:basedOn w:val="127"/>
    <w:qFormat/>
    <w:uiPriority w:val="10"/>
    <w:rPr>
      <w:rFonts w:eastAsia="宋体" w:asciiTheme="majorHAnsi" w:hAnsiTheme="majorHAnsi" w:cstheme="majorBidi"/>
      <w:b/>
      <w:bCs/>
      <w:sz w:val="32"/>
      <w:szCs w:val="32"/>
    </w:rPr>
  </w:style>
  <w:style w:type="character" w:customStyle="1" w:styleId="261">
    <w:name w:val="正文文本缩进 2 Char1"/>
    <w:basedOn w:val="127"/>
    <w:semiHidden/>
    <w:qFormat/>
    <w:uiPriority w:val="99"/>
    <w:rPr>
      <w:rFonts w:ascii="Calibri" w:hAnsi="Calibri" w:eastAsia="宋体" w:cs="Times New Roman"/>
    </w:rPr>
  </w:style>
  <w:style w:type="character" w:customStyle="1" w:styleId="262">
    <w:name w:val="电子邮件签名 Char1"/>
    <w:basedOn w:val="127"/>
    <w:semiHidden/>
    <w:qFormat/>
    <w:uiPriority w:val="99"/>
    <w:rPr>
      <w:rFonts w:ascii="宋体" w:hAnsi="宋体" w:cs="宋体"/>
      <w:sz w:val="24"/>
      <w:szCs w:val="24"/>
    </w:rPr>
  </w:style>
  <w:style w:type="character" w:customStyle="1" w:styleId="263">
    <w:name w:val="HTML 预设格式 Char1"/>
    <w:basedOn w:val="127"/>
    <w:semiHidden/>
    <w:qFormat/>
    <w:uiPriority w:val="99"/>
    <w:rPr>
      <w:rFonts w:ascii="Courier New" w:hAnsi="Courier New" w:cs="Courier New"/>
    </w:rPr>
  </w:style>
  <w:style w:type="character" w:customStyle="1" w:styleId="264">
    <w:name w:val="批注主题 Char1"/>
    <w:basedOn w:val="153"/>
    <w:semiHidden/>
    <w:qFormat/>
    <w:uiPriority w:val="99"/>
    <w:rPr>
      <w:rFonts w:ascii="Calibri" w:hAnsi="Calibri" w:eastAsia="宋体" w:cs="Times New Roman"/>
      <w:b/>
      <w:bCs/>
      <w:szCs w:val="24"/>
    </w:rPr>
  </w:style>
  <w:style w:type="character" w:customStyle="1" w:styleId="265">
    <w:name w:val="正文首行缩进 Char1"/>
    <w:basedOn w:val="164"/>
    <w:semiHidden/>
    <w:qFormat/>
    <w:uiPriority w:val="99"/>
    <w:rPr>
      <w:rFonts w:ascii="宋体" w:hAnsi="宋体" w:eastAsia="宋体" w:cs="宋体"/>
      <w:b w:val="0"/>
      <w:bCs w:val="0"/>
      <w:sz w:val="24"/>
      <w:szCs w:val="24"/>
    </w:rPr>
  </w:style>
  <w:style w:type="paragraph" w:customStyle="1" w:styleId="266">
    <w:name w:val="ggbody"/>
    <w:basedOn w:val="1"/>
    <w:semiHidden/>
    <w:qFormat/>
    <w:uiPriority w:val="0"/>
    <w:pPr>
      <w:spacing w:before="100" w:beforeAutospacing="1" w:after="100" w:afterAutospacing="1" w:line="330" w:lineRule="atLeast"/>
    </w:pPr>
    <w:rPr>
      <w:sz w:val="23"/>
      <w:szCs w:val="23"/>
    </w:rPr>
  </w:style>
  <w:style w:type="character" w:customStyle="1" w:styleId="267">
    <w:name w:val="z-窗体底端 Char1"/>
    <w:basedOn w:val="127"/>
    <w:semiHidden/>
    <w:qFormat/>
    <w:uiPriority w:val="99"/>
    <w:rPr>
      <w:rFonts w:ascii="Arial" w:hAnsi="Arial" w:cs="Arial"/>
      <w:vanish/>
      <w:sz w:val="16"/>
      <w:szCs w:val="16"/>
    </w:rPr>
  </w:style>
  <w:style w:type="paragraph" w:customStyle="1" w:styleId="268">
    <w:name w:val="修订2"/>
    <w:hidden/>
    <w:unhideWhenUsed/>
    <w:qFormat/>
    <w:uiPriority w:val="99"/>
    <w:rPr>
      <w:rFonts w:ascii="宋体" w:hAnsi="宋体" w:eastAsia="宋体" w:cs="宋体"/>
      <w:sz w:val="24"/>
      <w:szCs w:val="24"/>
      <w:lang w:val="en-US" w:eastAsia="zh-CN" w:bidi="ar-SA"/>
    </w:rPr>
  </w:style>
  <w:style w:type="character" w:customStyle="1" w:styleId="269">
    <w:name w:val="日期 字符1"/>
    <w:basedOn w:val="127"/>
    <w:semiHidden/>
    <w:qFormat/>
    <w:uiPriority w:val="99"/>
  </w:style>
  <w:style w:type="character" w:customStyle="1" w:styleId="270">
    <w:name w:val="正文文本 字符1"/>
    <w:basedOn w:val="127"/>
    <w:semiHidden/>
    <w:qFormat/>
    <w:uiPriority w:val="99"/>
  </w:style>
  <w:style w:type="character" w:customStyle="1" w:styleId="271">
    <w:name w:val="文档结构图 字符1"/>
    <w:basedOn w:val="127"/>
    <w:semiHidden/>
    <w:qFormat/>
    <w:uiPriority w:val="99"/>
    <w:rPr>
      <w:rFonts w:ascii="Microsoft YaHei UI" w:eastAsia="Microsoft YaHei UI"/>
      <w:sz w:val="18"/>
      <w:szCs w:val="18"/>
    </w:rPr>
  </w:style>
  <w:style w:type="character" w:customStyle="1" w:styleId="272">
    <w:name w:val="HTML 地址 字符1"/>
    <w:basedOn w:val="127"/>
    <w:semiHidden/>
    <w:qFormat/>
    <w:uiPriority w:val="99"/>
    <w:rPr>
      <w:i/>
      <w:iCs/>
    </w:rPr>
  </w:style>
  <w:style w:type="character" w:customStyle="1" w:styleId="273">
    <w:name w:val="结束语 字符1"/>
    <w:basedOn w:val="127"/>
    <w:semiHidden/>
    <w:qFormat/>
    <w:uiPriority w:val="99"/>
  </w:style>
  <w:style w:type="character" w:customStyle="1" w:styleId="274">
    <w:name w:val="注释标题 字符1"/>
    <w:basedOn w:val="127"/>
    <w:semiHidden/>
    <w:qFormat/>
    <w:uiPriority w:val="99"/>
  </w:style>
  <w:style w:type="character" w:customStyle="1" w:styleId="275">
    <w:name w:val="正文文本 3 字符1"/>
    <w:basedOn w:val="127"/>
    <w:semiHidden/>
    <w:qFormat/>
    <w:uiPriority w:val="99"/>
    <w:rPr>
      <w:sz w:val="16"/>
      <w:szCs w:val="16"/>
    </w:rPr>
  </w:style>
  <w:style w:type="character" w:customStyle="1" w:styleId="276">
    <w:name w:val="称呼 字符1"/>
    <w:basedOn w:val="127"/>
    <w:semiHidden/>
    <w:qFormat/>
    <w:uiPriority w:val="99"/>
  </w:style>
  <w:style w:type="character" w:customStyle="1" w:styleId="277">
    <w:name w:val="纯文本 字符1"/>
    <w:basedOn w:val="127"/>
    <w:semiHidden/>
    <w:qFormat/>
    <w:uiPriority w:val="99"/>
    <w:rPr>
      <w:rFonts w:hAnsi="Courier New" w:cs="Courier New" w:asciiTheme="minorEastAsia"/>
    </w:rPr>
  </w:style>
  <w:style w:type="character" w:customStyle="1" w:styleId="278">
    <w:name w:val="批注文字 字符1"/>
    <w:basedOn w:val="127"/>
    <w:semiHidden/>
    <w:qFormat/>
    <w:uiPriority w:val="0"/>
  </w:style>
  <w:style w:type="character" w:customStyle="1" w:styleId="279">
    <w:name w:val="正文文本缩进 2 字符1"/>
    <w:basedOn w:val="127"/>
    <w:semiHidden/>
    <w:qFormat/>
    <w:uiPriority w:val="99"/>
  </w:style>
  <w:style w:type="character" w:customStyle="1" w:styleId="280">
    <w:name w:val="正文文本缩进 字符1"/>
    <w:basedOn w:val="127"/>
    <w:semiHidden/>
    <w:qFormat/>
    <w:uiPriority w:val="99"/>
  </w:style>
  <w:style w:type="character" w:customStyle="1" w:styleId="281">
    <w:name w:val="电子邮件签名 字符1"/>
    <w:basedOn w:val="127"/>
    <w:semiHidden/>
    <w:qFormat/>
    <w:uiPriority w:val="99"/>
  </w:style>
  <w:style w:type="character" w:customStyle="1" w:styleId="282">
    <w:name w:val="批注框文本 字符1"/>
    <w:basedOn w:val="127"/>
    <w:semiHidden/>
    <w:qFormat/>
    <w:uiPriority w:val="99"/>
    <w:rPr>
      <w:sz w:val="18"/>
      <w:szCs w:val="18"/>
    </w:rPr>
  </w:style>
  <w:style w:type="character" w:customStyle="1" w:styleId="283">
    <w:name w:val="页脚 字符1"/>
    <w:basedOn w:val="127"/>
    <w:semiHidden/>
    <w:qFormat/>
    <w:uiPriority w:val="99"/>
    <w:rPr>
      <w:sz w:val="18"/>
      <w:szCs w:val="18"/>
    </w:rPr>
  </w:style>
  <w:style w:type="character" w:customStyle="1" w:styleId="284">
    <w:name w:val="页眉 字符1"/>
    <w:basedOn w:val="127"/>
    <w:semiHidden/>
    <w:qFormat/>
    <w:uiPriority w:val="99"/>
    <w:rPr>
      <w:sz w:val="18"/>
      <w:szCs w:val="18"/>
    </w:rPr>
  </w:style>
  <w:style w:type="character" w:customStyle="1" w:styleId="285">
    <w:name w:val="签名 字符1"/>
    <w:basedOn w:val="127"/>
    <w:semiHidden/>
    <w:qFormat/>
    <w:uiPriority w:val="99"/>
  </w:style>
  <w:style w:type="character" w:customStyle="1" w:styleId="286">
    <w:name w:val="信息标题 字符1"/>
    <w:basedOn w:val="127"/>
    <w:semiHidden/>
    <w:qFormat/>
    <w:uiPriority w:val="99"/>
    <w:rPr>
      <w:rFonts w:asciiTheme="majorHAnsi" w:hAnsiTheme="majorHAnsi" w:eastAsiaTheme="majorEastAsia" w:cstheme="majorBidi"/>
      <w:sz w:val="24"/>
      <w:szCs w:val="24"/>
      <w:shd w:val="pct20" w:color="auto" w:fill="auto"/>
    </w:rPr>
  </w:style>
  <w:style w:type="character" w:customStyle="1" w:styleId="287">
    <w:name w:val="HTML 预设格式 字符1"/>
    <w:basedOn w:val="127"/>
    <w:semiHidden/>
    <w:qFormat/>
    <w:uiPriority w:val="99"/>
    <w:rPr>
      <w:rFonts w:ascii="Courier New" w:hAnsi="Courier New" w:cs="Courier New"/>
      <w:sz w:val="20"/>
      <w:szCs w:val="20"/>
    </w:rPr>
  </w:style>
  <w:style w:type="character" w:customStyle="1" w:styleId="288">
    <w:name w:val="批注主题 字符1"/>
    <w:basedOn w:val="278"/>
    <w:semiHidden/>
    <w:qFormat/>
    <w:uiPriority w:val="99"/>
    <w:rPr>
      <w:b/>
      <w:bCs/>
    </w:rPr>
  </w:style>
  <w:style w:type="character" w:customStyle="1" w:styleId="289">
    <w:name w:val="正文文本首行缩进 字符1"/>
    <w:basedOn w:val="270"/>
    <w:semiHidden/>
    <w:qFormat/>
    <w:uiPriority w:val="99"/>
  </w:style>
  <w:style w:type="character" w:customStyle="1" w:styleId="290">
    <w:name w:val="正文文本首行缩进 2 字符1"/>
    <w:basedOn w:val="280"/>
    <w:semiHidden/>
    <w:qFormat/>
    <w:uiPriority w:val="99"/>
  </w:style>
  <w:style w:type="character" w:customStyle="1" w:styleId="291">
    <w:name w:val="z-窗体顶端 字符1"/>
    <w:basedOn w:val="127"/>
    <w:semiHidden/>
    <w:qFormat/>
    <w:uiPriority w:val="99"/>
    <w:rPr>
      <w:rFonts w:ascii="Arial" w:hAnsi="Arial" w:cs="Arial"/>
      <w:vanish/>
      <w:sz w:val="16"/>
      <w:szCs w:val="16"/>
    </w:rPr>
  </w:style>
  <w:style w:type="paragraph" w:customStyle="1" w:styleId="292">
    <w:name w:val="WPSOffice手动目录 1"/>
    <w:qFormat/>
    <w:uiPriority w:val="0"/>
    <w:rPr>
      <w:rFonts w:ascii="Calibri" w:hAnsi="Calibri" w:eastAsia="宋体" w:cs="Calibri"/>
      <w:lang w:val="en-US" w:eastAsia="zh-CN" w:bidi="ar-SA"/>
    </w:rPr>
  </w:style>
  <w:style w:type="character" w:customStyle="1" w:styleId="293">
    <w:name w:val="z-窗体底端 字符1"/>
    <w:basedOn w:val="127"/>
    <w:semiHidden/>
    <w:qFormat/>
    <w:uiPriority w:val="99"/>
    <w:rPr>
      <w:rFonts w:ascii="Arial" w:hAnsi="Arial" w:cs="Arial"/>
      <w:vanish/>
      <w:sz w:val="16"/>
      <w:szCs w:val="16"/>
    </w:rPr>
  </w:style>
  <w:style w:type="paragraph" w:customStyle="1" w:styleId="294">
    <w:name w:val="reader-word-layer"/>
    <w:basedOn w:val="1"/>
    <w:qFormat/>
    <w:uiPriority w:val="0"/>
    <w:pPr>
      <w:spacing w:before="100" w:beforeAutospacing="1" w:after="100" w:afterAutospacing="1"/>
    </w:pPr>
  </w:style>
  <w:style w:type="character" w:customStyle="1" w:styleId="295">
    <w:name w:val="hover26"/>
    <w:basedOn w:val="127"/>
    <w:qFormat/>
    <w:uiPriority w:val="0"/>
    <w:rPr>
      <w:color w:val="446CB4"/>
      <w:u w:val="none"/>
      <w:bdr w:val="single" w:color="446CB4" w:sz="6" w:space="0"/>
    </w:rPr>
  </w:style>
  <w:style w:type="character" w:customStyle="1" w:styleId="296">
    <w:name w:val="layui-this"/>
    <w:basedOn w:val="127"/>
    <w:qFormat/>
    <w:uiPriority w:val="0"/>
    <w:rPr>
      <w:bdr w:val="single" w:color="EEEEEE" w:sz="6" w:space="0"/>
      <w:shd w:val="clear" w:color="auto" w:fill="FFFFFF"/>
    </w:rPr>
  </w:style>
  <w:style w:type="character" w:customStyle="1" w:styleId="297">
    <w:name w:val="first-child"/>
    <w:basedOn w:val="127"/>
    <w:qFormat/>
    <w:uiPriority w:val="0"/>
  </w:style>
  <w:style w:type="paragraph" w:customStyle="1" w:styleId="298">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修订3"/>
    <w:hidden/>
    <w:unhideWhenUsed/>
    <w:qFormat/>
    <w:uiPriority w:val="99"/>
    <w:rPr>
      <w:rFonts w:ascii="宋体" w:hAnsi="宋体" w:eastAsia="宋体" w:cs="宋体"/>
      <w:sz w:val="24"/>
      <w:szCs w:val="24"/>
      <w:lang w:val="en-US" w:eastAsia="zh-CN" w:bidi="ar-SA"/>
    </w:rPr>
  </w:style>
  <w:style w:type="paragraph" w:customStyle="1" w:styleId="300">
    <w:name w:val="修订4"/>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96723-8457-4800-BF64-26DF4D9CB229}">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72</Pages>
  <Words>6660</Words>
  <Characters>37965</Characters>
  <Lines>316</Lines>
  <Paragraphs>89</Paragraphs>
  <TotalTime>403</TotalTime>
  <ScaleCrop>false</ScaleCrop>
  <LinksUpToDate>false</LinksUpToDate>
  <CharactersWithSpaces>44536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2022-11-28T08:57:00Z</dcterms:created>
  <dc:creator>快节奏</dc:creator>
  <cp:lastModifiedBy>zsjd</cp:lastModifiedBy>
  <cp:lastPrinted>2022-08-18T02:16:00Z</cp:lastPrinted>
  <dcterms:modified xsi:type="dcterms:W3CDTF">2023-07-19T08:11:55Z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E04EF35F312141F997E484A147460B8B</vt:lpwstr>
  </property>
</Properties>
</file>