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96" w:lineRule="atLeast"/>
        <w:ind w:left="0" w:leftChars="0" w:right="0" w:rightChars="0" w:firstLine="0" w:firstLineChars="0"/>
        <w:jc w:val="both"/>
        <w:textAlignment w:val="auto"/>
        <w:outlineLvl w:val="9"/>
        <w:rPr>
          <w:rFonts w:hint="eastAsia" w:ascii="宋体" w:hAnsi="宋体" w:eastAsia="宋体" w:cs="宋体"/>
          <w:b w:val="0"/>
          <w:color w:val="auto"/>
          <w:kern w:val="21"/>
          <w:sz w:val="24"/>
          <w:szCs w:val="24"/>
          <w:highlight w:val="none"/>
        </w:rPr>
      </w:pPr>
      <w:r>
        <w:rPr>
          <w:rFonts w:hint="eastAsia" w:ascii="宋体" w:hAnsi="宋体" w:eastAsia="宋体" w:cs="宋体"/>
          <w:b w:val="0"/>
          <w:color w:val="auto"/>
          <w:kern w:val="21"/>
          <w:sz w:val="24"/>
          <w:szCs w:val="24"/>
          <w:highlight w:val="none"/>
        </w:rPr>
        <w:t>附件1</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kern w:val="21"/>
          <w:sz w:val="36"/>
          <w:szCs w:val="36"/>
          <w:highlight w:val="none"/>
        </w:rPr>
      </w:pPr>
      <w:r>
        <w:rPr>
          <w:rFonts w:hint="eastAsia" w:ascii="宋体" w:hAnsi="宋体" w:eastAsia="宋体" w:cs="宋体"/>
          <w:b w:val="0"/>
          <w:color w:val="auto"/>
          <w:kern w:val="21"/>
          <w:sz w:val="36"/>
          <w:szCs w:val="36"/>
          <w:highlight w:val="none"/>
        </w:rPr>
        <w:t>专业机构资质对标清单</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20"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附件1-1：香港建筑及有关顾问公司遴选委员会顾问公司名单（The List of Consultants of Architectural and Associated Consultants Selection Board</w:t>
      </w:r>
      <w:r>
        <w:rPr>
          <w:rFonts w:hint="eastAsia" w:ascii="宋体" w:hAnsi="宋体" w:eastAsia="宋体" w:cs="宋体"/>
          <w:bCs/>
          <w:color w:val="auto"/>
          <w:kern w:val="21"/>
          <w:sz w:val="24"/>
          <w:szCs w:val="24"/>
          <w:highlight w:val="none"/>
          <w:lang w:val="en-US" w:eastAsia="zh-CN"/>
        </w:rPr>
        <w:t xml:space="preserve">, </w:t>
      </w:r>
      <w:r>
        <w:rPr>
          <w:rFonts w:hint="eastAsia" w:ascii="宋体" w:hAnsi="宋体" w:eastAsia="宋体" w:cs="宋体"/>
          <w:bCs/>
          <w:color w:val="auto"/>
          <w:kern w:val="21"/>
          <w:sz w:val="24"/>
          <w:szCs w:val="24"/>
          <w:highlight w:val="none"/>
        </w:rPr>
        <w:t>AACSB名单）</w:t>
      </w:r>
    </w:p>
    <w:tbl>
      <w:tblPr>
        <w:tblStyle w:val="2"/>
        <w:tblW w:w="4957"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57" w:type="dxa"/>
          <w:left w:w="108" w:type="dxa"/>
          <w:bottom w:w="57" w:type="dxa"/>
          <w:right w:w="108" w:type="dxa"/>
        </w:tblCellMar>
      </w:tblPr>
      <w:tblGrid>
        <w:gridCol w:w="2851"/>
        <w:gridCol w:w="1536"/>
        <w:gridCol w:w="2790"/>
        <w:gridCol w:w="1272"/>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tblHeader/>
          <w:jc w:val="center"/>
        </w:trPr>
        <w:tc>
          <w:tcPr>
            <w:tcW w:w="461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eastAsia="zh-TW"/>
              </w:rPr>
            </w:pPr>
            <w:r>
              <w:rPr>
                <w:rFonts w:hint="eastAsia" w:ascii="黑体" w:hAnsi="黑体" w:eastAsia="黑体" w:cs="黑体"/>
                <w:b w:val="0"/>
                <w:bCs w:val="0"/>
                <w:color w:val="auto"/>
                <w:kern w:val="21"/>
                <w:sz w:val="21"/>
                <w:szCs w:val="21"/>
                <w:highlight w:val="none"/>
                <w:lang w:eastAsia="zh-CN"/>
              </w:rPr>
              <w:t>AACSB名单分类</w:t>
            </w:r>
          </w:p>
        </w:tc>
        <w:tc>
          <w:tcPr>
            <w:tcW w:w="4427"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eastAsia="zh-TW"/>
              </w:rPr>
            </w:pPr>
            <w:r>
              <w:rPr>
                <w:rFonts w:hint="eastAsia" w:ascii="黑体" w:hAnsi="黑体" w:eastAsia="黑体" w:cs="黑体"/>
                <w:b w:val="0"/>
                <w:bCs w:val="0"/>
                <w:color w:val="auto"/>
                <w:kern w:val="21"/>
                <w:sz w:val="21"/>
                <w:szCs w:val="21"/>
                <w:highlight w:val="none"/>
                <w:lang w:eastAsia="zh-CN"/>
              </w:rPr>
              <w:t>对应内地企业资质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tblHeader/>
          <w:jc w:val="center"/>
        </w:trPr>
        <w:tc>
          <w:tcPr>
            <w:tcW w:w="30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eastAsia="zh-TW"/>
              </w:rPr>
            </w:pPr>
            <w:r>
              <w:rPr>
                <w:rFonts w:hint="eastAsia" w:ascii="黑体" w:hAnsi="黑体" w:eastAsia="黑体" w:cs="黑体"/>
                <w:b w:val="0"/>
                <w:bCs w:val="0"/>
                <w:color w:val="auto"/>
                <w:kern w:val="21"/>
                <w:sz w:val="21"/>
                <w:szCs w:val="21"/>
                <w:highlight w:val="none"/>
                <w:lang w:eastAsia="zh-CN"/>
              </w:rPr>
              <w:t>类别（Category）</w:t>
            </w: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eastAsia="zh-TW"/>
              </w:rPr>
            </w:pPr>
            <w:r>
              <w:rPr>
                <w:rFonts w:hint="eastAsia" w:ascii="黑体" w:hAnsi="黑体" w:eastAsia="黑体" w:cs="黑体"/>
                <w:b w:val="0"/>
                <w:bCs w:val="0"/>
                <w:color w:val="auto"/>
                <w:kern w:val="21"/>
                <w:sz w:val="21"/>
                <w:szCs w:val="21"/>
                <w:highlight w:val="none"/>
                <w:lang w:eastAsia="zh-CN"/>
              </w:rPr>
              <w:t>组别（Band）</w:t>
            </w:r>
          </w:p>
        </w:tc>
        <w:tc>
          <w:tcPr>
            <w:tcW w:w="4427"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both"/>
              <w:textAlignment w:val="auto"/>
              <w:outlineLvl w:val="9"/>
              <w:rPr>
                <w:rFonts w:hint="eastAsia" w:ascii="黑体" w:hAnsi="黑体" w:eastAsia="黑体" w:cs="黑体"/>
                <w:b w:val="0"/>
                <w:bCs w:val="0"/>
                <w:kern w:val="21"/>
                <w:sz w:val="21"/>
                <w:szCs w:val="21"/>
                <w:highlight w:val="none"/>
                <w:lang w:eastAsia="zh-TW"/>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建筑</w:t>
            </w:r>
          </w:p>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Architectural</w:t>
            </w: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第一组</w:t>
            </w:r>
          </w:p>
        </w:tc>
        <w:tc>
          <w:tcPr>
            <w:tcW w:w="304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r>
              <w:rPr>
                <w:rFonts w:hint="eastAsia" w:ascii="宋体" w:hAnsi="宋体" w:eastAsia="宋体" w:cs="宋体"/>
                <w:b w:val="0"/>
                <w:bCs w:val="0"/>
                <w:color w:val="auto"/>
                <w:kern w:val="21"/>
                <w:sz w:val="21"/>
                <w:szCs w:val="21"/>
                <w:highlight w:val="none"/>
                <w:lang w:eastAsia="zh-TW"/>
              </w:rPr>
              <w:t>建筑设计事务所甲级资质、工程监理房屋建筑工程专业甲级资质</w:t>
            </w:r>
          </w:p>
        </w:tc>
        <w:tc>
          <w:tcPr>
            <w:tcW w:w="138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r>
              <w:rPr>
                <w:rFonts w:hint="eastAsia" w:ascii="宋体" w:hAnsi="宋体" w:eastAsia="宋体" w:cs="宋体"/>
                <w:b w:val="0"/>
                <w:bCs w:val="0"/>
                <w:color w:val="auto"/>
                <w:kern w:val="21"/>
                <w:sz w:val="21"/>
                <w:szCs w:val="21"/>
                <w:highlight w:val="none"/>
                <w:lang w:eastAsia="zh-TW"/>
              </w:rPr>
              <w:t>同时取得三类设计事务所资质的企业可同时取得工程设计建筑行业甲级资质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rPr>
            </w:pP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第二组</w:t>
            </w:r>
          </w:p>
        </w:tc>
        <w:tc>
          <w:tcPr>
            <w:tcW w:w="304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c>
          <w:tcPr>
            <w:tcW w:w="138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结构工程</w:t>
            </w:r>
          </w:p>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default" w:ascii="宋体" w:hAnsi="宋体" w:eastAsia="宋体" w:cs="宋体"/>
                <w:b w:val="0"/>
                <w:bCs w:val="0"/>
                <w:color w:val="auto"/>
                <w:kern w:val="21"/>
                <w:sz w:val="21"/>
                <w:szCs w:val="21"/>
                <w:highlight w:val="none"/>
                <w:lang w:eastAsia="zh-TW"/>
              </w:rPr>
              <w:t>Structural Engineering</w:t>
            </w: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第一组</w:t>
            </w:r>
          </w:p>
        </w:tc>
        <w:tc>
          <w:tcPr>
            <w:tcW w:w="304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结构设计事务所甲级资质、工程监理房屋建筑工程专业甲级资质</w:t>
            </w:r>
          </w:p>
        </w:tc>
        <w:tc>
          <w:tcPr>
            <w:tcW w:w="138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rPr>
            </w:pP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第二组</w:t>
            </w:r>
          </w:p>
        </w:tc>
        <w:tc>
          <w:tcPr>
            <w:tcW w:w="304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c>
          <w:tcPr>
            <w:tcW w:w="138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屋宇装备</w:t>
            </w:r>
          </w:p>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default" w:ascii="宋体" w:hAnsi="宋体" w:eastAsia="宋体" w:cs="宋体"/>
                <w:b w:val="0"/>
                <w:bCs w:val="0"/>
                <w:color w:val="auto"/>
                <w:kern w:val="21"/>
                <w:sz w:val="21"/>
                <w:szCs w:val="21"/>
                <w:highlight w:val="none"/>
                <w:lang w:eastAsia="zh-TW"/>
              </w:rPr>
              <w:t>Building Services</w:t>
            </w: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第一组</w:t>
            </w:r>
          </w:p>
        </w:tc>
        <w:tc>
          <w:tcPr>
            <w:tcW w:w="304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机电设计事务所甲级资质、工程监理机电安装工程专业甲级资质</w:t>
            </w:r>
          </w:p>
        </w:tc>
        <w:tc>
          <w:tcPr>
            <w:tcW w:w="138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rPr>
            </w:pP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第二组</w:t>
            </w:r>
          </w:p>
        </w:tc>
        <w:tc>
          <w:tcPr>
            <w:tcW w:w="304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c>
          <w:tcPr>
            <w:tcW w:w="138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园林建筑</w:t>
            </w:r>
          </w:p>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default" w:ascii="宋体" w:hAnsi="宋体" w:eastAsia="宋体" w:cs="宋体"/>
                <w:b w:val="0"/>
                <w:bCs w:val="0"/>
                <w:color w:val="auto"/>
                <w:kern w:val="21"/>
                <w:sz w:val="21"/>
                <w:szCs w:val="21"/>
                <w:highlight w:val="none"/>
                <w:lang w:eastAsia="zh-TW"/>
              </w:rPr>
              <w:t>Landscape Architectural</w:t>
            </w: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不分组</w:t>
            </w:r>
          </w:p>
        </w:tc>
        <w:tc>
          <w:tcPr>
            <w:tcW w:w="442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风景园林工程设计专项甲级资质</w:t>
            </w:r>
          </w:p>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工程监理市政公用工程专业甲级资质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建筑测量</w:t>
            </w:r>
          </w:p>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default" w:ascii="宋体" w:hAnsi="宋体" w:eastAsia="宋体" w:cs="宋体"/>
                <w:b w:val="0"/>
                <w:bCs w:val="0"/>
                <w:color w:val="auto"/>
                <w:kern w:val="21"/>
                <w:sz w:val="21"/>
                <w:szCs w:val="21"/>
                <w:highlight w:val="none"/>
                <w:lang w:eastAsia="zh-TW"/>
              </w:rPr>
              <w:t>Building Surveying</w:t>
            </w: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不分组</w:t>
            </w:r>
          </w:p>
        </w:tc>
        <w:tc>
          <w:tcPr>
            <w:tcW w:w="442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工程监理房屋建筑工程专业甲级资质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eastAsia" w:ascii="宋体" w:hAnsi="宋体" w:eastAsia="宋体" w:cs="宋体"/>
                <w:b w:val="0"/>
                <w:bCs w:val="0"/>
                <w:color w:val="auto"/>
                <w:kern w:val="21"/>
                <w:sz w:val="21"/>
                <w:szCs w:val="21"/>
                <w:highlight w:val="none"/>
                <w:lang w:eastAsia="zh-TW"/>
              </w:rPr>
              <w:t>工料测量</w:t>
            </w:r>
          </w:p>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r>
              <w:rPr>
                <w:rFonts w:hint="default" w:ascii="宋体" w:hAnsi="宋体" w:eastAsia="宋体" w:cs="宋体"/>
                <w:b w:val="0"/>
                <w:bCs w:val="0"/>
                <w:color w:val="auto"/>
                <w:kern w:val="21"/>
                <w:sz w:val="21"/>
                <w:szCs w:val="21"/>
                <w:highlight w:val="none"/>
                <w:lang w:eastAsia="zh-TW"/>
              </w:rPr>
              <w:t>Quantity Surveying</w:t>
            </w: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eastAsia="zh-TW"/>
              </w:rPr>
              <w:t>第一组</w:t>
            </w:r>
          </w:p>
        </w:tc>
        <w:tc>
          <w:tcPr>
            <w:tcW w:w="4427"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eastAsia="zh-TW"/>
              </w:rPr>
              <w:t>内地已取消工程造价咨询企业资质，不再对工程造价咨询企业提出资质方面要求</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83" w:hRule="atLeast"/>
          <w:jc w:val="center"/>
        </w:trPr>
        <w:tc>
          <w:tcPr>
            <w:tcW w:w="300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eastAsia="zh-TW"/>
              </w:rPr>
            </w:pPr>
          </w:p>
        </w:tc>
        <w:tc>
          <w:tcPr>
            <w:tcW w:w="16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kern w:val="21"/>
                <w:sz w:val="21"/>
                <w:szCs w:val="21"/>
                <w:highlight w:val="none"/>
                <w:lang w:eastAsia="zh-TW"/>
              </w:rPr>
              <w:t>第二组</w:t>
            </w:r>
          </w:p>
        </w:tc>
        <w:tc>
          <w:tcPr>
            <w:tcW w:w="4427"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8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eastAsia="zh-TW"/>
              </w:rPr>
            </w:pPr>
          </w:p>
        </w:tc>
      </w:tr>
    </w:tbl>
    <w:p>
      <w:pPr>
        <w:keepNext w:val="0"/>
        <w:keepLines w:val="0"/>
        <w:pageBreakBefore w:val="0"/>
        <w:widowControl/>
        <w:kinsoku/>
        <w:wordWrap/>
        <w:overflowPunct/>
        <w:topLinePunct w:val="0"/>
        <w:autoSpaceDE/>
        <w:autoSpaceDN/>
        <w:bidi w:val="0"/>
        <w:adjustRightInd w:val="0"/>
        <w:snapToGrid w:val="0"/>
        <w:spacing w:before="157" w:beforeLines="50"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注1：AACSB名册及分组规定参照香港建筑署网页为准：</w:t>
      </w:r>
      <w:r>
        <w:rPr>
          <w:rFonts w:hint="eastAsia" w:ascii="楷体_GB2312" w:hAnsi="楷体_GB2312" w:eastAsia="楷体_GB2312" w:cs="楷体_GB2312"/>
          <w:bCs/>
          <w:color w:val="auto"/>
          <w:spacing w:val="2"/>
          <w:kern w:val="21"/>
          <w:sz w:val="21"/>
          <w:szCs w:val="21"/>
          <w:highlight w:val="none"/>
          <w:u w:val="none"/>
          <w:lang w:eastAsia="zh-TW"/>
        </w:rPr>
        <w:t>https://sc.archsd.gov.hk/utf8/</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0" w:firstLineChars="0"/>
        <w:jc w:val="both"/>
        <w:textAlignment w:val="auto"/>
        <w:outlineLvl w:val="9"/>
        <w:rPr>
          <w:rFonts w:hint="eastAsia" w:ascii="楷体_GB2312" w:hAnsi="楷体_GB2312" w:eastAsia="楷体_GB2312" w:cs="楷体_GB2312"/>
          <w:bCs/>
          <w:color w:val="auto"/>
          <w:spacing w:val="-2"/>
          <w:kern w:val="21"/>
          <w:sz w:val="21"/>
          <w:szCs w:val="21"/>
          <w:highlight w:val="none"/>
          <w:lang w:eastAsia="zh-TW"/>
        </w:rPr>
      </w:pPr>
      <w:r>
        <w:rPr>
          <w:rFonts w:hint="eastAsia" w:ascii="楷体_GB2312" w:hAnsi="楷体_GB2312" w:eastAsia="楷体_GB2312" w:cs="楷体_GB2312"/>
          <w:bCs/>
          <w:color w:val="auto"/>
          <w:spacing w:val="-2"/>
          <w:kern w:val="21"/>
          <w:sz w:val="21"/>
          <w:szCs w:val="21"/>
          <w:highlight w:val="none"/>
          <w:u w:val="none"/>
          <w:lang w:eastAsia="zh-TW"/>
        </w:rPr>
        <w:t>www.archsd.gov.hk/tc/consultants-contractors/consultants/list-of-consultants-of-aacsb</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0" w:firstLineChars="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/who-have-been-included.aspx?lang=sc</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CN"/>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2</w:t>
      </w:r>
      <w:r>
        <w:rPr>
          <w:rFonts w:hint="eastAsia" w:ascii="楷体_GB2312" w:hAnsi="楷体_GB2312" w:eastAsia="楷体_GB2312" w:cs="楷体_GB2312"/>
          <w:bCs/>
          <w:color w:val="auto"/>
          <w:kern w:val="21"/>
          <w:sz w:val="21"/>
          <w:szCs w:val="21"/>
          <w:highlight w:val="none"/>
          <w:lang w:eastAsia="zh-TW"/>
        </w:rPr>
        <w:t>：详见《国务院关于取消一批行政许可事项的决定》</w:t>
      </w:r>
      <w:r>
        <w:rPr>
          <w:rFonts w:hint="eastAsia" w:ascii="楷体_GB2312" w:hAnsi="楷体_GB2312" w:eastAsia="楷体_GB2312" w:cs="楷体_GB2312"/>
          <w:bCs/>
          <w:color w:val="auto"/>
          <w:kern w:val="21"/>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3</w:t>
      </w:r>
      <w:r>
        <w:rPr>
          <w:rFonts w:hint="eastAsia" w:ascii="楷体_GB2312" w:hAnsi="楷体_GB2312" w:eastAsia="楷体_GB2312" w:cs="楷体_GB2312"/>
          <w:bCs/>
          <w:color w:val="auto"/>
          <w:kern w:val="21"/>
          <w:sz w:val="21"/>
          <w:szCs w:val="21"/>
          <w:highlight w:val="none"/>
          <w:lang w:eastAsia="zh-TW"/>
        </w:rPr>
        <w:t>：通过对标清单取得建筑设计、结构工程设计以及机电设计事务所甲级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如，取得建筑设计事务所甲级资质的专业机构可以将结构工程设计以及机电设计分包给其他有资质机构。</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4</w:t>
      </w:r>
      <w:r>
        <w:rPr>
          <w:rFonts w:hint="eastAsia" w:ascii="楷体_GB2312" w:hAnsi="楷体_GB2312" w:eastAsia="楷体_GB2312" w:cs="楷体_GB2312"/>
          <w:bCs/>
          <w:color w:val="auto"/>
          <w:kern w:val="21"/>
          <w:sz w:val="21"/>
          <w:szCs w:val="21"/>
          <w:highlight w:val="none"/>
          <w:lang w:eastAsia="zh-TW"/>
        </w:rPr>
        <w:t>：在投标阶段，投标单位可自行组成联合体投标，且其中至少一家投标单位已获得相应的专业资质备案。若联合体投标单位同时包含建筑、结构工程以及屋宇装备专业，可参与需要具备工程设计建筑行业甲级资质的工程项目投标。若联合体被确认为相应工程项目的中标单位，则其成员单位均需在确定承接工程后的2个月内，申请办理并完成相关的资质备案手续。</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注5：允许香港专业机构通过香港的银行出具投标保函或由该香港专业机构委托其在内地注册的全资子公司，或者同属控股集团的内地注册子公司在内地银行开具投标保函。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val="en-US" w:eastAsia="zh-CN"/>
        </w:rPr>
        <w:t>注6：允许已合法备案香港专业机构竞投项目时，涉及提供内地相应商事登记的，可向建设单位提供香港商事登记证明，视同取得项目的相关竞投资格，应当办理内地商事登记的工作可放宽至中标工程后、工程开工前进行。</w:t>
      </w:r>
    </w:p>
    <w:p>
      <w:pPr>
        <w:keepNext w:val="0"/>
        <w:keepLines w:val="0"/>
        <w:pageBreakBefore w:val="0"/>
        <w:widowControl/>
        <w:kinsoku/>
        <w:wordWrap/>
        <w:overflowPunct/>
        <w:topLinePunct w:val="0"/>
        <w:autoSpaceDE/>
        <w:autoSpaceDN/>
        <w:bidi w:val="0"/>
        <w:adjustRightInd w:val="0"/>
        <w:snapToGrid w:val="0"/>
        <w:spacing w:after="0" w:afterLines="0" w:line="396"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lang w:eastAsia="zh-TW"/>
        </w:rPr>
      </w:pPr>
    </w:p>
    <w:p>
      <w:pPr>
        <w:keepNext w:val="0"/>
        <w:keepLines w:val="0"/>
        <w:pageBreakBefore w:val="0"/>
        <w:widowControl/>
        <w:kinsoku/>
        <w:wordWrap/>
        <w:overflowPunct/>
        <w:topLinePunct w:val="0"/>
        <w:autoSpaceDE/>
        <w:autoSpaceDN/>
        <w:bidi w:val="0"/>
        <w:adjustRightInd w:val="0"/>
        <w:snapToGrid w:val="0"/>
        <w:spacing w:after="0" w:afterLines="0" w:line="396" w:lineRule="atLeast"/>
        <w:ind w:left="0" w:leftChars="0" w:right="0" w:rightChars="0" w:firstLine="480" w:firstLineChars="200"/>
        <w:jc w:val="both"/>
        <w:textAlignment w:val="auto"/>
        <w:outlineLvl w:val="9"/>
        <w:rPr>
          <w:rFonts w:hint="default" w:ascii="宋体" w:hAnsi="宋体" w:eastAsia="宋体" w:cs="宋体"/>
          <w:bCs/>
          <w:color w:val="auto"/>
          <w:kern w:val="21"/>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afterLines="0" w:line="396"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after="181" w:afterLines="50" w:line="320"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附件1-2：香港工程及有关顾问公司遴选委员会顾问公司名单（The List of Consultants of Engineering &amp; Associated Consultants Selection Board</w:t>
      </w:r>
      <w:r>
        <w:rPr>
          <w:rFonts w:hint="eastAsia" w:ascii="宋体" w:hAnsi="宋体" w:eastAsia="宋体" w:cs="宋体"/>
          <w:bCs/>
          <w:color w:val="auto"/>
          <w:kern w:val="21"/>
          <w:sz w:val="24"/>
          <w:szCs w:val="24"/>
          <w:highlight w:val="none"/>
          <w:lang w:val="en-US" w:eastAsia="zh-CN"/>
        </w:rPr>
        <w:t xml:space="preserve">, </w:t>
      </w:r>
      <w:r>
        <w:rPr>
          <w:rFonts w:hint="eastAsia" w:ascii="宋体" w:hAnsi="宋体" w:eastAsia="宋体" w:cs="宋体"/>
          <w:bCs/>
          <w:color w:val="auto"/>
          <w:kern w:val="21"/>
          <w:sz w:val="24"/>
          <w:szCs w:val="24"/>
          <w:highlight w:val="none"/>
        </w:rPr>
        <w:t>EACSB名单）</w:t>
      </w:r>
    </w:p>
    <w:tbl>
      <w:tblPr>
        <w:tblStyle w:val="2"/>
        <w:tblW w:w="4957"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57" w:type="dxa"/>
          <w:left w:w="108" w:type="dxa"/>
          <w:bottom w:w="57" w:type="dxa"/>
          <w:right w:w="108" w:type="dxa"/>
        </w:tblCellMar>
      </w:tblPr>
      <w:tblGrid>
        <w:gridCol w:w="3266"/>
        <w:gridCol w:w="1623"/>
        <w:gridCol w:w="3560"/>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tblHeader/>
          <w:jc w:val="center"/>
        </w:trPr>
        <w:tc>
          <w:tcPr>
            <w:tcW w:w="514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黑体" w:hAnsi="黑体" w:eastAsia="黑体" w:cs="黑体"/>
                <w:b w:val="0"/>
                <w:bCs w:val="0"/>
                <w:color w:val="auto"/>
                <w:kern w:val="21"/>
                <w:sz w:val="21"/>
                <w:szCs w:val="21"/>
                <w:highlight w:val="none"/>
                <w:lang w:val="en-GB" w:eastAsia="zh-CN"/>
              </w:rPr>
            </w:pPr>
            <w:r>
              <w:rPr>
                <w:rFonts w:hint="eastAsia" w:ascii="黑体" w:hAnsi="黑体" w:eastAsia="黑体" w:cs="黑体"/>
                <w:b w:val="0"/>
                <w:bCs w:val="0"/>
                <w:color w:val="auto"/>
                <w:kern w:val="21"/>
                <w:sz w:val="21"/>
                <w:szCs w:val="21"/>
                <w:highlight w:val="none"/>
                <w:lang w:val="en-GB" w:eastAsia="zh-CN"/>
              </w:rPr>
              <w:t>EACSB名单分类</w:t>
            </w:r>
          </w:p>
        </w:tc>
        <w:tc>
          <w:tcPr>
            <w:tcW w:w="390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val="en-GB" w:eastAsia="zh-TW"/>
              </w:rPr>
            </w:pPr>
            <w:r>
              <w:rPr>
                <w:rFonts w:hint="eastAsia" w:ascii="黑体" w:hAnsi="黑体" w:eastAsia="黑体" w:cs="黑体"/>
                <w:b w:val="0"/>
                <w:bCs w:val="0"/>
                <w:color w:val="auto"/>
                <w:kern w:val="21"/>
                <w:sz w:val="21"/>
                <w:szCs w:val="21"/>
                <w:highlight w:val="none"/>
                <w:lang w:val="en-GB" w:eastAsia="zh-CN"/>
              </w:rPr>
              <w:t>对应内地企业资质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tblHeader/>
          <w:jc w:val="center"/>
        </w:trPr>
        <w:tc>
          <w:tcPr>
            <w:tcW w:w="34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黑体" w:hAnsi="黑体" w:eastAsia="黑体" w:cs="黑体"/>
                <w:b w:val="0"/>
                <w:bCs w:val="0"/>
                <w:color w:val="auto"/>
                <w:kern w:val="21"/>
                <w:sz w:val="21"/>
                <w:szCs w:val="21"/>
                <w:highlight w:val="none"/>
                <w:lang w:val="en-GB" w:eastAsia="zh-CN"/>
              </w:rPr>
            </w:pPr>
            <w:r>
              <w:rPr>
                <w:rFonts w:hint="eastAsia" w:ascii="黑体" w:hAnsi="黑体" w:eastAsia="黑体" w:cs="黑体"/>
                <w:b w:val="0"/>
                <w:bCs w:val="0"/>
                <w:color w:val="auto"/>
                <w:kern w:val="21"/>
                <w:sz w:val="21"/>
                <w:szCs w:val="21"/>
                <w:highlight w:val="none"/>
                <w:lang w:val="en-GB" w:eastAsia="zh-CN"/>
              </w:rPr>
              <w:t>类别（Category）</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黑体" w:hAnsi="黑体" w:eastAsia="黑体" w:cs="黑体"/>
                <w:b w:val="0"/>
                <w:bCs w:val="0"/>
                <w:color w:val="auto"/>
                <w:kern w:val="21"/>
                <w:sz w:val="21"/>
                <w:szCs w:val="21"/>
                <w:highlight w:val="none"/>
                <w:lang w:val="en-GB" w:eastAsia="zh-CN"/>
              </w:rPr>
            </w:pPr>
            <w:r>
              <w:rPr>
                <w:rFonts w:hint="eastAsia" w:ascii="黑体" w:hAnsi="黑体" w:eastAsia="黑体" w:cs="黑体"/>
                <w:b w:val="0"/>
                <w:bCs w:val="0"/>
                <w:color w:val="auto"/>
                <w:kern w:val="21"/>
                <w:sz w:val="21"/>
                <w:szCs w:val="21"/>
                <w:highlight w:val="none"/>
                <w:lang w:val="en-GB" w:eastAsia="zh-CN"/>
              </w:rPr>
              <w:t>组别（Band）</w:t>
            </w:r>
          </w:p>
        </w:tc>
        <w:tc>
          <w:tcPr>
            <w:tcW w:w="39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val="en-GB" w:eastAsia="zh-TW"/>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基建及发展</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 xml:space="preserve">Civil Infrastructure and Development </w:t>
            </w:r>
            <w:r>
              <w:rPr>
                <w:rFonts w:hint="eastAsia" w:ascii="宋体" w:hAnsi="宋体" w:eastAsia="宋体" w:cs="宋体"/>
                <w:b w:val="0"/>
                <w:bCs w:val="0"/>
                <w:color w:val="auto"/>
                <w:kern w:val="21"/>
                <w:sz w:val="21"/>
                <w:szCs w:val="21"/>
                <w:highlight w:val="none"/>
                <w:lang w:val="en-US" w:eastAsia="zh-CN"/>
              </w:rPr>
              <w:t>(</w:t>
            </w:r>
            <w:r>
              <w:rPr>
                <w:rFonts w:hint="eastAsia" w:ascii="宋体" w:hAnsi="宋体" w:eastAsia="宋体" w:cs="宋体"/>
                <w:b w:val="0"/>
                <w:bCs w:val="0"/>
                <w:color w:val="auto"/>
                <w:kern w:val="21"/>
                <w:sz w:val="21"/>
                <w:szCs w:val="21"/>
                <w:highlight w:val="none"/>
                <w:lang w:val="en-GB" w:eastAsia="zh-TW"/>
              </w:rPr>
              <w:t>CE</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第一组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eastAsia="zh-TW"/>
              </w:rPr>
              <w:t>工程设计</w:t>
            </w:r>
            <w:r>
              <w:rPr>
                <w:rFonts w:hint="eastAsia" w:ascii="宋体" w:hAnsi="宋体" w:eastAsia="宋体" w:cs="宋体"/>
                <w:b w:val="0"/>
                <w:bCs w:val="0"/>
                <w:color w:val="auto"/>
                <w:kern w:val="21"/>
                <w:sz w:val="21"/>
                <w:szCs w:val="21"/>
                <w:highlight w:val="none"/>
                <w:lang w:val="en-GB" w:eastAsia="zh-TW"/>
              </w:rPr>
              <w:t>市政</w:t>
            </w:r>
            <w:r>
              <w:rPr>
                <w:rFonts w:hint="eastAsia" w:ascii="宋体" w:hAnsi="宋体" w:eastAsia="宋体" w:cs="宋体"/>
                <w:b w:val="0"/>
                <w:bCs w:val="0"/>
                <w:color w:val="auto"/>
                <w:kern w:val="21"/>
                <w:sz w:val="21"/>
                <w:szCs w:val="21"/>
                <w:highlight w:val="none"/>
                <w:lang w:eastAsia="zh-TW"/>
              </w:rPr>
              <w:t>行业</w:t>
            </w:r>
            <w:r>
              <w:rPr>
                <w:rFonts w:hint="eastAsia" w:ascii="宋体" w:hAnsi="宋体" w:eastAsia="宋体" w:cs="宋体"/>
                <w:b w:val="0"/>
                <w:bCs w:val="0"/>
                <w:color w:val="auto"/>
                <w:kern w:val="21"/>
                <w:sz w:val="21"/>
                <w:szCs w:val="21"/>
                <w:highlight w:val="none"/>
                <w:lang w:val="en-GB" w:eastAsia="zh-TW"/>
              </w:rPr>
              <w:t>乙级资质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市政公用工程监理乙级资质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lang w:val="en-GB"/>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第二组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eastAsia="zh-TW"/>
              </w:rPr>
              <w:t>工程设计</w:t>
            </w:r>
            <w:r>
              <w:rPr>
                <w:rFonts w:hint="eastAsia" w:ascii="宋体" w:hAnsi="宋体" w:eastAsia="宋体" w:cs="宋体"/>
                <w:b w:val="0"/>
                <w:bCs w:val="0"/>
                <w:color w:val="auto"/>
                <w:kern w:val="21"/>
                <w:sz w:val="21"/>
                <w:szCs w:val="21"/>
                <w:highlight w:val="none"/>
                <w:lang w:val="en-GB" w:eastAsia="zh-TW"/>
              </w:rPr>
              <w:t>市政</w:t>
            </w:r>
            <w:r>
              <w:rPr>
                <w:rFonts w:hint="eastAsia" w:ascii="宋体" w:hAnsi="宋体" w:eastAsia="宋体" w:cs="宋体"/>
                <w:b w:val="0"/>
                <w:bCs w:val="0"/>
                <w:color w:val="auto"/>
                <w:kern w:val="21"/>
                <w:sz w:val="21"/>
                <w:szCs w:val="21"/>
                <w:highlight w:val="none"/>
                <w:lang w:eastAsia="zh-TW"/>
              </w:rPr>
              <w:t>行业</w:t>
            </w:r>
            <w:r>
              <w:rPr>
                <w:rFonts w:hint="eastAsia" w:ascii="宋体" w:hAnsi="宋体" w:eastAsia="宋体" w:cs="宋体"/>
                <w:b w:val="0"/>
                <w:bCs w:val="0"/>
                <w:color w:val="auto"/>
                <w:kern w:val="21"/>
                <w:sz w:val="21"/>
                <w:szCs w:val="21"/>
                <w:highlight w:val="none"/>
                <w:lang w:val="en-GB" w:eastAsia="zh-TW"/>
              </w:rPr>
              <w:t>乙级资质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lang w:val="en-GB"/>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第三组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eastAsia="zh-TW"/>
              </w:rPr>
              <w:t>工程设计</w:t>
            </w:r>
            <w:r>
              <w:rPr>
                <w:rFonts w:hint="eastAsia" w:ascii="宋体" w:hAnsi="宋体" w:eastAsia="宋体" w:cs="宋体"/>
                <w:b w:val="0"/>
                <w:bCs w:val="0"/>
                <w:color w:val="auto"/>
                <w:kern w:val="21"/>
                <w:sz w:val="21"/>
                <w:szCs w:val="21"/>
                <w:highlight w:val="none"/>
                <w:lang w:val="en-GB" w:eastAsia="zh-TW"/>
              </w:rPr>
              <w:t>市政</w:t>
            </w:r>
            <w:r>
              <w:rPr>
                <w:rFonts w:hint="eastAsia" w:ascii="宋体" w:hAnsi="宋体" w:eastAsia="宋体" w:cs="宋体"/>
                <w:b w:val="0"/>
                <w:bCs w:val="0"/>
                <w:color w:val="auto"/>
                <w:kern w:val="21"/>
                <w:sz w:val="21"/>
                <w:szCs w:val="21"/>
                <w:highlight w:val="none"/>
                <w:lang w:eastAsia="zh-TW"/>
              </w:rPr>
              <w:t>行业</w:t>
            </w:r>
            <w:r>
              <w:rPr>
                <w:rFonts w:hint="eastAsia" w:ascii="宋体" w:hAnsi="宋体" w:eastAsia="宋体" w:cs="宋体"/>
                <w:b w:val="0"/>
                <w:bCs w:val="0"/>
                <w:color w:val="auto"/>
                <w:kern w:val="21"/>
                <w:sz w:val="21"/>
                <w:szCs w:val="21"/>
                <w:highlight w:val="none"/>
                <w:lang w:val="en-GB" w:eastAsia="zh-TW"/>
              </w:rPr>
              <w:t>甲级资质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排水及污水</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Drainage and</w:t>
            </w:r>
            <w:r>
              <w:rPr>
                <w:rFonts w:hint="eastAsia" w:ascii="宋体" w:hAnsi="宋体" w:eastAsia="宋体" w:cs="宋体"/>
                <w:b w:val="0"/>
                <w:bCs w:val="0"/>
                <w:color w:val="auto"/>
                <w:kern w:val="21"/>
                <w:sz w:val="21"/>
                <w:szCs w:val="21"/>
                <w:highlight w:val="none"/>
                <w:lang w:val="en-US" w:eastAsia="zh-CN"/>
              </w:rPr>
              <w:t xml:space="preserve"> </w:t>
            </w:r>
            <w:r>
              <w:rPr>
                <w:rFonts w:hint="eastAsia" w:ascii="宋体" w:hAnsi="宋体" w:eastAsia="宋体" w:cs="宋体"/>
                <w:b w:val="0"/>
                <w:bCs w:val="0"/>
                <w:color w:val="auto"/>
                <w:kern w:val="21"/>
                <w:sz w:val="21"/>
                <w:szCs w:val="21"/>
                <w:highlight w:val="none"/>
                <w:lang w:val="en-GB" w:eastAsia="zh-TW"/>
              </w:rPr>
              <w:t>Sewerage</w:t>
            </w:r>
            <w:r>
              <w:rPr>
                <w:rFonts w:hint="eastAsia" w:ascii="宋体" w:hAnsi="宋体" w:eastAsia="宋体" w:cs="宋体"/>
                <w:b w:val="0"/>
                <w:bCs w:val="0"/>
                <w:color w:val="auto"/>
                <w:kern w:val="21"/>
                <w:sz w:val="21"/>
                <w:szCs w:val="21"/>
                <w:highlight w:val="none"/>
                <w:lang w:val="en-US" w:eastAsia="zh-CN"/>
              </w:rPr>
              <w:t xml:space="preserve"> (</w:t>
            </w:r>
            <w:r>
              <w:rPr>
                <w:rFonts w:hint="eastAsia" w:ascii="宋体" w:hAnsi="宋体" w:eastAsia="宋体" w:cs="宋体"/>
                <w:b w:val="0"/>
                <w:bCs w:val="0"/>
                <w:color w:val="auto"/>
                <w:kern w:val="21"/>
                <w:sz w:val="21"/>
                <w:szCs w:val="21"/>
                <w:highlight w:val="none"/>
                <w:lang w:val="en-GB" w:eastAsia="zh-TW"/>
              </w:rPr>
              <w:t>DS</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第一组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市政行业排水工程专业</w:t>
            </w:r>
            <w:r>
              <w:rPr>
                <w:rFonts w:hint="eastAsia" w:ascii="宋体" w:hAnsi="宋体" w:eastAsia="宋体" w:cs="宋体"/>
                <w:b w:val="0"/>
                <w:bCs w:val="0"/>
                <w:color w:val="auto"/>
                <w:kern w:val="21"/>
                <w:sz w:val="21"/>
                <w:szCs w:val="21"/>
                <w:highlight w:val="none"/>
                <w:lang w:eastAsia="zh-TW"/>
              </w:rPr>
              <w:t>丙</w:t>
            </w:r>
            <w:r>
              <w:rPr>
                <w:rFonts w:hint="eastAsia" w:ascii="宋体" w:hAnsi="宋体" w:eastAsia="宋体" w:cs="宋体"/>
                <w:b w:val="0"/>
                <w:bCs w:val="0"/>
                <w:color w:val="auto"/>
                <w:kern w:val="21"/>
                <w:sz w:val="21"/>
                <w:szCs w:val="21"/>
                <w:highlight w:val="none"/>
                <w:lang w:val="en-GB" w:eastAsia="zh-TW"/>
              </w:rPr>
              <w:t>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市政公用工程监理乙级资质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第二组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市政行业排水工程专业乙级资质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第三组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市政行业排水工程专业甲级资质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机电</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Electrical and</w:t>
            </w:r>
            <w:r>
              <w:rPr>
                <w:rFonts w:hint="eastAsia" w:ascii="宋体" w:hAnsi="宋体" w:eastAsia="宋体" w:cs="宋体"/>
                <w:b w:val="0"/>
                <w:bCs w:val="0"/>
                <w:color w:val="auto"/>
                <w:kern w:val="21"/>
                <w:sz w:val="21"/>
                <w:szCs w:val="21"/>
                <w:highlight w:val="none"/>
                <w:lang w:val="en-US" w:eastAsia="zh-CN"/>
              </w:rPr>
              <w:t xml:space="preserve"> </w:t>
            </w:r>
            <w:r>
              <w:rPr>
                <w:rFonts w:hint="eastAsia" w:ascii="宋体" w:hAnsi="宋体" w:eastAsia="宋体" w:cs="宋体"/>
                <w:b w:val="0"/>
                <w:bCs w:val="0"/>
                <w:color w:val="auto"/>
                <w:kern w:val="21"/>
                <w:sz w:val="21"/>
                <w:szCs w:val="21"/>
                <w:highlight w:val="none"/>
                <w:lang w:val="en-GB" w:eastAsia="zh-TW"/>
              </w:rPr>
              <w:t xml:space="preserve">Mechanical </w:t>
            </w:r>
            <w:r>
              <w:rPr>
                <w:rFonts w:hint="eastAsia" w:ascii="宋体" w:hAnsi="宋体" w:eastAsia="宋体" w:cs="宋体"/>
                <w:b w:val="0"/>
                <w:bCs w:val="0"/>
                <w:color w:val="auto"/>
                <w:kern w:val="21"/>
                <w:sz w:val="21"/>
                <w:szCs w:val="21"/>
                <w:highlight w:val="none"/>
                <w:lang w:val="en-US" w:eastAsia="zh-CN"/>
              </w:rPr>
              <w:t>(</w:t>
            </w:r>
            <w:r>
              <w:rPr>
                <w:rFonts w:hint="eastAsia" w:ascii="宋体" w:hAnsi="宋体" w:eastAsia="宋体" w:cs="宋体"/>
                <w:b w:val="0"/>
                <w:bCs w:val="0"/>
                <w:color w:val="auto"/>
                <w:kern w:val="21"/>
                <w:sz w:val="21"/>
                <w:szCs w:val="21"/>
                <w:highlight w:val="none"/>
                <w:lang w:val="en-GB" w:eastAsia="zh-TW"/>
              </w:rPr>
              <w:t>EM</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第一组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机电设计事务所甲级资质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机电安装工程监理甲级资质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第二组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机电设计事务所甲级资质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机电安装工程监理甲级资质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环境</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 xml:space="preserve">Environmental </w:t>
            </w:r>
            <w:r>
              <w:rPr>
                <w:rFonts w:hint="eastAsia" w:ascii="宋体" w:hAnsi="宋体" w:eastAsia="宋体" w:cs="宋体"/>
                <w:b w:val="0"/>
                <w:bCs w:val="0"/>
                <w:color w:val="auto"/>
                <w:kern w:val="21"/>
                <w:sz w:val="21"/>
                <w:szCs w:val="21"/>
                <w:highlight w:val="none"/>
                <w:lang w:val="en-US" w:eastAsia="zh-CN"/>
              </w:rPr>
              <w:t>(</w:t>
            </w:r>
            <w:r>
              <w:rPr>
                <w:rFonts w:hint="eastAsia" w:ascii="宋体" w:hAnsi="宋体" w:eastAsia="宋体" w:cs="宋体"/>
                <w:b w:val="0"/>
                <w:bCs w:val="0"/>
                <w:color w:val="auto"/>
                <w:kern w:val="21"/>
                <w:sz w:val="21"/>
                <w:szCs w:val="21"/>
                <w:highlight w:val="none"/>
                <w:lang w:val="en-GB" w:eastAsia="zh-TW"/>
              </w:rPr>
              <w:t>EP</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第一组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环境工程设计专项乙级资质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第二组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环境工程设计专项甲级资质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97" w:hRule="atLeast"/>
          <w:jc w:val="center"/>
        </w:trPr>
        <w:tc>
          <w:tcPr>
            <w:tcW w:w="34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岩土和斜坡</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Geotechnical and</w:t>
            </w:r>
            <w:r>
              <w:rPr>
                <w:rFonts w:hint="eastAsia" w:ascii="宋体" w:hAnsi="宋体" w:eastAsia="宋体" w:cs="宋体"/>
                <w:b w:val="0"/>
                <w:bCs w:val="0"/>
                <w:color w:val="auto"/>
                <w:kern w:val="21"/>
                <w:sz w:val="21"/>
                <w:szCs w:val="21"/>
                <w:highlight w:val="none"/>
                <w:lang w:val="en-US" w:eastAsia="zh-CN"/>
              </w:rPr>
              <w:t xml:space="preserve"> </w:t>
            </w:r>
            <w:r>
              <w:rPr>
                <w:rFonts w:hint="eastAsia" w:ascii="宋体" w:hAnsi="宋体" w:eastAsia="宋体" w:cs="宋体"/>
                <w:b w:val="0"/>
                <w:bCs w:val="0"/>
                <w:color w:val="auto"/>
                <w:kern w:val="21"/>
                <w:sz w:val="21"/>
                <w:szCs w:val="21"/>
                <w:highlight w:val="none"/>
                <w:lang w:val="en-GB" w:eastAsia="zh-TW"/>
              </w:rPr>
              <w:t xml:space="preserve">Slope </w:t>
            </w:r>
            <w:r>
              <w:rPr>
                <w:rFonts w:hint="eastAsia" w:ascii="宋体" w:hAnsi="宋体" w:eastAsia="宋体" w:cs="宋体"/>
                <w:b w:val="0"/>
                <w:bCs w:val="0"/>
                <w:color w:val="auto"/>
                <w:kern w:val="21"/>
                <w:sz w:val="21"/>
                <w:szCs w:val="21"/>
                <w:highlight w:val="none"/>
                <w:lang w:val="en-US" w:eastAsia="zh-CN"/>
              </w:rPr>
              <w:t>(</w:t>
            </w:r>
            <w:r>
              <w:rPr>
                <w:rFonts w:hint="eastAsia" w:ascii="宋体" w:hAnsi="宋体" w:eastAsia="宋体" w:cs="宋体"/>
                <w:b w:val="0"/>
                <w:bCs w:val="0"/>
                <w:color w:val="auto"/>
                <w:kern w:val="21"/>
                <w:sz w:val="21"/>
                <w:szCs w:val="21"/>
                <w:highlight w:val="none"/>
                <w:lang w:val="en-GB" w:eastAsia="zh-TW"/>
              </w:rPr>
              <w:t>GE</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第一组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工程勘察岩土工程专业乙级资质</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市政公用工程监理乙级资质</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2"/>
        <w:tblW w:w="4957"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57" w:type="dxa"/>
          <w:left w:w="108" w:type="dxa"/>
          <w:bottom w:w="57" w:type="dxa"/>
          <w:right w:w="108" w:type="dxa"/>
        </w:tblCellMar>
      </w:tblPr>
      <w:tblGrid>
        <w:gridCol w:w="3253"/>
        <w:gridCol w:w="1625"/>
        <w:gridCol w:w="3571"/>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514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黑体" w:hAnsi="黑体" w:eastAsia="黑体" w:cs="黑体"/>
                <w:b w:val="0"/>
                <w:bCs w:val="0"/>
                <w:color w:val="auto"/>
                <w:kern w:val="21"/>
                <w:sz w:val="21"/>
                <w:szCs w:val="21"/>
                <w:highlight w:val="none"/>
                <w:lang w:val="en-GB" w:eastAsia="zh-CN"/>
              </w:rPr>
              <w:t>EACSB名单分类</w:t>
            </w:r>
          </w:p>
        </w:tc>
        <w:tc>
          <w:tcPr>
            <w:tcW w:w="390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黑体" w:hAnsi="黑体" w:eastAsia="黑体" w:cs="黑体"/>
                <w:b w:val="0"/>
                <w:bCs w:val="0"/>
                <w:color w:val="auto"/>
                <w:kern w:val="21"/>
                <w:sz w:val="21"/>
                <w:szCs w:val="21"/>
                <w:highlight w:val="none"/>
                <w:lang w:val="en-GB" w:eastAsia="zh-CN"/>
              </w:rPr>
              <w:t>对应内地企业资质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黑体" w:hAnsi="黑体" w:eastAsia="黑体" w:cs="黑体"/>
                <w:b w:val="0"/>
                <w:bCs w:val="0"/>
                <w:color w:val="auto"/>
                <w:kern w:val="21"/>
                <w:sz w:val="21"/>
                <w:szCs w:val="21"/>
                <w:highlight w:val="none"/>
                <w:lang w:val="en-GB" w:eastAsia="zh-CN"/>
              </w:rPr>
              <w:t>类别（Category）</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黑体" w:hAnsi="黑体" w:eastAsia="黑体" w:cs="黑体"/>
                <w:b w:val="0"/>
                <w:bCs w:val="0"/>
                <w:color w:val="auto"/>
                <w:kern w:val="21"/>
                <w:sz w:val="21"/>
                <w:szCs w:val="21"/>
                <w:highlight w:val="none"/>
                <w:lang w:val="en-GB" w:eastAsia="zh-CN"/>
              </w:rPr>
              <w:t>组别（Band）</w:t>
            </w:r>
          </w:p>
        </w:tc>
        <w:tc>
          <w:tcPr>
            <w:tcW w:w="39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岩土和斜坡</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bidi="ar-SA"/>
              </w:rPr>
            </w:pPr>
            <w:r>
              <w:rPr>
                <w:rFonts w:hint="eastAsia" w:ascii="宋体" w:hAnsi="宋体" w:eastAsia="宋体" w:cs="宋体"/>
                <w:b w:val="0"/>
                <w:bCs w:val="0"/>
                <w:color w:val="auto"/>
                <w:kern w:val="21"/>
                <w:sz w:val="21"/>
                <w:szCs w:val="21"/>
                <w:highlight w:val="none"/>
                <w:lang w:val="en-GB" w:eastAsia="zh-TW"/>
              </w:rPr>
              <w:t>Geotechnical and</w:t>
            </w:r>
            <w:r>
              <w:rPr>
                <w:rFonts w:hint="eastAsia" w:ascii="宋体" w:hAnsi="宋体" w:eastAsia="宋体" w:cs="宋体"/>
                <w:b w:val="0"/>
                <w:bCs w:val="0"/>
                <w:color w:val="auto"/>
                <w:kern w:val="21"/>
                <w:sz w:val="21"/>
                <w:szCs w:val="21"/>
                <w:highlight w:val="none"/>
                <w:lang w:val="en-US" w:eastAsia="zh-CN"/>
              </w:rPr>
              <w:t xml:space="preserve"> </w:t>
            </w:r>
            <w:r>
              <w:rPr>
                <w:rFonts w:hint="eastAsia" w:ascii="宋体" w:hAnsi="宋体" w:eastAsia="宋体" w:cs="宋体"/>
                <w:b w:val="0"/>
                <w:bCs w:val="0"/>
                <w:color w:val="auto"/>
                <w:kern w:val="21"/>
                <w:sz w:val="21"/>
                <w:szCs w:val="21"/>
                <w:highlight w:val="none"/>
                <w:lang w:val="en-GB" w:eastAsia="zh-TW"/>
              </w:rPr>
              <w:t xml:space="preserve">Slope </w:t>
            </w:r>
            <w:r>
              <w:rPr>
                <w:rFonts w:hint="eastAsia" w:ascii="宋体" w:hAnsi="宋体" w:eastAsia="宋体" w:cs="宋体"/>
                <w:b w:val="0"/>
                <w:bCs w:val="0"/>
                <w:color w:val="auto"/>
                <w:kern w:val="21"/>
                <w:sz w:val="21"/>
                <w:szCs w:val="21"/>
                <w:highlight w:val="none"/>
                <w:lang w:val="en-US" w:eastAsia="zh-CN"/>
              </w:rPr>
              <w:t>(</w:t>
            </w:r>
            <w:r>
              <w:rPr>
                <w:rFonts w:hint="eastAsia" w:ascii="宋体" w:hAnsi="宋体" w:eastAsia="宋体" w:cs="宋体"/>
                <w:b w:val="0"/>
                <w:bCs w:val="0"/>
                <w:color w:val="auto"/>
                <w:kern w:val="21"/>
                <w:sz w:val="21"/>
                <w:szCs w:val="21"/>
                <w:highlight w:val="none"/>
                <w:lang w:val="en-GB" w:eastAsia="zh-TW"/>
              </w:rPr>
              <w:t>GE</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第二组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工程勘察岩土工程专业乙级资质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第三组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工程勘察岩土工程专业甲级资质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道路和相关结构</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Roads and Associated</w:t>
            </w:r>
            <w:r>
              <w:rPr>
                <w:rFonts w:hint="eastAsia" w:ascii="宋体" w:hAnsi="宋体" w:eastAsia="宋体" w:cs="宋体"/>
                <w:b w:val="0"/>
                <w:bCs w:val="0"/>
                <w:color w:val="auto"/>
                <w:kern w:val="21"/>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 xml:space="preserve">Structures </w:t>
            </w:r>
            <w:r>
              <w:rPr>
                <w:rFonts w:hint="eastAsia" w:ascii="宋体" w:hAnsi="宋体" w:eastAsia="宋体" w:cs="宋体"/>
                <w:b w:val="0"/>
                <w:bCs w:val="0"/>
                <w:color w:val="auto"/>
                <w:kern w:val="21"/>
                <w:sz w:val="21"/>
                <w:szCs w:val="21"/>
                <w:highlight w:val="none"/>
                <w:lang w:val="en-US" w:eastAsia="zh-CN"/>
              </w:rPr>
              <w:t>(</w:t>
            </w:r>
            <w:r>
              <w:rPr>
                <w:rFonts w:hint="eastAsia" w:ascii="宋体" w:hAnsi="宋体" w:eastAsia="宋体" w:cs="宋体"/>
                <w:b w:val="0"/>
                <w:bCs w:val="0"/>
                <w:color w:val="auto"/>
                <w:kern w:val="21"/>
                <w:sz w:val="21"/>
                <w:szCs w:val="21"/>
                <w:highlight w:val="none"/>
                <w:lang w:val="en-GB" w:eastAsia="zh-TW"/>
              </w:rPr>
              <w:t>HY</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第一组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市政行业道路工程专业丙级资质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市政公用工程监理乙级资质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第二组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市政行业道路工程专业乙级资质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第三组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市政行业道路工程专业甲级资质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城市规划</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 xml:space="preserve">Town Planning </w:t>
            </w:r>
            <w:r>
              <w:rPr>
                <w:rFonts w:hint="eastAsia" w:ascii="宋体" w:hAnsi="宋体" w:eastAsia="宋体" w:cs="宋体"/>
                <w:b w:val="0"/>
                <w:bCs w:val="0"/>
                <w:color w:val="auto"/>
                <w:kern w:val="21"/>
                <w:sz w:val="21"/>
                <w:szCs w:val="21"/>
                <w:highlight w:val="none"/>
                <w:lang w:val="en-US" w:eastAsia="zh-CN"/>
              </w:rPr>
              <w:t>(</w:t>
            </w:r>
            <w:r>
              <w:rPr>
                <w:rFonts w:hint="eastAsia" w:ascii="宋体" w:hAnsi="宋体" w:eastAsia="宋体" w:cs="宋体"/>
                <w:b w:val="0"/>
                <w:bCs w:val="0"/>
                <w:color w:val="auto"/>
                <w:kern w:val="21"/>
                <w:sz w:val="21"/>
                <w:szCs w:val="21"/>
                <w:highlight w:val="none"/>
                <w:lang w:val="en-GB" w:eastAsia="zh-TW"/>
              </w:rPr>
              <w:t>TP</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第一组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乙级城乡规划编制单位资质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第二组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甲级城乡规划编制单位资质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交通运输</w:t>
            </w:r>
          </w:p>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 xml:space="preserve">Traffic and Transport </w:t>
            </w:r>
            <w:r>
              <w:rPr>
                <w:rFonts w:hint="eastAsia" w:ascii="宋体" w:hAnsi="宋体" w:eastAsia="宋体" w:cs="宋体"/>
                <w:b w:val="0"/>
                <w:bCs w:val="0"/>
                <w:color w:val="auto"/>
                <w:kern w:val="21"/>
                <w:sz w:val="21"/>
                <w:szCs w:val="21"/>
                <w:highlight w:val="none"/>
                <w:lang w:val="en-US" w:eastAsia="zh-CN"/>
              </w:rPr>
              <w:t>(</w:t>
            </w:r>
            <w:r>
              <w:rPr>
                <w:rFonts w:hint="eastAsia" w:ascii="宋体" w:hAnsi="宋体" w:eastAsia="宋体" w:cs="宋体"/>
                <w:b w:val="0"/>
                <w:bCs w:val="0"/>
                <w:color w:val="auto"/>
                <w:kern w:val="21"/>
                <w:sz w:val="21"/>
                <w:szCs w:val="21"/>
                <w:highlight w:val="none"/>
                <w:lang w:val="en-GB" w:eastAsia="zh-TW"/>
              </w:rPr>
              <w:t>TT</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第一组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市政行业公共交通工程专业乙级资质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lang w:val="en-GB"/>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第二组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市政行业公共交通工程专业甲级资质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水务</w:t>
            </w:r>
          </w:p>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GB" w:eastAsia="zh-TW"/>
              </w:rPr>
              <w:t xml:space="preserve">Waterworks </w:t>
            </w:r>
            <w:r>
              <w:rPr>
                <w:rFonts w:hint="eastAsia" w:ascii="宋体" w:hAnsi="宋体" w:eastAsia="宋体" w:cs="宋体"/>
                <w:b w:val="0"/>
                <w:bCs w:val="0"/>
                <w:color w:val="auto"/>
                <w:kern w:val="21"/>
                <w:sz w:val="21"/>
                <w:szCs w:val="21"/>
                <w:highlight w:val="none"/>
                <w:lang w:val="en-US" w:eastAsia="zh-CN"/>
              </w:rPr>
              <w:t>(</w:t>
            </w:r>
            <w:r>
              <w:rPr>
                <w:rFonts w:hint="eastAsia" w:ascii="宋体" w:hAnsi="宋体" w:eastAsia="宋体" w:cs="宋体"/>
                <w:b w:val="0"/>
                <w:bCs w:val="0"/>
                <w:color w:val="auto"/>
                <w:kern w:val="21"/>
                <w:sz w:val="21"/>
                <w:szCs w:val="21"/>
                <w:highlight w:val="none"/>
                <w:lang w:val="en-GB" w:eastAsia="zh-TW"/>
              </w:rPr>
              <w:t>WS</w:t>
            </w:r>
            <w:r>
              <w:rPr>
                <w:rFonts w:hint="eastAsia" w:ascii="宋体" w:hAnsi="宋体" w:eastAsia="宋体" w:cs="宋体"/>
                <w:b w:val="0"/>
                <w:bCs w:val="0"/>
                <w:color w:val="auto"/>
                <w:kern w:val="21"/>
                <w:sz w:val="21"/>
                <w:szCs w:val="21"/>
                <w:highlight w:val="none"/>
                <w:lang w:val="en-US" w:eastAsia="zh-CN"/>
              </w:rPr>
              <w:t>)</w:t>
            </w: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第一组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市政行业给/排水工程专业丙级资质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市政公用工程监理乙级资质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第二组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市政行业给/排水工程专业乙级资质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12" w:hRule="atLeast"/>
          <w:jc w:val="center"/>
        </w:trPr>
        <w:tc>
          <w:tcPr>
            <w:tcW w:w="34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lang w:val="en-GB"/>
              </w:rPr>
            </w:pPr>
          </w:p>
        </w:tc>
        <w:tc>
          <w:tcPr>
            <w:tcW w:w="16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第三组</w:t>
            </w:r>
          </w:p>
        </w:tc>
        <w:tc>
          <w:tcPr>
            <w:tcW w:w="39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市政行业给/排水工程专业甲级资质</w:t>
            </w:r>
          </w:p>
          <w:p>
            <w:pPr>
              <w:keepNext w:val="0"/>
              <w:keepLines w:val="0"/>
              <w:pageBreakBefore w:val="0"/>
              <w:kinsoku/>
              <w:wordWrap/>
              <w:overflowPunct/>
              <w:topLinePunct w:val="0"/>
              <w:autoSpaceDE/>
              <w:autoSpaceDN/>
              <w:bidi w:val="0"/>
              <w:adjustRightInd w:val="0"/>
              <w:snapToGrid w:val="0"/>
              <w:spacing w:line="296"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市政公用工程监理甲级资质</w:t>
            </w:r>
          </w:p>
        </w:tc>
      </w:tr>
    </w:tbl>
    <w:p>
      <w:pPr>
        <w:keepNext w:val="0"/>
        <w:keepLines w:val="0"/>
        <w:pageBreakBefore w:val="0"/>
        <w:widowControl/>
        <w:kinsoku/>
        <w:wordWrap/>
        <w:overflowPunct/>
        <w:topLinePunct w:val="0"/>
        <w:autoSpaceDE/>
        <w:autoSpaceDN/>
        <w:bidi w:val="0"/>
        <w:adjustRightInd w:val="0"/>
        <w:snapToGrid w:val="0"/>
        <w:spacing w:before="109" w:beforeLines="30"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1</w:t>
      </w:r>
      <w:r>
        <w:rPr>
          <w:rFonts w:hint="eastAsia" w:ascii="楷体_GB2312" w:hAnsi="楷体_GB2312" w:eastAsia="楷体_GB2312" w:cs="楷体_GB2312"/>
          <w:bCs/>
          <w:color w:val="auto"/>
          <w:kern w:val="21"/>
          <w:sz w:val="21"/>
          <w:szCs w:val="21"/>
          <w:highlight w:val="none"/>
          <w:lang w:eastAsia="zh-TW"/>
        </w:rPr>
        <w:t>：EACSB名册及分组规定参照香港土木工程拓展署网页为准：</w:t>
      </w:r>
    </w:p>
    <w:p>
      <w:pPr>
        <w:keepNext w:val="0"/>
        <w:keepLines w:val="0"/>
        <w:pageBreakBefore w:val="0"/>
        <w:widowControl/>
        <w:kinsoku/>
        <w:wordWrap/>
        <w:overflowPunct/>
        <w:topLinePunct w:val="0"/>
        <w:autoSpaceDE/>
        <w:autoSpaceDN/>
        <w:bidi w:val="0"/>
        <w:adjustRightInd w:val="0"/>
        <w:snapToGrid w:val="0"/>
        <w:spacing w:before="0" w:beforeLines="0" w:line="300" w:lineRule="atLeast"/>
        <w:ind w:left="0" w:leftChars="0" w:right="0" w:rightChars="0" w:firstLine="420" w:firstLineChars="200"/>
        <w:jc w:val="both"/>
        <w:textAlignment w:val="auto"/>
        <w:outlineLvl w:val="9"/>
        <w:rPr>
          <w:rFonts w:hint="eastAsia" w:ascii="楷体_GB2312" w:hAnsi="楷体_GB2312" w:eastAsia="楷体_GB2312" w:cs="楷体_GB2312"/>
          <w:kern w:val="21"/>
          <w:sz w:val="21"/>
          <w:szCs w:val="21"/>
          <w:highlight w:val="none"/>
          <w:u w:val="none"/>
        </w:rPr>
      </w:pPr>
      <w:r>
        <w:rPr>
          <w:rFonts w:hint="eastAsia" w:ascii="楷体_GB2312" w:hAnsi="楷体_GB2312" w:eastAsia="楷体_GB2312" w:cs="楷体_GB2312"/>
          <w:bCs/>
          <w:color w:val="auto"/>
          <w:kern w:val="21"/>
          <w:sz w:val="21"/>
          <w:szCs w:val="21"/>
          <w:highlight w:val="none"/>
          <w:u w:val="none"/>
          <w:lang w:eastAsia="zh-TW"/>
        </w:rPr>
        <w:t>https</w:t>
      </w:r>
      <w:r>
        <w:rPr>
          <w:rFonts w:hint="eastAsia" w:ascii="楷体_GB2312" w:hAnsi="楷体_GB2312" w:eastAsia="楷体_GB2312" w:cs="楷体_GB2312"/>
          <w:bCs/>
          <w:color w:val="auto"/>
          <w:kern w:val="21"/>
          <w:sz w:val="21"/>
          <w:szCs w:val="21"/>
          <w:highlight w:val="none"/>
          <w:u w:val="none"/>
          <w:lang w:val="en-US" w:eastAsia="zh-CN"/>
        </w:rPr>
        <w:t>:</w:t>
      </w:r>
      <w:r>
        <w:rPr>
          <w:rFonts w:hint="eastAsia" w:ascii="楷体_GB2312" w:hAnsi="楷体_GB2312" w:eastAsia="楷体_GB2312" w:cs="楷体_GB2312"/>
          <w:bCs/>
          <w:color w:val="auto"/>
          <w:kern w:val="21"/>
          <w:sz w:val="21"/>
          <w:szCs w:val="21"/>
          <w:highlight w:val="none"/>
          <w:u w:val="none"/>
          <w:lang w:eastAsia="zh-TW"/>
        </w:rPr>
        <w:t>//www.cedd.gov.hk/sc/publications/eacsb-handbook/index.html</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2</w:t>
      </w:r>
      <w:r>
        <w:rPr>
          <w:rFonts w:hint="eastAsia" w:ascii="楷体_GB2312" w:hAnsi="楷体_GB2312" w:eastAsia="楷体_GB2312" w:cs="楷体_GB2312"/>
          <w:bCs/>
          <w:color w:val="auto"/>
          <w:kern w:val="21"/>
          <w:sz w:val="21"/>
          <w:szCs w:val="21"/>
          <w:highlight w:val="none"/>
          <w:lang w:eastAsia="zh-TW"/>
        </w:rPr>
        <w:t>：通过对标清单取得建筑设计、结构工程设计以及机电设计事务所甲级资质的企业，可以根据工程的类别和性质作为承包方对建筑工程项目的设计实行总包。承包方应当自行完成建筑工程本专业的设计业务，并在保证整个建筑工</w:t>
      </w:r>
      <w:r>
        <w:rPr>
          <w:rFonts w:hint="eastAsia" w:ascii="楷体_GB2312" w:hAnsi="楷体_GB2312" w:eastAsia="楷体_GB2312" w:cs="楷体_GB2312"/>
          <w:kern w:val="21"/>
          <w:sz w:val="21"/>
          <w:szCs w:val="21"/>
          <w:highlight w:val="none"/>
        </w:rPr>
        <w:t>程</w:t>
      </w:r>
      <w:r>
        <w:rPr>
          <w:rFonts w:hint="eastAsia" w:ascii="楷体_GB2312" w:hAnsi="楷体_GB2312" w:eastAsia="楷体_GB2312" w:cs="楷体_GB2312"/>
          <w:bCs/>
          <w:color w:val="auto"/>
          <w:kern w:val="21"/>
          <w:sz w:val="21"/>
          <w:szCs w:val="21"/>
          <w:highlight w:val="none"/>
          <w:lang w:eastAsia="zh-TW"/>
        </w:rPr>
        <w:t>项目完整性的前提下，经发包方同意，将其他部分专业设计业务发包给具有相应资质的分包方。如，取得机电设计事务所甲级资质的专业机构可以将建筑工程设计以及结构设计分包给其他有资质机构。</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3</w:t>
      </w:r>
      <w:r>
        <w:rPr>
          <w:rFonts w:hint="eastAsia" w:ascii="楷体_GB2312" w:hAnsi="楷体_GB2312" w:eastAsia="楷体_GB2312" w:cs="楷体_GB2312"/>
          <w:bCs/>
          <w:color w:val="auto"/>
          <w:kern w:val="21"/>
          <w:sz w:val="21"/>
          <w:szCs w:val="21"/>
          <w:highlight w:val="none"/>
          <w:lang w:eastAsia="zh-TW"/>
        </w:rPr>
        <w:t>：在投标阶段，投标单位可自行组成联合体投标，且其中至少一家投标单位已获得相应的专业资质备案。若联合体投标单位同时包含建筑、结构工程以及屋宇装备专业，可参与需要具备工程设计建筑行业甲级资质的工程项目投标。若联合体被确认为相应工程项目的中标单位，则其成员单位均需在确定承接工程后的2个月内，申请办理并完成相关的资质备案手续。</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val="en-US" w:eastAsia="zh-CN"/>
        </w:rPr>
        <w:t>4</w:t>
      </w:r>
      <w:r>
        <w:rPr>
          <w:rFonts w:hint="eastAsia" w:ascii="楷体_GB2312" w:hAnsi="楷体_GB2312" w:eastAsia="楷体_GB2312" w:cs="楷体_GB2312"/>
          <w:bCs/>
          <w:color w:val="auto"/>
          <w:kern w:val="21"/>
          <w:sz w:val="21"/>
          <w:szCs w:val="21"/>
          <w:highlight w:val="none"/>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val="en-US" w:eastAsia="zh-CN"/>
        </w:rPr>
        <w:t>5</w:t>
      </w:r>
      <w:r>
        <w:rPr>
          <w:rFonts w:hint="eastAsia" w:ascii="楷体_GB2312" w:hAnsi="楷体_GB2312" w:eastAsia="楷体_GB2312" w:cs="楷体_GB2312"/>
          <w:bCs/>
          <w:color w:val="auto"/>
          <w:kern w:val="21"/>
          <w:sz w:val="21"/>
          <w:szCs w:val="21"/>
          <w:highlight w:val="none"/>
          <w:lang w:eastAsia="zh-TW"/>
        </w:rPr>
        <w:t>：具备市政公用工程监理资质的企业可以开展相应类别建设工程的项目管理、技术咨询等业务。</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val="en-US" w:eastAsia="zh-CN"/>
        </w:rPr>
        <w:t>注6：允许已合法备案香港专业机构竞投项目时，涉及提供内地相应商事登记的，可向建设单位提供香港商事登记证明，视同取得项目的相关竞投资格，应当办理内地商事登记的工作可放宽至中标工程后、工程开工前进行。</w:t>
      </w:r>
    </w:p>
    <w:p>
      <w:pPr>
        <w:keepNext w:val="0"/>
        <w:keepLines w:val="0"/>
        <w:pageBreakBefore w:val="0"/>
        <w:widowControl/>
        <w:kinsoku/>
        <w:wordWrap/>
        <w:overflowPunct/>
        <w:topLinePunct w:val="0"/>
        <w:autoSpaceDE/>
        <w:autoSpaceDN/>
        <w:bidi w:val="0"/>
        <w:adjustRightInd w:val="0"/>
        <w:snapToGrid w:val="0"/>
        <w:spacing w:line="396"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96"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96"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after="295" w:afterLines="50" w:line="320"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附件1-3：认可公共工程承建商（认可承建商）名册（The List of Approved Contractors for Public Works）</w:t>
      </w:r>
    </w:p>
    <w:tbl>
      <w:tblPr>
        <w:tblStyle w:val="2"/>
        <w:tblW w:w="4957"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43" w:type="dxa"/>
          <w:left w:w="108" w:type="dxa"/>
          <w:bottom w:w="43" w:type="dxa"/>
          <w:right w:w="108" w:type="dxa"/>
        </w:tblCellMar>
      </w:tblPr>
      <w:tblGrid>
        <w:gridCol w:w="2376"/>
        <w:gridCol w:w="1854"/>
        <w:gridCol w:w="4219"/>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tblHeader/>
          <w:jc w:val="center"/>
        </w:trPr>
        <w:tc>
          <w:tcPr>
            <w:tcW w:w="443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60" w:lineRule="exact"/>
              <w:ind w:left="-63" w:leftChars="-30" w:right="-63" w:rightChars="-30" w:firstLine="0" w:firstLineChars="0"/>
              <w:jc w:val="center"/>
              <w:textAlignment w:val="auto"/>
              <w:outlineLvl w:val="9"/>
              <w:rPr>
                <w:rFonts w:hint="eastAsia" w:ascii="黑体" w:hAnsi="黑体" w:eastAsia="黑体" w:cs="黑体"/>
                <w:b w:val="0"/>
                <w:bCs w:val="0"/>
                <w:color w:val="auto"/>
                <w:kern w:val="21"/>
                <w:sz w:val="21"/>
                <w:szCs w:val="21"/>
                <w:highlight w:val="none"/>
                <w:lang w:val="en-GB" w:eastAsia="zh-CN"/>
              </w:rPr>
            </w:pPr>
            <w:r>
              <w:rPr>
                <w:rFonts w:hint="eastAsia" w:ascii="黑体" w:hAnsi="黑体" w:eastAsia="黑体" w:cs="黑体"/>
                <w:b w:val="0"/>
                <w:bCs w:val="0"/>
                <w:color w:val="auto"/>
                <w:kern w:val="21"/>
                <w:sz w:val="21"/>
                <w:szCs w:val="21"/>
                <w:highlight w:val="none"/>
                <w:lang w:val="en-GB" w:eastAsia="zh-CN"/>
              </w:rPr>
              <w:t>认可承建商名册分类</w:t>
            </w:r>
          </w:p>
        </w:tc>
        <w:tc>
          <w:tcPr>
            <w:tcW w:w="460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6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val="en-US" w:eastAsia="zh-TW"/>
              </w:rPr>
            </w:pPr>
            <w:r>
              <w:rPr>
                <w:rFonts w:hint="eastAsia" w:ascii="黑体" w:hAnsi="黑体" w:eastAsia="黑体" w:cs="黑体"/>
                <w:b w:val="0"/>
                <w:bCs w:val="0"/>
                <w:color w:val="auto"/>
                <w:kern w:val="21"/>
                <w:sz w:val="21"/>
                <w:szCs w:val="21"/>
                <w:highlight w:val="none"/>
                <w:lang w:val="en-GB" w:eastAsia="zh-CN"/>
              </w:rPr>
              <w:t>对应内地企业资质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tblHeader/>
          <w:jc w:val="center"/>
        </w:trPr>
        <w:tc>
          <w:tcPr>
            <w:tcW w:w="248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60" w:lineRule="exact"/>
              <w:ind w:left="-63" w:leftChars="-30" w:right="-63" w:rightChars="-30" w:firstLine="0" w:firstLineChars="0"/>
              <w:jc w:val="center"/>
              <w:textAlignment w:val="auto"/>
              <w:outlineLvl w:val="9"/>
              <w:rPr>
                <w:rFonts w:hint="eastAsia" w:ascii="黑体" w:hAnsi="黑体" w:eastAsia="黑体" w:cs="黑体"/>
                <w:b w:val="0"/>
                <w:bCs w:val="0"/>
                <w:color w:val="auto"/>
                <w:kern w:val="21"/>
                <w:sz w:val="21"/>
                <w:szCs w:val="21"/>
                <w:highlight w:val="none"/>
                <w:lang w:val="en-GB" w:eastAsia="zh-CN"/>
              </w:rPr>
            </w:pPr>
            <w:r>
              <w:rPr>
                <w:rFonts w:hint="eastAsia" w:ascii="黑体" w:hAnsi="黑体" w:eastAsia="黑体" w:cs="黑体"/>
                <w:b w:val="0"/>
                <w:bCs w:val="0"/>
                <w:color w:val="auto"/>
                <w:kern w:val="21"/>
                <w:sz w:val="21"/>
                <w:szCs w:val="21"/>
                <w:highlight w:val="none"/>
                <w:lang w:val="en-GB" w:eastAsia="zh-CN"/>
              </w:rPr>
              <w:t>类</w:t>
            </w:r>
            <w:r>
              <w:rPr>
                <w:rFonts w:hint="eastAsia" w:ascii="黑体" w:hAnsi="黑体" w:eastAsia="黑体" w:cs="黑体"/>
                <w:b w:val="0"/>
                <w:bCs w:val="0"/>
                <w:color w:val="auto"/>
                <w:kern w:val="21"/>
                <w:sz w:val="21"/>
                <w:szCs w:val="21"/>
                <w:highlight w:val="none"/>
                <w:lang w:eastAsia="zh-CN"/>
              </w:rPr>
              <w:t>别</w:t>
            </w:r>
            <w:r>
              <w:rPr>
                <w:rFonts w:hint="eastAsia" w:ascii="黑体" w:hAnsi="黑体" w:eastAsia="黑体" w:cs="黑体"/>
                <w:b w:val="0"/>
                <w:bCs w:val="0"/>
                <w:color w:val="auto"/>
                <w:kern w:val="21"/>
                <w:sz w:val="21"/>
                <w:szCs w:val="21"/>
                <w:highlight w:val="none"/>
                <w:lang w:val="en-GB" w:eastAsia="zh-CN"/>
              </w:rPr>
              <w:t>（Category）</w:t>
            </w: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260" w:lineRule="exact"/>
              <w:ind w:left="-63" w:leftChars="-30" w:right="-63" w:rightChars="-30" w:firstLine="0" w:firstLineChars="0"/>
              <w:jc w:val="center"/>
              <w:textAlignment w:val="auto"/>
              <w:outlineLvl w:val="9"/>
              <w:rPr>
                <w:rFonts w:hint="eastAsia" w:ascii="黑体" w:hAnsi="黑体" w:eastAsia="黑体" w:cs="黑体"/>
                <w:b w:val="0"/>
                <w:bCs w:val="0"/>
                <w:color w:val="auto"/>
                <w:kern w:val="21"/>
                <w:sz w:val="21"/>
                <w:szCs w:val="21"/>
                <w:highlight w:val="none"/>
                <w:lang w:val="en-GB" w:eastAsia="zh-CN"/>
              </w:rPr>
            </w:pPr>
            <w:r>
              <w:rPr>
                <w:rFonts w:hint="eastAsia" w:ascii="黑体" w:hAnsi="黑体" w:eastAsia="黑体" w:cs="黑体"/>
                <w:b w:val="0"/>
                <w:bCs w:val="0"/>
                <w:color w:val="auto"/>
                <w:kern w:val="21"/>
                <w:sz w:val="21"/>
                <w:szCs w:val="21"/>
                <w:highlight w:val="none"/>
                <w:lang w:val="en-GB" w:eastAsia="zh-CN"/>
              </w:rPr>
              <w:t>组别（Band）</w:t>
            </w:r>
          </w:p>
        </w:tc>
        <w:tc>
          <w:tcPr>
            <w:tcW w:w="46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eastAsia="zh-TW"/>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lang w:eastAsia="zh-TW"/>
              </w:rPr>
            </w:pPr>
            <w:r>
              <w:rPr>
                <w:rFonts w:hint="eastAsia" w:ascii="宋体" w:hAnsi="宋体" w:eastAsia="宋体" w:cs="宋体"/>
                <w:b w:val="0"/>
                <w:bCs w:val="0"/>
                <w:color w:val="auto"/>
                <w:kern w:val="21"/>
                <w:sz w:val="21"/>
                <w:szCs w:val="21"/>
                <w:highlight w:val="none"/>
                <w:lang w:val="en-GB" w:eastAsia="zh-TW"/>
              </w:rPr>
              <w:t>Buildings</w:t>
            </w: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甲组/甲组试用期</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建筑工程施工总承包企业二级及以下资质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rPr>
            </w:pP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乙组/乙组试用期</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丙组试用期</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建筑工程施工总承包企业一级资质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highlight w:val="none"/>
              </w:rPr>
            </w:pP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建筑工程施工总承包企业特级资质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道路及渠务</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Roads and Drainage</w:t>
            </w: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甲组/甲组试用期</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公路工程/市政公用工程（不含给水工程）施工总承包企业二级及以下资质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乙组/乙组试用期</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丙组试用期</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公路工程/市政公用工程（不含给水工程）施工总承包企业一级资质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公路工程/市政公用工程（不含给水工程）施工总承包企业特级资质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海港工程</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Port Works</w:t>
            </w: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乙组/乙组试用期</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丙组试用期</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港口与航道工程施工总承包企业一级及以下资质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港口与航道工程施工总承包企业特级资质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地盘平整</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Site Formation</w:t>
            </w: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乙组/乙组试用期</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丙组试用期</w:t>
            </w:r>
          </w:p>
        </w:tc>
        <w:tc>
          <w:tcPr>
            <w:tcW w:w="460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vertAlign w:val="superscript"/>
                <w:lang w:val="en-GB" w:eastAsia="zh-TW"/>
              </w:rPr>
            </w:pPr>
            <w:r>
              <w:rPr>
                <w:rFonts w:hint="eastAsia" w:ascii="宋体" w:hAnsi="宋体" w:eastAsia="宋体" w:cs="宋体"/>
                <w:b w:val="0"/>
                <w:bCs w:val="0"/>
                <w:color w:val="auto"/>
                <w:kern w:val="21"/>
                <w:sz w:val="21"/>
                <w:szCs w:val="21"/>
                <w:highlight w:val="none"/>
                <w:lang w:val="en-GB" w:eastAsia="zh-TW"/>
              </w:rPr>
              <w:t>土石方工程专业承包资质已取消，在相应专业工程承发包过程中，不再作资质要求，由施工总承包企业分包给具有一定技术实力和管理能力且取得公司法人《营业执照》的企业</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w:t>
            </w:r>
          </w:p>
        </w:tc>
        <w:tc>
          <w:tcPr>
            <w:tcW w:w="460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水务工程</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Waterworks</w:t>
            </w: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甲组/甲组试用期</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市政公用工程施工总承包企业二级资质（仅限给水工程）</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乙组/乙组试用期</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丙组试用期</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市政公用工程施工总承包企业一级资质（仅限给水工程）</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3" w:type="dxa"/>
            <w:left w:w="108" w:type="dxa"/>
            <w:bottom w:w="43" w:type="dxa"/>
            <w:right w:w="108" w:type="dxa"/>
          </w:tblCellMar>
        </w:tblPrEx>
        <w:trPr>
          <w:trHeight w:val="340" w:hRule="atLeast"/>
          <w:jc w:val="center"/>
        </w:trPr>
        <w:tc>
          <w:tcPr>
            <w:tcW w:w="248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9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丙组</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市政公用工程施工总承包企业特级资质（仅限给水工程）</w:t>
            </w:r>
          </w:p>
        </w:tc>
      </w:tr>
    </w:tbl>
    <w:p>
      <w:pPr>
        <w:keepNext w:val="0"/>
        <w:keepLines w:val="0"/>
        <w:pageBreakBefore w:val="0"/>
        <w:widowControl/>
        <w:kinsoku/>
        <w:wordWrap/>
        <w:overflowPunct/>
        <w:topLinePunct w:val="0"/>
        <w:autoSpaceDE/>
        <w:autoSpaceDN/>
        <w:bidi w:val="0"/>
        <w:adjustRightInd w:val="0"/>
        <w:snapToGrid w:val="0"/>
        <w:spacing w:before="178" w:beforeLines="30" w:line="300" w:lineRule="atLeast"/>
        <w:ind w:left="0" w:leftChars="0" w:right="0" w:rightChars="0" w:firstLine="420" w:firstLineChars="200"/>
        <w:jc w:val="both"/>
        <w:textAlignment w:val="auto"/>
        <w:outlineLvl w:val="9"/>
        <w:rPr>
          <w:rFonts w:hint="eastAsia" w:ascii="楷体_GB2312" w:hAnsi="楷体_GB2312" w:eastAsia="楷体_GB2312" w:cs="楷体_GB2312"/>
          <w:b w:val="0"/>
          <w:bCs/>
          <w:color w:val="auto"/>
          <w:kern w:val="21"/>
          <w:sz w:val="21"/>
          <w:szCs w:val="21"/>
          <w:highlight w:val="none"/>
          <w:lang w:eastAsia="zh-TW"/>
        </w:rPr>
      </w:pPr>
      <w:r>
        <w:rPr>
          <w:rFonts w:hint="eastAsia" w:ascii="楷体_GB2312" w:hAnsi="楷体_GB2312" w:eastAsia="楷体_GB2312" w:cs="楷体_GB2312"/>
          <w:b w:val="0"/>
          <w:bCs/>
          <w:color w:val="auto"/>
          <w:kern w:val="21"/>
          <w:sz w:val="21"/>
          <w:szCs w:val="21"/>
          <w:highlight w:val="none"/>
          <w:lang w:eastAsia="zh-TW"/>
        </w:rPr>
        <w:t>注</w:t>
      </w:r>
      <w:r>
        <w:rPr>
          <w:rFonts w:hint="eastAsia" w:ascii="楷体_GB2312" w:hAnsi="楷体_GB2312" w:eastAsia="楷体_GB2312" w:cs="楷体_GB2312"/>
          <w:b w:val="0"/>
          <w:bCs/>
          <w:color w:val="auto"/>
          <w:kern w:val="21"/>
          <w:sz w:val="21"/>
          <w:szCs w:val="21"/>
          <w:highlight w:val="none"/>
          <w:vertAlign w:val="baseline"/>
          <w:lang w:eastAsia="zh-TW"/>
        </w:rPr>
        <w:t>1</w:t>
      </w:r>
      <w:r>
        <w:rPr>
          <w:rFonts w:hint="eastAsia" w:ascii="楷体_GB2312" w:hAnsi="楷体_GB2312" w:eastAsia="楷体_GB2312" w:cs="楷体_GB2312"/>
          <w:b w:val="0"/>
          <w:bCs/>
          <w:color w:val="auto"/>
          <w:kern w:val="21"/>
          <w:sz w:val="21"/>
          <w:szCs w:val="21"/>
          <w:highlight w:val="none"/>
          <w:lang w:eastAsia="zh-TW"/>
        </w:rPr>
        <w:t>：详见《建筑业企业资质管理规定和资质标准实施意见》</w:t>
      </w:r>
      <w:r>
        <w:rPr>
          <w:rFonts w:hint="eastAsia" w:ascii="楷体_GB2312" w:hAnsi="楷体_GB2312" w:eastAsia="楷体_GB2312" w:cs="楷体_GB2312"/>
          <w:b w:val="0"/>
          <w:bCs/>
          <w:color w:val="auto"/>
          <w:kern w:val="21"/>
          <w:sz w:val="21"/>
          <w:szCs w:val="21"/>
          <w:highlight w:val="none"/>
          <w:lang w:eastAsia="zh-CN"/>
        </w:rPr>
        <w:t>第三十三条</w:t>
      </w:r>
      <w:r>
        <w:rPr>
          <w:rFonts w:hint="eastAsia" w:ascii="楷体_GB2312" w:hAnsi="楷体_GB2312" w:eastAsia="楷体_GB2312" w:cs="楷体_GB2312"/>
          <w:b w:val="0"/>
          <w:bCs/>
          <w:color w:val="auto"/>
          <w:kern w:val="21"/>
          <w:sz w:val="21"/>
          <w:szCs w:val="21"/>
          <w:highlight w:val="none"/>
          <w:lang w:eastAsia="zh-TW"/>
        </w:rPr>
        <w:t>：</w:t>
      </w:r>
    </w:p>
    <w:p>
      <w:pPr>
        <w:keepNext w:val="0"/>
        <w:keepLines w:val="0"/>
        <w:pageBreakBefore w:val="0"/>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u w:val="none"/>
          <w:lang w:eastAsia="zh-TW"/>
        </w:rPr>
      </w:pPr>
      <w:r>
        <w:rPr>
          <w:rFonts w:hint="eastAsia" w:ascii="楷体_GB2312" w:hAnsi="楷体_GB2312" w:eastAsia="楷体_GB2312" w:cs="楷体_GB2312"/>
          <w:bCs/>
          <w:color w:val="auto"/>
          <w:kern w:val="21"/>
          <w:sz w:val="21"/>
          <w:szCs w:val="21"/>
          <w:highlight w:val="none"/>
          <w:u w:val="none"/>
          <w:lang w:eastAsia="zh-TW"/>
        </w:rPr>
        <w:fldChar w:fldCharType="begin"/>
      </w:r>
      <w:r>
        <w:rPr>
          <w:rFonts w:hint="eastAsia" w:ascii="楷体_GB2312" w:hAnsi="楷体_GB2312" w:eastAsia="楷体_GB2312" w:cs="楷体_GB2312"/>
          <w:bCs/>
          <w:color w:val="auto"/>
          <w:kern w:val="21"/>
          <w:sz w:val="21"/>
          <w:szCs w:val="21"/>
          <w:highlight w:val="none"/>
          <w:u w:val="none"/>
          <w:lang w:eastAsia="zh-TW"/>
        </w:rPr>
        <w:instrText xml:space="preserve"> HYPERLINK "http://www.gov.cn/gongbao/content/2015/content_2868873.htm" </w:instrText>
      </w:r>
      <w:r>
        <w:rPr>
          <w:rFonts w:hint="eastAsia" w:ascii="楷体_GB2312" w:hAnsi="楷体_GB2312" w:eastAsia="楷体_GB2312" w:cs="楷体_GB2312"/>
          <w:bCs/>
          <w:color w:val="auto"/>
          <w:kern w:val="21"/>
          <w:sz w:val="21"/>
          <w:szCs w:val="21"/>
          <w:highlight w:val="none"/>
          <w:u w:val="none"/>
          <w:lang w:eastAsia="zh-TW"/>
        </w:rPr>
        <w:fldChar w:fldCharType="separate"/>
      </w:r>
      <w:r>
        <w:rPr>
          <w:rStyle w:val="3"/>
          <w:rFonts w:hint="eastAsia" w:ascii="楷体_GB2312" w:hAnsi="楷体_GB2312" w:eastAsia="楷体_GB2312" w:cs="楷体_GB2312"/>
          <w:bCs/>
          <w:color w:val="auto"/>
          <w:kern w:val="21"/>
          <w:sz w:val="21"/>
          <w:szCs w:val="21"/>
          <w:highlight w:val="none"/>
          <w:u w:val="none"/>
          <w:lang w:eastAsia="zh-TW"/>
        </w:rPr>
        <w:t>http</w:t>
      </w:r>
      <w:r>
        <w:rPr>
          <w:rStyle w:val="3"/>
          <w:rFonts w:hint="eastAsia" w:ascii="楷体_GB2312" w:hAnsi="楷体_GB2312" w:eastAsia="楷体_GB2312" w:cs="楷体_GB2312"/>
          <w:bCs/>
          <w:color w:val="auto"/>
          <w:kern w:val="21"/>
          <w:sz w:val="21"/>
          <w:szCs w:val="21"/>
          <w:highlight w:val="none"/>
          <w:u w:val="none"/>
          <w:lang w:val="en-US" w:eastAsia="zh-CN"/>
        </w:rPr>
        <w:t>:</w:t>
      </w:r>
      <w:r>
        <w:rPr>
          <w:rStyle w:val="3"/>
          <w:rFonts w:hint="eastAsia" w:ascii="楷体_GB2312" w:hAnsi="楷体_GB2312" w:eastAsia="楷体_GB2312" w:cs="楷体_GB2312"/>
          <w:bCs/>
          <w:color w:val="auto"/>
          <w:kern w:val="21"/>
          <w:sz w:val="21"/>
          <w:szCs w:val="21"/>
          <w:highlight w:val="none"/>
          <w:u w:val="none"/>
          <w:lang w:eastAsia="zh-TW"/>
        </w:rPr>
        <w:t>//www.gov.cn/gongbao/content/2015/content_2868873.htm</w:t>
      </w:r>
      <w:r>
        <w:rPr>
          <w:rStyle w:val="3"/>
          <w:rFonts w:hint="eastAsia" w:ascii="楷体_GB2312" w:hAnsi="楷体_GB2312" w:eastAsia="楷体_GB2312" w:cs="楷体_GB2312"/>
          <w:bCs/>
          <w:color w:val="auto"/>
          <w:kern w:val="21"/>
          <w:sz w:val="21"/>
          <w:szCs w:val="21"/>
          <w:highlight w:val="none"/>
          <w:u w:val="none"/>
          <w:lang w:eastAsia="zh-TW"/>
        </w:rPr>
        <w:fldChar w:fldCharType="end"/>
      </w:r>
    </w:p>
    <w:p>
      <w:pPr>
        <w:keepNext w:val="0"/>
        <w:keepLines w:val="0"/>
        <w:pageBreakBefore w:val="0"/>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2</w:t>
      </w:r>
      <w:r>
        <w:rPr>
          <w:rFonts w:hint="eastAsia" w:ascii="楷体_GB2312" w:hAnsi="楷体_GB2312" w:eastAsia="楷体_GB2312" w:cs="楷体_GB2312"/>
          <w:bCs/>
          <w:color w:val="auto"/>
          <w:kern w:val="21"/>
          <w:sz w:val="21"/>
          <w:szCs w:val="21"/>
          <w:highlight w:val="none"/>
          <w:lang w:eastAsia="zh-TW"/>
        </w:rPr>
        <w:t>：认可公共工程承建商名册及分组规定参照香港发展局网页为准：</w:t>
      </w:r>
    </w:p>
    <w:p>
      <w:pPr>
        <w:keepNext w:val="0"/>
        <w:keepLines w:val="0"/>
        <w:pageBreakBefore w:val="0"/>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Style w:val="4"/>
          <w:rFonts w:hint="eastAsia" w:ascii="楷体_GB2312" w:hAnsi="楷体_GB2312" w:eastAsia="楷体_GB2312" w:cs="楷体_GB2312"/>
          <w:color w:val="auto"/>
          <w:kern w:val="21"/>
          <w:sz w:val="21"/>
          <w:szCs w:val="21"/>
          <w:highlight w:val="none"/>
          <w:u w:val="none"/>
        </w:rPr>
      </w:pPr>
      <w:r>
        <w:rPr>
          <w:rFonts w:hint="eastAsia" w:ascii="楷体_GB2312" w:hAnsi="楷体_GB2312" w:eastAsia="楷体_GB2312" w:cs="楷体_GB2312"/>
          <w:bCs/>
          <w:color w:val="auto"/>
          <w:kern w:val="21"/>
          <w:sz w:val="21"/>
          <w:szCs w:val="21"/>
          <w:highlight w:val="none"/>
          <w:u w:val="none"/>
          <w:lang w:eastAsia="zh-TW"/>
        </w:rPr>
        <w:fldChar w:fldCharType="begin"/>
      </w:r>
      <w:r>
        <w:rPr>
          <w:rFonts w:hint="eastAsia" w:ascii="楷体_GB2312" w:hAnsi="楷体_GB2312" w:eastAsia="楷体_GB2312" w:cs="楷体_GB2312"/>
          <w:bCs/>
          <w:color w:val="auto"/>
          <w:kern w:val="21"/>
          <w:sz w:val="21"/>
          <w:szCs w:val="21"/>
          <w:highlight w:val="none"/>
          <w:u w:val="none"/>
          <w:lang w:eastAsia="zh-TW"/>
        </w:rPr>
        <w:instrText xml:space="preserve"> HYPERLINK "https://sc.devb.gov.hk/TuniS/www.devb.gov.hk/Contractor.aspx?section=80&amp;lang=2" </w:instrText>
      </w:r>
      <w:r>
        <w:rPr>
          <w:rFonts w:hint="eastAsia" w:ascii="楷体_GB2312" w:hAnsi="楷体_GB2312" w:eastAsia="楷体_GB2312" w:cs="楷体_GB2312"/>
          <w:bCs/>
          <w:color w:val="auto"/>
          <w:kern w:val="21"/>
          <w:sz w:val="21"/>
          <w:szCs w:val="21"/>
          <w:highlight w:val="none"/>
          <w:u w:val="none"/>
          <w:lang w:eastAsia="zh-TW"/>
        </w:rPr>
        <w:fldChar w:fldCharType="separate"/>
      </w:r>
      <w:r>
        <w:rPr>
          <w:rStyle w:val="3"/>
          <w:rFonts w:hint="eastAsia" w:ascii="楷体_GB2312" w:hAnsi="楷体_GB2312" w:eastAsia="楷体_GB2312" w:cs="楷体_GB2312"/>
          <w:bCs/>
          <w:color w:val="auto"/>
          <w:kern w:val="21"/>
          <w:sz w:val="21"/>
          <w:szCs w:val="21"/>
          <w:highlight w:val="none"/>
          <w:u w:val="none"/>
          <w:lang w:eastAsia="zh-TW"/>
        </w:rPr>
        <w:t>https</w:t>
      </w:r>
      <w:r>
        <w:rPr>
          <w:rStyle w:val="3"/>
          <w:rFonts w:hint="eastAsia" w:ascii="楷体_GB2312" w:hAnsi="楷体_GB2312" w:eastAsia="楷体_GB2312" w:cs="楷体_GB2312"/>
          <w:bCs/>
          <w:color w:val="auto"/>
          <w:kern w:val="21"/>
          <w:sz w:val="21"/>
          <w:szCs w:val="21"/>
          <w:highlight w:val="none"/>
          <w:u w:val="none"/>
          <w:lang w:val="en-US" w:eastAsia="zh-CN"/>
        </w:rPr>
        <w:t>:</w:t>
      </w:r>
      <w:r>
        <w:rPr>
          <w:rStyle w:val="3"/>
          <w:rFonts w:hint="eastAsia" w:ascii="楷体_GB2312" w:hAnsi="楷体_GB2312" w:eastAsia="楷体_GB2312" w:cs="楷体_GB2312"/>
          <w:bCs/>
          <w:color w:val="auto"/>
          <w:kern w:val="21"/>
          <w:sz w:val="21"/>
          <w:szCs w:val="21"/>
          <w:highlight w:val="none"/>
          <w:u w:val="none"/>
          <w:lang w:eastAsia="zh-TW"/>
        </w:rPr>
        <w:t>//sc.devb.gov.hk/TuniS/www.devb.gov.hk/Contractor.aspx?section=80&amp;lang=2</w:t>
      </w:r>
      <w:r>
        <w:rPr>
          <w:rStyle w:val="3"/>
          <w:rFonts w:hint="eastAsia" w:ascii="楷体_GB2312" w:hAnsi="楷体_GB2312" w:eastAsia="楷体_GB2312" w:cs="楷体_GB2312"/>
          <w:bCs/>
          <w:color w:val="auto"/>
          <w:kern w:val="21"/>
          <w:sz w:val="21"/>
          <w:szCs w:val="21"/>
          <w:highlight w:val="none"/>
          <w:u w:val="none"/>
          <w:lang w:eastAsia="zh-TW"/>
        </w:rPr>
        <w:fldChar w:fldCharType="end"/>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3</w:t>
      </w:r>
      <w:r>
        <w:rPr>
          <w:rFonts w:hint="eastAsia" w:ascii="楷体_GB2312" w:hAnsi="楷体_GB2312" w:eastAsia="楷体_GB2312" w:cs="楷体_GB2312"/>
          <w:bCs/>
          <w:color w:val="auto"/>
          <w:kern w:val="21"/>
          <w:sz w:val="21"/>
          <w:szCs w:val="21"/>
          <w:highlight w:val="none"/>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widowControl/>
        <w:kinsoku/>
        <w:wordWrap/>
        <w:overflowPunct/>
        <w:topLinePunct w:val="0"/>
        <w:autoSpaceDE/>
        <w:autoSpaceDN/>
        <w:bidi w:val="0"/>
        <w:adjustRightInd w:val="0"/>
        <w:snapToGrid w:val="0"/>
        <w:spacing w:line="30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val="en-US" w:eastAsia="zh-CN"/>
        </w:rPr>
      </w:pPr>
      <w:r>
        <w:rPr>
          <w:rFonts w:hint="eastAsia" w:ascii="楷体_GB2312" w:hAnsi="楷体_GB2312" w:eastAsia="楷体_GB2312" w:cs="楷体_GB2312"/>
          <w:bCs/>
          <w:color w:val="auto"/>
          <w:kern w:val="21"/>
          <w:sz w:val="21"/>
          <w:szCs w:val="21"/>
          <w:highlight w:val="none"/>
          <w:lang w:val="en-US" w:eastAsia="zh-CN"/>
        </w:rPr>
        <w:t>注4：允许已合法备案香港专业机构竞投项目时，涉及提供内地相应商事登记和安全生产许可证明的，可向建设单位提供香港商事登记证明，承诺符合内地建筑施工企业安全生产标准和条件，视同取得项目的相关竞投资格，应当办理内地商事登记和安全生产备案的工作可放宽至中标工程后、工程开工前进行。</w:t>
      </w:r>
    </w:p>
    <w:p>
      <w:pPr>
        <w:keepNext w:val="0"/>
        <w:keepLines w:val="0"/>
        <w:pageBreakBefore w:val="0"/>
        <w:kinsoku/>
        <w:wordWrap/>
        <w:overflowPunct/>
        <w:topLinePunct w:val="0"/>
        <w:autoSpaceDE/>
        <w:autoSpaceDN/>
        <w:bidi w:val="0"/>
        <w:adjustRightInd w:val="0"/>
        <w:snapToGrid w:val="0"/>
        <w:spacing w:line="396"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p>
    <w:p>
      <w:pPr>
        <w:keepNext w:val="0"/>
        <w:keepLines w:val="0"/>
        <w:pageBreakBefore w:val="0"/>
        <w:kinsoku/>
        <w:wordWrap/>
        <w:overflowPunct/>
        <w:topLinePunct w:val="0"/>
        <w:autoSpaceDE/>
        <w:autoSpaceDN/>
        <w:bidi w:val="0"/>
        <w:adjustRightInd w:val="0"/>
        <w:snapToGrid w:val="0"/>
        <w:spacing w:line="396"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p>
    <w:p>
      <w:pPr>
        <w:keepNext w:val="0"/>
        <w:keepLines w:val="0"/>
        <w:pageBreakBefore w:val="0"/>
        <w:kinsoku/>
        <w:wordWrap/>
        <w:overflowPunct/>
        <w:topLinePunct w:val="0"/>
        <w:autoSpaceDE/>
        <w:autoSpaceDN/>
        <w:bidi w:val="0"/>
        <w:adjustRightInd w:val="0"/>
        <w:snapToGrid w:val="0"/>
        <w:spacing w:line="396" w:lineRule="atLeast"/>
        <w:ind w:left="0" w:leftChars="0" w:right="0" w:rightChars="0" w:firstLine="480" w:firstLineChars="200"/>
        <w:jc w:val="both"/>
        <w:textAlignment w:val="auto"/>
        <w:outlineLvl w:val="9"/>
        <w:rPr>
          <w:rFonts w:hint="eastAsia" w:ascii="宋体" w:hAnsi="宋体" w:eastAsia="宋体" w:cs="宋体"/>
          <w:bCs/>
          <w:color w:val="auto"/>
          <w:kern w:val="21"/>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after="157" w:afterLines="50" w:line="320" w:lineRule="atLeast"/>
        <w:ind w:left="0" w:leftChars="0" w:right="0" w:rightChars="0" w:firstLine="480" w:firstLineChars="200"/>
        <w:jc w:val="both"/>
        <w:textAlignment w:val="auto"/>
        <w:outlineLvl w:val="9"/>
        <w:rPr>
          <w:rFonts w:hint="eastAsia" w:ascii="宋体" w:hAnsi="宋体" w:eastAsia="宋体" w:cs="宋体"/>
          <w:kern w:val="21"/>
          <w:sz w:val="24"/>
          <w:szCs w:val="24"/>
          <w:highlight w:val="none"/>
        </w:rPr>
      </w:pPr>
      <w:r>
        <w:rPr>
          <w:rFonts w:hint="eastAsia" w:ascii="宋体" w:hAnsi="宋体" w:eastAsia="宋体" w:cs="宋体"/>
          <w:bCs/>
          <w:color w:val="auto"/>
          <w:kern w:val="21"/>
          <w:sz w:val="24"/>
          <w:szCs w:val="24"/>
          <w:highlight w:val="none"/>
        </w:rPr>
        <w:t>附件1-4：认可公共工程物料供应商及专门承造商（供应商及专门承造商）名册（The List of Approved Suppliers of Materials and Specialist Contractors for Public Works）</w:t>
      </w:r>
    </w:p>
    <w:tbl>
      <w:tblPr>
        <w:tblStyle w:val="2"/>
        <w:tblW w:w="4957"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57" w:type="dxa"/>
          <w:left w:w="108" w:type="dxa"/>
          <w:bottom w:w="57" w:type="dxa"/>
          <w:right w:w="108" w:type="dxa"/>
        </w:tblCellMar>
      </w:tblPr>
      <w:tblGrid>
        <w:gridCol w:w="3366"/>
        <w:gridCol w:w="1402"/>
        <w:gridCol w:w="2164"/>
        <w:gridCol w:w="1517"/>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tblHeader/>
          <w:jc w:val="center"/>
        </w:trPr>
        <w:tc>
          <w:tcPr>
            <w:tcW w:w="5102"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300" w:lineRule="exact"/>
              <w:ind w:left="-63" w:leftChars="-30" w:right="-63" w:rightChars="-30" w:firstLine="0" w:firstLineChars="0"/>
              <w:jc w:val="center"/>
              <w:textAlignment w:val="auto"/>
              <w:outlineLvl w:val="9"/>
              <w:rPr>
                <w:rFonts w:hint="eastAsia" w:ascii="黑体" w:hAnsi="黑体" w:eastAsia="黑体" w:cs="黑体"/>
                <w:b w:val="0"/>
                <w:bCs w:val="0"/>
                <w:color w:val="auto"/>
                <w:kern w:val="21"/>
                <w:sz w:val="21"/>
                <w:szCs w:val="21"/>
                <w:highlight w:val="none"/>
                <w:lang w:val="en-GB"/>
              </w:rPr>
            </w:pPr>
            <w:r>
              <w:rPr>
                <w:rFonts w:hint="eastAsia" w:ascii="黑体" w:hAnsi="黑体" w:eastAsia="黑体" w:cs="黑体"/>
                <w:b w:val="0"/>
                <w:bCs w:val="0"/>
                <w:color w:val="auto"/>
                <w:kern w:val="21"/>
                <w:sz w:val="21"/>
                <w:szCs w:val="21"/>
                <w:highlight w:val="none"/>
                <w:lang w:val="en-GB"/>
              </w:rPr>
              <w:t>供应商及专门承造商名册分类</w:t>
            </w:r>
          </w:p>
        </w:tc>
        <w:tc>
          <w:tcPr>
            <w:tcW w:w="3939"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eastAsia="zh-TW"/>
              </w:rPr>
            </w:pPr>
            <w:r>
              <w:rPr>
                <w:rFonts w:hint="eastAsia" w:ascii="黑体" w:hAnsi="黑体" w:eastAsia="黑体" w:cs="黑体"/>
                <w:b w:val="0"/>
                <w:bCs w:val="0"/>
                <w:color w:val="auto"/>
                <w:kern w:val="21"/>
                <w:sz w:val="21"/>
                <w:szCs w:val="21"/>
                <w:highlight w:val="none"/>
                <w:lang w:val="en-GB" w:eastAsia="zh-CN"/>
              </w:rPr>
              <w:t>对应内地企业资质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tblHeader/>
          <w:jc w:val="center"/>
        </w:trPr>
        <w:tc>
          <w:tcPr>
            <w:tcW w:w="360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300" w:lineRule="exact"/>
              <w:ind w:left="-63" w:leftChars="-30" w:right="-63" w:rightChars="-30" w:firstLine="0" w:firstLineChars="0"/>
              <w:jc w:val="center"/>
              <w:textAlignment w:val="auto"/>
              <w:outlineLvl w:val="9"/>
              <w:rPr>
                <w:rFonts w:hint="eastAsia" w:ascii="黑体" w:hAnsi="黑体" w:eastAsia="黑体" w:cs="黑体"/>
                <w:b w:val="0"/>
                <w:bCs w:val="0"/>
                <w:color w:val="auto"/>
                <w:kern w:val="21"/>
                <w:sz w:val="21"/>
                <w:szCs w:val="21"/>
                <w:highlight w:val="none"/>
                <w:lang w:val="en-GB" w:eastAsia="zh-CN"/>
              </w:rPr>
            </w:pPr>
            <w:r>
              <w:rPr>
                <w:rFonts w:hint="eastAsia" w:ascii="黑体" w:hAnsi="黑体" w:eastAsia="黑体" w:cs="黑体"/>
                <w:b w:val="0"/>
                <w:bCs w:val="0"/>
                <w:color w:val="auto"/>
                <w:kern w:val="21"/>
                <w:sz w:val="21"/>
                <w:szCs w:val="21"/>
                <w:highlight w:val="none"/>
                <w:lang w:val="en-GB" w:eastAsia="zh-CN"/>
              </w:rPr>
              <w:t>类别（Category）</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300" w:lineRule="exact"/>
              <w:ind w:left="-63" w:leftChars="-30" w:right="-147" w:rightChars="-70" w:firstLine="0" w:firstLineChars="0"/>
              <w:jc w:val="center"/>
              <w:textAlignment w:val="auto"/>
              <w:outlineLvl w:val="9"/>
              <w:rPr>
                <w:rFonts w:hint="eastAsia" w:ascii="黑体" w:hAnsi="黑体" w:eastAsia="黑体" w:cs="黑体"/>
                <w:b w:val="0"/>
                <w:bCs w:val="0"/>
                <w:color w:val="auto"/>
                <w:kern w:val="21"/>
                <w:sz w:val="21"/>
                <w:szCs w:val="21"/>
                <w:highlight w:val="none"/>
                <w:lang w:val="en-GB" w:eastAsia="zh-CN"/>
              </w:rPr>
            </w:pPr>
            <w:r>
              <w:rPr>
                <w:rFonts w:hint="eastAsia" w:ascii="黑体" w:hAnsi="黑体" w:eastAsia="黑体" w:cs="黑体"/>
                <w:b w:val="0"/>
                <w:bCs w:val="0"/>
                <w:color w:val="auto"/>
                <w:kern w:val="21"/>
                <w:sz w:val="21"/>
                <w:szCs w:val="21"/>
                <w:highlight w:val="none"/>
                <w:lang w:val="en-GB" w:eastAsia="zh-CN"/>
              </w:rPr>
              <w:t>组别（Band）</w:t>
            </w:r>
          </w:p>
        </w:tc>
        <w:tc>
          <w:tcPr>
            <w:tcW w:w="3939"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eastAsia="zh-TW"/>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jc w:val="center"/>
        </w:trPr>
        <w:tc>
          <w:tcPr>
            <w:tcW w:w="360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电气装置</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Electrical Installation</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第Ⅲ组</w:t>
            </w:r>
          </w:p>
        </w:tc>
        <w:tc>
          <w:tcPr>
            <w:tcW w:w="231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建筑机电安装专业承包企业一级资质</w:t>
            </w:r>
          </w:p>
        </w:tc>
        <w:tc>
          <w:tcPr>
            <w:tcW w:w="162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r>
              <w:rPr>
                <w:rFonts w:hint="eastAsia" w:ascii="宋体" w:hAnsi="宋体" w:eastAsia="宋体" w:cs="宋体"/>
                <w:b w:val="0"/>
                <w:bCs w:val="0"/>
                <w:color w:val="auto"/>
                <w:kern w:val="21"/>
                <w:sz w:val="21"/>
                <w:szCs w:val="21"/>
                <w:highlight w:val="none"/>
                <w:lang w:val="en-GB" w:eastAsia="zh-TW"/>
              </w:rPr>
              <w:t>同时取得电气装置、空调装置、水管装置三类最高级别资质的企业可同时取得机电工程施工总承包企业一级资质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jc w:val="center"/>
        </w:trPr>
        <w:tc>
          <w:tcPr>
            <w:tcW w:w="36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第Ⅱ组</w:t>
            </w:r>
          </w:p>
        </w:tc>
        <w:tc>
          <w:tcPr>
            <w:tcW w:w="231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建筑机电安装专业承包企业二级资质</w:t>
            </w:r>
          </w:p>
        </w:tc>
        <w:tc>
          <w:tcPr>
            <w:tcW w:w="16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jc w:val="center"/>
        </w:trPr>
        <w:tc>
          <w:tcPr>
            <w:tcW w:w="36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第Ⅰ组</w:t>
            </w:r>
          </w:p>
        </w:tc>
        <w:tc>
          <w:tcPr>
            <w:tcW w:w="231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建筑机电安装专业承包企业三级资质</w:t>
            </w:r>
          </w:p>
        </w:tc>
        <w:tc>
          <w:tcPr>
            <w:tcW w:w="16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jc w:val="center"/>
        </w:trPr>
        <w:tc>
          <w:tcPr>
            <w:tcW w:w="360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空调装置</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Air-conditioning Installation</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第Ⅱ组</w:t>
            </w:r>
          </w:p>
        </w:tc>
        <w:tc>
          <w:tcPr>
            <w:tcW w:w="231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建筑机电安装专业承包企业一级资质</w:t>
            </w:r>
          </w:p>
        </w:tc>
        <w:tc>
          <w:tcPr>
            <w:tcW w:w="16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jc w:val="center"/>
        </w:trPr>
        <w:tc>
          <w:tcPr>
            <w:tcW w:w="36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第Ⅰ组</w:t>
            </w:r>
          </w:p>
        </w:tc>
        <w:tc>
          <w:tcPr>
            <w:tcW w:w="231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建筑机电安装专业承包企业二级资质</w:t>
            </w:r>
          </w:p>
        </w:tc>
        <w:tc>
          <w:tcPr>
            <w:tcW w:w="16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jc w:val="center"/>
        </w:trPr>
        <w:tc>
          <w:tcPr>
            <w:tcW w:w="36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水管装置</w:t>
            </w:r>
          </w:p>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Plumbing Installation</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第Ⅱ组</w:t>
            </w:r>
          </w:p>
        </w:tc>
        <w:tc>
          <w:tcPr>
            <w:tcW w:w="231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建筑机电安装专业承包企业一级资质</w:t>
            </w:r>
          </w:p>
        </w:tc>
        <w:tc>
          <w:tcPr>
            <w:tcW w:w="16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jc w:val="center"/>
        </w:trPr>
        <w:tc>
          <w:tcPr>
            <w:tcW w:w="36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第Ⅰ组</w:t>
            </w:r>
          </w:p>
        </w:tc>
        <w:tc>
          <w:tcPr>
            <w:tcW w:w="231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建筑机电安装专业承包企业二级资质</w:t>
            </w:r>
          </w:p>
        </w:tc>
        <w:tc>
          <w:tcPr>
            <w:tcW w:w="16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jc w:val="center"/>
        </w:trPr>
        <w:tc>
          <w:tcPr>
            <w:tcW w:w="360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消防装置</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Fire Service Installation</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第Ⅱ组</w:t>
            </w:r>
          </w:p>
        </w:tc>
        <w:tc>
          <w:tcPr>
            <w:tcW w:w="393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消防设施工程专业承包一级资质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340" w:hRule="atLeast"/>
          <w:jc w:val="center"/>
        </w:trPr>
        <w:tc>
          <w:tcPr>
            <w:tcW w:w="36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第Ⅰ组</w:t>
            </w:r>
          </w:p>
        </w:tc>
        <w:tc>
          <w:tcPr>
            <w:tcW w:w="393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消防设施工程专业承包二级资质</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2"/>
        <w:tblW w:w="4957" w:type="pct"/>
        <w:jc w:val="center"/>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fixed"/>
        <w:tblCellMar>
          <w:top w:w="57" w:type="dxa"/>
          <w:left w:w="108" w:type="dxa"/>
          <w:bottom w:w="57" w:type="dxa"/>
          <w:right w:w="108" w:type="dxa"/>
        </w:tblCellMar>
      </w:tblPr>
      <w:tblGrid>
        <w:gridCol w:w="3366"/>
        <w:gridCol w:w="1402"/>
        <w:gridCol w:w="3681"/>
      </w:tblGrid>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5102"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黑体" w:hAnsi="黑体" w:eastAsia="黑体" w:cs="黑体"/>
                <w:b w:val="0"/>
                <w:bCs w:val="0"/>
                <w:color w:val="auto"/>
                <w:kern w:val="21"/>
                <w:sz w:val="21"/>
                <w:szCs w:val="21"/>
                <w:highlight w:val="none"/>
                <w:lang w:val="en-GB"/>
              </w:rPr>
              <w:t>供应商及专门承造商名册分类</w:t>
            </w:r>
          </w:p>
        </w:tc>
        <w:tc>
          <w:tcPr>
            <w:tcW w:w="393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黑体" w:hAnsi="黑体" w:eastAsia="黑体" w:cs="黑体"/>
                <w:b w:val="0"/>
                <w:bCs w:val="0"/>
                <w:color w:val="auto"/>
                <w:kern w:val="21"/>
                <w:sz w:val="21"/>
                <w:szCs w:val="21"/>
                <w:highlight w:val="none"/>
                <w:lang w:val="en-GB" w:eastAsia="zh-CN"/>
              </w:rPr>
              <w:t>对应内地企业资质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Autospacing="0"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黑体" w:hAnsi="黑体" w:eastAsia="黑体" w:cs="黑体"/>
                <w:b w:val="0"/>
                <w:bCs w:val="0"/>
                <w:color w:val="auto"/>
                <w:kern w:val="21"/>
                <w:sz w:val="21"/>
                <w:szCs w:val="21"/>
                <w:highlight w:val="none"/>
                <w:lang w:val="en-GB" w:eastAsia="zh-CN"/>
              </w:rPr>
              <w:t>类别（Category）</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300" w:lineRule="exact"/>
              <w:ind w:left="-63" w:leftChars="-30" w:right="-147" w:rightChars="-7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黑体" w:hAnsi="黑体" w:eastAsia="黑体" w:cs="黑体"/>
                <w:b w:val="0"/>
                <w:bCs w:val="0"/>
                <w:color w:val="auto"/>
                <w:kern w:val="21"/>
                <w:sz w:val="21"/>
                <w:szCs w:val="21"/>
                <w:highlight w:val="none"/>
                <w:lang w:val="en-GB" w:eastAsia="zh-CN"/>
              </w:rPr>
              <w:t>组别（Band）</w:t>
            </w:r>
          </w:p>
        </w:tc>
        <w:tc>
          <w:tcPr>
            <w:tcW w:w="393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工业用途电气装置</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Industrial Type Electrical Installation</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不分组</w:t>
            </w:r>
          </w:p>
        </w:tc>
        <w:tc>
          <w:tcPr>
            <w:tcW w:w="3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城市及道路照明工程专业承包一级资质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升降机、自动梯及乘客输送带装置</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Lift, Escalator and Passenger Conveyor</w:t>
            </w:r>
            <w:r>
              <w:rPr>
                <w:rFonts w:hint="eastAsia" w:ascii="宋体" w:hAnsi="宋体" w:eastAsia="宋体" w:cs="宋体"/>
                <w:b w:val="0"/>
                <w:bCs w:val="0"/>
                <w:color w:val="auto"/>
                <w:kern w:val="21"/>
                <w:sz w:val="21"/>
                <w:szCs w:val="21"/>
                <w:highlight w:val="none"/>
                <w:lang w:val="en-US" w:eastAsia="zh-CN"/>
              </w:rPr>
              <w:t xml:space="preserve"> </w:t>
            </w:r>
            <w:r>
              <w:rPr>
                <w:rFonts w:hint="eastAsia" w:ascii="宋体" w:hAnsi="宋体" w:eastAsia="宋体" w:cs="宋体"/>
                <w:b w:val="0"/>
                <w:bCs w:val="0"/>
                <w:color w:val="auto"/>
                <w:kern w:val="21"/>
                <w:sz w:val="21"/>
                <w:szCs w:val="21"/>
                <w:highlight w:val="none"/>
                <w:lang w:val="en-GB" w:eastAsia="zh-TW"/>
              </w:rPr>
              <w:t>Installation</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不分组</w:t>
            </w:r>
          </w:p>
        </w:tc>
        <w:tc>
          <w:tcPr>
            <w:tcW w:w="3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特种设备安装改造维修单位资格许可</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低压电开关柜装置</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 xml:space="preserve">Low Voltage Cubicle </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Switchboard Installation</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不分组</w:t>
            </w:r>
          </w:p>
        </w:tc>
        <w:tc>
          <w:tcPr>
            <w:tcW w:w="3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r>
              <w:rPr>
                <w:rFonts w:hint="eastAsia" w:ascii="宋体" w:hAnsi="宋体" w:eastAsia="宋体" w:cs="宋体"/>
                <w:b w:val="0"/>
                <w:bCs w:val="0"/>
                <w:color w:val="auto"/>
                <w:kern w:val="21"/>
                <w:sz w:val="21"/>
                <w:szCs w:val="21"/>
                <w:highlight w:val="none"/>
                <w:lang w:val="en-GB" w:eastAsia="zh-TW"/>
              </w:rPr>
              <w:t>建筑机电安装工程专业承包一级资质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场地勘探工程</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Ground Investigation Field Work</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第Ⅱ组</w:t>
            </w:r>
          </w:p>
        </w:tc>
        <w:tc>
          <w:tcPr>
            <w:tcW w:w="3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工程勘察行业岩土工程勘察/工程测量专业甲级资质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第Ⅰ组</w:t>
            </w:r>
          </w:p>
        </w:tc>
        <w:tc>
          <w:tcPr>
            <w:tcW w:w="3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工程勘察行业岩土工程勘察/工程测量专业乙级资质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土地打桩</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Land Piling</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第Ⅱ组</w:t>
            </w:r>
          </w:p>
        </w:tc>
        <w:tc>
          <w:tcPr>
            <w:tcW w:w="3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地基基础工程专业承包一级资质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第Ⅰ组</w:t>
            </w:r>
          </w:p>
        </w:tc>
        <w:tc>
          <w:tcPr>
            <w:tcW w:w="3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地基基础工程专业承包二级资质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钢结构工程</w:t>
            </w:r>
          </w:p>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Structural Steelwork</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不分组</w:t>
            </w:r>
          </w:p>
        </w:tc>
        <w:tc>
          <w:tcPr>
            <w:tcW w:w="3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钢结构工程专业承包一级资质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57" w:type="dxa"/>
            <w:left w:w="108" w:type="dxa"/>
            <w:bottom w:w="57" w:type="dxa"/>
            <w:right w:w="108" w:type="dxa"/>
          </w:tblCellMar>
        </w:tblPrEx>
        <w:trPr>
          <w:trHeight w:val="624" w:hRule="atLeast"/>
          <w:jc w:val="center"/>
        </w:trPr>
        <w:tc>
          <w:tcPr>
            <w:tcW w:w="360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全包室内设计及装修工程</w:t>
            </w:r>
          </w:p>
          <w:p>
            <w:pPr>
              <w:keepNext w:val="0"/>
              <w:keepLines w:val="0"/>
              <w:pageBreakBefore w:val="0"/>
              <w:widowControl/>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Turn-key Interior Design and Fitting-out Works</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不分组</w:t>
            </w:r>
          </w:p>
        </w:tc>
        <w:tc>
          <w:tcPr>
            <w:tcW w:w="3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GB" w:eastAsia="zh-TW"/>
              </w:rPr>
            </w:pPr>
            <w:r>
              <w:rPr>
                <w:rFonts w:hint="eastAsia" w:ascii="宋体" w:hAnsi="宋体" w:eastAsia="宋体" w:cs="宋体"/>
                <w:b w:val="0"/>
                <w:bCs w:val="0"/>
                <w:color w:val="auto"/>
                <w:kern w:val="21"/>
                <w:sz w:val="21"/>
                <w:szCs w:val="21"/>
                <w:highlight w:val="none"/>
                <w:lang w:val="en-GB" w:eastAsia="zh-TW"/>
              </w:rPr>
              <w:t>建筑装修装饰工程专业承包一级资质</w:t>
            </w:r>
          </w:p>
        </w:tc>
      </w:tr>
    </w:tbl>
    <w:p>
      <w:pPr>
        <w:keepNext w:val="0"/>
        <w:keepLines w:val="0"/>
        <w:pageBreakBefore w:val="0"/>
        <w:widowControl w:val="0"/>
        <w:kinsoku/>
        <w:wordWrap/>
        <w:overflowPunct/>
        <w:topLinePunct w:val="0"/>
        <w:autoSpaceDE/>
        <w:autoSpaceDN/>
        <w:bidi w:val="0"/>
        <w:adjustRightInd w:val="0"/>
        <w:snapToGrid w:val="0"/>
        <w:spacing w:before="157" w:beforeLines="50" w:line="32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u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1</w:t>
      </w:r>
      <w:r>
        <w:rPr>
          <w:rFonts w:hint="eastAsia" w:ascii="楷体_GB2312" w:hAnsi="楷体_GB2312" w:eastAsia="楷体_GB2312" w:cs="楷体_GB2312"/>
          <w:bCs/>
          <w:color w:val="auto"/>
          <w:kern w:val="21"/>
          <w:sz w:val="21"/>
          <w:szCs w:val="21"/>
          <w:highlight w:val="none"/>
          <w:lang w:eastAsia="zh-TW"/>
        </w:rPr>
        <w:t>：认可公共工程物料供应商及专门承造商名册及分组规定参照香港发展局网页为准</w:t>
      </w:r>
      <w:r>
        <w:rPr>
          <w:rFonts w:hint="eastAsia" w:ascii="楷体_GB2312" w:hAnsi="楷体_GB2312" w:eastAsia="楷体_GB2312" w:cs="楷体_GB2312"/>
          <w:bCs/>
          <w:color w:val="auto"/>
          <w:kern w:val="21"/>
          <w:sz w:val="21"/>
          <w:szCs w:val="21"/>
          <w:highlight w:val="none"/>
          <w:lang w:eastAsia="zh-CN"/>
        </w:rPr>
        <w:t>：</w:t>
      </w:r>
      <w:r>
        <w:rPr>
          <w:rFonts w:hint="eastAsia" w:ascii="楷体_GB2312" w:hAnsi="楷体_GB2312" w:eastAsia="楷体_GB2312" w:cs="楷体_GB2312"/>
          <w:bCs/>
          <w:color w:val="auto"/>
          <w:kern w:val="21"/>
          <w:sz w:val="21"/>
          <w:szCs w:val="21"/>
          <w:highlight w:val="none"/>
          <w:u w:val="none"/>
          <w:lang w:eastAsia="zh-TW"/>
        </w:rPr>
        <w:fldChar w:fldCharType="begin"/>
      </w:r>
      <w:r>
        <w:rPr>
          <w:rFonts w:hint="eastAsia" w:ascii="楷体_GB2312" w:hAnsi="楷体_GB2312" w:eastAsia="楷体_GB2312" w:cs="楷体_GB2312"/>
          <w:bCs/>
          <w:color w:val="auto"/>
          <w:kern w:val="21"/>
          <w:sz w:val="21"/>
          <w:szCs w:val="21"/>
          <w:highlight w:val="none"/>
          <w:u w:val="none"/>
          <w:lang w:eastAsia="zh-TW"/>
        </w:rPr>
        <w:instrText xml:space="preserve"> HYPERLINK "https://sc.devb.gov.hk/TuniS/www.devb.gov.hk/Supplier.aspx?section=83&amp;lang=2&amp;id=80" </w:instrText>
      </w:r>
      <w:r>
        <w:rPr>
          <w:rFonts w:hint="eastAsia" w:ascii="楷体_GB2312" w:hAnsi="楷体_GB2312" w:eastAsia="楷体_GB2312" w:cs="楷体_GB2312"/>
          <w:bCs/>
          <w:color w:val="auto"/>
          <w:kern w:val="21"/>
          <w:sz w:val="21"/>
          <w:szCs w:val="21"/>
          <w:highlight w:val="none"/>
          <w:u w:val="none"/>
          <w:lang w:eastAsia="zh-TW"/>
        </w:rPr>
        <w:fldChar w:fldCharType="separate"/>
      </w:r>
      <w:r>
        <w:rPr>
          <w:rStyle w:val="3"/>
          <w:rFonts w:hint="eastAsia" w:ascii="楷体_GB2312" w:hAnsi="楷体_GB2312" w:eastAsia="楷体_GB2312" w:cs="楷体_GB2312"/>
          <w:bCs/>
          <w:color w:val="auto"/>
          <w:kern w:val="21"/>
          <w:sz w:val="21"/>
          <w:szCs w:val="21"/>
          <w:highlight w:val="none"/>
          <w:u w:val="none"/>
          <w:lang w:eastAsia="zh-TW"/>
        </w:rPr>
        <w:t>https</w:t>
      </w:r>
      <w:r>
        <w:rPr>
          <w:rStyle w:val="3"/>
          <w:rFonts w:hint="eastAsia" w:ascii="楷体_GB2312" w:hAnsi="楷体_GB2312" w:eastAsia="楷体_GB2312" w:cs="楷体_GB2312"/>
          <w:bCs/>
          <w:color w:val="auto"/>
          <w:kern w:val="21"/>
          <w:sz w:val="21"/>
          <w:szCs w:val="21"/>
          <w:highlight w:val="none"/>
          <w:u w:val="none"/>
          <w:lang w:val="en-US" w:eastAsia="zh-CN"/>
        </w:rPr>
        <w:t>:</w:t>
      </w:r>
      <w:r>
        <w:rPr>
          <w:rStyle w:val="3"/>
          <w:rFonts w:hint="eastAsia" w:ascii="楷体_GB2312" w:hAnsi="楷体_GB2312" w:eastAsia="楷体_GB2312" w:cs="楷体_GB2312"/>
          <w:bCs/>
          <w:color w:val="auto"/>
          <w:kern w:val="21"/>
          <w:sz w:val="21"/>
          <w:szCs w:val="21"/>
          <w:highlight w:val="none"/>
          <w:u w:val="none"/>
          <w:lang w:eastAsia="zh-TW"/>
        </w:rPr>
        <w:t>//sc.devb.gov.hk/TuniS/www.devb.gov.hk/Supplier.aspx?section=83&amp;lang=2&amp;id=80</w:t>
      </w:r>
      <w:r>
        <w:rPr>
          <w:rStyle w:val="3"/>
          <w:rFonts w:hint="eastAsia" w:ascii="楷体_GB2312" w:hAnsi="楷体_GB2312" w:eastAsia="楷体_GB2312" w:cs="楷体_GB2312"/>
          <w:bCs/>
          <w:color w:val="auto"/>
          <w:kern w:val="21"/>
          <w:sz w:val="21"/>
          <w:szCs w:val="21"/>
          <w:highlight w:val="none"/>
          <w:u w:val="none"/>
          <w:lang w:eastAsia="zh-TW"/>
        </w:rPr>
        <w:fldChar w:fldCharType="end"/>
      </w:r>
    </w:p>
    <w:p>
      <w:pPr>
        <w:keepNext w:val="0"/>
        <w:keepLines w:val="0"/>
        <w:pageBreakBefore w:val="0"/>
        <w:widowControl/>
        <w:kinsoku/>
        <w:wordWrap/>
        <w:overflowPunct/>
        <w:topLinePunct w:val="0"/>
        <w:autoSpaceDE/>
        <w:autoSpaceDN/>
        <w:bidi w:val="0"/>
        <w:adjustRightInd w:val="0"/>
        <w:snapToGrid w:val="0"/>
        <w:spacing w:line="320"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eastAsia="zh-TW"/>
        </w:rPr>
      </w:pPr>
      <w:r>
        <w:rPr>
          <w:rFonts w:hint="eastAsia" w:ascii="楷体_GB2312" w:hAnsi="楷体_GB2312" w:eastAsia="楷体_GB2312" w:cs="楷体_GB2312"/>
          <w:bCs/>
          <w:color w:val="auto"/>
          <w:kern w:val="21"/>
          <w:sz w:val="21"/>
          <w:szCs w:val="21"/>
          <w:highlight w:val="none"/>
          <w:lang w:eastAsia="zh-TW"/>
        </w:rPr>
        <w:t>注</w:t>
      </w:r>
      <w:r>
        <w:rPr>
          <w:rFonts w:hint="eastAsia" w:ascii="楷体_GB2312" w:hAnsi="楷体_GB2312" w:eastAsia="楷体_GB2312" w:cs="楷体_GB2312"/>
          <w:bCs/>
          <w:color w:val="auto"/>
          <w:kern w:val="21"/>
          <w:sz w:val="21"/>
          <w:szCs w:val="21"/>
          <w:highlight w:val="none"/>
          <w:vertAlign w:val="baseline"/>
          <w:lang w:eastAsia="zh-TW"/>
        </w:rPr>
        <w:t>2</w:t>
      </w:r>
      <w:r>
        <w:rPr>
          <w:rFonts w:hint="eastAsia" w:ascii="楷体_GB2312" w:hAnsi="楷体_GB2312" w:eastAsia="楷体_GB2312" w:cs="楷体_GB2312"/>
          <w:bCs/>
          <w:color w:val="auto"/>
          <w:kern w:val="21"/>
          <w:sz w:val="21"/>
          <w:szCs w:val="21"/>
          <w:highlight w:val="none"/>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kinsoku/>
        <w:wordWrap/>
        <w:overflowPunct/>
        <w:topLinePunct w:val="0"/>
        <w:autoSpaceDE/>
        <w:autoSpaceDN/>
        <w:bidi w:val="0"/>
        <w:adjustRightInd w:val="0"/>
        <w:snapToGrid w:val="0"/>
        <w:spacing w:line="320" w:lineRule="atLeast"/>
        <w:ind w:left="0" w:leftChars="0" w:right="0" w:rightChars="0" w:firstLine="420" w:firstLineChars="200"/>
        <w:jc w:val="both"/>
        <w:textAlignment w:val="auto"/>
        <w:outlineLvl w:val="9"/>
        <w:rPr>
          <w:rFonts w:hint="eastAsia" w:ascii="楷体_GB2312" w:hAnsi="楷体_GB2312" w:eastAsia="楷体_GB2312" w:cs="楷体_GB2312"/>
          <w:kern w:val="21"/>
          <w:sz w:val="21"/>
          <w:szCs w:val="21"/>
          <w:highlight w:val="none"/>
        </w:rPr>
      </w:pPr>
      <w:r>
        <w:rPr>
          <w:rFonts w:hint="eastAsia" w:ascii="楷体_GB2312" w:hAnsi="楷体_GB2312" w:eastAsia="楷体_GB2312" w:cs="楷体_GB2312"/>
          <w:bCs/>
          <w:color w:val="auto"/>
          <w:kern w:val="21"/>
          <w:sz w:val="21"/>
          <w:szCs w:val="21"/>
          <w:highlight w:val="none"/>
          <w:lang w:val="en-US" w:eastAsia="zh-CN"/>
        </w:rPr>
        <w:t>注3：允许已合法备案香港专业机构竞投项目时，涉及提供内地相应商事登记和安全生产许可证明的，可向建设单位提供香港商事登记证明，承诺符合内地建筑施工企业安全生产标准和条件，视同取得项目的相关竞投资格，应当办理内地商事登记和安全生产备案的工作可放宽至中标工程后、工程开工前进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5F152806"/>
    <w:rsid w:val="5F15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 Char1"/>
    <w:basedOn w:val="1"/>
    <w:qFormat/>
    <w:uiPriority w:val="0"/>
    <w:rPr>
      <w:rFonts w:ascii="Times New Roman" w:hAnsi="Times New Roman"/>
      <w:kern w:val="36"/>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2023-07-12T03:07:00Z</dcterms:created>
  <dc:creator>龙瑶</dc:creator>
  <cp:lastModifiedBy>龙瑶</cp:lastModifiedBy>
  <dcterms:modified xsi:type="dcterms:W3CDTF">2023-07-12T03:08:39Z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0B30DF0473BA49CBAC977E18DB66E906_11</vt:lpwstr>
  </property>
</Properties>
</file>