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before="312" w:line="460" w:lineRule="exact"/>
        <w:jc w:val="center"/>
        <w:rPr>
          <w:rFonts w:ascii="宋体" w:hAnsi="宋体" w:cstheme="majorEastAsia"/>
          <w:b/>
          <w:bCs/>
          <w:sz w:val="44"/>
          <w:szCs w:val="44"/>
        </w:rPr>
      </w:pPr>
      <w:r>
        <w:rPr>
          <w:rFonts w:hint="eastAsia" w:ascii="宋体" w:hAnsi="宋体" w:cstheme="majorEastAsia"/>
          <w:b/>
          <w:bCs/>
          <w:sz w:val="44"/>
          <w:szCs w:val="44"/>
        </w:rPr>
        <w:t>深圳市临时用地管理办法</w:t>
      </w:r>
    </w:p>
    <w:p>
      <w:pPr>
        <w:spacing w:line="460" w:lineRule="exact"/>
        <w:jc w:val="center"/>
        <w:rPr>
          <w:rFonts w:ascii="宋体" w:hAnsi="宋体" w:cstheme="majorEastAsia"/>
          <w:b/>
          <w:bCs/>
          <w:sz w:val="44"/>
          <w:szCs w:val="44"/>
        </w:rPr>
      </w:pPr>
      <w:r>
        <w:rPr>
          <w:rFonts w:hint="eastAsia" w:ascii="宋体" w:hAnsi="宋体" w:cstheme="majorEastAsia"/>
          <w:b/>
          <w:bCs/>
          <w:sz w:val="44"/>
          <w:szCs w:val="44"/>
        </w:rPr>
        <w:t>（修订征求意见稿）</w:t>
      </w:r>
    </w:p>
    <w:p>
      <w:pPr>
        <w:spacing w:before="312" w:beforeLines="100" w:after="312" w:afterLines="100" w:line="560" w:lineRule="exact"/>
        <w:jc w:val="center"/>
        <w:outlineLvl w:val="1"/>
        <w:rPr>
          <w:rFonts w:ascii="黑体" w:hAnsi="黑体" w:eastAsia="黑体" w:cstheme="minorBidi"/>
          <w:b/>
          <w:bCs/>
          <w:sz w:val="32"/>
          <w:szCs w:val="22"/>
        </w:rPr>
      </w:pPr>
      <w:bookmarkStart w:id="0" w:name="_Toc117671511"/>
      <w:r>
        <w:rPr>
          <w:rFonts w:hint="eastAsia" w:ascii="黑体" w:hAnsi="黑体" w:eastAsia="黑体" w:cstheme="minorBidi"/>
          <w:b/>
          <w:bCs/>
          <w:sz w:val="32"/>
          <w:szCs w:val="22"/>
        </w:rPr>
        <w:t>第一章  总则</w:t>
      </w:r>
      <w:bookmarkEnd w:id="0"/>
    </w:p>
    <w:p>
      <w:pPr>
        <w:pStyle w:val="31"/>
        <w:numPr>
          <w:ilvl w:val="0"/>
          <w:numId w:val="1"/>
        </w:numPr>
        <w:spacing w:line="360" w:lineRule="auto"/>
        <w:ind w:left="0" w:firstLine="640"/>
        <w:outlineLvl w:val="1"/>
        <w:rPr>
          <w:rFonts w:ascii="黑体" w:hAnsi="黑体" w:eastAsia="黑体" w:cs="黑体"/>
          <w:sz w:val="32"/>
          <w:szCs w:val="22"/>
        </w:rPr>
      </w:pPr>
      <w:bookmarkStart w:id="1" w:name="_Toc117671512"/>
      <w:r>
        <w:rPr>
          <w:rFonts w:hint="eastAsia" w:ascii="黑体" w:hAnsi="黑体" w:eastAsia="黑体" w:cs="黑体"/>
          <w:sz w:val="32"/>
          <w:szCs w:val="22"/>
        </w:rPr>
        <w:t>【目的依据】</w:t>
      </w:r>
      <w:bookmarkEnd w:id="1"/>
    </w:p>
    <w:p>
      <w:pPr>
        <w:ind w:firstLine="640" w:firstLineChars="200"/>
        <w:rPr>
          <w:rFonts w:ascii="仿宋" w:hAnsi="仿宋" w:eastAsia="仿宋"/>
          <w:bCs/>
          <w:sz w:val="32"/>
          <w:szCs w:val="32"/>
        </w:rPr>
      </w:pPr>
      <w:bookmarkStart w:id="2" w:name="_Hlk109984813"/>
      <w:r>
        <w:rPr>
          <w:rFonts w:hint="eastAsia" w:ascii="仿宋" w:hAnsi="仿宋" w:eastAsia="仿宋"/>
          <w:bCs/>
          <w:sz w:val="32"/>
          <w:szCs w:val="32"/>
        </w:rPr>
        <w:t>为严格规范我市临时用地管理，切实加强耕地保护，促进节约集约用地，推动城市高质量发展，根据</w:t>
      </w:r>
      <w:bookmarkStart w:id="3" w:name="_Hlk139029207"/>
      <w:r>
        <w:rPr>
          <w:rFonts w:hint="eastAsia" w:ascii="仿宋" w:hAnsi="仿宋" w:eastAsia="仿宋"/>
          <w:bCs/>
          <w:sz w:val="32"/>
          <w:szCs w:val="32"/>
        </w:rPr>
        <w:t>《中华人民共和国土地管理法》</w:t>
      </w:r>
      <w:bookmarkEnd w:id="3"/>
      <w:r>
        <w:rPr>
          <w:rFonts w:hint="eastAsia" w:ascii="仿宋" w:hAnsi="仿宋" w:eastAsia="仿宋"/>
          <w:bCs/>
          <w:sz w:val="32"/>
          <w:szCs w:val="32"/>
        </w:rPr>
        <w:t>《中华人民共和国土地管理法实施条例》《自然资源部关于规范临时用地管理的通知》（自然资规〔</w:t>
      </w:r>
      <w:r>
        <w:rPr>
          <w:rFonts w:ascii="仿宋" w:hAnsi="仿宋" w:eastAsia="仿宋"/>
          <w:bCs/>
          <w:sz w:val="32"/>
          <w:szCs w:val="32"/>
        </w:rPr>
        <w:t>2021〕2号</w:t>
      </w:r>
      <w:r>
        <w:rPr>
          <w:rFonts w:hint="eastAsia" w:ascii="仿宋" w:hAnsi="仿宋" w:eastAsia="仿宋"/>
          <w:bCs/>
          <w:sz w:val="32"/>
          <w:szCs w:val="32"/>
        </w:rPr>
        <w:t>）等规定，结合本市实际，制定本办法。</w:t>
      </w:r>
      <w:bookmarkEnd w:id="2"/>
    </w:p>
    <w:p>
      <w:pPr>
        <w:pStyle w:val="31"/>
        <w:numPr>
          <w:ilvl w:val="0"/>
          <w:numId w:val="1"/>
        </w:numPr>
        <w:spacing w:line="360" w:lineRule="auto"/>
        <w:ind w:left="0" w:firstLine="640"/>
        <w:outlineLvl w:val="1"/>
        <w:rPr>
          <w:rFonts w:ascii="黑体" w:hAnsi="黑体" w:eastAsia="黑体" w:cs="黑体"/>
          <w:sz w:val="32"/>
          <w:szCs w:val="22"/>
        </w:rPr>
      </w:pPr>
      <w:bookmarkStart w:id="4" w:name="_Toc117671513"/>
      <w:r>
        <w:rPr>
          <w:rFonts w:hint="eastAsia" w:ascii="黑体" w:hAnsi="黑体" w:eastAsia="黑体" w:cs="黑体"/>
          <w:sz w:val="32"/>
          <w:szCs w:val="22"/>
        </w:rPr>
        <w:t>【适用对象】</w:t>
      </w:r>
      <w:bookmarkEnd w:id="4"/>
    </w:p>
    <w:p>
      <w:pPr>
        <w:ind w:firstLine="640" w:firstLineChars="200"/>
        <w:rPr>
          <w:rFonts w:ascii="仿宋" w:hAnsi="仿宋" w:eastAsia="仿宋"/>
          <w:bCs/>
          <w:sz w:val="32"/>
          <w:szCs w:val="32"/>
        </w:rPr>
      </w:pPr>
      <w:r>
        <w:rPr>
          <w:rFonts w:hint="eastAsia" w:ascii="仿宋" w:hAnsi="仿宋" w:eastAsia="仿宋"/>
          <w:bCs/>
          <w:sz w:val="32"/>
          <w:szCs w:val="32"/>
        </w:rPr>
        <w:t>本办法适用于深圳市行政区域范围内（不含前海深港现代服务业合作区）的临时用地活动。本办法所称临时用地是指因建设项目施工、地质勘查等需要，不修建永久性建（构）筑物，使用后可恢复的国有未出让土地。</w:t>
      </w:r>
    </w:p>
    <w:p>
      <w:pPr>
        <w:ind w:firstLine="640" w:firstLineChars="200"/>
        <w:rPr>
          <w:rFonts w:ascii="仿宋" w:hAnsi="仿宋" w:eastAsia="仿宋"/>
          <w:bCs/>
          <w:sz w:val="32"/>
          <w:szCs w:val="32"/>
        </w:rPr>
      </w:pPr>
      <w:r>
        <w:rPr>
          <w:rFonts w:hint="eastAsia" w:ascii="仿宋" w:hAnsi="仿宋" w:eastAsia="仿宋"/>
          <w:bCs/>
          <w:sz w:val="32"/>
          <w:szCs w:val="32"/>
        </w:rPr>
        <w:t>临时使用未完善征（转）地补偿手续用地的，由临时用地单位与原农村集体经济组织继受单位协商一致，自行理清相关经济利益关系，并经辖区街道办事处书面确认后，方可进行临时用地审批。</w:t>
      </w:r>
    </w:p>
    <w:p>
      <w:pPr>
        <w:pStyle w:val="31"/>
        <w:numPr>
          <w:ilvl w:val="0"/>
          <w:numId w:val="1"/>
        </w:numPr>
        <w:spacing w:line="360" w:lineRule="auto"/>
        <w:ind w:left="0" w:firstLine="640"/>
        <w:outlineLvl w:val="1"/>
        <w:rPr>
          <w:rFonts w:ascii="黑体" w:hAnsi="黑体" w:eastAsia="黑体" w:cs="黑体"/>
          <w:sz w:val="32"/>
          <w:szCs w:val="22"/>
        </w:rPr>
      </w:pPr>
      <w:bookmarkStart w:id="5" w:name="_Toc117671514"/>
      <w:r>
        <w:rPr>
          <w:rFonts w:hint="eastAsia" w:ascii="黑体" w:hAnsi="黑体" w:eastAsia="黑体" w:cs="黑体"/>
          <w:sz w:val="32"/>
          <w:szCs w:val="22"/>
        </w:rPr>
        <w:t>【基本原则】</w:t>
      </w:r>
      <w:bookmarkEnd w:id="5"/>
    </w:p>
    <w:p>
      <w:pPr>
        <w:ind w:firstLine="640" w:firstLineChars="200"/>
        <w:rPr>
          <w:rFonts w:ascii="仿宋" w:hAnsi="仿宋" w:eastAsia="仿宋"/>
          <w:bCs/>
          <w:sz w:val="32"/>
          <w:szCs w:val="32"/>
        </w:rPr>
      </w:pPr>
      <w:r>
        <w:rPr>
          <w:rFonts w:hint="eastAsia" w:ascii="仿宋" w:hAnsi="仿宋" w:eastAsia="仿宋"/>
          <w:bCs/>
          <w:sz w:val="32"/>
          <w:szCs w:val="32"/>
        </w:rPr>
        <w:t>临时用地应坚持用途管制、节约集约、保护耕地、保护生态、严格复垦的原则，实行严格审批、严格管理。</w:t>
      </w:r>
    </w:p>
    <w:p>
      <w:pPr>
        <w:pStyle w:val="31"/>
        <w:numPr>
          <w:ilvl w:val="0"/>
          <w:numId w:val="1"/>
        </w:numPr>
        <w:spacing w:line="360" w:lineRule="auto"/>
        <w:ind w:left="0" w:firstLine="640"/>
        <w:outlineLvl w:val="1"/>
        <w:rPr>
          <w:rFonts w:ascii="黑体" w:hAnsi="黑体" w:eastAsia="黑体" w:cs="黑体"/>
          <w:sz w:val="32"/>
          <w:szCs w:val="22"/>
        </w:rPr>
      </w:pPr>
      <w:bookmarkStart w:id="6" w:name="_Toc117671515"/>
      <w:r>
        <w:rPr>
          <w:rFonts w:hint="eastAsia" w:ascii="黑体" w:hAnsi="黑体" w:eastAsia="黑体" w:cs="黑体"/>
          <w:sz w:val="32"/>
          <w:szCs w:val="22"/>
        </w:rPr>
        <w:t>【职责分工】</w:t>
      </w:r>
      <w:bookmarkEnd w:id="6"/>
    </w:p>
    <w:p>
      <w:pPr>
        <w:ind w:firstLine="640" w:firstLineChars="200"/>
        <w:rPr>
          <w:rFonts w:ascii="仿宋" w:hAnsi="仿宋" w:eastAsia="仿宋"/>
          <w:bCs/>
          <w:sz w:val="32"/>
          <w:szCs w:val="32"/>
        </w:rPr>
      </w:pPr>
      <w:r>
        <w:rPr>
          <w:rFonts w:hint="eastAsia" w:ascii="仿宋" w:hAnsi="仿宋" w:eastAsia="仿宋"/>
          <w:bCs/>
          <w:sz w:val="32"/>
          <w:szCs w:val="32"/>
        </w:rPr>
        <w:t>市规划和自然资源主管部门（以下简称主管部门）负责临时用地政策统筹、信息系统建设、业务指导和监督检查；负责涉及占用耕地、永久基本农田和生态保护红线的临时用地审查审批工作。</w:t>
      </w:r>
    </w:p>
    <w:p>
      <w:pPr>
        <w:ind w:firstLine="640" w:firstLineChars="200"/>
        <w:rPr>
          <w:rFonts w:ascii="仿宋" w:hAnsi="仿宋" w:eastAsia="仿宋"/>
          <w:bCs/>
          <w:sz w:val="32"/>
          <w:szCs w:val="32"/>
        </w:rPr>
      </w:pPr>
      <w:r>
        <w:rPr>
          <w:rFonts w:hint="eastAsia" w:ascii="仿宋" w:hAnsi="仿宋" w:eastAsia="仿宋"/>
          <w:bCs/>
          <w:sz w:val="32"/>
          <w:szCs w:val="32"/>
        </w:rPr>
        <w:t>市规划和自然资源主管部门派出机构（以下简称派出机构）负责除涉及占用耕地、永久基本农田和生态保护红线以外的临时用地审查审批工作；负责开展辖区内临时用地的受理申请、审查报批、日常监管、台账建设、系统备案和用地收回等工作。</w:t>
      </w:r>
    </w:p>
    <w:p>
      <w:pPr>
        <w:ind w:firstLine="640" w:firstLineChars="200"/>
        <w:rPr>
          <w:rFonts w:ascii="仿宋" w:hAnsi="仿宋" w:eastAsia="仿宋"/>
          <w:bCs/>
          <w:sz w:val="32"/>
          <w:szCs w:val="32"/>
        </w:rPr>
      </w:pPr>
      <w:bookmarkStart w:id="7" w:name="_Hlk139027697"/>
      <w:r>
        <w:rPr>
          <w:rFonts w:hint="eastAsia" w:ascii="仿宋" w:hAnsi="仿宋" w:eastAsia="仿宋"/>
          <w:bCs/>
          <w:color w:val="000000" w:themeColor="text1"/>
          <w:sz w:val="32"/>
          <w:szCs w:val="32"/>
          <w14:textFill>
            <w14:solidFill>
              <w14:schemeClr w14:val="tx1"/>
            </w14:solidFill>
          </w14:textFill>
        </w:rPr>
        <w:t>辖区生态环境、城管和综合执法、交通运输、水务、市场监管、应急管理、规划土地监察、街道办事处、住房建设、公安</w:t>
      </w:r>
      <w:bookmarkEnd w:id="7"/>
      <w:r>
        <w:rPr>
          <w:rFonts w:hint="eastAsia" w:ascii="仿宋" w:hAnsi="仿宋" w:eastAsia="仿宋"/>
          <w:bCs/>
          <w:color w:val="000000" w:themeColor="text1"/>
          <w:sz w:val="32"/>
          <w:szCs w:val="32"/>
          <w14:textFill>
            <w14:solidFill>
              <w14:schemeClr w14:val="tx1"/>
            </w14:solidFill>
          </w14:textFill>
        </w:rPr>
        <w:t>消防等部门</w:t>
      </w:r>
      <w:r>
        <w:rPr>
          <w:rFonts w:hint="eastAsia" w:ascii="仿宋" w:hAnsi="仿宋" w:eastAsia="仿宋"/>
          <w:bCs/>
          <w:sz w:val="32"/>
          <w:szCs w:val="32"/>
        </w:rPr>
        <w:t>依职责出具临时用地审查意见，共同开展临时用地监督、管理和临时用地违法行为查处等工作，并做好</w:t>
      </w:r>
      <w:r>
        <w:rPr>
          <w:rFonts w:ascii="仿宋" w:hAnsi="仿宋" w:eastAsia="仿宋"/>
          <w:bCs/>
          <w:sz w:val="32"/>
          <w:szCs w:val="32"/>
        </w:rPr>
        <w:t>职责范围的其他</w:t>
      </w:r>
      <w:r>
        <w:rPr>
          <w:rFonts w:hint="eastAsia" w:ascii="仿宋" w:hAnsi="仿宋" w:eastAsia="仿宋"/>
          <w:bCs/>
          <w:sz w:val="32"/>
          <w:szCs w:val="32"/>
        </w:rPr>
        <w:t>相</w:t>
      </w:r>
      <w:r>
        <w:rPr>
          <w:rFonts w:ascii="仿宋" w:hAnsi="仿宋" w:eastAsia="仿宋"/>
          <w:bCs/>
          <w:sz w:val="32"/>
          <w:szCs w:val="32"/>
        </w:rPr>
        <w:t>关工作</w:t>
      </w:r>
      <w:r>
        <w:rPr>
          <w:rFonts w:hint="eastAsia" w:ascii="仿宋" w:hAnsi="仿宋" w:eastAsia="仿宋"/>
          <w:bCs/>
          <w:sz w:val="32"/>
          <w:szCs w:val="32"/>
        </w:rPr>
        <w:t>。</w:t>
      </w:r>
    </w:p>
    <w:p>
      <w:pPr>
        <w:spacing w:before="312" w:beforeLines="100" w:after="312" w:afterLines="100" w:line="560" w:lineRule="exact"/>
        <w:jc w:val="center"/>
        <w:outlineLvl w:val="1"/>
        <w:rPr>
          <w:rFonts w:ascii="黑体" w:hAnsi="黑体" w:eastAsia="黑体" w:cstheme="minorBidi"/>
          <w:b/>
          <w:bCs/>
          <w:sz w:val="32"/>
          <w:szCs w:val="22"/>
        </w:rPr>
      </w:pPr>
      <w:bookmarkStart w:id="8" w:name="_Toc117671516"/>
      <w:r>
        <w:rPr>
          <w:rFonts w:hint="eastAsia" w:ascii="黑体" w:hAnsi="黑体" w:eastAsia="黑体" w:cstheme="minorBidi"/>
          <w:b/>
          <w:bCs/>
          <w:sz w:val="32"/>
          <w:szCs w:val="22"/>
        </w:rPr>
        <w:t>第二章  一般规则</w:t>
      </w:r>
      <w:bookmarkEnd w:id="8"/>
    </w:p>
    <w:p>
      <w:pPr>
        <w:pStyle w:val="31"/>
        <w:numPr>
          <w:ilvl w:val="0"/>
          <w:numId w:val="1"/>
        </w:numPr>
        <w:spacing w:line="360" w:lineRule="auto"/>
        <w:ind w:left="0" w:firstLine="640"/>
        <w:outlineLvl w:val="1"/>
        <w:rPr>
          <w:rFonts w:ascii="黑体" w:hAnsi="黑体" w:eastAsia="黑体" w:cs="黑体"/>
          <w:sz w:val="32"/>
          <w:szCs w:val="22"/>
        </w:rPr>
      </w:pPr>
      <w:bookmarkStart w:id="9" w:name="_Toc117671517"/>
      <w:r>
        <w:rPr>
          <w:rFonts w:hint="eastAsia" w:ascii="黑体" w:hAnsi="黑体" w:eastAsia="黑体" w:cs="黑体"/>
          <w:sz w:val="32"/>
          <w:szCs w:val="22"/>
        </w:rPr>
        <w:t>【使用范围】</w:t>
      </w:r>
      <w:bookmarkEnd w:id="9"/>
    </w:p>
    <w:p>
      <w:pPr>
        <w:ind w:firstLine="640" w:firstLineChars="200"/>
        <w:rPr>
          <w:rFonts w:ascii="仿宋" w:hAnsi="仿宋" w:eastAsia="仿宋"/>
          <w:bCs/>
          <w:sz w:val="32"/>
          <w:szCs w:val="32"/>
        </w:rPr>
      </w:pPr>
      <w:r>
        <w:rPr>
          <w:rFonts w:hint="eastAsia" w:ascii="仿宋" w:hAnsi="仿宋" w:eastAsia="仿宋"/>
          <w:bCs/>
          <w:sz w:val="32"/>
          <w:szCs w:val="32"/>
        </w:rPr>
        <w:t>临时用地使用范围包括：</w:t>
      </w:r>
    </w:p>
    <w:p>
      <w:pPr>
        <w:numPr>
          <w:ilvl w:val="0"/>
          <w:numId w:val="2"/>
        </w:numPr>
        <w:ind w:firstLine="640" w:firstLineChars="200"/>
        <w:rPr>
          <w:rFonts w:ascii="仿宋" w:hAnsi="仿宋" w:eastAsia="仿宋"/>
          <w:bCs/>
          <w:sz w:val="32"/>
          <w:szCs w:val="32"/>
        </w:rPr>
      </w:pPr>
      <w:r>
        <w:rPr>
          <w:rFonts w:hint="eastAsia" w:ascii="仿宋" w:hAnsi="仿宋" w:eastAsia="仿宋"/>
          <w:bCs/>
          <w:sz w:val="32"/>
          <w:szCs w:val="32"/>
        </w:rPr>
        <w:t>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临时使用的土地。</w:t>
      </w:r>
    </w:p>
    <w:p>
      <w:pPr>
        <w:ind w:firstLine="640" w:firstLineChars="200"/>
        <w:rPr>
          <w:rFonts w:ascii="仿宋" w:hAnsi="仿宋" w:eastAsia="仿宋"/>
          <w:bCs/>
          <w:sz w:val="32"/>
          <w:szCs w:val="32"/>
        </w:rPr>
      </w:pPr>
      <w:r>
        <w:rPr>
          <w:rFonts w:hint="eastAsia" w:ascii="仿宋" w:hAnsi="仿宋" w:eastAsia="仿宋"/>
          <w:bCs/>
          <w:sz w:val="32"/>
          <w:szCs w:val="32"/>
        </w:rPr>
        <w:t>（二）矿产资源勘查、工程地质勘查、水文地质勘查期间临时生活用房、临时工棚、勘查作业及其辅助工程、施工便道、运输便道等使用的土地，包括油气资源勘查中钻井井场、配套管线、电力设施、进场道路等钻井及配套设施临时使用的土地。</w:t>
      </w:r>
    </w:p>
    <w:p>
      <w:pPr>
        <w:ind w:firstLine="640" w:firstLineChars="200"/>
        <w:rPr>
          <w:rFonts w:ascii="仿宋" w:hAnsi="仿宋" w:eastAsia="仿宋"/>
          <w:bCs/>
          <w:sz w:val="32"/>
          <w:szCs w:val="32"/>
        </w:rPr>
      </w:pPr>
      <w:r>
        <w:rPr>
          <w:rFonts w:hint="eastAsia" w:ascii="仿宋" w:hAnsi="仿宋" w:eastAsia="仿宋"/>
          <w:bCs/>
          <w:sz w:val="32"/>
          <w:szCs w:val="32"/>
        </w:rPr>
        <w:t>（三）考古和文物保护工地建设的临时性文物保护设施、工地安全设施、后勤设施临时使用的土地。</w:t>
      </w:r>
    </w:p>
    <w:p>
      <w:pPr>
        <w:ind w:firstLine="640" w:firstLineChars="200"/>
        <w:rPr>
          <w:rFonts w:ascii="仿宋" w:hAnsi="仿宋" w:eastAsia="仿宋"/>
          <w:bCs/>
          <w:sz w:val="32"/>
          <w:szCs w:val="32"/>
        </w:rPr>
      </w:pPr>
      <w:r>
        <w:rPr>
          <w:rFonts w:hint="eastAsia" w:ascii="仿宋" w:hAnsi="仿宋" w:eastAsia="仿宋"/>
          <w:bCs/>
          <w:sz w:val="32"/>
          <w:szCs w:val="32"/>
        </w:rPr>
        <w:t>（四）符合法律、法规规定的其他需要临时使用的土地。</w:t>
      </w:r>
    </w:p>
    <w:p>
      <w:pPr>
        <w:pStyle w:val="31"/>
        <w:numPr>
          <w:ilvl w:val="0"/>
          <w:numId w:val="1"/>
        </w:numPr>
        <w:spacing w:line="360" w:lineRule="auto"/>
        <w:ind w:left="0" w:firstLine="640"/>
        <w:outlineLvl w:val="1"/>
        <w:rPr>
          <w:rFonts w:ascii="黑体" w:hAnsi="黑体" w:eastAsia="黑体" w:cs="黑体"/>
          <w:sz w:val="32"/>
          <w:szCs w:val="22"/>
        </w:rPr>
      </w:pPr>
      <w:bookmarkStart w:id="10" w:name="_Toc117671518"/>
      <w:r>
        <w:rPr>
          <w:rFonts w:hint="eastAsia" w:ascii="黑体" w:hAnsi="黑体" w:eastAsia="黑体" w:cs="黑体"/>
          <w:sz w:val="32"/>
          <w:szCs w:val="22"/>
        </w:rPr>
        <w:t>【使用规模】</w:t>
      </w:r>
      <w:bookmarkEnd w:id="10"/>
    </w:p>
    <w:p>
      <w:pPr>
        <w:ind w:firstLine="640" w:firstLineChars="200"/>
        <w:rPr>
          <w:rFonts w:ascii="仿宋" w:hAnsi="仿宋" w:eastAsia="仿宋"/>
          <w:bCs/>
          <w:sz w:val="32"/>
          <w:szCs w:val="32"/>
        </w:rPr>
      </w:pPr>
      <w:r>
        <w:rPr>
          <w:rFonts w:hint="eastAsia" w:ascii="仿宋" w:hAnsi="仿宋" w:eastAsia="仿宋"/>
          <w:bCs/>
          <w:sz w:val="32"/>
          <w:szCs w:val="32"/>
        </w:rPr>
        <w:t>建设项目施工需要使用临时用地的，应符合土地节约集约利用的原则，原则上在主体项目红线范围内解决用地需求。确需红线范围外解决的，派出机构可结合辖区实际情况参照以下规模审查标准进行核定：</w:t>
      </w:r>
    </w:p>
    <w:p>
      <w:pPr>
        <w:ind w:firstLine="640" w:firstLineChars="200"/>
        <w:rPr>
          <w:rFonts w:ascii="仿宋" w:hAnsi="仿宋" w:eastAsia="仿宋"/>
          <w:bCs/>
          <w:sz w:val="32"/>
          <w:szCs w:val="32"/>
        </w:rPr>
      </w:pPr>
      <w:r>
        <w:rPr>
          <w:rFonts w:hint="eastAsia" w:ascii="仿宋" w:hAnsi="仿宋" w:eastAsia="仿宋"/>
          <w:bCs/>
          <w:sz w:val="32"/>
          <w:szCs w:val="32"/>
        </w:rPr>
        <w:t>（一）建设项目批准土地面积在5万平方米及以下的，其临时用地规模不超过3000平方米；土地面积超过5万平方米的，其临时用地规模不超过5000平方米。</w:t>
      </w:r>
    </w:p>
    <w:p>
      <w:pPr>
        <w:ind w:firstLine="640" w:firstLineChars="200"/>
        <w:rPr>
          <w:rFonts w:ascii="仿宋" w:hAnsi="仿宋" w:eastAsia="仿宋"/>
          <w:bCs/>
          <w:sz w:val="32"/>
          <w:szCs w:val="32"/>
        </w:rPr>
      </w:pPr>
      <w:r>
        <w:rPr>
          <w:rFonts w:hint="eastAsia" w:ascii="仿宋" w:hAnsi="仿宋" w:eastAsia="仿宋"/>
          <w:bCs/>
          <w:sz w:val="32"/>
          <w:szCs w:val="32"/>
        </w:rPr>
        <w:t>（二）交通、能源、水利等重大城市基础设施和公共服务设施建设项目需要申请临时用地的，以及建设项目施工过程中因施工便道、运输便道等辅助工程需要申请临时用地的，临时用地单位提供相关必要性说明材料，可突破上述临时用地规模的审查标准。</w:t>
      </w:r>
    </w:p>
    <w:p>
      <w:pPr>
        <w:ind w:firstLine="640" w:firstLineChars="200"/>
        <w:rPr>
          <w:rFonts w:ascii="仿宋" w:hAnsi="仿宋" w:eastAsia="仿宋"/>
          <w:bCs/>
          <w:sz w:val="32"/>
          <w:szCs w:val="32"/>
        </w:rPr>
      </w:pPr>
      <w:r>
        <w:rPr>
          <w:rFonts w:hint="eastAsia" w:ascii="仿宋" w:hAnsi="仿宋" w:eastAsia="仿宋"/>
          <w:bCs/>
          <w:sz w:val="32"/>
          <w:szCs w:val="32"/>
        </w:rPr>
        <w:t>地质勘查、考古和文物保护工地建设等其他需要使用临时用地的，根据临时用地单位提供的必要性说明及地质条件等材料，确定临时用地规模。</w:t>
      </w:r>
    </w:p>
    <w:p>
      <w:pPr>
        <w:pStyle w:val="31"/>
        <w:numPr>
          <w:ilvl w:val="0"/>
          <w:numId w:val="1"/>
        </w:numPr>
        <w:spacing w:line="360" w:lineRule="auto"/>
        <w:ind w:left="0" w:firstLine="640"/>
        <w:outlineLvl w:val="1"/>
        <w:rPr>
          <w:rFonts w:ascii="黑体" w:hAnsi="黑体" w:eastAsia="黑体" w:cs="黑体"/>
          <w:sz w:val="32"/>
          <w:szCs w:val="22"/>
        </w:rPr>
      </w:pPr>
      <w:bookmarkStart w:id="11" w:name="_Toc117671519"/>
      <w:r>
        <w:rPr>
          <w:rFonts w:hint="eastAsia" w:ascii="黑体" w:hAnsi="黑体" w:eastAsia="黑体" w:cs="黑体"/>
          <w:sz w:val="32"/>
          <w:szCs w:val="22"/>
        </w:rPr>
        <w:t>【符合条件】</w:t>
      </w:r>
      <w:bookmarkEnd w:id="11"/>
    </w:p>
    <w:p>
      <w:pPr>
        <w:ind w:firstLine="640" w:firstLineChars="200"/>
        <w:rPr>
          <w:rFonts w:ascii="仿宋" w:hAnsi="仿宋" w:eastAsia="仿宋"/>
          <w:bCs/>
          <w:sz w:val="32"/>
          <w:szCs w:val="32"/>
        </w:rPr>
      </w:pPr>
      <w:r>
        <w:rPr>
          <w:rFonts w:hint="eastAsia" w:ascii="仿宋" w:hAnsi="仿宋" w:eastAsia="仿宋"/>
          <w:bCs/>
          <w:sz w:val="32"/>
          <w:szCs w:val="32"/>
        </w:rPr>
        <w:t>临时用地应符合下列条件：</w:t>
      </w:r>
    </w:p>
    <w:p>
      <w:pPr>
        <w:ind w:firstLine="640" w:firstLineChars="200"/>
        <w:rPr>
          <w:rFonts w:ascii="仿宋" w:hAnsi="仿宋" w:eastAsia="仿宋"/>
          <w:bCs/>
          <w:sz w:val="32"/>
          <w:szCs w:val="32"/>
        </w:rPr>
      </w:pPr>
      <w:r>
        <w:rPr>
          <w:rFonts w:hint="eastAsia" w:ascii="仿宋" w:hAnsi="仿宋" w:eastAsia="仿宋"/>
          <w:bCs/>
          <w:sz w:val="32"/>
          <w:szCs w:val="32"/>
        </w:rPr>
        <w:t>（一）不影响国土空间规划、国土空间保护与发展</w:t>
      </w:r>
      <w:r>
        <w:rPr>
          <w:rFonts w:hint="eastAsia" w:ascii="仿宋" w:hAnsi="仿宋" w:eastAsia="仿宋"/>
          <w:bCs/>
          <w:sz w:val="32"/>
          <w:szCs w:val="32"/>
          <w:lang w:eastAsia="zh-CN"/>
        </w:rPr>
        <w:t>“</w:t>
      </w:r>
      <w:r>
        <w:rPr>
          <w:rFonts w:hint="eastAsia" w:ascii="仿宋" w:hAnsi="仿宋" w:eastAsia="仿宋"/>
          <w:bCs/>
          <w:sz w:val="32"/>
          <w:szCs w:val="32"/>
        </w:rPr>
        <w:t>十四五</w:t>
      </w:r>
      <w:bookmarkStart w:id="43" w:name="_GoBack"/>
      <w:bookmarkEnd w:id="43"/>
      <w:r>
        <w:rPr>
          <w:rFonts w:hint="eastAsia" w:ascii="仿宋" w:hAnsi="仿宋" w:eastAsia="仿宋"/>
          <w:bCs/>
          <w:sz w:val="32"/>
          <w:szCs w:val="32"/>
          <w:lang w:eastAsia="zh-CN"/>
        </w:rPr>
        <w:t>”</w:t>
      </w:r>
      <w:r>
        <w:rPr>
          <w:rFonts w:hint="eastAsia" w:ascii="仿宋" w:hAnsi="仿宋" w:eastAsia="仿宋"/>
          <w:bCs/>
          <w:sz w:val="32"/>
          <w:szCs w:val="32"/>
        </w:rPr>
        <w:t>规划、建设用地年度供应计划等各层次规划与计划的实施。</w:t>
      </w:r>
    </w:p>
    <w:p>
      <w:pPr>
        <w:ind w:firstLine="640" w:firstLineChars="200"/>
        <w:rPr>
          <w:rFonts w:ascii="仿宋" w:hAnsi="仿宋" w:eastAsia="仿宋"/>
          <w:bCs/>
          <w:sz w:val="32"/>
          <w:szCs w:val="32"/>
        </w:rPr>
      </w:pPr>
      <w:r>
        <w:rPr>
          <w:rFonts w:hint="eastAsia" w:ascii="仿宋" w:hAnsi="仿宋" w:eastAsia="仿宋"/>
          <w:bCs/>
          <w:sz w:val="32"/>
          <w:szCs w:val="32"/>
        </w:rPr>
        <w:t>（二）</w:t>
      </w:r>
      <w:bookmarkStart w:id="12" w:name="_Hlk120546734"/>
      <w:r>
        <w:rPr>
          <w:rFonts w:hint="eastAsia" w:ascii="仿宋" w:hAnsi="仿宋" w:eastAsia="仿宋"/>
          <w:bCs/>
          <w:sz w:val="32"/>
          <w:szCs w:val="32"/>
        </w:rPr>
        <w:t>原则上</w:t>
      </w:r>
      <w:bookmarkEnd w:id="12"/>
      <w:r>
        <w:rPr>
          <w:rFonts w:hint="eastAsia" w:ascii="仿宋" w:hAnsi="仿宋" w:eastAsia="仿宋"/>
          <w:bCs/>
          <w:sz w:val="32"/>
          <w:szCs w:val="32"/>
        </w:rPr>
        <w:t>不得占用永久基本农田、饮用水源一级保护区、自然保护地及陆生野生动物重要栖息地和源生地。</w:t>
      </w:r>
    </w:p>
    <w:p>
      <w:pPr>
        <w:ind w:firstLine="640" w:firstLineChars="200"/>
        <w:rPr>
          <w:rFonts w:ascii="仿宋" w:hAnsi="仿宋" w:eastAsia="仿宋"/>
          <w:bCs/>
          <w:sz w:val="32"/>
          <w:szCs w:val="32"/>
        </w:rPr>
      </w:pPr>
      <w:r>
        <w:rPr>
          <w:rFonts w:hint="eastAsia" w:ascii="仿宋" w:hAnsi="仿宋" w:eastAsia="仿宋"/>
          <w:bCs/>
          <w:sz w:val="32"/>
          <w:szCs w:val="32"/>
        </w:rPr>
        <w:t>（三）落实最严格的耕地保护制度，尽量不占或者少占耕地。使用后土地复垦难度较大的临时用地，要严格控制占用耕地。制梁场、拌合站等使用后难以恢复原种植条件的临时用地不得占用耕地、永久基本农田和生态保护红线；直接服务于铁路、公路、水利工程施工且确保能恢复原种植条件的制梁场、拌合站等国家另有规定的，可以占用耕地。</w:t>
      </w:r>
    </w:p>
    <w:p>
      <w:pPr>
        <w:ind w:firstLine="640" w:firstLineChars="200"/>
        <w:rPr>
          <w:rFonts w:ascii="仿宋" w:hAnsi="仿宋" w:eastAsia="仿宋"/>
          <w:bCs/>
          <w:sz w:val="32"/>
          <w:szCs w:val="32"/>
        </w:rPr>
      </w:pPr>
      <w:r>
        <w:rPr>
          <w:rFonts w:hint="eastAsia" w:ascii="仿宋" w:hAnsi="仿宋" w:eastAsia="仿宋"/>
          <w:bCs/>
          <w:sz w:val="32"/>
          <w:szCs w:val="32"/>
        </w:rPr>
        <w:t>临时用地确需占用耕地的，派出机构应开展临时用地实地踏勘，并由临时用地单位对临时占用耕地的必要性和唯一性进行论证，出具承诺书，明确土地复垦完成时限和恢复责任。</w:t>
      </w:r>
    </w:p>
    <w:p>
      <w:pPr>
        <w:ind w:firstLine="640" w:firstLineChars="200"/>
        <w:rPr>
          <w:rFonts w:ascii="仿宋" w:hAnsi="仿宋" w:eastAsia="仿宋"/>
          <w:bCs/>
          <w:sz w:val="32"/>
          <w:szCs w:val="32"/>
        </w:rPr>
      </w:pPr>
      <w:r>
        <w:rPr>
          <w:rFonts w:hint="eastAsia" w:ascii="仿宋" w:hAnsi="仿宋" w:eastAsia="仿宋"/>
          <w:bCs/>
          <w:sz w:val="32"/>
          <w:szCs w:val="32"/>
        </w:rPr>
        <w:t>（四）原则上不得占用生态保护红线，因生态</w:t>
      </w:r>
      <w:r>
        <w:rPr>
          <w:rFonts w:ascii="仿宋" w:hAnsi="仿宋" w:eastAsia="仿宋"/>
          <w:bCs/>
          <w:sz w:val="32"/>
          <w:szCs w:val="32"/>
        </w:rPr>
        <w:t>保护红线内允许的有限</w:t>
      </w:r>
      <w:r>
        <w:rPr>
          <w:rFonts w:hint="eastAsia" w:ascii="仿宋" w:hAnsi="仿宋" w:eastAsia="仿宋"/>
          <w:bCs/>
          <w:sz w:val="32"/>
          <w:szCs w:val="32"/>
        </w:rPr>
        <w:t>人为</w:t>
      </w:r>
      <w:r>
        <w:rPr>
          <w:rFonts w:ascii="仿宋" w:hAnsi="仿宋" w:eastAsia="仿宋"/>
          <w:bCs/>
          <w:sz w:val="32"/>
          <w:szCs w:val="32"/>
        </w:rPr>
        <w:t>活动和国家</w:t>
      </w:r>
      <w:r>
        <w:rPr>
          <w:rFonts w:hint="eastAsia" w:ascii="仿宋" w:hAnsi="仿宋" w:eastAsia="仿宋"/>
          <w:bCs/>
          <w:sz w:val="32"/>
          <w:szCs w:val="32"/>
        </w:rPr>
        <w:t>重大项目等确需</w:t>
      </w:r>
      <w:r>
        <w:rPr>
          <w:rFonts w:ascii="仿宋" w:hAnsi="仿宋" w:eastAsia="仿宋"/>
          <w:bCs/>
          <w:sz w:val="32"/>
          <w:szCs w:val="32"/>
        </w:rPr>
        <w:t>占用生态保护红线的</w:t>
      </w:r>
      <w:r>
        <w:rPr>
          <w:rFonts w:hint="eastAsia" w:ascii="仿宋" w:hAnsi="仿宋" w:eastAsia="仿宋"/>
          <w:bCs/>
          <w:sz w:val="32"/>
          <w:szCs w:val="32"/>
        </w:rPr>
        <w:t>，临时用地单位应取得省人民政府出具的主体项目符合生态保护红线内允许有限人为活动的认定意见，或者取得国家重大项目占用生态保护红线的不可避让论证意见后，由临时用地单位按照自然资源部关于规范临时用地管理的有关要求，参照临时占用永久基本农田规定办理，严格落实恢复责任。</w:t>
      </w:r>
    </w:p>
    <w:p>
      <w:pPr>
        <w:ind w:firstLine="640" w:firstLineChars="200"/>
        <w:rPr>
          <w:rFonts w:ascii="仿宋" w:hAnsi="仿宋" w:eastAsia="仿宋"/>
          <w:bCs/>
          <w:sz w:val="32"/>
          <w:szCs w:val="32"/>
        </w:rPr>
      </w:pPr>
      <w:r>
        <w:rPr>
          <w:rFonts w:hint="eastAsia" w:ascii="仿宋" w:hAnsi="仿宋" w:eastAsia="仿宋"/>
          <w:bCs/>
          <w:sz w:val="32"/>
          <w:szCs w:val="32"/>
        </w:rPr>
        <w:t>（五）位于基本生态控制线内的，由临时用地单位对临时占用基本生态控制线的必要性进行论证，严格落实公示要求、复垦复绿、恢复植被和林业生产条件、生态恢复等责任。</w:t>
      </w:r>
    </w:p>
    <w:p>
      <w:pPr>
        <w:ind w:firstLine="640" w:firstLineChars="200"/>
        <w:rPr>
          <w:rFonts w:ascii="仿宋" w:hAnsi="仿宋" w:eastAsia="仿宋"/>
          <w:bCs/>
          <w:sz w:val="32"/>
          <w:szCs w:val="32"/>
        </w:rPr>
      </w:pPr>
      <w:r>
        <w:rPr>
          <w:rFonts w:hint="eastAsia" w:ascii="仿宋" w:hAnsi="仿宋" w:eastAsia="仿宋"/>
          <w:bCs/>
          <w:sz w:val="32"/>
          <w:szCs w:val="32"/>
        </w:rPr>
        <w:t>（六）不得迁移、砍伐古树名木及古树后续资源；不得使用Ⅰ级保护林地；原则上不得占用保护重点区域的天然林林地、乔木林地。确需建设且难以避让林地、古树名木保护范围的，临时用地单位应严格执行林业管理的相关规定，按程序办理临时使用林地、涉古树名木原址保护审核的相关手续。</w:t>
      </w:r>
    </w:p>
    <w:p>
      <w:pPr>
        <w:ind w:firstLine="640" w:firstLineChars="200"/>
        <w:rPr>
          <w:rFonts w:ascii="仿宋" w:hAnsi="仿宋" w:eastAsia="仿宋"/>
          <w:bCs/>
          <w:sz w:val="32"/>
          <w:szCs w:val="32"/>
        </w:rPr>
      </w:pPr>
      <w:r>
        <w:rPr>
          <w:rFonts w:hint="eastAsia" w:ascii="仿宋" w:hAnsi="仿宋" w:eastAsia="仿宋"/>
          <w:bCs/>
          <w:sz w:val="32"/>
          <w:szCs w:val="32"/>
        </w:rPr>
        <w:t>（七）临时用地单位</w:t>
      </w:r>
      <w:bookmarkStart w:id="13" w:name="_Hlk120546565"/>
      <w:r>
        <w:rPr>
          <w:rFonts w:hint="eastAsia" w:ascii="仿宋" w:hAnsi="仿宋" w:eastAsia="仿宋"/>
          <w:bCs/>
          <w:sz w:val="32"/>
          <w:szCs w:val="32"/>
        </w:rPr>
        <w:t>应按规定编制土地复垦方案报告表或土地恢复方案。其中，涉及占用农用地的，应按规定编制土地复垦方案报告表，由派出机构按程序组织专家评审，并按规定办理土地复垦方案审批手续；</w:t>
      </w:r>
      <w:bookmarkStart w:id="14" w:name="_Hlk139028422"/>
      <w:r>
        <w:rPr>
          <w:rFonts w:hint="eastAsia" w:ascii="仿宋" w:hAnsi="仿宋" w:eastAsia="仿宋"/>
          <w:bCs/>
          <w:sz w:val="32"/>
          <w:szCs w:val="32"/>
        </w:rPr>
        <w:t>不涉及占用农用地的，</w:t>
      </w:r>
      <w:bookmarkEnd w:id="14"/>
      <w:r>
        <w:rPr>
          <w:rFonts w:hint="eastAsia" w:ascii="仿宋" w:hAnsi="仿宋" w:eastAsia="仿宋"/>
          <w:bCs/>
          <w:sz w:val="32"/>
          <w:szCs w:val="32"/>
        </w:rPr>
        <w:t>应编制土地恢复方案，</w:t>
      </w:r>
      <w:bookmarkEnd w:id="13"/>
      <w:r>
        <w:rPr>
          <w:rFonts w:hint="eastAsia" w:ascii="仿宋" w:hAnsi="仿宋" w:eastAsia="仿宋"/>
          <w:bCs/>
          <w:sz w:val="32"/>
          <w:szCs w:val="32"/>
        </w:rPr>
        <w:t>将未利用地恢复为原地类（非硬底化土地或草地），将建设用地恢复为可供利用状态（场地平整且无建（构）筑物）。</w:t>
      </w:r>
    </w:p>
    <w:p>
      <w:pPr>
        <w:ind w:firstLine="640" w:firstLineChars="200"/>
        <w:rPr>
          <w:rFonts w:ascii="仿宋" w:hAnsi="仿宋" w:eastAsia="仿宋"/>
          <w:bCs/>
          <w:sz w:val="32"/>
          <w:szCs w:val="32"/>
        </w:rPr>
      </w:pPr>
      <w:r>
        <w:rPr>
          <w:rFonts w:hint="eastAsia" w:ascii="仿宋" w:hAnsi="仿宋" w:eastAsia="仿宋"/>
          <w:bCs/>
          <w:sz w:val="32"/>
          <w:szCs w:val="32"/>
        </w:rPr>
        <w:t>（八）位于地质灾害易发地区或地质灾害（隐患）威胁范围内的，临时用地单位应开展地质灾害危险性评估，并做好相关防护措施。</w:t>
      </w:r>
    </w:p>
    <w:p>
      <w:pPr>
        <w:ind w:firstLine="640" w:firstLineChars="200"/>
        <w:rPr>
          <w:rFonts w:ascii="仿宋" w:hAnsi="仿宋" w:eastAsia="仿宋"/>
          <w:bCs/>
          <w:sz w:val="32"/>
          <w:szCs w:val="32"/>
        </w:rPr>
      </w:pPr>
      <w:r>
        <w:rPr>
          <w:rFonts w:hint="eastAsia" w:ascii="仿宋" w:hAnsi="仿宋" w:eastAsia="仿宋"/>
          <w:bCs/>
          <w:sz w:val="32"/>
          <w:szCs w:val="32"/>
        </w:rPr>
        <w:t>（九）涉及现役油气管线和其他</w:t>
      </w:r>
      <w:r>
        <w:rPr>
          <w:rFonts w:ascii="仿宋" w:hAnsi="仿宋" w:eastAsia="仿宋"/>
          <w:bCs/>
          <w:sz w:val="32"/>
          <w:szCs w:val="32"/>
        </w:rPr>
        <w:t>危险化学品场所的，</w:t>
      </w:r>
      <w:r>
        <w:rPr>
          <w:rFonts w:hint="eastAsia" w:ascii="仿宋" w:hAnsi="仿宋" w:eastAsia="仿宋"/>
          <w:bCs/>
          <w:sz w:val="32"/>
          <w:szCs w:val="32"/>
        </w:rPr>
        <w:t>临时用地单位应开展安全评价，并按</w:t>
      </w:r>
      <w:r>
        <w:rPr>
          <w:rFonts w:ascii="仿宋" w:hAnsi="仿宋" w:eastAsia="仿宋"/>
          <w:bCs/>
          <w:sz w:val="32"/>
          <w:szCs w:val="32"/>
        </w:rPr>
        <w:t>相关要求取得行业主管</w:t>
      </w:r>
      <w:r>
        <w:rPr>
          <w:rFonts w:hint="eastAsia" w:ascii="仿宋" w:hAnsi="仿宋" w:eastAsia="仿宋"/>
          <w:bCs/>
          <w:sz w:val="32"/>
          <w:szCs w:val="32"/>
        </w:rPr>
        <w:t>部门</w:t>
      </w:r>
      <w:r>
        <w:rPr>
          <w:rFonts w:ascii="仿宋" w:hAnsi="仿宋" w:eastAsia="仿宋"/>
          <w:bCs/>
          <w:sz w:val="32"/>
          <w:szCs w:val="32"/>
        </w:rPr>
        <w:t>、设施运营等单位</w:t>
      </w:r>
      <w:r>
        <w:rPr>
          <w:rFonts w:hint="eastAsia" w:ascii="仿宋" w:hAnsi="仿宋" w:eastAsia="仿宋"/>
          <w:bCs/>
          <w:sz w:val="32"/>
          <w:szCs w:val="32"/>
        </w:rPr>
        <w:t>出具的</w:t>
      </w:r>
      <w:r>
        <w:rPr>
          <w:rFonts w:ascii="仿宋" w:hAnsi="仿宋" w:eastAsia="仿宋"/>
          <w:bCs/>
          <w:sz w:val="32"/>
          <w:szCs w:val="32"/>
        </w:rPr>
        <w:t>书面同意</w:t>
      </w:r>
      <w:r>
        <w:rPr>
          <w:rFonts w:hint="eastAsia" w:ascii="仿宋" w:hAnsi="仿宋" w:eastAsia="仿宋"/>
          <w:bCs/>
          <w:sz w:val="32"/>
          <w:szCs w:val="32"/>
        </w:rPr>
        <w:t>文件</w:t>
      </w:r>
      <w:r>
        <w:rPr>
          <w:rFonts w:ascii="仿宋" w:hAnsi="仿宋" w:eastAsia="仿宋"/>
          <w:bCs/>
          <w:sz w:val="32"/>
          <w:szCs w:val="32"/>
        </w:rPr>
        <w:t>。</w:t>
      </w:r>
    </w:p>
    <w:p>
      <w:pPr>
        <w:ind w:firstLine="640" w:firstLineChars="200"/>
        <w:rPr>
          <w:rFonts w:ascii="仿宋" w:hAnsi="仿宋" w:eastAsia="仿宋"/>
          <w:bCs/>
          <w:sz w:val="32"/>
          <w:szCs w:val="32"/>
        </w:rPr>
      </w:pPr>
      <w:r>
        <w:rPr>
          <w:rFonts w:hint="eastAsia" w:ascii="仿宋" w:hAnsi="仿宋" w:eastAsia="仿宋"/>
          <w:bCs/>
          <w:sz w:val="32"/>
          <w:szCs w:val="32"/>
        </w:rPr>
        <w:t>（十）可能对周边环境产生较大影响的，应按规定取得环评等相关手续或</w:t>
      </w:r>
      <w:r>
        <w:rPr>
          <w:rFonts w:hint="eastAsia" w:ascii="仿宋" w:hAnsi="仿宋" w:eastAsia="仿宋"/>
          <w:bCs/>
          <w:sz w:val="32"/>
          <w:szCs w:val="32"/>
          <w:lang w:eastAsia="zh-CN"/>
        </w:rPr>
        <w:t>取</w:t>
      </w:r>
      <w:r>
        <w:rPr>
          <w:rFonts w:hint="eastAsia" w:ascii="仿宋" w:hAnsi="仿宋" w:eastAsia="仿宋"/>
          <w:bCs/>
          <w:sz w:val="32"/>
          <w:szCs w:val="32"/>
        </w:rPr>
        <w:t xml:space="preserve">得生态环境主管部门出具的书面同意文件。 </w:t>
      </w:r>
    </w:p>
    <w:p>
      <w:pPr>
        <w:ind w:firstLine="640" w:firstLineChars="200"/>
        <w:rPr>
          <w:rFonts w:ascii="仿宋" w:hAnsi="仿宋" w:eastAsia="仿宋"/>
          <w:bCs/>
          <w:sz w:val="32"/>
          <w:szCs w:val="32"/>
        </w:rPr>
      </w:pPr>
      <w:r>
        <w:rPr>
          <w:rFonts w:hint="eastAsia" w:ascii="仿宋" w:hAnsi="仿宋" w:eastAsia="仿宋"/>
          <w:bCs/>
          <w:sz w:val="32"/>
          <w:szCs w:val="32"/>
        </w:rPr>
        <w:t>（十一）原则上不存在违法用地行为，如涉及违法用地、违法建筑的，应取得辖区街道办事处出具的书面处理意见。</w:t>
      </w:r>
    </w:p>
    <w:p>
      <w:pPr>
        <w:ind w:firstLine="640" w:firstLineChars="200"/>
        <w:rPr>
          <w:rFonts w:ascii="仿宋" w:hAnsi="仿宋" w:eastAsia="仿宋"/>
          <w:bCs/>
          <w:sz w:val="32"/>
          <w:szCs w:val="32"/>
        </w:rPr>
      </w:pPr>
      <w:r>
        <w:rPr>
          <w:rFonts w:hint="eastAsia" w:ascii="仿宋" w:hAnsi="仿宋" w:eastAsia="仿宋"/>
          <w:bCs/>
          <w:sz w:val="32"/>
          <w:szCs w:val="32"/>
        </w:rPr>
        <w:t>（十二）涉及蓝线、黄线、高压走廊、紫线及其他历史文化资源，饮用</w:t>
      </w:r>
      <w:r>
        <w:rPr>
          <w:rFonts w:ascii="仿宋" w:hAnsi="仿宋" w:eastAsia="仿宋"/>
          <w:bCs/>
          <w:sz w:val="32"/>
          <w:szCs w:val="32"/>
        </w:rPr>
        <w:t>水源</w:t>
      </w:r>
      <w:r>
        <w:rPr>
          <w:rFonts w:hint="eastAsia" w:ascii="仿宋" w:hAnsi="仿宋" w:eastAsia="仿宋"/>
          <w:bCs/>
          <w:sz w:val="32"/>
          <w:szCs w:val="32"/>
        </w:rPr>
        <w:t>二级和准保护区、微波通道、市政道路、城市绿地、轨道安全等其他控制范围的，应取得水务、生态环境、交通运输、安全生产、文物保护、</w:t>
      </w:r>
      <w:r>
        <w:rPr>
          <w:rFonts w:ascii="仿宋" w:hAnsi="仿宋" w:eastAsia="仿宋"/>
          <w:bCs/>
          <w:sz w:val="32"/>
          <w:szCs w:val="32"/>
        </w:rPr>
        <w:t>城</w:t>
      </w:r>
      <w:r>
        <w:rPr>
          <w:rFonts w:hint="eastAsia" w:ascii="仿宋" w:hAnsi="仿宋" w:eastAsia="仿宋"/>
          <w:bCs/>
          <w:sz w:val="32"/>
          <w:szCs w:val="32"/>
        </w:rPr>
        <w:t>管和综合执法等主管部门出具的书面同意文件。</w:t>
      </w:r>
    </w:p>
    <w:p>
      <w:pPr>
        <w:pStyle w:val="31"/>
        <w:numPr>
          <w:ilvl w:val="0"/>
          <w:numId w:val="1"/>
        </w:numPr>
        <w:spacing w:line="360" w:lineRule="auto"/>
        <w:ind w:left="0" w:firstLine="640"/>
        <w:outlineLvl w:val="1"/>
        <w:rPr>
          <w:rFonts w:ascii="黑体" w:hAnsi="黑体" w:eastAsia="黑体" w:cs="黑体"/>
          <w:sz w:val="32"/>
          <w:szCs w:val="22"/>
        </w:rPr>
      </w:pPr>
      <w:bookmarkStart w:id="15" w:name="_Toc117671520"/>
      <w:r>
        <w:rPr>
          <w:rFonts w:hint="eastAsia" w:ascii="黑体" w:hAnsi="黑体" w:eastAsia="黑体" w:cs="黑体"/>
          <w:sz w:val="32"/>
          <w:szCs w:val="22"/>
        </w:rPr>
        <w:t>【申请主体】</w:t>
      </w:r>
      <w:bookmarkEnd w:id="15"/>
    </w:p>
    <w:p>
      <w:pPr>
        <w:ind w:firstLine="640" w:firstLineChars="200"/>
        <w:rPr>
          <w:rFonts w:ascii="仿宋" w:hAnsi="仿宋" w:eastAsia="仿宋"/>
          <w:bCs/>
          <w:sz w:val="32"/>
          <w:szCs w:val="32"/>
        </w:rPr>
      </w:pPr>
      <w:r>
        <w:rPr>
          <w:rFonts w:hint="eastAsia" w:ascii="仿宋" w:hAnsi="仿宋" w:eastAsia="仿宋"/>
          <w:bCs/>
          <w:sz w:val="32"/>
          <w:szCs w:val="32"/>
        </w:rPr>
        <w:t>临时用地申请</w:t>
      </w:r>
      <w:r>
        <w:rPr>
          <w:rFonts w:ascii="仿宋" w:hAnsi="仿宋" w:eastAsia="仿宋"/>
          <w:bCs/>
          <w:sz w:val="32"/>
          <w:szCs w:val="32"/>
        </w:rPr>
        <w:t>主体</w:t>
      </w:r>
      <w:r>
        <w:rPr>
          <w:rFonts w:hint="eastAsia" w:ascii="仿宋" w:hAnsi="仿宋" w:eastAsia="仿宋"/>
          <w:bCs/>
          <w:sz w:val="32"/>
          <w:szCs w:val="32"/>
        </w:rPr>
        <w:t>按以下方式确定：</w:t>
      </w:r>
    </w:p>
    <w:p>
      <w:pPr>
        <w:ind w:firstLine="640" w:firstLineChars="200"/>
        <w:rPr>
          <w:rFonts w:ascii="仿宋" w:hAnsi="仿宋" w:eastAsia="仿宋"/>
          <w:bCs/>
          <w:sz w:val="32"/>
          <w:szCs w:val="32"/>
        </w:rPr>
      </w:pPr>
      <w:r>
        <w:rPr>
          <w:rFonts w:hint="eastAsia" w:ascii="仿宋" w:hAnsi="仿宋" w:eastAsia="仿宋"/>
          <w:bCs/>
          <w:sz w:val="32"/>
          <w:szCs w:val="32"/>
        </w:rPr>
        <w:t>（一）</w:t>
      </w:r>
      <w:bookmarkStart w:id="16" w:name="_Hlk122347548"/>
      <w:r>
        <w:rPr>
          <w:rFonts w:hint="eastAsia" w:ascii="仿宋" w:hAnsi="仿宋" w:eastAsia="仿宋"/>
          <w:bCs/>
          <w:sz w:val="32"/>
          <w:szCs w:val="32"/>
        </w:rPr>
        <w:t>因建设项目施工需要临时用地的，原则上由建设项目的用地单位申请，也可由政府或政府有关部门与建设单位共同申请。产权归政府的建设项目需要临时使用土地的，可由建设单位单独申请。</w:t>
      </w:r>
    </w:p>
    <w:p>
      <w:pPr>
        <w:ind w:firstLine="640" w:firstLineChars="200"/>
        <w:rPr>
          <w:rFonts w:ascii="仿宋" w:hAnsi="仿宋" w:eastAsia="仿宋"/>
          <w:bCs/>
          <w:sz w:val="32"/>
          <w:szCs w:val="32"/>
        </w:rPr>
      </w:pPr>
      <w:r>
        <w:rPr>
          <w:rFonts w:hint="eastAsia" w:ascii="仿宋" w:hAnsi="仿宋" w:eastAsia="仿宋"/>
          <w:bCs/>
          <w:sz w:val="32"/>
          <w:szCs w:val="32"/>
        </w:rPr>
        <w:t>政府或政府有关部门与建设单位共同作为临时用地申请主体的项目，政府或政府有关部门应对临时用地规模、使用用途等提供书面审核意见，并对临时用地做好监督检查等工作，建设单位应落实临时用地日常管理、安全生产等工作。</w:t>
      </w:r>
      <w:bookmarkEnd w:id="16"/>
    </w:p>
    <w:p>
      <w:pPr>
        <w:ind w:firstLine="640" w:firstLineChars="200"/>
        <w:rPr>
          <w:rFonts w:ascii="仿宋" w:hAnsi="仿宋" w:eastAsia="仿宋"/>
          <w:bCs/>
          <w:sz w:val="32"/>
          <w:szCs w:val="32"/>
        </w:rPr>
      </w:pPr>
      <w:r>
        <w:rPr>
          <w:rFonts w:hint="eastAsia" w:ascii="仿宋" w:hAnsi="仿宋" w:eastAsia="仿宋"/>
          <w:bCs/>
          <w:sz w:val="32"/>
          <w:szCs w:val="32"/>
        </w:rPr>
        <w:t>（二）因地质勘查需要临时用地的，由地质勘查批准文件、勘查许可证确定的用地单位申请。</w:t>
      </w:r>
    </w:p>
    <w:p>
      <w:pPr>
        <w:ind w:firstLine="640" w:firstLineChars="200"/>
        <w:rPr>
          <w:rFonts w:ascii="仿宋" w:hAnsi="仿宋" w:eastAsia="仿宋"/>
          <w:bCs/>
          <w:sz w:val="32"/>
          <w:szCs w:val="32"/>
        </w:rPr>
      </w:pPr>
      <w:r>
        <w:rPr>
          <w:rFonts w:hint="eastAsia" w:ascii="仿宋" w:hAnsi="仿宋" w:eastAsia="仿宋"/>
          <w:bCs/>
          <w:sz w:val="32"/>
          <w:szCs w:val="32"/>
        </w:rPr>
        <w:t>施工单位不得作为临时用地申请主体。</w:t>
      </w:r>
    </w:p>
    <w:p>
      <w:pPr>
        <w:pStyle w:val="31"/>
        <w:numPr>
          <w:ilvl w:val="0"/>
          <w:numId w:val="1"/>
        </w:numPr>
        <w:spacing w:line="360" w:lineRule="auto"/>
        <w:ind w:left="0" w:firstLine="640"/>
        <w:outlineLvl w:val="1"/>
        <w:rPr>
          <w:rFonts w:ascii="黑体" w:hAnsi="黑体" w:eastAsia="黑体" w:cs="黑体"/>
          <w:sz w:val="32"/>
          <w:szCs w:val="22"/>
        </w:rPr>
      </w:pPr>
      <w:bookmarkStart w:id="17" w:name="_Toc117671521"/>
      <w:r>
        <w:rPr>
          <w:rFonts w:hint="eastAsia" w:ascii="黑体" w:hAnsi="黑体" w:eastAsia="黑体" w:cs="黑体"/>
          <w:sz w:val="32"/>
          <w:szCs w:val="22"/>
        </w:rPr>
        <w:t>【使用期限】</w:t>
      </w:r>
      <w:bookmarkEnd w:id="17"/>
    </w:p>
    <w:p>
      <w:pPr>
        <w:ind w:firstLine="640" w:firstLineChars="200"/>
        <w:rPr>
          <w:rFonts w:ascii="仿宋" w:hAnsi="仿宋" w:eastAsia="仿宋"/>
          <w:bCs/>
          <w:sz w:val="32"/>
          <w:szCs w:val="32"/>
        </w:rPr>
      </w:pPr>
      <w:r>
        <w:rPr>
          <w:rFonts w:hint="eastAsia" w:ascii="仿宋" w:hAnsi="仿宋" w:eastAsia="仿宋"/>
          <w:bCs/>
          <w:sz w:val="32"/>
          <w:szCs w:val="32"/>
        </w:rPr>
        <w:t>临时用地使用期限一般不超过两年。建设周期较长的能源、交通、水利等基础设施建设项目施工使用的临时用地，使用期限不超过四年。法律、行政法规另有规定的除外。</w:t>
      </w:r>
    </w:p>
    <w:p>
      <w:pPr>
        <w:ind w:firstLine="640" w:firstLineChars="200"/>
        <w:rPr>
          <w:rFonts w:ascii="仿宋" w:hAnsi="仿宋" w:eastAsia="仿宋"/>
          <w:bCs/>
          <w:sz w:val="32"/>
          <w:szCs w:val="32"/>
        </w:rPr>
      </w:pPr>
      <w:r>
        <w:rPr>
          <w:rFonts w:hint="eastAsia" w:ascii="仿宋" w:hAnsi="仿宋" w:eastAsia="仿宋"/>
          <w:bCs/>
          <w:sz w:val="32"/>
          <w:szCs w:val="32"/>
        </w:rPr>
        <w:t>临时用地使用期限，自核发临时用地批准文件之日起算。</w:t>
      </w:r>
    </w:p>
    <w:p>
      <w:pPr>
        <w:pStyle w:val="31"/>
        <w:numPr>
          <w:ilvl w:val="0"/>
          <w:numId w:val="1"/>
        </w:numPr>
        <w:spacing w:line="360" w:lineRule="auto"/>
        <w:ind w:left="0" w:firstLine="640"/>
        <w:outlineLvl w:val="1"/>
        <w:rPr>
          <w:rFonts w:ascii="黑体" w:hAnsi="黑体" w:eastAsia="黑体" w:cs="黑体"/>
          <w:sz w:val="32"/>
          <w:szCs w:val="22"/>
        </w:rPr>
      </w:pPr>
      <w:bookmarkStart w:id="18" w:name="_Toc117671522"/>
      <w:r>
        <w:rPr>
          <w:rFonts w:hint="eastAsia" w:ascii="黑体" w:hAnsi="黑体" w:eastAsia="黑体" w:cs="黑体"/>
          <w:sz w:val="32"/>
          <w:szCs w:val="22"/>
        </w:rPr>
        <w:t>【补偿费用】</w:t>
      </w:r>
      <w:bookmarkEnd w:id="18"/>
    </w:p>
    <w:p>
      <w:pPr>
        <w:ind w:firstLine="640" w:firstLineChars="200"/>
        <w:rPr>
          <w:rFonts w:ascii="仿宋" w:hAnsi="仿宋" w:eastAsia="仿宋"/>
          <w:bCs/>
          <w:sz w:val="32"/>
          <w:szCs w:val="32"/>
        </w:rPr>
      </w:pPr>
      <w:r>
        <w:rPr>
          <w:rFonts w:hint="eastAsia" w:ascii="仿宋" w:hAnsi="仿宋" w:eastAsia="仿宋"/>
          <w:bCs/>
          <w:sz w:val="32"/>
          <w:szCs w:val="32"/>
        </w:rPr>
        <w:t>临时使用土地补偿费（以下简称土地补偿费）按我市地价测算有关规定计收。产权归政府的建设项目需要临时使用土地的，以及政府或政府有关部门与建设单位共同作为临时用地申请主体的，不计收土地补偿费。</w:t>
      </w:r>
    </w:p>
    <w:p>
      <w:pPr>
        <w:ind w:firstLine="640" w:firstLineChars="200"/>
        <w:rPr>
          <w:rFonts w:ascii="仿宋" w:hAnsi="仿宋" w:eastAsia="仿宋"/>
          <w:bCs/>
          <w:sz w:val="32"/>
          <w:szCs w:val="32"/>
        </w:rPr>
      </w:pPr>
      <w:r>
        <w:rPr>
          <w:rFonts w:hint="eastAsia" w:ascii="仿宋" w:hAnsi="仿宋" w:eastAsia="仿宋"/>
          <w:bCs/>
          <w:sz w:val="32"/>
          <w:szCs w:val="32"/>
        </w:rPr>
        <w:t>临时使用未完善征（转）地补偿手续用地的，土地补偿费按本条前款规定的50%计收。</w:t>
      </w:r>
    </w:p>
    <w:p>
      <w:pPr>
        <w:pStyle w:val="31"/>
        <w:numPr>
          <w:ilvl w:val="0"/>
          <w:numId w:val="1"/>
        </w:numPr>
        <w:spacing w:line="360" w:lineRule="auto"/>
        <w:ind w:left="0" w:firstLine="640"/>
        <w:outlineLvl w:val="1"/>
        <w:rPr>
          <w:rFonts w:ascii="黑体" w:hAnsi="黑体" w:eastAsia="黑体" w:cs="黑体"/>
          <w:sz w:val="32"/>
          <w:szCs w:val="22"/>
        </w:rPr>
      </w:pPr>
      <w:bookmarkStart w:id="19" w:name="_Toc117671523"/>
      <w:r>
        <w:rPr>
          <w:rFonts w:hint="eastAsia" w:ascii="黑体" w:hAnsi="黑体" w:eastAsia="黑体" w:cs="黑体"/>
          <w:sz w:val="32"/>
          <w:szCs w:val="22"/>
        </w:rPr>
        <w:t>【权利限制】</w:t>
      </w:r>
      <w:bookmarkEnd w:id="19"/>
    </w:p>
    <w:p>
      <w:pPr>
        <w:ind w:firstLine="640" w:firstLineChars="200"/>
        <w:rPr>
          <w:rFonts w:ascii="仿宋" w:hAnsi="仿宋" w:eastAsia="仿宋"/>
          <w:bCs/>
          <w:sz w:val="32"/>
          <w:szCs w:val="32"/>
        </w:rPr>
      </w:pPr>
      <w:r>
        <w:rPr>
          <w:rFonts w:hint="eastAsia" w:ascii="仿宋" w:hAnsi="仿宋" w:eastAsia="仿宋"/>
          <w:bCs/>
          <w:sz w:val="32"/>
          <w:szCs w:val="32"/>
        </w:rPr>
        <w:t>临时用地单位应当按照批准的用途使用土地，不得以转让、出租、抵押场地或者地上建（构）筑物等形式给他人使用。</w:t>
      </w:r>
    </w:p>
    <w:p>
      <w:pPr>
        <w:spacing w:before="312" w:beforeLines="100" w:after="312" w:afterLines="100" w:line="560" w:lineRule="exact"/>
        <w:jc w:val="center"/>
        <w:outlineLvl w:val="1"/>
        <w:rPr>
          <w:rFonts w:ascii="黑体" w:hAnsi="黑体" w:eastAsia="黑体" w:cstheme="minorBidi"/>
          <w:b/>
          <w:bCs/>
          <w:sz w:val="32"/>
          <w:szCs w:val="22"/>
        </w:rPr>
      </w:pPr>
      <w:bookmarkStart w:id="20" w:name="_Toc117671524"/>
      <w:r>
        <w:rPr>
          <w:rFonts w:hint="eastAsia" w:ascii="黑体" w:hAnsi="黑体" w:eastAsia="黑体" w:cstheme="minorBidi"/>
          <w:b/>
          <w:bCs/>
          <w:sz w:val="32"/>
          <w:szCs w:val="22"/>
        </w:rPr>
        <w:t>第三章  审批程序</w:t>
      </w:r>
      <w:bookmarkEnd w:id="20"/>
    </w:p>
    <w:p>
      <w:pPr>
        <w:pStyle w:val="31"/>
        <w:numPr>
          <w:ilvl w:val="0"/>
          <w:numId w:val="1"/>
        </w:numPr>
        <w:spacing w:line="360" w:lineRule="auto"/>
        <w:ind w:left="0" w:firstLine="640"/>
        <w:outlineLvl w:val="1"/>
        <w:rPr>
          <w:rFonts w:ascii="黑体" w:hAnsi="黑体" w:eastAsia="黑体" w:cs="黑体"/>
          <w:sz w:val="32"/>
          <w:szCs w:val="22"/>
        </w:rPr>
      </w:pPr>
      <w:bookmarkStart w:id="21" w:name="_Toc117671525"/>
      <w:r>
        <w:rPr>
          <w:rFonts w:hint="eastAsia" w:ascii="黑体" w:hAnsi="黑体" w:eastAsia="黑体" w:cs="黑体"/>
          <w:sz w:val="32"/>
          <w:szCs w:val="22"/>
        </w:rPr>
        <w:t>【提前介入】</w:t>
      </w:r>
      <w:bookmarkEnd w:id="21"/>
    </w:p>
    <w:p>
      <w:pPr>
        <w:ind w:firstLine="640" w:firstLineChars="200"/>
        <w:rPr>
          <w:rFonts w:ascii="仿宋" w:hAnsi="仿宋" w:eastAsia="仿宋"/>
          <w:bCs/>
          <w:sz w:val="32"/>
          <w:szCs w:val="32"/>
        </w:rPr>
      </w:pPr>
      <w:r>
        <w:rPr>
          <w:rFonts w:hint="eastAsia" w:ascii="仿宋" w:hAnsi="仿宋" w:eastAsia="仿宋"/>
          <w:bCs/>
          <w:sz w:val="32"/>
          <w:szCs w:val="32"/>
        </w:rPr>
        <w:t>交通、能源、水利等线性工程建设项目施工需临时使用土地的，应符合统筹兼顾、统一规划的原则，在建设项目方案设计研究阶段同步考虑临时用地需求。派出机构在方案设计核查时应提醒项目用地单位在初步设计阶段一并开展临时用地意向选址研究工作。具备条件的，临时用地可与建设项目用地同步办理用地报批手续。</w:t>
      </w:r>
    </w:p>
    <w:p>
      <w:pPr>
        <w:ind w:firstLine="640" w:firstLineChars="200"/>
        <w:rPr>
          <w:rFonts w:ascii="仿宋" w:hAnsi="仿宋" w:eastAsia="仿宋"/>
          <w:bCs/>
          <w:sz w:val="32"/>
          <w:szCs w:val="32"/>
        </w:rPr>
      </w:pPr>
      <w:r>
        <w:rPr>
          <w:rFonts w:hint="eastAsia" w:ascii="仿宋" w:hAnsi="仿宋" w:eastAsia="仿宋"/>
          <w:bCs/>
          <w:sz w:val="32"/>
          <w:szCs w:val="32"/>
        </w:rPr>
        <w:t>派出机构应提前介入，主动服务，根据临时用地单位的意向需求，开展临时用地前期核查工作，并依托“多规合一”信息平台或者发函征求生态环境、交通运输、水务、文物保护等相关主管部门意见。各部门应在</w:t>
      </w:r>
      <w:r>
        <w:rPr>
          <w:rFonts w:ascii="仿宋" w:hAnsi="仿宋" w:eastAsia="仿宋"/>
          <w:bCs/>
          <w:sz w:val="32"/>
          <w:szCs w:val="32"/>
        </w:rPr>
        <w:t>5</w:t>
      </w:r>
      <w:r>
        <w:rPr>
          <w:rFonts w:hint="eastAsia" w:ascii="仿宋" w:hAnsi="仿宋" w:eastAsia="仿宋"/>
          <w:bCs/>
          <w:sz w:val="32"/>
          <w:szCs w:val="32"/>
        </w:rPr>
        <w:t>个工作日内反馈正式意见。派出机构根据各部门反馈意见应在5个工作日内确定临时用地范围，并函告临时用地单位。</w:t>
      </w:r>
    </w:p>
    <w:p>
      <w:pPr>
        <w:pStyle w:val="31"/>
        <w:numPr>
          <w:ilvl w:val="0"/>
          <w:numId w:val="1"/>
        </w:numPr>
        <w:spacing w:line="360" w:lineRule="auto"/>
        <w:ind w:left="0" w:firstLine="640"/>
        <w:outlineLvl w:val="1"/>
        <w:rPr>
          <w:rFonts w:ascii="黑体" w:hAnsi="黑体" w:eastAsia="黑体" w:cs="黑体"/>
          <w:sz w:val="32"/>
          <w:szCs w:val="22"/>
        </w:rPr>
      </w:pPr>
      <w:bookmarkStart w:id="22" w:name="_Toc117671526"/>
      <w:r>
        <w:rPr>
          <w:rFonts w:hint="eastAsia" w:ascii="黑体" w:hAnsi="黑体" w:eastAsia="黑体" w:cs="黑体"/>
          <w:sz w:val="32"/>
          <w:szCs w:val="22"/>
        </w:rPr>
        <w:t>【用地申请】</w:t>
      </w:r>
      <w:bookmarkEnd w:id="22"/>
    </w:p>
    <w:p>
      <w:pPr>
        <w:ind w:firstLine="640" w:firstLineChars="200"/>
        <w:rPr>
          <w:rFonts w:ascii="仿宋" w:hAnsi="仿宋" w:eastAsia="仿宋"/>
          <w:bCs/>
          <w:sz w:val="32"/>
          <w:szCs w:val="32"/>
        </w:rPr>
      </w:pPr>
      <w:r>
        <w:rPr>
          <w:rFonts w:hint="eastAsia" w:ascii="仿宋" w:hAnsi="仿宋" w:eastAsia="仿宋"/>
          <w:bCs/>
          <w:sz w:val="32"/>
          <w:szCs w:val="32"/>
        </w:rPr>
        <w:t>临时用地单位在临时用地范围确定后，向派出机构提出临时用地申请，申请时应提供以下材料：</w:t>
      </w:r>
    </w:p>
    <w:p>
      <w:pPr>
        <w:ind w:firstLine="640" w:firstLineChars="200"/>
        <w:rPr>
          <w:rFonts w:ascii="仿宋" w:hAnsi="仿宋" w:eastAsia="仿宋"/>
          <w:bCs/>
          <w:sz w:val="32"/>
          <w:szCs w:val="32"/>
        </w:rPr>
      </w:pPr>
      <w:r>
        <w:rPr>
          <w:rFonts w:hint="eastAsia" w:ascii="仿宋" w:hAnsi="仿宋" w:eastAsia="仿宋"/>
          <w:bCs/>
          <w:sz w:val="32"/>
          <w:szCs w:val="32"/>
        </w:rPr>
        <w:t>（一）申请主体身份证明，应提供符合临时用地申请主体相关要求的证明文件；</w:t>
      </w:r>
    </w:p>
    <w:p>
      <w:pPr>
        <w:ind w:firstLine="640" w:firstLineChars="200"/>
        <w:rPr>
          <w:rFonts w:ascii="仿宋" w:hAnsi="仿宋" w:eastAsia="仿宋"/>
          <w:bCs/>
          <w:color w:val="auto"/>
          <w:sz w:val="32"/>
          <w:szCs w:val="32"/>
        </w:rPr>
      </w:pPr>
      <w:r>
        <w:rPr>
          <w:rFonts w:hint="eastAsia" w:ascii="仿宋" w:hAnsi="仿宋" w:eastAsia="仿宋"/>
          <w:bCs/>
          <w:sz w:val="32"/>
          <w:szCs w:val="32"/>
        </w:rPr>
        <w:t>（二）临时用地申请报告，应说明申请理由、申请用地面积与建</w:t>
      </w:r>
      <w:r>
        <w:rPr>
          <w:rFonts w:hint="eastAsia" w:ascii="仿宋" w:hAnsi="仿宋" w:eastAsia="仿宋"/>
          <w:bCs/>
          <w:color w:val="auto"/>
          <w:sz w:val="32"/>
          <w:szCs w:val="32"/>
        </w:rPr>
        <w:t>筑面积、使用期限、用地规模论证</w:t>
      </w:r>
      <w:r>
        <w:rPr>
          <w:rFonts w:hint="eastAsia" w:ascii="仿宋" w:hAnsi="仿宋" w:eastAsia="仿宋"/>
          <w:bCs/>
          <w:color w:val="auto"/>
          <w:sz w:val="32"/>
          <w:szCs w:val="32"/>
          <w:lang w:eastAsia="zh-CN"/>
        </w:rPr>
        <w:t>等内容</w:t>
      </w:r>
      <w:r>
        <w:rPr>
          <w:rFonts w:hint="eastAsia" w:ascii="仿宋" w:hAnsi="仿宋" w:eastAsia="仿宋"/>
          <w:bCs/>
          <w:color w:val="auto"/>
          <w:sz w:val="32"/>
          <w:szCs w:val="32"/>
        </w:rPr>
        <w:t>；</w:t>
      </w:r>
    </w:p>
    <w:p>
      <w:pPr>
        <w:ind w:firstLine="640"/>
        <w:rPr>
          <w:rFonts w:ascii="仿宋" w:hAnsi="仿宋" w:eastAsia="仿宋"/>
          <w:bCs/>
          <w:color w:val="auto"/>
          <w:sz w:val="32"/>
          <w:szCs w:val="32"/>
        </w:rPr>
      </w:pPr>
      <w:r>
        <w:rPr>
          <w:rFonts w:hint="eastAsia" w:ascii="仿宋" w:hAnsi="仿宋" w:eastAsia="仿宋"/>
          <w:bCs/>
          <w:color w:val="auto"/>
          <w:sz w:val="32"/>
          <w:szCs w:val="32"/>
        </w:rPr>
        <w:t>（三）选址研究确定的临时用地范围图（附坐标）</w:t>
      </w:r>
      <w:r>
        <w:rPr>
          <w:rFonts w:hint="eastAsia" w:ascii="仿宋" w:hAnsi="仿宋" w:eastAsia="仿宋"/>
          <w:bCs/>
          <w:color w:val="auto"/>
          <w:sz w:val="32"/>
          <w:szCs w:val="32"/>
          <w:lang w:eastAsia="zh-CN"/>
        </w:rPr>
        <w:t>及平面布局图</w:t>
      </w:r>
      <w:r>
        <w:rPr>
          <w:rFonts w:hint="eastAsia" w:ascii="仿宋" w:hAnsi="仿宋" w:eastAsia="仿宋"/>
          <w:bCs/>
          <w:color w:val="auto"/>
          <w:sz w:val="32"/>
          <w:szCs w:val="32"/>
        </w:rPr>
        <w:t>；</w:t>
      </w:r>
    </w:p>
    <w:p>
      <w:pPr>
        <w:ind w:firstLine="640" w:firstLineChars="200"/>
        <w:rPr>
          <w:rFonts w:ascii="仿宋" w:hAnsi="仿宋" w:eastAsia="仿宋"/>
          <w:bCs/>
          <w:sz w:val="32"/>
          <w:szCs w:val="32"/>
        </w:rPr>
      </w:pPr>
      <w:r>
        <w:rPr>
          <w:rFonts w:hint="eastAsia" w:ascii="仿宋" w:hAnsi="仿宋" w:eastAsia="仿宋"/>
          <w:bCs/>
          <w:sz w:val="32"/>
          <w:szCs w:val="32"/>
        </w:rPr>
        <w:t>（四）建设项目或地质勘查项目申请临时用地的，须提供项目批准文件或相关用地规划许可文件；</w:t>
      </w:r>
    </w:p>
    <w:p>
      <w:pPr>
        <w:ind w:firstLine="640" w:firstLineChars="200"/>
        <w:rPr>
          <w:rFonts w:ascii="仿宋" w:hAnsi="仿宋" w:eastAsia="仿宋"/>
          <w:bCs/>
          <w:sz w:val="32"/>
          <w:szCs w:val="32"/>
        </w:rPr>
      </w:pPr>
      <w:r>
        <w:rPr>
          <w:rFonts w:hint="eastAsia" w:ascii="仿宋" w:hAnsi="仿宋" w:eastAsia="仿宋"/>
          <w:bCs/>
          <w:sz w:val="32"/>
          <w:szCs w:val="32"/>
        </w:rPr>
        <w:t>（五）涉及占用农用地的，除申请时临时用地已办理农用地转用审批手续的按建设用地地类提交土地恢复方案以外，应按规定提交土地复垦方案报告表，不涉及占用农用地的，应按</w:t>
      </w:r>
      <w:r>
        <w:rPr>
          <w:rFonts w:ascii="仿宋" w:hAnsi="仿宋" w:eastAsia="仿宋"/>
          <w:bCs/>
          <w:sz w:val="32"/>
          <w:szCs w:val="32"/>
        </w:rPr>
        <w:t>规定</w:t>
      </w:r>
      <w:r>
        <w:rPr>
          <w:rFonts w:hint="eastAsia" w:ascii="仿宋" w:hAnsi="仿宋" w:eastAsia="仿宋"/>
          <w:bCs/>
          <w:sz w:val="32"/>
          <w:szCs w:val="32"/>
        </w:rPr>
        <w:t>提交土地恢复方案；</w:t>
      </w:r>
    </w:p>
    <w:p>
      <w:pPr>
        <w:ind w:firstLine="640" w:firstLineChars="200"/>
        <w:rPr>
          <w:rFonts w:ascii="仿宋" w:hAnsi="仿宋" w:eastAsia="仿宋"/>
          <w:bCs/>
          <w:sz w:val="32"/>
          <w:szCs w:val="32"/>
        </w:rPr>
      </w:pPr>
      <w:r>
        <w:rPr>
          <w:rFonts w:hint="eastAsia" w:ascii="仿宋" w:hAnsi="仿宋" w:eastAsia="仿宋"/>
          <w:bCs/>
          <w:sz w:val="32"/>
          <w:szCs w:val="32"/>
        </w:rPr>
        <w:t>（六）涉及占用耕地的、位于基本生态控制线内的，应提供必须占用的必要性论证材料；</w:t>
      </w:r>
    </w:p>
    <w:p>
      <w:pPr>
        <w:ind w:firstLine="640" w:firstLineChars="200"/>
        <w:rPr>
          <w:rFonts w:ascii="仿宋" w:hAnsi="仿宋" w:eastAsia="仿宋"/>
          <w:bCs/>
          <w:sz w:val="32"/>
          <w:szCs w:val="32"/>
        </w:rPr>
      </w:pPr>
      <w:r>
        <w:rPr>
          <w:rFonts w:hint="eastAsia" w:ascii="仿宋" w:hAnsi="仿宋" w:eastAsia="仿宋"/>
          <w:bCs/>
          <w:sz w:val="32"/>
          <w:szCs w:val="32"/>
        </w:rPr>
        <w:t>（七）涉及现役油气管线和其他危险化学品场所的，应提供安全评价报告；</w:t>
      </w:r>
      <w:r>
        <w:rPr>
          <w:rFonts w:ascii="仿宋" w:hAnsi="仿宋" w:eastAsia="仿宋"/>
          <w:bCs/>
          <w:sz w:val="32"/>
          <w:szCs w:val="32"/>
        </w:rPr>
        <w:t xml:space="preserve"> </w:t>
      </w:r>
    </w:p>
    <w:p>
      <w:pPr>
        <w:ind w:firstLine="640" w:firstLineChars="200"/>
        <w:rPr>
          <w:rFonts w:ascii="仿宋" w:hAnsi="仿宋" w:eastAsia="仿宋"/>
          <w:bCs/>
          <w:sz w:val="32"/>
          <w:szCs w:val="32"/>
        </w:rPr>
      </w:pPr>
      <w:r>
        <w:rPr>
          <w:rFonts w:hint="eastAsia" w:ascii="仿宋" w:hAnsi="仿宋" w:eastAsia="仿宋"/>
          <w:bCs/>
          <w:sz w:val="32"/>
          <w:szCs w:val="32"/>
        </w:rPr>
        <w:t>（八）涉及地质灾害易发地区或地质灾害（隐患）威胁范围的，应提供地质灾害危险性评估报告；</w:t>
      </w:r>
    </w:p>
    <w:p>
      <w:pPr>
        <w:ind w:firstLine="640" w:firstLineChars="200"/>
        <w:rPr>
          <w:rFonts w:ascii="仿宋" w:hAnsi="仿宋" w:eastAsia="仿宋"/>
          <w:bCs/>
          <w:sz w:val="32"/>
          <w:szCs w:val="32"/>
        </w:rPr>
      </w:pPr>
      <w:r>
        <w:rPr>
          <w:rFonts w:hint="eastAsia" w:ascii="仿宋" w:hAnsi="仿宋" w:eastAsia="仿宋"/>
          <w:bCs/>
          <w:sz w:val="32"/>
          <w:szCs w:val="32"/>
        </w:rPr>
        <w:t>（九）申请未完善征（转）地补偿手续用地作为临时用地的，应提供辖区街道办事处出具的书面确认文件；</w:t>
      </w:r>
    </w:p>
    <w:p>
      <w:pPr>
        <w:ind w:firstLine="640" w:firstLineChars="200"/>
        <w:rPr>
          <w:rFonts w:ascii="仿宋" w:hAnsi="仿宋" w:eastAsia="仿宋"/>
          <w:bCs/>
          <w:sz w:val="32"/>
          <w:szCs w:val="32"/>
        </w:rPr>
      </w:pPr>
      <w:r>
        <w:rPr>
          <w:rFonts w:hint="eastAsia" w:ascii="仿宋" w:hAnsi="仿宋" w:eastAsia="仿宋"/>
          <w:bCs/>
          <w:sz w:val="32"/>
          <w:szCs w:val="32"/>
        </w:rPr>
        <w:t>（十）相关职能部门要求提供的其他材料。</w:t>
      </w:r>
    </w:p>
    <w:p>
      <w:pPr>
        <w:pStyle w:val="31"/>
        <w:numPr>
          <w:ilvl w:val="0"/>
          <w:numId w:val="1"/>
        </w:numPr>
        <w:spacing w:line="360" w:lineRule="auto"/>
        <w:ind w:left="0" w:firstLine="640"/>
        <w:outlineLvl w:val="1"/>
        <w:rPr>
          <w:rFonts w:ascii="黑体" w:hAnsi="黑体" w:eastAsia="黑体" w:cs="黑体"/>
          <w:sz w:val="32"/>
          <w:szCs w:val="22"/>
        </w:rPr>
      </w:pPr>
      <w:bookmarkStart w:id="23" w:name="_Toc117671527"/>
      <w:r>
        <w:rPr>
          <w:rFonts w:hint="eastAsia" w:ascii="黑体" w:hAnsi="黑体" w:eastAsia="黑体" w:cs="黑体"/>
          <w:sz w:val="32"/>
          <w:szCs w:val="22"/>
        </w:rPr>
        <w:t>【审查审批】</w:t>
      </w:r>
      <w:bookmarkEnd w:id="23"/>
    </w:p>
    <w:p>
      <w:pPr>
        <w:ind w:firstLine="640" w:firstLineChars="200"/>
        <w:rPr>
          <w:rFonts w:ascii="仿宋" w:hAnsi="仿宋" w:eastAsia="仿宋"/>
          <w:bCs/>
          <w:sz w:val="32"/>
          <w:szCs w:val="32"/>
        </w:rPr>
      </w:pPr>
      <w:r>
        <w:rPr>
          <w:rFonts w:hint="eastAsia" w:ascii="仿宋" w:hAnsi="仿宋" w:eastAsia="仿宋"/>
          <w:bCs/>
          <w:sz w:val="32"/>
          <w:szCs w:val="32"/>
        </w:rPr>
        <w:t>派出机构负责辖区内临时用地的审查工作，经审查申请材料齐全且符合条件的，不涉及占用耕地、永久基本农田和生态保护红线的，派出机构应当自受理临时用地申请之日起</w:t>
      </w:r>
      <w:r>
        <w:rPr>
          <w:rFonts w:ascii="仿宋" w:hAnsi="仿宋" w:eastAsia="仿宋"/>
          <w:bCs/>
          <w:sz w:val="32"/>
          <w:szCs w:val="32"/>
        </w:rPr>
        <w:t>20</w:t>
      </w:r>
      <w:r>
        <w:rPr>
          <w:rFonts w:hint="eastAsia" w:ascii="仿宋" w:hAnsi="仿宋" w:eastAsia="仿宋"/>
          <w:bCs/>
          <w:sz w:val="32"/>
          <w:szCs w:val="32"/>
        </w:rPr>
        <w:t xml:space="preserve">个工作日内予以审批。涉及占用耕地、永久基本农田和生态保护红线的，派出机构审核通过后报主管部门审批。涉及土地复垦方案审批、临时占林审批的，可与临时用地同步申请、同步审批。 </w:t>
      </w:r>
    </w:p>
    <w:p>
      <w:pPr>
        <w:ind w:firstLine="640" w:firstLineChars="200"/>
        <w:rPr>
          <w:rFonts w:ascii="仿宋" w:hAnsi="仿宋" w:eastAsia="仿宋"/>
          <w:bCs/>
          <w:sz w:val="32"/>
          <w:szCs w:val="32"/>
        </w:rPr>
      </w:pPr>
      <w:r>
        <w:rPr>
          <w:rFonts w:hint="eastAsia" w:ascii="仿宋" w:hAnsi="仿宋" w:eastAsia="仿宋"/>
          <w:bCs/>
          <w:sz w:val="32"/>
          <w:szCs w:val="32"/>
        </w:rPr>
        <w:t>申请材料不齐全或不符合条件的，派出机构应当场或5个工作日内，一次性书面告知临时用地单位补正。补正后仍不符合要求的，应予以退回并说明理由。</w:t>
      </w:r>
    </w:p>
    <w:p>
      <w:pPr>
        <w:ind w:firstLine="640" w:firstLineChars="200"/>
        <w:rPr>
          <w:rFonts w:ascii="仿宋" w:hAnsi="仿宋" w:eastAsia="仿宋"/>
          <w:bCs/>
          <w:sz w:val="32"/>
          <w:szCs w:val="32"/>
        </w:rPr>
      </w:pPr>
      <w:r>
        <w:rPr>
          <w:rFonts w:hint="eastAsia" w:ascii="仿宋" w:hAnsi="仿宋" w:eastAsia="仿宋"/>
          <w:bCs/>
          <w:sz w:val="32"/>
          <w:szCs w:val="32"/>
        </w:rPr>
        <w:t>临时用地审批过程中需要材料补正、专家评审、落实公示、土地复垦方案审批、临时占林审批的，所需时间不列入本条第一款规定的期限内。</w:t>
      </w:r>
    </w:p>
    <w:p>
      <w:pPr>
        <w:pStyle w:val="31"/>
        <w:numPr>
          <w:ilvl w:val="0"/>
          <w:numId w:val="1"/>
        </w:numPr>
        <w:spacing w:line="360" w:lineRule="auto"/>
        <w:ind w:left="0" w:firstLine="640"/>
        <w:outlineLvl w:val="1"/>
        <w:rPr>
          <w:rFonts w:ascii="黑体" w:hAnsi="黑体" w:eastAsia="黑体" w:cs="黑体"/>
          <w:sz w:val="32"/>
          <w:szCs w:val="22"/>
        </w:rPr>
      </w:pPr>
      <w:bookmarkStart w:id="24" w:name="_Toc117671528"/>
      <w:r>
        <w:rPr>
          <w:rFonts w:hint="eastAsia" w:ascii="黑体" w:hAnsi="黑体" w:eastAsia="黑体" w:cs="黑体"/>
          <w:sz w:val="32"/>
          <w:szCs w:val="22"/>
        </w:rPr>
        <w:t>【费用缴纳】</w:t>
      </w:r>
      <w:bookmarkEnd w:id="24"/>
    </w:p>
    <w:p>
      <w:pPr>
        <w:ind w:firstLine="640" w:firstLineChars="200"/>
        <w:rPr>
          <w:rFonts w:ascii="仿宋" w:hAnsi="仿宋" w:eastAsia="仿宋"/>
          <w:bCs/>
          <w:sz w:val="32"/>
          <w:szCs w:val="32"/>
        </w:rPr>
      </w:pPr>
      <w:r>
        <w:rPr>
          <w:rFonts w:hint="eastAsia" w:ascii="仿宋" w:hAnsi="仿宋" w:eastAsia="仿宋"/>
          <w:bCs/>
          <w:sz w:val="32"/>
          <w:szCs w:val="32"/>
        </w:rPr>
        <w:t>临时用地批准后，派出机构应</w:t>
      </w:r>
      <w:r>
        <w:rPr>
          <w:rFonts w:ascii="仿宋" w:hAnsi="仿宋" w:eastAsia="仿宋"/>
          <w:bCs/>
          <w:sz w:val="32"/>
          <w:szCs w:val="32"/>
        </w:rPr>
        <w:t>向</w:t>
      </w:r>
      <w:r>
        <w:rPr>
          <w:rFonts w:hint="eastAsia" w:ascii="仿宋" w:hAnsi="仿宋" w:eastAsia="仿宋"/>
          <w:bCs/>
          <w:sz w:val="32"/>
          <w:szCs w:val="32"/>
        </w:rPr>
        <w:t>临时用地单位</w:t>
      </w:r>
      <w:r>
        <w:rPr>
          <w:rFonts w:ascii="仿宋" w:hAnsi="仿宋" w:eastAsia="仿宋"/>
          <w:bCs/>
          <w:sz w:val="32"/>
          <w:szCs w:val="32"/>
        </w:rPr>
        <w:t>核发缴款通知书</w:t>
      </w:r>
      <w:r>
        <w:rPr>
          <w:rFonts w:hint="eastAsia" w:ascii="仿宋" w:hAnsi="仿宋" w:eastAsia="仿宋"/>
          <w:bCs/>
          <w:sz w:val="32"/>
          <w:szCs w:val="32"/>
        </w:rPr>
        <w:t>，临时用地单位须在缴款通知书核发之日起7个工作日内一次性缴清土地补偿费。</w:t>
      </w:r>
    </w:p>
    <w:p>
      <w:pPr>
        <w:ind w:firstLine="640" w:firstLineChars="200"/>
        <w:rPr>
          <w:rFonts w:ascii="仿宋" w:hAnsi="仿宋" w:eastAsia="仿宋"/>
          <w:bCs/>
          <w:sz w:val="32"/>
          <w:szCs w:val="32"/>
        </w:rPr>
      </w:pPr>
      <w:r>
        <w:rPr>
          <w:rFonts w:hint="eastAsia" w:ascii="仿宋" w:hAnsi="仿宋" w:eastAsia="仿宋"/>
          <w:bCs/>
          <w:sz w:val="32"/>
          <w:szCs w:val="32"/>
        </w:rPr>
        <w:t>涉及土地复垦的，</w:t>
      </w:r>
      <w:r>
        <w:rPr>
          <w:rFonts w:ascii="仿宋" w:hAnsi="仿宋" w:eastAsia="仿宋"/>
          <w:bCs/>
          <w:sz w:val="32"/>
          <w:szCs w:val="32"/>
        </w:rPr>
        <w:t>临时用地单位</w:t>
      </w:r>
      <w:r>
        <w:rPr>
          <w:rFonts w:hint="eastAsia" w:ascii="仿宋" w:hAnsi="仿宋" w:eastAsia="仿宋"/>
          <w:bCs/>
          <w:sz w:val="32"/>
          <w:szCs w:val="32"/>
        </w:rPr>
        <w:t>应按规定完成土地复垦费用预存等工作。</w:t>
      </w:r>
    </w:p>
    <w:p>
      <w:pPr>
        <w:ind w:firstLine="640" w:firstLineChars="200"/>
        <w:rPr>
          <w:rFonts w:ascii="仿宋" w:hAnsi="仿宋" w:eastAsia="仿宋"/>
          <w:bCs/>
          <w:sz w:val="32"/>
          <w:szCs w:val="32"/>
        </w:rPr>
      </w:pPr>
      <w:r>
        <w:rPr>
          <w:rFonts w:hint="eastAsia" w:ascii="仿宋" w:hAnsi="仿宋" w:eastAsia="仿宋"/>
          <w:bCs/>
          <w:sz w:val="32"/>
          <w:szCs w:val="32"/>
        </w:rPr>
        <w:t>涉及占用农用地的，派出机构</w:t>
      </w:r>
      <w:r>
        <w:rPr>
          <w:rFonts w:ascii="仿宋" w:hAnsi="仿宋" w:eastAsia="仿宋"/>
          <w:bCs/>
          <w:sz w:val="32"/>
          <w:szCs w:val="32"/>
        </w:rPr>
        <w:t>应</w:t>
      </w:r>
      <w:r>
        <w:rPr>
          <w:rFonts w:hint="eastAsia" w:ascii="仿宋" w:hAnsi="仿宋" w:eastAsia="仿宋"/>
          <w:bCs/>
          <w:sz w:val="32"/>
          <w:szCs w:val="32"/>
        </w:rPr>
        <w:t>函告</w:t>
      </w:r>
      <w:r>
        <w:rPr>
          <w:rFonts w:ascii="仿宋" w:hAnsi="仿宋" w:eastAsia="仿宋"/>
          <w:bCs/>
          <w:sz w:val="32"/>
          <w:szCs w:val="32"/>
        </w:rPr>
        <w:t>辖区税务部门，</w:t>
      </w:r>
      <w:r>
        <w:rPr>
          <w:rFonts w:hint="eastAsia" w:ascii="仿宋" w:hAnsi="仿宋" w:eastAsia="仿宋"/>
          <w:bCs/>
          <w:sz w:val="32"/>
          <w:szCs w:val="32"/>
        </w:rPr>
        <w:t>由</w:t>
      </w:r>
      <w:r>
        <w:rPr>
          <w:rFonts w:ascii="仿宋" w:hAnsi="仿宋" w:eastAsia="仿宋"/>
          <w:bCs/>
          <w:sz w:val="32"/>
          <w:szCs w:val="32"/>
        </w:rPr>
        <w:t>临时用地单位办理耕地占用税</w:t>
      </w:r>
      <w:r>
        <w:rPr>
          <w:rFonts w:hint="eastAsia" w:ascii="仿宋" w:hAnsi="仿宋" w:eastAsia="仿宋"/>
          <w:bCs/>
          <w:sz w:val="32"/>
          <w:szCs w:val="32"/>
        </w:rPr>
        <w:t>缴纳</w:t>
      </w:r>
      <w:r>
        <w:rPr>
          <w:rFonts w:ascii="仿宋" w:hAnsi="仿宋" w:eastAsia="仿宋"/>
          <w:bCs/>
          <w:sz w:val="32"/>
          <w:szCs w:val="32"/>
        </w:rPr>
        <w:t>手续。</w:t>
      </w:r>
    </w:p>
    <w:p>
      <w:pPr>
        <w:pStyle w:val="31"/>
        <w:numPr>
          <w:ilvl w:val="0"/>
          <w:numId w:val="1"/>
        </w:numPr>
        <w:spacing w:line="360" w:lineRule="auto"/>
        <w:ind w:left="0" w:firstLine="640"/>
        <w:outlineLvl w:val="1"/>
        <w:rPr>
          <w:rFonts w:ascii="黑体" w:hAnsi="黑体" w:eastAsia="黑体" w:cs="黑体"/>
          <w:sz w:val="32"/>
          <w:szCs w:val="22"/>
        </w:rPr>
      </w:pPr>
      <w:bookmarkStart w:id="25" w:name="_Toc117671530"/>
      <w:r>
        <w:rPr>
          <w:rFonts w:hint="eastAsia" w:ascii="黑体" w:hAnsi="黑体" w:eastAsia="黑体" w:cs="黑体"/>
          <w:sz w:val="32"/>
          <w:szCs w:val="22"/>
        </w:rPr>
        <w:t>【合同签订】</w:t>
      </w:r>
      <w:bookmarkEnd w:id="25"/>
    </w:p>
    <w:p>
      <w:pPr>
        <w:ind w:firstLine="640" w:firstLineChars="200"/>
        <w:rPr>
          <w:rFonts w:ascii="仿宋" w:hAnsi="仿宋" w:eastAsia="仿宋"/>
          <w:bCs/>
          <w:sz w:val="32"/>
          <w:szCs w:val="32"/>
        </w:rPr>
      </w:pPr>
      <w:r>
        <w:rPr>
          <w:rFonts w:hint="eastAsia" w:ascii="仿宋" w:hAnsi="仿宋" w:eastAsia="仿宋"/>
          <w:bCs/>
          <w:sz w:val="32"/>
          <w:szCs w:val="32"/>
        </w:rPr>
        <w:t>临时用地单位按规定缴清土地补偿费、耕地占用税，并完成土地复垦费预存后，应持相关凭证与派出机构签订临时用地使用合同，并</w:t>
      </w:r>
      <w:r>
        <w:rPr>
          <w:rFonts w:ascii="仿宋" w:hAnsi="仿宋" w:eastAsia="仿宋"/>
          <w:bCs/>
          <w:sz w:val="32"/>
          <w:szCs w:val="32"/>
        </w:rPr>
        <w:t>领取临时用地批准文件。</w:t>
      </w:r>
    </w:p>
    <w:p>
      <w:pPr>
        <w:ind w:firstLine="640" w:firstLineChars="200"/>
        <w:rPr>
          <w:rFonts w:ascii="仿宋" w:hAnsi="仿宋" w:eastAsia="仿宋"/>
          <w:bCs/>
          <w:sz w:val="32"/>
          <w:szCs w:val="32"/>
        </w:rPr>
      </w:pPr>
      <w:r>
        <w:rPr>
          <w:rFonts w:hint="eastAsia" w:ascii="仿宋" w:hAnsi="仿宋" w:eastAsia="仿宋"/>
          <w:bCs/>
          <w:sz w:val="32"/>
          <w:szCs w:val="32"/>
        </w:rPr>
        <w:t>临时用地使用合同应当载明临时用地的位置、四至范围、土地面积、建筑面积，以及临时使用土地的用途、使用期限、土地补偿费、责任义务、土地复垦（恢复）标准等内容。</w:t>
      </w:r>
    </w:p>
    <w:p>
      <w:pPr>
        <w:pStyle w:val="31"/>
        <w:numPr>
          <w:ilvl w:val="0"/>
          <w:numId w:val="1"/>
        </w:numPr>
        <w:spacing w:line="360" w:lineRule="auto"/>
        <w:ind w:left="0" w:firstLine="640"/>
        <w:outlineLvl w:val="1"/>
        <w:rPr>
          <w:rFonts w:ascii="黑体" w:hAnsi="黑体" w:eastAsia="黑体" w:cs="黑体"/>
          <w:sz w:val="32"/>
          <w:szCs w:val="22"/>
        </w:rPr>
      </w:pPr>
      <w:bookmarkStart w:id="26" w:name="_Toc117671531"/>
      <w:r>
        <w:rPr>
          <w:rFonts w:hint="eastAsia" w:ascii="黑体" w:hAnsi="黑体" w:eastAsia="黑体" w:cs="黑体"/>
          <w:sz w:val="32"/>
          <w:szCs w:val="22"/>
        </w:rPr>
        <w:t>【临时建设】</w:t>
      </w:r>
      <w:bookmarkEnd w:id="26"/>
    </w:p>
    <w:p>
      <w:pPr>
        <w:ind w:firstLine="640" w:firstLineChars="200"/>
        <w:rPr>
          <w:rFonts w:ascii="仿宋" w:hAnsi="仿宋" w:eastAsia="仿宋"/>
          <w:bCs/>
          <w:sz w:val="32"/>
          <w:szCs w:val="32"/>
        </w:rPr>
      </w:pPr>
      <w:r>
        <w:rPr>
          <w:rFonts w:hint="eastAsia" w:ascii="仿宋" w:hAnsi="仿宋" w:eastAsia="仿宋"/>
          <w:bCs/>
          <w:sz w:val="32"/>
          <w:szCs w:val="32"/>
        </w:rPr>
        <w:t>需要进行临时建设的，临时用地单位应向派出机构申请办理临时建设工程规划许可等相关手续，并按许可内容进行建设。临时建设工程规划许可的有效期应与临时用地使用期限一致。临时建筑</w:t>
      </w:r>
      <w:r>
        <w:rPr>
          <w:rFonts w:ascii="仿宋" w:hAnsi="仿宋" w:eastAsia="仿宋"/>
          <w:bCs/>
          <w:sz w:val="32"/>
          <w:szCs w:val="32"/>
        </w:rPr>
        <w:t>的结构</w:t>
      </w:r>
      <w:r>
        <w:rPr>
          <w:rFonts w:hint="eastAsia" w:ascii="仿宋" w:hAnsi="仿宋" w:eastAsia="仿宋"/>
          <w:bCs/>
          <w:sz w:val="32"/>
          <w:szCs w:val="32"/>
        </w:rPr>
        <w:t>质量</w:t>
      </w:r>
      <w:r>
        <w:rPr>
          <w:rFonts w:ascii="仿宋" w:hAnsi="仿宋" w:eastAsia="仿宋"/>
          <w:bCs/>
          <w:sz w:val="32"/>
          <w:szCs w:val="32"/>
        </w:rPr>
        <w:t>、消防安全</w:t>
      </w:r>
      <w:r>
        <w:rPr>
          <w:rFonts w:hint="eastAsia" w:ascii="仿宋" w:hAnsi="仿宋" w:eastAsia="仿宋"/>
          <w:bCs/>
          <w:sz w:val="32"/>
          <w:szCs w:val="32"/>
        </w:rPr>
        <w:t>及安全生产活动</w:t>
      </w:r>
      <w:r>
        <w:rPr>
          <w:rFonts w:ascii="仿宋" w:hAnsi="仿宋" w:eastAsia="仿宋"/>
          <w:bCs/>
          <w:sz w:val="32"/>
          <w:szCs w:val="32"/>
        </w:rPr>
        <w:t>等</w:t>
      </w:r>
      <w:r>
        <w:rPr>
          <w:rFonts w:hint="eastAsia" w:ascii="仿宋" w:hAnsi="仿宋" w:eastAsia="仿宋"/>
          <w:bCs/>
          <w:sz w:val="32"/>
          <w:szCs w:val="32"/>
        </w:rPr>
        <w:t>由辖区相关职能部门依职责开展技术指导、检查及监管等工作。</w:t>
      </w:r>
    </w:p>
    <w:p>
      <w:pPr>
        <w:spacing w:before="312" w:beforeLines="100" w:after="312" w:afterLines="100" w:line="560" w:lineRule="exact"/>
        <w:jc w:val="center"/>
        <w:outlineLvl w:val="1"/>
        <w:rPr>
          <w:rFonts w:ascii="黑体" w:hAnsi="黑体" w:eastAsia="黑体" w:cstheme="minorBidi"/>
          <w:b/>
          <w:bCs/>
          <w:sz w:val="32"/>
          <w:szCs w:val="22"/>
        </w:rPr>
      </w:pPr>
      <w:bookmarkStart w:id="27" w:name="_Toc117671532"/>
      <w:r>
        <w:rPr>
          <w:rFonts w:hint="eastAsia" w:ascii="黑体" w:hAnsi="黑体" w:eastAsia="黑体" w:cstheme="minorBidi"/>
          <w:b/>
          <w:bCs/>
          <w:sz w:val="32"/>
          <w:szCs w:val="22"/>
        </w:rPr>
        <w:t>第四章  用地收回</w:t>
      </w:r>
      <w:bookmarkEnd w:id="27"/>
    </w:p>
    <w:p>
      <w:pPr>
        <w:pStyle w:val="31"/>
        <w:numPr>
          <w:ilvl w:val="0"/>
          <w:numId w:val="1"/>
        </w:numPr>
        <w:spacing w:line="360" w:lineRule="auto"/>
        <w:ind w:left="0" w:firstLine="640"/>
        <w:outlineLvl w:val="1"/>
        <w:rPr>
          <w:rFonts w:ascii="黑体" w:hAnsi="黑体" w:eastAsia="黑体" w:cs="黑体"/>
          <w:sz w:val="32"/>
          <w:szCs w:val="22"/>
        </w:rPr>
      </w:pPr>
      <w:bookmarkStart w:id="28" w:name="_Toc117671533"/>
      <w:r>
        <w:rPr>
          <w:rFonts w:hint="eastAsia" w:ascii="黑体" w:hAnsi="黑体" w:eastAsia="黑体" w:cs="黑体"/>
          <w:sz w:val="32"/>
          <w:szCs w:val="22"/>
        </w:rPr>
        <w:t>【提前收回】</w:t>
      </w:r>
      <w:bookmarkEnd w:id="28"/>
    </w:p>
    <w:p>
      <w:pPr>
        <w:ind w:firstLine="640" w:firstLineChars="200"/>
        <w:rPr>
          <w:rFonts w:ascii="仿宋" w:hAnsi="仿宋" w:eastAsia="仿宋"/>
          <w:bCs/>
          <w:sz w:val="32"/>
          <w:szCs w:val="32"/>
        </w:rPr>
      </w:pPr>
      <w:r>
        <w:rPr>
          <w:rFonts w:hint="eastAsia" w:ascii="仿宋" w:hAnsi="仿宋" w:eastAsia="仿宋"/>
          <w:bCs/>
          <w:sz w:val="32"/>
          <w:szCs w:val="32"/>
        </w:rPr>
        <w:t>临时用地使用期限内发生下列情形之一的，派出机构应向临时用地单位发送临时用地收回通知，并提前收回土地：</w:t>
      </w:r>
    </w:p>
    <w:p>
      <w:pPr>
        <w:ind w:firstLine="640" w:firstLineChars="200"/>
        <w:rPr>
          <w:rFonts w:ascii="仿宋" w:hAnsi="仿宋" w:eastAsia="仿宋"/>
          <w:bCs/>
          <w:sz w:val="32"/>
          <w:szCs w:val="32"/>
        </w:rPr>
      </w:pPr>
      <w:r>
        <w:rPr>
          <w:rFonts w:hint="eastAsia" w:ascii="仿宋" w:hAnsi="仿宋" w:eastAsia="仿宋"/>
          <w:bCs/>
          <w:sz w:val="32"/>
          <w:szCs w:val="32"/>
        </w:rPr>
        <w:t>（一）临时用地单位未按临时用地使用合同约定使用的；</w:t>
      </w:r>
    </w:p>
    <w:p>
      <w:pPr>
        <w:ind w:firstLine="640" w:firstLineChars="200"/>
        <w:rPr>
          <w:rFonts w:ascii="仿宋" w:hAnsi="仿宋" w:eastAsia="仿宋"/>
          <w:bCs/>
          <w:sz w:val="32"/>
          <w:szCs w:val="32"/>
        </w:rPr>
      </w:pPr>
      <w:r>
        <w:rPr>
          <w:rFonts w:hint="eastAsia" w:ascii="仿宋" w:hAnsi="仿宋" w:eastAsia="仿宋"/>
          <w:bCs/>
          <w:sz w:val="32"/>
          <w:szCs w:val="32"/>
        </w:rPr>
        <w:t>（二）</w:t>
      </w:r>
      <w:bookmarkStart w:id="29" w:name="_Hlk120550886"/>
      <w:r>
        <w:rPr>
          <w:rFonts w:hint="eastAsia" w:ascii="仿宋" w:hAnsi="仿宋" w:eastAsia="仿宋"/>
          <w:bCs/>
          <w:sz w:val="32"/>
          <w:szCs w:val="32"/>
        </w:rPr>
        <w:t>近期建设用地供应需要的</w:t>
      </w:r>
      <w:bookmarkEnd w:id="29"/>
      <w:r>
        <w:rPr>
          <w:rFonts w:hint="eastAsia" w:ascii="仿宋" w:hAnsi="仿宋" w:eastAsia="仿宋"/>
          <w:bCs/>
          <w:sz w:val="32"/>
          <w:szCs w:val="32"/>
        </w:rPr>
        <w:t>；</w:t>
      </w:r>
    </w:p>
    <w:p>
      <w:pPr>
        <w:ind w:firstLine="640" w:firstLineChars="200"/>
        <w:rPr>
          <w:rFonts w:ascii="仿宋" w:hAnsi="仿宋" w:eastAsia="仿宋"/>
          <w:bCs/>
          <w:sz w:val="32"/>
          <w:szCs w:val="32"/>
        </w:rPr>
      </w:pPr>
      <w:r>
        <w:rPr>
          <w:rFonts w:hint="eastAsia" w:ascii="仿宋" w:hAnsi="仿宋" w:eastAsia="仿宋"/>
          <w:bCs/>
          <w:sz w:val="32"/>
          <w:szCs w:val="32"/>
        </w:rPr>
        <w:t>（三）抢险救灾、疫情防控需要的；</w:t>
      </w:r>
    </w:p>
    <w:p>
      <w:pPr>
        <w:ind w:firstLine="640" w:firstLineChars="200"/>
        <w:rPr>
          <w:rFonts w:ascii="仿宋" w:hAnsi="仿宋" w:eastAsia="仿宋"/>
          <w:bCs/>
          <w:sz w:val="32"/>
          <w:szCs w:val="32"/>
        </w:rPr>
      </w:pPr>
      <w:r>
        <w:rPr>
          <w:rFonts w:hint="eastAsia" w:ascii="仿宋" w:hAnsi="仿宋" w:eastAsia="仿宋"/>
          <w:bCs/>
          <w:sz w:val="32"/>
          <w:szCs w:val="32"/>
        </w:rPr>
        <w:t>（四）法律法规规定的其它情形。</w:t>
      </w:r>
    </w:p>
    <w:p>
      <w:pPr>
        <w:ind w:firstLine="640" w:firstLineChars="200"/>
        <w:rPr>
          <w:rFonts w:ascii="仿宋" w:hAnsi="仿宋" w:eastAsia="仿宋"/>
          <w:bCs/>
          <w:sz w:val="32"/>
          <w:szCs w:val="32"/>
        </w:rPr>
      </w:pPr>
      <w:r>
        <w:rPr>
          <w:rFonts w:hint="eastAsia" w:ascii="仿宋" w:hAnsi="仿宋" w:eastAsia="仿宋"/>
          <w:bCs/>
          <w:sz w:val="32"/>
          <w:szCs w:val="32"/>
        </w:rPr>
        <w:t>属于前款第（一）项情形的，临时用地单位应按临时用地收回通知要求完成地上建（构）筑物拆除和土地复垦（恢复）工作，交回土地，剩余土地补偿费不予退回。属于前款第（二）（三）项情形的，临时用地单位应按临时用地收回通知要求完成地上建（构）筑物拆除，交回土地，剩余土地补偿费按剩余使用天数折算后不计利息予以退回，剩余使用天数自拆除地上建（构）筑物完毕之日起算。其中涉及占用农用地的，经派出机构同意后，临时用地单位凭土地复垦费用支取通知书支取费用。属于前款第（二）项情形的，派出机构应在临时用地收回后按照相关规定办理农用地转用、建设用地供应等手续。</w:t>
      </w:r>
    </w:p>
    <w:p>
      <w:pPr>
        <w:pStyle w:val="31"/>
        <w:numPr>
          <w:ilvl w:val="0"/>
          <w:numId w:val="1"/>
        </w:numPr>
        <w:spacing w:line="360" w:lineRule="auto"/>
        <w:ind w:left="0" w:firstLine="640"/>
        <w:outlineLvl w:val="1"/>
        <w:rPr>
          <w:rFonts w:ascii="黑体" w:hAnsi="黑体" w:eastAsia="黑体" w:cs="黑体"/>
          <w:sz w:val="32"/>
          <w:szCs w:val="22"/>
        </w:rPr>
      </w:pPr>
      <w:bookmarkStart w:id="30" w:name="_Toc117671534"/>
      <w:r>
        <w:rPr>
          <w:rFonts w:hint="eastAsia" w:ascii="黑体" w:hAnsi="黑体" w:eastAsia="黑体" w:cs="黑体"/>
          <w:sz w:val="32"/>
          <w:szCs w:val="22"/>
        </w:rPr>
        <w:t>【主动退还】</w:t>
      </w:r>
      <w:bookmarkEnd w:id="30"/>
    </w:p>
    <w:p>
      <w:pPr>
        <w:ind w:firstLine="640" w:firstLineChars="200"/>
        <w:rPr>
          <w:rFonts w:ascii="仿宋" w:hAnsi="仿宋" w:eastAsia="仿宋"/>
          <w:bCs/>
          <w:sz w:val="32"/>
          <w:szCs w:val="32"/>
        </w:rPr>
      </w:pPr>
      <w:r>
        <w:rPr>
          <w:rFonts w:hint="eastAsia" w:ascii="仿宋" w:hAnsi="仿宋" w:eastAsia="仿宋"/>
          <w:bCs/>
          <w:sz w:val="32"/>
          <w:szCs w:val="32"/>
        </w:rPr>
        <w:t>临时用地单位在使用期限届满前三个月主动退出使用土地的，应完成地上建（构）筑物拆除和土地复垦（恢复）工作，交回土地，剩余土地补偿费按剩余使用天数折算后不计利息予以退回，剩余使用天数自拆除地上建（构）筑物完毕之日起算。</w:t>
      </w:r>
    </w:p>
    <w:p>
      <w:pPr>
        <w:pStyle w:val="31"/>
        <w:numPr>
          <w:ilvl w:val="0"/>
          <w:numId w:val="1"/>
        </w:numPr>
        <w:spacing w:line="360" w:lineRule="auto"/>
        <w:ind w:left="0" w:firstLine="640"/>
        <w:outlineLvl w:val="1"/>
        <w:rPr>
          <w:rFonts w:ascii="黑体" w:hAnsi="黑体" w:eastAsia="黑体" w:cs="黑体"/>
          <w:sz w:val="32"/>
          <w:szCs w:val="22"/>
        </w:rPr>
      </w:pPr>
      <w:r>
        <w:rPr>
          <w:rFonts w:hint="eastAsia" w:ascii="黑体" w:hAnsi="黑体" w:eastAsia="黑体" w:cs="黑体"/>
          <w:sz w:val="32"/>
          <w:szCs w:val="22"/>
        </w:rPr>
        <w:t>【到期收回】</w:t>
      </w:r>
    </w:p>
    <w:p>
      <w:pPr>
        <w:ind w:firstLine="640" w:firstLineChars="200"/>
        <w:rPr>
          <w:rFonts w:ascii="仿宋" w:hAnsi="仿宋" w:eastAsia="仿宋"/>
          <w:bCs/>
          <w:sz w:val="32"/>
          <w:szCs w:val="32"/>
        </w:rPr>
      </w:pPr>
      <w:r>
        <w:rPr>
          <w:rFonts w:hint="eastAsia" w:ascii="仿宋" w:hAnsi="仿宋" w:eastAsia="仿宋"/>
          <w:bCs/>
          <w:sz w:val="32"/>
          <w:szCs w:val="32"/>
        </w:rPr>
        <w:t>临时用地使用期限届满前两个月，派出机构应向临时用地单位发放</w:t>
      </w:r>
      <w:bookmarkStart w:id="31" w:name="_Hlk120550326"/>
      <w:r>
        <w:rPr>
          <w:rFonts w:hint="eastAsia" w:ascii="仿宋" w:hAnsi="仿宋" w:eastAsia="仿宋"/>
          <w:bCs/>
          <w:sz w:val="32"/>
          <w:szCs w:val="32"/>
        </w:rPr>
        <w:t>临时用地收回通知</w:t>
      </w:r>
      <w:bookmarkEnd w:id="31"/>
      <w:r>
        <w:rPr>
          <w:rFonts w:hint="eastAsia" w:ascii="仿宋" w:hAnsi="仿宋" w:eastAsia="仿宋"/>
          <w:bCs/>
          <w:sz w:val="32"/>
          <w:szCs w:val="32"/>
        </w:rPr>
        <w:t>，并函告土地储备机构，做好临时用地收回入库准备工作。</w:t>
      </w:r>
    </w:p>
    <w:p>
      <w:pPr>
        <w:ind w:firstLine="640" w:firstLineChars="200"/>
        <w:rPr>
          <w:rFonts w:ascii="仿宋" w:hAnsi="仿宋" w:eastAsia="仿宋"/>
          <w:bCs/>
          <w:sz w:val="32"/>
          <w:szCs w:val="32"/>
        </w:rPr>
      </w:pPr>
      <w:r>
        <w:rPr>
          <w:rFonts w:hint="eastAsia" w:ascii="仿宋" w:hAnsi="仿宋" w:eastAsia="仿宋"/>
          <w:bCs/>
          <w:sz w:val="32"/>
          <w:szCs w:val="32"/>
        </w:rPr>
        <w:t>临时用地单位应按临时用地</w:t>
      </w:r>
      <w:r>
        <w:rPr>
          <w:rFonts w:ascii="仿宋" w:hAnsi="仿宋" w:eastAsia="仿宋"/>
          <w:bCs/>
          <w:sz w:val="32"/>
          <w:szCs w:val="32"/>
        </w:rPr>
        <w:t>使用</w:t>
      </w:r>
      <w:r>
        <w:rPr>
          <w:rFonts w:hint="eastAsia" w:ascii="仿宋" w:hAnsi="仿宋" w:eastAsia="仿宋"/>
          <w:bCs/>
          <w:sz w:val="32"/>
          <w:szCs w:val="32"/>
        </w:rPr>
        <w:t>合同约定在到期前完成地上建（构）筑物拆除和土地恢复工作，交回土地。</w:t>
      </w:r>
    </w:p>
    <w:p>
      <w:pPr>
        <w:pStyle w:val="31"/>
        <w:numPr>
          <w:ilvl w:val="0"/>
          <w:numId w:val="1"/>
        </w:numPr>
        <w:spacing w:line="360" w:lineRule="auto"/>
        <w:ind w:left="0" w:firstLine="640"/>
        <w:outlineLvl w:val="1"/>
        <w:rPr>
          <w:rFonts w:ascii="黑体" w:hAnsi="黑体" w:eastAsia="黑体" w:cs="黑体"/>
          <w:sz w:val="32"/>
          <w:szCs w:val="22"/>
        </w:rPr>
      </w:pPr>
      <w:bookmarkStart w:id="32" w:name="_Toc117671537"/>
      <w:r>
        <w:rPr>
          <w:rFonts w:hint="eastAsia" w:ascii="黑体" w:hAnsi="黑体" w:eastAsia="黑体" w:cs="黑体"/>
          <w:sz w:val="32"/>
          <w:szCs w:val="22"/>
        </w:rPr>
        <w:t>【</w:t>
      </w:r>
      <w:r>
        <w:rPr>
          <w:rFonts w:ascii="黑体" w:hAnsi="黑体" w:eastAsia="黑体" w:cs="黑体"/>
          <w:sz w:val="32"/>
          <w:szCs w:val="22"/>
        </w:rPr>
        <w:t>复垦</w:t>
      </w:r>
      <w:r>
        <w:rPr>
          <w:rFonts w:hint="eastAsia" w:ascii="黑体" w:hAnsi="黑体" w:eastAsia="黑体" w:cs="黑体"/>
          <w:sz w:val="32"/>
          <w:szCs w:val="22"/>
        </w:rPr>
        <w:t>验收及义务】</w:t>
      </w:r>
    </w:p>
    <w:p>
      <w:pPr>
        <w:ind w:firstLine="640" w:firstLineChars="200"/>
        <w:rPr>
          <w:rFonts w:ascii="仿宋" w:hAnsi="仿宋" w:eastAsia="仿宋"/>
          <w:bCs/>
          <w:sz w:val="32"/>
          <w:szCs w:val="32"/>
        </w:rPr>
      </w:pPr>
      <w:r>
        <w:rPr>
          <w:rFonts w:hint="eastAsia" w:ascii="仿宋" w:hAnsi="仿宋" w:eastAsia="仿宋"/>
          <w:bCs/>
          <w:sz w:val="32"/>
          <w:szCs w:val="32"/>
        </w:rPr>
        <w:t>涉及土地复垦的，土地复垦义务人应当自临时用地期满之日起一年内按照土地复垦方案报告表完成土地复垦工作后，提出复垦验收申请，派出</w:t>
      </w:r>
      <w:r>
        <w:rPr>
          <w:rFonts w:ascii="仿宋" w:hAnsi="仿宋" w:eastAsia="仿宋"/>
          <w:bCs/>
          <w:sz w:val="32"/>
          <w:szCs w:val="32"/>
        </w:rPr>
        <w:t>机构</w:t>
      </w:r>
      <w:r>
        <w:rPr>
          <w:rFonts w:hint="eastAsia" w:ascii="仿宋" w:hAnsi="仿宋" w:eastAsia="仿宋"/>
          <w:bCs/>
          <w:sz w:val="32"/>
          <w:szCs w:val="32"/>
        </w:rPr>
        <w:t>应会同相关部门组织复垦验收并完成</w:t>
      </w:r>
      <w:r>
        <w:rPr>
          <w:rFonts w:ascii="仿宋" w:hAnsi="仿宋" w:eastAsia="仿宋"/>
          <w:bCs/>
          <w:sz w:val="32"/>
          <w:szCs w:val="32"/>
        </w:rPr>
        <w:t>土地移交</w:t>
      </w:r>
      <w:r>
        <w:rPr>
          <w:rFonts w:hint="eastAsia" w:ascii="仿宋" w:hAnsi="仿宋" w:eastAsia="仿宋"/>
          <w:bCs/>
          <w:sz w:val="32"/>
          <w:szCs w:val="32"/>
        </w:rPr>
        <w:t>入库</w:t>
      </w:r>
      <w:r>
        <w:rPr>
          <w:rFonts w:ascii="仿宋" w:hAnsi="仿宋" w:eastAsia="仿宋"/>
          <w:bCs/>
          <w:sz w:val="32"/>
          <w:szCs w:val="32"/>
        </w:rPr>
        <w:t>工作</w:t>
      </w:r>
      <w:r>
        <w:rPr>
          <w:rFonts w:hint="eastAsia" w:ascii="仿宋" w:hAnsi="仿宋" w:eastAsia="仿宋"/>
          <w:bCs/>
          <w:sz w:val="32"/>
          <w:szCs w:val="32"/>
        </w:rPr>
        <w:t>。</w:t>
      </w:r>
    </w:p>
    <w:p>
      <w:pPr>
        <w:ind w:firstLine="640" w:firstLineChars="200"/>
        <w:rPr>
          <w:rFonts w:ascii="仿宋" w:hAnsi="仿宋" w:eastAsia="仿宋"/>
          <w:bCs/>
          <w:sz w:val="32"/>
          <w:szCs w:val="32"/>
        </w:rPr>
      </w:pPr>
      <w:r>
        <w:rPr>
          <w:rFonts w:hint="eastAsia" w:ascii="仿宋" w:hAnsi="仿宋" w:eastAsia="仿宋"/>
          <w:bCs/>
          <w:sz w:val="32"/>
          <w:szCs w:val="32"/>
        </w:rPr>
        <w:t>派出机构应依法监督临时用地单位履行土地复垦义务，对逾期未完成土地复垦或土地复垦未通过验收的，责令限期改正；逾期不改正的，移交辖区街道办事处或规划土地监察部门，按规定予以处罚，并由派出机构会同辖区街道办事处、市场监督管理部门代为完成复垦。代为完成复垦的，由派出机构出具土地复垦费用支取通知书，按照土地复垦费用使用监管协议约定，从预存的土地复垦费用中支取代为复垦所需的费用。</w:t>
      </w:r>
    </w:p>
    <w:p>
      <w:pPr>
        <w:pStyle w:val="31"/>
        <w:numPr>
          <w:ilvl w:val="0"/>
          <w:numId w:val="1"/>
        </w:numPr>
        <w:spacing w:line="360" w:lineRule="auto"/>
        <w:ind w:left="0" w:firstLine="640"/>
        <w:outlineLvl w:val="1"/>
        <w:rPr>
          <w:rFonts w:ascii="黑体" w:hAnsi="黑体" w:eastAsia="黑体" w:cs="黑体"/>
          <w:sz w:val="32"/>
          <w:szCs w:val="22"/>
        </w:rPr>
      </w:pPr>
      <w:r>
        <w:rPr>
          <w:rFonts w:hint="eastAsia" w:ascii="黑体" w:hAnsi="黑体" w:eastAsia="黑体" w:cs="黑体"/>
          <w:sz w:val="32"/>
          <w:szCs w:val="22"/>
        </w:rPr>
        <w:t>【移交入库】</w:t>
      </w:r>
      <w:bookmarkEnd w:id="32"/>
    </w:p>
    <w:p>
      <w:pPr>
        <w:ind w:firstLine="640" w:firstLineChars="200"/>
        <w:rPr>
          <w:rFonts w:ascii="仿宋" w:hAnsi="仿宋" w:eastAsia="仿宋"/>
          <w:bCs/>
          <w:sz w:val="32"/>
          <w:szCs w:val="32"/>
        </w:rPr>
      </w:pPr>
      <w:r>
        <w:rPr>
          <w:rFonts w:hint="eastAsia" w:ascii="仿宋" w:hAnsi="仿宋" w:eastAsia="仿宋"/>
          <w:bCs/>
          <w:sz w:val="32"/>
          <w:szCs w:val="32"/>
        </w:rPr>
        <w:t>临时用地单位完成地上建（构）筑物拆除和土地复垦（恢复）工作后，由派出</w:t>
      </w:r>
      <w:r>
        <w:rPr>
          <w:rFonts w:ascii="仿宋" w:hAnsi="仿宋" w:eastAsia="仿宋"/>
          <w:bCs/>
          <w:sz w:val="32"/>
          <w:szCs w:val="32"/>
        </w:rPr>
        <w:t>机构</w:t>
      </w:r>
      <w:r>
        <w:rPr>
          <w:rFonts w:hint="eastAsia" w:ascii="仿宋" w:hAnsi="仿宋" w:eastAsia="仿宋"/>
          <w:bCs/>
          <w:sz w:val="32"/>
          <w:szCs w:val="32"/>
        </w:rPr>
        <w:t>牵头组织土地储备机构、辖区街道办事处等相关部门完成土地移交入库等工作。</w:t>
      </w:r>
    </w:p>
    <w:p>
      <w:pPr>
        <w:ind w:firstLine="640" w:firstLineChars="200"/>
        <w:rPr>
          <w:rFonts w:ascii="仿宋" w:hAnsi="仿宋" w:eastAsia="仿宋"/>
          <w:bCs/>
          <w:sz w:val="32"/>
          <w:szCs w:val="32"/>
        </w:rPr>
      </w:pPr>
      <w:r>
        <w:rPr>
          <w:rFonts w:hint="eastAsia" w:ascii="仿宋" w:hAnsi="仿宋" w:eastAsia="仿宋"/>
          <w:bCs/>
          <w:sz w:val="32"/>
          <w:szCs w:val="32"/>
        </w:rPr>
        <w:t>临时用地入库前，生态环境部门会同辖区派出机构监督临时用地单位按规定落实土壤污染防治责任。</w:t>
      </w:r>
    </w:p>
    <w:p>
      <w:pPr>
        <w:pStyle w:val="31"/>
        <w:numPr>
          <w:ilvl w:val="0"/>
          <w:numId w:val="1"/>
        </w:numPr>
        <w:spacing w:line="360" w:lineRule="auto"/>
        <w:ind w:left="0" w:firstLine="640"/>
        <w:outlineLvl w:val="1"/>
        <w:rPr>
          <w:rFonts w:ascii="黑体" w:hAnsi="黑体" w:eastAsia="黑体" w:cs="黑体"/>
          <w:sz w:val="32"/>
          <w:szCs w:val="22"/>
        </w:rPr>
      </w:pPr>
      <w:bookmarkStart w:id="33" w:name="_Toc117671540"/>
      <w:r>
        <w:rPr>
          <w:rFonts w:hint="eastAsia" w:ascii="黑体" w:hAnsi="黑体" w:eastAsia="黑体" w:cs="黑体"/>
          <w:sz w:val="32"/>
          <w:szCs w:val="22"/>
        </w:rPr>
        <w:t>【强制收回】</w:t>
      </w:r>
      <w:bookmarkEnd w:id="33"/>
    </w:p>
    <w:p>
      <w:pPr>
        <w:ind w:firstLine="640" w:firstLineChars="200"/>
        <w:rPr>
          <w:rFonts w:ascii="仿宋" w:hAnsi="仿宋" w:eastAsia="仿宋"/>
          <w:bCs/>
          <w:sz w:val="32"/>
          <w:szCs w:val="32"/>
        </w:rPr>
      </w:pPr>
      <w:r>
        <w:rPr>
          <w:rFonts w:hint="eastAsia" w:ascii="仿宋" w:hAnsi="仿宋" w:eastAsia="仿宋"/>
          <w:bCs/>
          <w:sz w:val="32"/>
          <w:szCs w:val="32"/>
        </w:rPr>
        <w:t>临时用地单位逾期未完成地上建（构）筑物拆除、未完成土地恢复工作或者拒不退还临时用地的，派出</w:t>
      </w:r>
      <w:r>
        <w:rPr>
          <w:rFonts w:ascii="仿宋" w:hAnsi="仿宋" w:eastAsia="仿宋"/>
          <w:bCs/>
          <w:sz w:val="32"/>
          <w:szCs w:val="32"/>
        </w:rPr>
        <w:t>机构</w:t>
      </w:r>
      <w:r>
        <w:rPr>
          <w:rFonts w:hint="eastAsia" w:ascii="仿宋" w:hAnsi="仿宋" w:eastAsia="仿宋"/>
          <w:bCs/>
          <w:sz w:val="32"/>
          <w:szCs w:val="32"/>
        </w:rPr>
        <w:t>应将相关情况移交辖区街道办事处或规划土地监察部门。辖区街道办事处或规划土地监察部门应按照《土地管理法》第八十一条、《土地管理法实施条例》第五十九条、《城乡规划法》第六十六条等规定依法处理并清拆完毕后函告派出机构，由派出机构</w:t>
      </w:r>
      <w:r>
        <w:rPr>
          <w:rFonts w:ascii="仿宋" w:hAnsi="仿宋" w:eastAsia="仿宋"/>
          <w:bCs/>
          <w:sz w:val="32"/>
          <w:szCs w:val="32"/>
        </w:rPr>
        <w:t>组织</w:t>
      </w:r>
      <w:r>
        <w:rPr>
          <w:rFonts w:hint="eastAsia" w:ascii="仿宋" w:hAnsi="仿宋" w:eastAsia="仿宋"/>
          <w:bCs/>
          <w:sz w:val="32"/>
          <w:szCs w:val="32"/>
        </w:rPr>
        <w:t>土地储备机构、辖区街道办事处办理临时用地移交入库手续。</w:t>
      </w:r>
    </w:p>
    <w:p>
      <w:pPr>
        <w:spacing w:before="312" w:beforeLines="100" w:after="312" w:afterLines="100" w:line="560" w:lineRule="exact"/>
        <w:jc w:val="center"/>
        <w:outlineLvl w:val="1"/>
        <w:rPr>
          <w:rFonts w:ascii="黑体" w:hAnsi="黑体" w:eastAsia="黑体" w:cstheme="minorBidi"/>
          <w:b/>
          <w:bCs/>
          <w:sz w:val="32"/>
          <w:szCs w:val="22"/>
        </w:rPr>
      </w:pPr>
      <w:bookmarkStart w:id="34" w:name="_Toc117671541"/>
      <w:r>
        <w:rPr>
          <w:rFonts w:hint="eastAsia" w:ascii="黑体" w:hAnsi="黑体" w:eastAsia="黑体" w:cstheme="minorBidi"/>
          <w:b/>
          <w:bCs/>
          <w:sz w:val="32"/>
          <w:szCs w:val="22"/>
        </w:rPr>
        <w:t>第五章  监督管理</w:t>
      </w:r>
      <w:bookmarkEnd w:id="34"/>
    </w:p>
    <w:p>
      <w:pPr>
        <w:pStyle w:val="31"/>
        <w:numPr>
          <w:ilvl w:val="0"/>
          <w:numId w:val="1"/>
        </w:numPr>
        <w:spacing w:line="360" w:lineRule="auto"/>
        <w:ind w:left="0" w:firstLine="640"/>
        <w:outlineLvl w:val="1"/>
        <w:rPr>
          <w:rFonts w:ascii="黑体" w:hAnsi="黑体" w:eastAsia="黑体" w:cs="黑体"/>
          <w:sz w:val="32"/>
          <w:szCs w:val="22"/>
        </w:rPr>
      </w:pPr>
      <w:bookmarkStart w:id="35" w:name="_Toc117671542"/>
      <w:r>
        <w:rPr>
          <w:rFonts w:hint="eastAsia" w:ascii="黑体" w:hAnsi="黑体" w:eastAsia="黑体" w:cs="黑体"/>
          <w:sz w:val="32"/>
          <w:szCs w:val="22"/>
        </w:rPr>
        <w:t>【标志牌】</w:t>
      </w:r>
      <w:bookmarkEnd w:id="35"/>
    </w:p>
    <w:p>
      <w:pPr>
        <w:ind w:firstLine="640" w:firstLineChars="200"/>
        <w:rPr>
          <w:rFonts w:ascii="仿宋" w:hAnsi="仿宋" w:eastAsia="仿宋"/>
          <w:bCs/>
          <w:sz w:val="32"/>
          <w:szCs w:val="32"/>
        </w:rPr>
      </w:pPr>
      <w:r>
        <w:rPr>
          <w:rFonts w:hint="eastAsia" w:ascii="仿宋" w:hAnsi="仿宋" w:eastAsia="仿宋"/>
          <w:bCs/>
          <w:sz w:val="32"/>
          <w:szCs w:val="32"/>
        </w:rPr>
        <w:t>临时用地单位应在施工现场显著位置设立标志牌。标志牌应包含临时用地单位名称和法定代表人、临时用地的位置、四至范围、土地面积、建筑面积，以及临时使用土地的用途、使用期限等内容，由派出</w:t>
      </w:r>
      <w:r>
        <w:rPr>
          <w:rFonts w:ascii="仿宋" w:hAnsi="仿宋" w:eastAsia="仿宋"/>
          <w:bCs/>
          <w:sz w:val="32"/>
          <w:szCs w:val="32"/>
        </w:rPr>
        <w:t>机构</w:t>
      </w:r>
      <w:r>
        <w:rPr>
          <w:rFonts w:hint="eastAsia" w:ascii="仿宋" w:hAnsi="仿宋" w:eastAsia="仿宋"/>
          <w:bCs/>
          <w:sz w:val="32"/>
          <w:szCs w:val="32"/>
        </w:rPr>
        <w:t>负责监制并监管。</w:t>
      </w:r>
    </w:p>
    <w:p>
      <w:pPr>
        <w:pStyle w:val="31"/>
        <w:numPr>
          <w:ilvl w:val="0"/>
          <w:numId w:val="1"/>
        </w:numPr>
        <w:spacing w:line="360" w:lineRule="auto"/>
        <w:ind w:left="0" w:firstLine="640"/>
        <w:outlineLvl w:val="1"/>
        <w:rPr>
          <w:rFonts w:ascii="黑体" w:hAnsi="黑体" w:eastAsia="黑体" w:cs="黑体"/>
          <w:sz w:val="32"/>
          <w:szCs w:val="22"/>
        </w:rPr>
      </w:pPr>
      <w:bookmarkStart w:id="36" w:name="_Toc117671543"/>
      <w:r>
        <w:rPr>
          <w:rFonts w:hint="eastAsia" w:ascii="黑体" w:hAnsi="黑体" w:eastAsia="黑体" w:cs="黑体"/>
          <w:sz w:val="32"/>
          <w:szCs w:val="22"/>
        </w:rPr>
        <w:t>【系统备案】</w:t>
      </w:r>
      <w:bookmarkEnd w:id="36"/>
    </w:p>
    <w:p>
      <w:pPr>
        <w:ind w:firstLine="640" w:firstLineChars="200"/>
        <w:rPr>
          <w:rFonts w:ascii="仿宋" w:hAnsi="仿宋" w:eastAsia="仿宋"/>
          <w:bCs/>
          <w:sz w:val="32"/>
          <w:szCs w:val="32"/>
        </w:rPr>
      </w:pPr>
      <w:r>
        <w:rPr>
          <w:rFonts w:hint="eastAsia" w:ascii="仿宋" w:hAnsi="仿宋" w:eastAsia="仿宋"/>
          <w:bCs/>
          <w:sz w:val="32"/>
          <w:szCs w:val="32"/>
        </w:rPr>
        <w:t>派出机构应在临时用地批准文件核发后</w:t>
      </w:r>
      <w:r>
        <w:rPr>
          <w:rFonts w:ascii="仿宋" w:hAnsi="仿宋" w:eastAsia="仿宋"/>
          <w:bCs/>
          <w:sz w:val="32"/>
          <w:szCs w:val="32"/>
        </w:rPr>
        <w:t>7</w:t>
      </w:r>
      <w:r>
        <w:rPr>
          <w:rFonts w:hint="eastAsia" w:ascii="仿宋" w:hAnsi="仿宋" w:eastAsia="仿宋"/>
          <w:bCs/>
          <w:sz w:val="32"/>
          <w:szCs w:val="32"/>
        </w:rPr>
        <w:t>个工作日内，在深圳市</w:t>
      </w:r>
      <w:r>
        <w:rPr>
          <w:rFonts w:ascii="仿宋" w:hAnsi="仿宋" w:eastAsia="仿宋"/>
          <w:bCs/>
          <w:sz w:val="32"/>
          <w:szCs w:val="32"/>
        </w:rPr>
        <w:t>规划和自然资源局</w:t>
      </w:r>
      <w:r>
        <w:rPr>
          <w:rFonts w:hint="eastAsia" w:ascii="仿宋" w:hAnsi="仿宋" w:eastAsia="仿宋"/>
          <w:bCs/>
          <w:sz w:val="32"/>
          <w:szCs w:val="32"/>
        </w:rPr>
        <w:t>官方网站及广东省行政执法信息公示平台进行信息公开，并在临时用地批准文件核发后20个工作日内，将临时用地的批准文件、临时用地使用合同、土地复垦方案报告表（土地恢复方案）、四至范围及土地利用现状照片等材料上传至自然资源部临时用地信息系统，完成系统配号，同时应在广东省土地管理与决策支持系统完成临时用地备案工作。</w:t>
      </w:r>
    </w:p>
    <w:p>
      <w:pPr>
        <w:ind w:firstLine="640" w:firstLineChars="200"/>
        <w:rPr>
          <w:rFonts w:ascii="仿宋" w:hAnsi="仿宋" w:eastAsia="仿宋"/>
          <w:bCs/>
          <w:sz w:val="32"/>
          <w:szCs w:val="32"/>
        </w:rPr>
      </w:pPr>
      <w:r>
        <w:rPr>
          <w:rFonts w:hint="eastAsia" w:ascii="仿宋" w:hAnsi="仿宋" w:eastAsia="仿宋"/>
          <w:bCs/>
          <w:sz w:val="32"/>
          <w:szCs w:val="32"/>
        </w:rPr>
        <w:t>涉及土地复垦的，派出机构应同时在广东省土地整治与生态修复监测监管系统完成土地复垦基础信息备案工作。</w:t>
      </w:r>
    </w:p>
    <w:p>
      <w:pPr>
        <w:pStyle w:val="31"/>
        <w:numPr>
          <w:ilvl w:val="0"/>
          <w:numId w:val="1"/>
        </w:numPr>
        <w:spacing w:line="360" w:lineRule="auto"/>
        <w:ind w:left="0" w:firstLine="640"/>
        <w:outlineLvl w:val="1"/>
        <w:rPr>
          <w:rFonts w:ascii="黑体" w:hAnsi="黑体" w:eastAsia="黑体" w:cs="黑体"/>
          <w:sz w:val="32"/>
          <w:szCs w:val="22"/>
        </w:rPr>
      </w:pPr>
      <w:bookmarkStart w:id="37" w:name="_Toc117671544"/>
      <w:r>
        <w:rPr>
          <w:rFonts w:hint="eastAsia" w:ascii="黑体" w:hAnsi="黑体" w:eastAsia="黑体" w:cs="黑体"/>
          <w:sz w:val="32"/>
          <w:szCs w:val="22"/>
        </w:rPr>
        <w:t>【市信息系统建设】</w:t>
      </w:r>
      <w:bookmarkEnd w:id="37"/>
    </w:p>
    <w:p>
      <w:pPr>
        <w:ind w:firstLine="640" w:firstLineChars="200"/>
        <w:rPr>
          <w:rFonts w:ascii="仿宋" w:hAnsi="仿宋" w:eastAsia="仿宋"/>
          <w:bCs/>
          <w:sz w:val="32"/>
          <w:szCs w:val="32"/>
        </w:rPr>
      </w:pPr>
      <w:r>
        <w:rPr>
          <w:rFonts w:hint="eastAsia" w:ascii="仿宋" w:hAnsi="仿宋" w:eastAsia="仿宋"/>
          <w:bCs/>
          <w:sz w:val="32"/>
          <w:szCs w:val="32"/>
        </w:rPr>
        <w:t>主管部门应建立临时用地审批监管系统，并与全市统一受理平台对接。派出机构须在市统一受理平台登记受理临时用地业务文，并在临时用地审批监管系统完成临时用地全过程审批和监管工作，包括用地数据核查、范围图制作、土地复垦方案报告表（土地恢复方案）上传、批准信息录入及非税收入缴款通知书、临时建设工程规划许可、临时用地使用合同、临时用地收回通知的打印、签发等。</w:t>
      </w:r>
    </w:p>
    <w:p>
      <w:pPr>
        <w:pStyle w:val="31"/>
        <w:numPr>
          <w:ilvl w:val="0"/>
          <w:numId w:val="1"/>
        </w:numPr>
        <w:spacing w:line="360" w:lineRule="auto"/>
        <w:ind w:left="0" w:firstLine="640"/>
        <w:outlineLvl w:val="1"/>
        <w:rPr>
          <w:rFonts w:ascii="黑体" w:hAnsi="黑体" w:eastAsia="黑体" w:cs="黑体"/>
          <w:sz w:val="32"/>
          <w:szCs w:val="22"/>
        </w:rPr>
      </w:pPr>
      <w:bookmarkStart w:id="38" w:name="_Toc117671545"/>
      <w:r>
        <w:rPr>
          <w:rFonts w:hint="eastAsia" w:ascii="黑体" w:hAnsi="黑体" w:eastAsia="黑体" w:cs="黑体"/>
          <w:sz w:val="32"/>
          <w:szCs w:val="22"/>
        </w:rPr>
        <w:t>【日常监管】</w:t>
      </w:r>
      <w:bookmarkEnd w:id="38"/>
    </w:p>
    <w:p>
      <w:pPr>
        <w:ind w:firstLine="640" w:firstLineChars="200"/>
        <w:rPr>
          <w:rFonts w:ascii="仿宋" w:hAnsi="仿宋" w:eastAsia="仿宋"/>
          <w:bCs/>
          <w:sz w:val="32"/>
          <w:szCs w:val="32"/>
        </w:rPr>
      </w:pPr>
      <w:r>
        <w:rPr>
          <w:rFonts w:hint="eastAsia" w:ascii="仿宋" w:hAnsi="仿宋" w:eastAsia="仿宋"/>
          <w:bCs/>
          <w:sz w:val="32"/>
          <w:szCs w:val="32"/>
        </w:rPr>
        <w:t>派出</w:t>
      </w:r>
      <w:r>
        <w:rPr>
          <w:rFonts w:ascii="仿宋" w:hAnsi="仿宋" w:eastAsia="仿宋"/>
          <w:bCs/>
          <w:sz w:val="32"/>
          <w:szCs w:val="32"/>
        </w:rPr>
        <w:t>机构</w:t>
      </w:r>
      <w:r>
        <w:rPr>
          <w:rFonts w:hint="eastAsia" w:ascii="仿宋" w:hAnsi="仿宋" w:eastAsia="仿宋"/>
          <w:bCs/>
          <w:sz w:val="32"/>
          <w:szCs w:val="32"/>
        </w:rPr>
        <w:t>及辖区各职能部门依职责做好临时用地日常批后监管工作。派出机构应在自然资源部临时用地信息系统及时更新临时用地复垦、收回等信息，依托临时用地审批监管系统建立日常巡查监管机制，每半年组织至少1次巡查工作。对于超过批准面积使用、改变批准用途使用等行为，派出</w:t>
      </w:r>
      <w:r>
        <w:rPr>
          <w:rFonts w:ascii="仿宋" w:hAnsi="仿宋" w:eastAsia="仿宋"/>
          <w:bCs/>
          <w:sz w:val="32"/>
          <w:szCs w:val="32"/>
        </w:rPr>
        <w:t>机构</w:t>
      </w:r>
      <w:r>
        <w:rPr>
          <w:rFonts w:hint="eastAsia" w:ascii="仿宋" w:hAnsi="仿宋" w:eastAsia="仿宋"/>
          <w:bCs/>
          <w:sz w:val="32"/>
          <w:szCs w:val="32"/>
        </w:rPr>
        <w:t>应将相关情况移交辖区街道办事处或规划土地监察部门。</w:t>
      </w:r>
    </w:p>
    <w:p>
      <w:pPr>
        <w:ind w:firstLine="640" w:firstLineChars="200"/>
        <w:rPr>
          <w:rFonts w:ascii="仿宋" w:hAnsi="仿宋" w:eastAsia="仿宋"/>
          <w:bCs/>
          <w:sz w:val="32"/>
          <w:szCs w:val="32"/>
        </w:rPr>
      </w:pPr>
      <w:r>
        <w:rPr>
          <w:rFonts w:hint="eastAsia" w:ascii="仿宋" w:hAnsi="仿宋" w:eastAsia="仿宋"/>
          <w:bCs/>
          <w:sz w:val="32"/>
          <w:szCs w:val="32"/>
        </w:rPr>
        <w:t>派出机构应按季度将临时用地、临时建筑审批情况抄送辖区相关职能部门，辖区相关职能部门依职责对临时用地建设过程及临时建筑使用情况履行审查和监管责任。</w:t>
      </w:r>
    </w:p>
    <w:p>
      <w:pPr>
        <w:pStyle w:val="31"/>
        <w:numPr>
          <w:ilvl w:val="0"/>
          <w:numId w:val="1"/>
        </w:numPr>
        <w:spacing w:line="360" w:lineRule="auto"/>
        <w:ind w:left="0" w:firstLine="640"/>
        <w:outlineLvl w:val="1"/>
        <w:rPr>
          <w:rFonts w:ascii="黑体" w:hAnsi="黑体" w:eastAsia="黑体" w:cs="黑体"/>
          <w:sz w:val="32"/>
          <w:szCs w:val="22"/>
        </w:rPr>
      </w:pPr>
      <w:bookmarkStart w:id="39" w:name="_Toc117671546"/>
      <w:r>
        <w:rPr>
          <w:rFonts w:hint="eastAsia" w:ascii="黑体" w:hAnsi="黑体" w:eastAsia="黑体" w:cs="黑体"/>
          <w:sz w:val="32"/>
          <w:szCs w:val="22"/>
        </w:rPr>
        <w:t>【监督检查】</w:t>
      </w:r>
      <w:bookmarkEnd w:id="39"/>
    </w:p>
    <w:p>
      <w:pPr>
        <w:ind w:firstLine="640" w:firstLineChars="200"/>
        <w:rPr>
          <w:rFonts w:ascii="仿宋" w:hAnsi="仿宋" w:eastAsia="仿宋"/>
          <w:bCs/>
          <w:sz w:val="32"/>
          <w:szCs w:val="32"/>
        </w:rPr>
      </w:pPr>
      <w:r>
        <w:rPr>
          <w:rFonts w:hint="eastAsia" w:ascii="仿宋" w:hAnsi="仿宋" w:eastAsia="仿宋"/>
          <w:bCs/>
          <w:sz w:val="32"/>
          <w:szCs w:val="32"/>
        </w:rPr>
        <w:t>主管部门应建立临时用地监督检查机制，通过临时用地审批监管系统监测临时用地审批、</w:t>
      </w:r>
      <w:r>
        <w:rPr>
          <w:rFonts w:ascii="仿宋" w:hAnsi="仿宋" w:eastAsia="仿宋"/>
          <w:bCs/>
          <w:sz w:val="32"/>
          <w:szCs w:val="32"/>
        </w:rPr>
        <w:t>收回</w:t>
      </w:r>
      <w:r>
        <w:rPr>
          <w:rFonts w:hint="eastAsia" w:ascii="仿宋" w:hAnsi="仿宋" w:eastAsia="仿宋"/>
          <w:bCs/>
          <w:sz w:val="32"/>
          <w:szCs w:val="32"/>
        </w:rPr>
        <w:t>情况，每半年统计相关审批、收回等数据，并不定期对临时用地管理情况进行抽查和通报。</w:t>
      </w:r>
    </w:p>
    <w:p>
      <w:pPr>
        <w:spacing w:before="312" w:beforeLines="100" w:after="312" w:afterLines="100" w:line="560" w:lineRule="exact"/>
        <w:jc w:val="center"/>
        <w:outlineLvl w:val="1"/>
        <w:rPr>
          <w:rFonts w:ascii="黑体" w:hAnsi="黑体" w:eastAsia="黑体" w:cstheme="minorBidi"/>
          <w:b/>
          <w:bCs/>
          <w:sz w:val="32"/>
          <w:szCs w:val="22"/>
        </w:rPr>
      </w:pPr>
      <w:bookmarkStart w:id="40" w:name="_Toc117671547"/>
      <w:r>
        <w:rPr>
          <w:rFonts w:hint="eastAsia" w:ascii="黑体" w:hAnsi="黑体" w:eastAsia="黑体" w:cstheme="minorBidi"/>
          <w:b/>
          <w:bCs/>
          <w:sz w:val="32"/>
          <w:szCs w:val="22"/>
        </w:rPr>
        <w:t>第六章  附则</w:t>
      </w:r>
      <w:bookmarkEnd w:id="40"/>
    </w:p>
    <w:p>
      <w:pPr>
        <w:pStyle w:val="31"/>
        <w:numPr>
          <w:ilvl w:val="0"/>
          <w:numId w:val="1"/>
        </w:numPr>
        <w:spacing w:line="360" w:lineRule="auto"/>
        <w:ind w:left="0" w:firstLine="640"/>
        <w:outlineLvl w:val="1"/>
        <w:rPr>
          <w:rFonts w:ascii="黑体" w:hAnsi="黑体" w:eastAsia="黑体" w:cs="黑体"/>
          <w:sz w:val="32"/>
          <w:szCs w:val="22"/>
        </w:rPr>
      </w:pPr>
      <w:bookmarkStart w:id="41" w:name="_Toc117671548"/>
      <w:r>
        <w:rPr>
          <w:rFonts w:hint="eastAsia" w:ascii="黑体" w:hAnsi="黑体" w:eastAsia="黑体" w:cs="黑体"/>
          <w:sz w:val="32"/>
          <w:szCs w:val="22"/>
        </w:rPr>
        <w:t>【先行使用】</w:t>
      </w:r>
      <w:bookmarkEnd w:id="41"/>
    </w:p>
    <w:p>
      <w:pPr>
        <w:ind w:firstLine="640" w:firstLineChars="200"/>
        <w:rPr>
          <w:rFonts w:ascii="仿宋" w:hAnsi="仿宋" w:eastAsia="仿宋"/>
          <w:bCs/>
          <w:sz w:val="32"/>
          <w:szCs w:val="32"/>
        </w:rPr>
      </w:pPr>
      <w:r>
        <w:rPr>
          <w:rFonts w:hint="eastAsia" w:ascii="仿宋" w:hAnsi="仿宋" w:eastAsia="仿宋"/>
          <w:bCs/>
          <w:sz w:val="32"/>
          <w:szCs w:val="32"/>
        </w:rPr>
        <w:t>抢险救灾、疫情防控等急需临时使用土地的，可以先行使用土地，不再办理临时用地审批手续。需要紧急先行用地的情形、范围、用途等，可由抢险救灾、疫情防控指挥部当场口头确定或书面形式明确；也可将相关情况上报市、区政府批准后明确。其中，涉及占用耕地、永久基本农田、生态保护红线的，须报市政府批准。</w:t>
      </w:r>
    </w:p>
    <w:p>
      <w:pPr>
        <w:ind w:firstLine="640" w:firstLineChars="200"/>
        <w:rPr>
          <w:rFonts w:ascii="仿宋" w:hAnsi="仿宋" w:eastAsia="仿宋"/>
          <w:bCs/>
          <w:sz w:val="32"/>
          <w:szCs w:val="32"/>
        </w:rPr>
      </w:pPr>
      <w:r>
        <w:rPr>
          <w:rFonts w:hint="eastAsia" w:ascii="仿宋" w:hAnsi="仿宋" w:eastAsia="仿宋"/>
          <w:bCs/>
          <w:sz w:val="32"/>
          <w:szCs w:val="32"/>
        </w:rPr>
        <w:t>使用单位应在先行用地使用完毕后一年内恢复原地类或达到可供利用状态，</w:t>
      </w:r>
      <w:r>
        <w:rPr>
          <w:rFonts w:hint="eastAsia" w:ascii="仿宋" w:hAnsi="仿宋" w:eastAsia="仿宋"/>
          <w:bCs/>
          <w:color w:val="auto"/>
          <w:sz w:val="32"/>
          <w:szCs w:val="32"/>
          <w:lang w:eastAsia="zh-CN"/>
        </w:rPr>
        <w:t>并</w:t>
      </w:r>
      <w:r>
        <w:rPr>
          <w:rFonts w:hint="eastAsia" w:ascii="仿宋" w:hAnsi="仿宋" w:eastAsia="仿宋"/>
          <w:bCs/>
          <w:sz w:val="32"/>
          <w:szCs w:val="32"/>
        </w:rPr>
        <w:t>按规定落实土壤污染防治责任</w:t>
      </w:r>
      <w:r>
        <w:rPr>
          <w:rFonts w:hint="eastAsia" w:ascii="仿宋" w:hAnsi="仿宋" w:eastAsia="仿宋"/>
          <w:bCs/>
          <w:sz w:val="32"/>
          <w:szCs w:val="32"/>
          <w:lang w:eastAsia="zh-CN"/>
        </w:rPr>
        <w:t>后交回土地</w:t>
      </w:r>
      <w:r>
        <w:rPr>
          <w:rFonts w:hint="eastAsia" w:ascii="仿宋" w:hAnsi="仿宋" w:eastAsia="仿宋"/>
          <w:bCs/>
          <w:sz w:val="32"/>
          <w:szCs w:val="32"/>
        </w:rPr>
        <w:t>。其中，涉及占用农用地的，由辖区政府指定的责任部门牵头编制土地复垦方案报告表，并由派出</w:t>
      </w:r>
      <w:r>
        <w:rPr>
          <w:rFonts w:ascii="仿宋" w:hAnsi="仿宋" w:eastAsia="仿宋"/>
          <w:bCs/>
          <w:sz w:val="32"/>
          <w:szCs w:val="32"/>
        </w:rPr>
        <w:t>机构</w:t>
      </w:r>
      <w:r>
        <w:rPr>
          <w:rFonts w:hint="eastAsia" w:ascii="仿宋" w:hAnsi="仿宋" w:eastAsia="仿宋"/>
          <w:bCs/>
          <w:sz w:val="32"/>
          <w:szCs w:val="32"/>
        </w:rPr>
        <w:t>组织专家评审，使用单位须按土地复垦方案报告表完成土地复垦工作后交回土地；涉及</w:t>
      </w:r>
      <w:r>
        <w:rPr>
          <w:rFonts w:ascii="仿宋" w:hAnsi="仿宋" w:eastAsia="仿宋"/>
          <w:bCs/>
          <w:sz w:val="32"/>
          <w:szCs w:val="32"/>
        </w:rPr>
        <w:t>占用林地的，</w:t>
      </w:r>
      <w:r>
        <w:rPr>
          <w:rFonts w:hint="eastAsia" w:ascii="仿宋" w:hAnsi="仿宋" w:eastAsia="仿宋"/>
          <w:bCs/>
          <w:sz w:val="32"/>
          <w:szCs w:val="32"/>
        </w:rPr>
        <w:t>使用单位</w:t>
      </w:r>
      <w:r>
        <w:rPr>
          <w:rFonts w:ascii="仿宋" w:hAnsi="仿宋" w:eastAsia="仿宋"/>
          <w:bCs/>
          <w:sz w:val="32"/>
          <w:szCs w:val="32"/>
        </w:rPr>
        <w:t>应当恢复林业生产条件，依法补偿后交还原</w:t>
      </w:r>
      <w:r>
        <w:rPr>
          <w:rFonts w:hint="eastAsia" w:ascii="仿宋" w:hAnsi="仿宋" w:eastAsia="仿宋"/>
          <w:bCs/>
          <w:sz w:val="32"/>
          <w:szCs w:val="32"/>
        </w:rPr>
        <w:t>林地使用者</w:t>
      </w:r>
      <w:r>
        <w:rPr>
          <w:rFonts w:ascii="仿宋" w:hAnsi="仿宋" w:eastAsia="仿宋"/>
          <w:bCs/>
          <w:sz w:val="32"/>
          <w:szCs w:val="32"/>
        </w:rPr>
        <w:t>。</w:t>
      </w:r>
    </w:p>
    <w:p>
      <w:pPr>
        <w:pStyle w:val="31"/>
        <w:numPr>
          <w:ilvl w:val="0"/>
          <w:numId w:val="1"/>
        </w:numPr>
        <w:spacing w:line="360" w:lineRule="auto"/>
        <w:ind w:left="0" w:firstLine="640"/>
        <w:outlineLvl w:val="1"/>
        <w:rPr>
          <w:rFonts w:ascii="黑体" w:hAnsi="黑体" w:eastAsia="黑体" w:cs="黑体"/>
          <w:sz w:val="32"/>
          <w:szCs w:val="22"/>
        </w:rPr>
      </w:pPr>
      <w:bookmarkStart w:id="42" w:name="_Toc117671549"/>
      <w:r>
        <w:rPr>
          <w:rFonts w:hint="eastAsia" w:ascii="黑体" w:hAnsi="黑体" w:eastAsia="黑体" w:cs="黑体"/>
          <w:sz w:val="32"/>
          <w:szCs w:val="22"/>
        </w:rPr>
        <w:t>【有效期及政策衔接】</w:t>
      </w:r>
      <w:bookmarkEnd w:id="42"/>
    </w:p>
    <w:p>
      <w:pPr>
        <w:ind w:firstLine="640" w:firstLineChars="200"/>
        <w:rPr>
          <w:rFonts w:ascii="仿宋" w:hAnsi="仿宋" w:eastAsia="仿宋"/>
          <w:bCs/>
          <w:sz w:val="32"/>
          <w:szCs w:val="32"/>
        </w:rPr>
      </w:pPr>
      <w:r>
        <w:rPr>
          <w:rFonts w:hint="eastAsia" w:ascii="仿宋" w:hAnsi="仿宋" w:eastAsia="仿宋"/>
          <w:bCs/>
          <w:sz w:val="32"/>
          <w:szCs w:val="32"/>
        </w:rPr>
        <w:t>本办法自发布之日起施行，有效期</w:t>
      </w:r>
      <w:r>
        <w:rPr>
          <w:rFonts w:ascii="仿宋" w:hAnsi="仿宋" w:eastAsia="仿宋"/>
          <w:bCs/>
          <w:sz w:val="32"/>
          <w:szCs w:val="32"/>
        </w:rPr>
        <w:t>5</w:t>
      </w:r>
      <w:r>
        <w:rPr>
          <w:rFonts w:hint="eastAsia" w:ascii="仿宋" w:hAnsi="仿宋" w:eastAsia="仿宋"/>
          <w:bCs/>
          <w:sz w:val="32"/>
          <w:szCs w:val="32"/>
        </w:rPr>
        <w:t>年。《深圳市临时用地管理办法》（深规划资源规〔2</w:t>
      </w:r>
      <w:r>
        <w:rPr>
          <w:rFonts w:ascii="仿宋" w:hAnsi="仿宋" w:eastAsia="仿宋"/>
          <w:bCs/>
          <w:sz w:val="32"/>
          <w:szCs w:val="32"/>
        </w:rPr>
        <w:t>019</w:t>
      </w:r>
      <w:r>
        <w:rPr>
          <w:rFonts w:hint="eastAsia" w:ascii="仿宋" w:hAnsi="仿宋" w:eastAsia="仿宋"/>
          <w:bCs/>
          <w:sz w:val="32"/>
          <w:szCs w:val="32"/>
        </w:rPr>
        <w:t>〕6号）同时废止。</w:t>
      </w:r>
    </w:p>
    <w:p>
      <w:pPr>
        <w:ind w:firstLine="640" w:firstLineChars="200"/>
        <w:rPr>
          <w:rFonts w:ascii="仿宋" w:hAnsi="仿宋" w:eastAsia="仿宋" w:cs="仿宋_GB2312"/>
          <w:bCs/>
          <w:sz w:val="32"/>
          <w:szCs w:val="32"/>
        </w:rPr>
      </w:pPr>
      <w:r>
        <w:rPr>
          <w:rFonts w:hint="eastAsia" w:ascii="仿宋" w:hAnsi="仿宋" w:eastAsia="仿宋"/>
          <w:bCs/>
          <w:sz w:val="32"/>
          <w:szCs w:val="32"/>
        </w:rPr>
        <w:t>深汕特别合作区的临时用地审批及管理由市规划和自然资源局深汕管理局</w:t>
      </w:r>
      <w:r>
        <w:rPr>
          <w:rFonts w:hint="eastAsia" w:ascii="仿宋" w:hAnsi="仿宋" w:eastAsia="仿宋" w:cs="仿宋_GB2312"/>
          <w:bCs/>
          <w:sz w:val="32"/>
          <w:szCs w:val="32"/>
        </w:rPr>
        <w:t>结合实际情况，参照本办法办理。</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10" w:usb3="00000000" w:csb0="00040000" w:csb1="00000000"/>
  </w:font>
  <w:font w:name="汉仪中圆简">
    <w:altName w:val="华文仿宋"/>
    <w:panose1 w:val="00000000000000000000"/>
    <w:charset w:val="86"/>
    <w:family w:val="modern"/>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w:t>
    </w:r>
    <w: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9DDE0"/>
    <w:multiLevelType w:val="singleLevel"/>
    <w:tmpl w:val="1FA9DDE0"/>
    <w:lvl w:ilvl="0" w:tentative="0">
      <w:start w:val="1"/>
      <w:numFmt w:val="chineseCounting"/>
      <w:suff w:val="nothing"/>
      <w:lvlText w:val="（%1）"/>
      <w:lvlJc w:val="left"/>
      <w:rPr>
        <w:rFonts w:hint="eastAsia"/>
      </w:rPr>
    </w:lvl>
  </w:abstractNum>
  <w:abstractNum w:abstractNumId="1">
    <w:nsid w:val="31CB7695"/>
    <w:multiLevelType w:val="multilevel"/>
    <w:tmpl w:val="31CB7695"/>
    <w:lvl w:ilvl="0" w:tentative="0">
      <w:start w:val="1"/>
      <w:numFmt w:val="chineseCountingThousand"/>
      <w:lvlText w:val="第%1条"/>
      <w:lvlJc w:val="left"/>
      <w:pPr>
        <w:ind w:left="1413" w:hanging="420"/>
      </w:pPr>
      <w:rPr>
        <w:rFonts w:hint="eastAsia" w:ascii="黑体" w:hAnsi="黑体" w:eastAsia="黑体" w:cs="Times New Roman"/>
        <w:b/>
        <w:bCs/>
        <w:i w:val="0"/>
        <w:color w:val="auto"/>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NGM5MTRhNDhiMDkzOGY0NzA5MWY3MmIyOWE2NWUifQ=="/>
  </w:docVars>
  <w:rsids>
    <w:rsidRoot w:val="0015764C"/>
    <w:rsid w:val="00000116"/>
    <w:rsid w:val="00000B0F"/>
    <w:rsid w:val="00000EA0"/>
    <w:rsid w:val="00002AEC"/>
    <w:rsid w:val="00004548"/>
    <w:rsid w:val="00004B31"/>
    <w:rsid w:val="00005081"/>
    <w:rsid w:val="000052E1"/>
    <w:rsid w:val="00005BE2"/>
    <w:rsid w:val="0000600B"/>
    <w:rsid w:val="000068AC"/>
    <w:rsid w:val="00007B9C"/>
    <w:rsid w:val="00007C06"/>
    <w:rsid w:val="00007E0C"/>
    <w:rsid w:val="000101B8"/>
    <w:rsid w:val="00011231"/>
    <w:rsid w:val="00011BD1"/>
    <w:rsid w:val="000126A7"/>
    <w:rsid w:val="00013516"/>
    <w:rsid w:val="00014527"/>
    <w:rsid w:val="00016908"/>
    <w:rsid w:val="00017499"/>
    <w:rsid w:val="00017FB9"/>
    <w:rsid w:val="000208DC"/>
    <w:rsid w:val="00020EEE"/>
    <w:rsid w:val="00022FE0"/>
    <w:rsid w:val="00023A74"/>
    <w:rsid w:val="00023F85"/>
    <w:rsid w:val="0002448C"/>
    <w:rsid w:val="000255C3"/>
    <w:rsid w:val="00027F33"/>
    <w:rsid w:val="00030034"/>
    <w:rsid w:val="000321F6"/>
    <w:rsid w:val="00032E58"/>
    <w:rsid w:val="000342D4"/>
    <w:rsid w:val="00034615"/>
    <w:rsid w:val="00036E4B"/>
    <w:rsid w:val="00041D25"/>
    <w:rsid w:val="00042285"/>
    <w:rsid w:val="00042B62"/>
    <w:rsid w:val="000432E3"/>
    <w:rsid w:val="000453E8"/>
    <w:rsid w:val="000467B7"/>
    <w:rsid w:val="000477EA"/>
    <w:rsid w:val="00047F1D"/>
    <w:rsid w:val="000504D7"/>
    <w:rsid w:val="00051922"/>
    <w:rsid w:val="0005431E"/>
    <w:rsid w:val="00055514"/>
    <w:rsid w:val="00055534"/>
    <w:rsid w:val="0005570A"/>
    <w:rsid w:val="00056B50"/>
    <w:rsid w:val="00061059"/>
    <w:rsid w:val="00061B53"/>
    <w:rsid w:val="00061C73"/>
    <w:rsid w:val="00063286"/>
    <w:rsid w:val="0006413A"/>
    <w:rsid w:val="00064773"/>
    <w:rsid w:val="00064D09"/>
    <w:rsid w:val="000706FE"/>
    <w:rsid w:val="0007231D"/>
    <w:rsid w:val="00072985"/>
    <w:rsid w:val="00072FF8"/>
    <w:rsid w:val="000733C2"/>
    <w:rsid w:val="000766AA"/>
    <w:rsid w:val="00076769"/>
    <w:rsid w:val="000770BC"/>
    <w:rsid w:val="0007760E"/>
    <w:rsid w:val="00077E4D"/>
    <w:rsid w:val="000800A3"/>
    <w:rsid w:val="000802BA"/>
    <w:rsid w:val="0008041E"/>
    <w:rsid w:val="000806ED"/>
    <w:rsid w:val="00080AEB"/>
    <w:rsid w:val="00082417"/>
    <w:rsid w:val="00082695"/>
    <w:rsid w:val="0008280D"/>
    <w:rsid w:val="000828AE"/>
    <w:rsid w:val="0008330D"/>
    <w:rsid w:val="0008418A"/>
    <w:rsid w:val="00085AF9"/>
    <w:rsid w:val="00085D48"/>
    <w:rsid w:val="00085D85"/>
    <w:rsid w:val="00086634"/>
    <w:rsid w:val="00086B06"/>
    <w:rsid w:val="00087001"/>
    <w:rsid w:val="0008731C"/>
    <w:rsid w:val="000878E1"/>
    <w:rsid w:val="000902DA"/>
    <w:rsid w:val="00090BDE"/>
    <w:rsid w:val="00090C46"/>
    <w:rsid w:val="00090DFE"/>
    <w:rsid w:val="0009347B"/>
    <w:rsid w:val="00093896"/>
    <w:rsid w:val="000952D6"/>
    <w:rsid w:val="0009589A"/>
    <w:rsid w:val="00096DF8"/>
    <w:rsid w:val="000A0DC0"/>
    <w:rsid w:val="000A0E35"/>
    <w:rsid w:val="000A107B"/>
    <w:rsid w:val="000A1635"/>
    <w:rsid w:val="000A1666"/>
    <w:rsid w:val="000A1B45"/>
    <w:rsid w:val="000A3D21"/>
    <w:rsid w:val="000A3DD8"/>
    <w:rsid w:val="000A45C1"/>
    <w:rsid w:val="000A6542"/>
    <w:rsid w:val="000A74C1"/>
    <w:rsid w:val="000B0E4C"/>
    <w:rsid w:val="000B257A"/>
    <w:rsid w:val="000B32EA"/>
    <w:rsid w:val="000B3D84"/>
    <w:rsid w:val="000B6723"/>
    <w:rsid w:val="000B6AF2"/>
    <w:rsid w:val="000B75CA"/>
    <w:rsid w:val="000B7B89"/>
    <w:rsid w:val="000C023E"/>
    <w:rsid w:val="000C0906"/>
    <w:rsid w:val="000C0F1D"/>
    <w:rsid w:val="000C18FB"/>
    <w:rsid w:val="000C1A39"/>
    <w:rsid w:val="000C2551"/>
    <w:rsid w:val="000C357B"/>
    <w:rsid w:val="000C4897"/>
    <w:rsid w:val="000C55B7"/>
    <w:rsid w:val="000D3BE5"/>
    <w:rsid w:val="000D597C"/>
    <w:rsid w:val="000D6468"/>
    <w:rsid w:val="000E0818"/>
    <w:rsid w:val="000E1E49"/>
    <w:rsid w:val="000E4748"/>
    <w:rsid w:val="000E4B3D"/>
    <w:rsid w:val="000E6154"/>
    <w:rsid w:val="000E78C2"/>
    <w:rsid w:val="000F0AD8"/>
    <w:rsid w:val="000F0B96"/>
    <w:rsid w:val="000F2D6C"/>
    <w:rsid w:val="000F2E1A"/>
    <w:rsid w:val="000F45EE"/>
    <w:rsid w:val="000F60E2"/>
    <w:rsid w:val="000F63C0"/>
    <w:rsid w:val="000F6F8F"/>
    <w:rsid w:val="000F70D0"/>
    <w:rsid w:val="000F747C"/>
    <w:rsid w:val="000F7810"/>
    <w:rsid w:val="000F7A39"/>
    <w:rsid w:val="000F7DDE"/>
    <w:rsid w:val="00100497"/>
    <w:rsid w:val="00105015"/>
    <w:rsid w:val="0010581B"/>
    <w:rsid w:val="00112DFC"/>
    <w:rsid w:val="001145E2"/>
    <w:rsid w:val="00115005"/>
    <w:rsid w:val="001152F5"/>
    <w:rsid w:val="00116955"/>
    <w:rsid w:val="00120A83"/>
    <w:rsid w:val="0012110B"/>
    <w:rsid w:val="001215CA"/>
    <w:rsid w:val="00122A25"/>
    <w:rsid w:val="00123172"/>
    <w:rsid w:val="00123E7A"/>
    <w:rsid w:val="001242BB"/>
    <w:rsid w:val="00125279"/>
    <w:rsid w:val="00125CA4"/>
    <w:rsid w:val="00126F0D"/>
    <w:rsid w:val="0013134D"/>
    <w:rsid w:val="00132B35"/>
    <w:rsid w:val="00132EAA"/>
    <w:rsid w:val="00132EC1"/>
    <w:rsid w:val="00134990"/>
    <w:rsid w:val="00135091"/>
    <w:rsid w:val="00140264"/>
    <w:rsid w:val="00142EF1"/>
    <w:rsid w:val="00144CF1"/>
    <w:rsid w:val="0014530C"/>
    <w:rsid w:val="001461E4"/>
    <w:rsid w:val="0014743C"/>
    <w:rsid w:val="00147490"/>
    <w:rsid w:val="00147AEE"/>
    <w:rsid w:val="001511F1"/>
    <w:rsid w:val="00151263"/>
    <w:rsid w:val="00152727"/>
    <w:rsid w:val="00152FC5"/>
    <w:rsid w:val="00153C6C"/>
    <w:rsid w:val="0015514A"/>
    <w:rsid w:val="0015526C"/>
    <w:rsid w:val="00155FAA"/>
    <w:rsid w:val="0015764C"/>
    <w:rsid w:val="0016066C"/>
    <w:rsid w:val="001609FD"/>
    <w:rsid w:val="0016144B"/>
    <w:rsid w:val="001623F2"/>
    <w:rsid w:val="0016283A"/>
    <w:rsid w:val="00163635"/>
    <w:rsid w:val="001643A8"/>
    <w:rsid w:val="00164E5E"/>
    <w:rsid w:val="00165058"/>
    <w:rsid w:val="0016628C"/>
    <w:rsid w:val="001672ED"/>
    <w:rsid w:val="00167810"/>
    <w:rsid w:val="00171E45"/>
    <w:rsid w:val="00173F59"/>
    <w:rsid w:val="001747DE"/>
    <w:rsid w:val="001759B2"/>
    <w:rsid w:val="00175D0C"/>
    <w:rsid w:val="00177E0C"/>
    <w:rsid w:val="00177F7A"/>
    <w:rsid w:val="0018253D"/>
    <w:rsid w:val="00182F7B"/>
    <w:rsid w:val="00183593"/>
    <w:rsid w:val="00183647"/>
    <w:rsid w:val="00184FE8"/>
    <w:rsid w:val="00185C52"/>
    <w:rsid w:val="00185F35"/>
    <w:rsid w:val="00186758"/>
    <w:rsid w:val="001868B5"/>
    <w:rsid w:val="00186997"/>
    <w:rsid w:val="00187C65"/>
    <w:rsid w:val="001901C4"/>
    <w:rsid w:val="0019150C"/>
    <w:rsid w:val="00191AD7"/>
    <w:rsid w:val="00193295"/>
    <w:rsid w:val="001932B0"/>
    <w:rsid w:val="0019334A"/>
    <w:rsid w:val="001941DD"/>
    <w:rsid w:val="00194FCE"/>
    <w:rsid w:val="00196BEB"/>
    <w:rsid w:val="00196E35"/>
    <w:rsid w:val="001971BB"/>
    <w:rsid w:val="001A0E48"/>
    <w:rsid w:val="001A1E0E"/>
    <w:rsid w:val="001A1EC3"/>
    <w:rsid w:val="001A1F43"/>
    <w:rsid w:val="001A3549"/>
    <w:rsid w:val="001A5F72"/>
    <w:rsid w:val="001A6187"/>
    <w:rsid w:val="001B0B27"/>
    <w:rsid w:val="001B0ECF"/>
    <w:rsid w:val="001B0FD0"/>
    <w:rsid w:val="001B3F95"/>
    <w:rsid w:val="001C0972"/>
    <w:rsid w:val="001C1789"/>
    <w:rsid w:val="001C1B3A"/>
    <w:rsid w:val="001C3769"/>
    <w:rsid w:val="001C4651"/>
    <w:rsid w:val="001C579C"/>
    <w:rsid w:val="001C5D8B"/>
    <w:rsid w:val="001C64D7"/>
    <w:rsid w:val="001C656D"/>
    <w:rsid w:val="001C7813"/>
    <w:rsid w:val="001D0AA0"/>
    <w:rsid w:val="001D33D5"/>
    <w:rsid w:val="001D344F"/>
    <w:rsid w:val="001D3720"/>
    <w:rsid w:val="001D3A13"/>
    <w:rsid w:val="001D4D98"/>
    <w:rsid w:val="001D54CA"/>
    <w:rsid w:val="001D5D77"/>
    <w:rsid w:val="001D6B6E"/>
    <w:rsid w:val="001E072C"/>
    <w:rsid w:val="001E33A2"/>
    <w:rsid w:val="001E4C4E"/>
    <w:rsid w:val="001E6921"/>
    <w:rsid w:val="001E7A44"/>
    <w:rsid w:val="001E7F28"/>
    <w:rsid w:val="001F0D90"/>
    <w:rsid w:val="001F20BF"/>
    <w:rsid w:val="001F4EC2"/>
    <w:rsid w:val="001F55AF"/>
    <w:rsid w:val="001F66B3"/>
    <w:rsid w:val="002000F5"/>
    <w:rsid w:val="00201670"/>
    <w:rsid w:val="00202A09"/>
    <w:rsid w:val="00203439"/>
    <w:rsid w:val="00204692"/>
    <w:rsid w:val="0020592F"/>
    <w:rsid w:val="00205CCB"/>
    <w:rsid w:val="0020687E"/>
    <w:rsid w:val="00210787"/>
    <w:rsid w:val="00210788"/>
    <w:rsid w:val="002108D7"/>
    <w:rsid w:val="0021276D"/>
    <w:rsid w:val="0021639F"/>
    <w:rsid w:val="002164C7"/>
    <w:rsid w:val="002172D2"/>
    <w:rsid w:val="00217C0D"/>
    <w:rsid w:val="00217E62"/>
    <w:rsid w:val="002202C2"/>
    <w:rsid w:val="002213FF"/>
    <w:rsid w:val="00221FE8"/>
    <w:rsid w:val="00222319"/>
    <w:rsid w:val="0022255F"/>
    <w:rsid w:val="0022264F"/>
    <w:rsid w:val="002238BE"/>
    <w:rsid w:val="002239DC"/>
    <w:rsid w:val="00225598"/>
    <w:rsid w:val="00225E32"/>
    <w:rsid w:val="00226470"/>
    <w:rsid w:val="00226AD6"/>
    <w:rsid w:val="002274B5"/>
    <w:rsid w:val="002277A4"/>
    <w:rsid w:val="002279BF"/>
    <w:rsid w:val="0023088A"/>
    <w:rsid w:val="002335A0"/>
    <w:rsid w:val="00233CD2"/>
    <w:rsid w:val="00233F7E"/>
    <w:rsid w:val="002346B3"/>
    <w:rsid w:val="00235A9D"/>
    <w:rsid w:val="002365D2"/>
    <w:rsid w:val="00236E7D"/>
    <w:rsid w:val="002375CD"/>
    <w:rsid w:val="00241B8C"/>
    <w:rsid w:val="00242C44"/>
    <w:rsid w:val="00243FAF"/>
    <w:rsid w:val="00245DA4"/>
    <w:rsid w:val="002502CC"/>
    <w:rsid w:val="002518CF"/>
    <w:rsid w:val="0025385A"/>
    <w:rsid w:val="00253E61"/>
    <w:rsid w:val="002542D0"/>
    <w:rsid w:val="00254A0D"/>
    <w:rsid w:val="002560BB"/>
    <w:rsid w:val="00256781"/>
    <w:rsid w:val="00256FD9"/>
    <w:rsid w:val="00262811"/>
    <w:rsid w:val="002633F2"/>
    <w:rsid w:val="0026368A"/>
    <w:rsid w:val="00263B44"/>
    <w:rsid w:val="002641B7"/>
    <w:rsid w:val="00264B77"/>
    <w:rsid w:val="00265D76"/>
    <w:rsid w:val="00266642"/>
    <w:rsid w:val="00273849"/>
    <w:rsid w:val="00274784"/>
    <w:rsid w:val="00274D6A"/>
    <w:rsid w:val="002753FF"/>
    <w:rsid w:val="00275F44"/>
    <w:rsid w:val="002815D8"/>
    <w:rsid w:val="00282BAC"/>
    <w:rsid w:val="002838F8"/>
    <w:rsid w:val="00283EB4"/>
    <w:rsid w:val="0028461D"/>
    <w:rsid w:val="0028638E"/>
    <w:rsid w:val="00290E29"/>
    <w:rsid w:val="002914E3"/>
    <w:rsid w:val="00291A4A"/>
    <w:rsid w:val="0029282F"/>
    <w:rsid w:val="002935F9"/>
    <w:rsid w:val="00293CAA"/>
    <w:rsid w:val="00294025"/>
    <w:rsid w:val="00294865"/>
    <w:rsid w:val="00294C73"/>
    <w:rsid w:val="00295719"/>
    <w:rsid w:val="002A129F"/>
    <w:rsid w:val="002A201B"/>
    <w:rsid w:val="002A3B0A"/>
    <w:rsid w:val="002A5276"/>
    <w:rsid w:val="002A5336"/>
    <w:rsid w:val="002A56E8"/>
    <w:rsid w:val="002A5973"/>
    <w:rsid w:val="002A6183"/>
    <w:rsid w:val="002A66C1"/>
    <w:rsid w:val="002A6C8D"/>
    <w:rsid w:val="002B3E1E"/>
    <w:rsid w:val="002B61F7"/>
    <w:rsid w:val="002B66F3"/>
    <w:rsid w:val="002B67BE"/>
    <w:rsid w:val="002B6E7C"/>
    <w:rsid w:val="002B7632"/>
    <w:rsid w:val="002C04AD"/>
    <w:rsid w:val="002C1C8C"/>
    <w:rsid w:val="002C1F5C"/>
    <w:rsid w:val="002C29AF"/>
    <w:rsid w:val="002C2D60"/>
    <w:rsid w:val="002C3DB2"/>
    <w:rsid w:val="002C485D"/>
    <w:rsid w:val="002C6FAE"/>
    <w:rsid w:val="002C7829"/>
    <w:rsid w:val="002D0EBE"/>
    <w:rsid w:val="002D0F09"/>
    <w:rsid w:val="002D3368"/>
    <w:rsid w:val="002D3EAB"/>
    <w:rsid w:val="002E130C"/>
    <w:rsid w:val="002E21BD"/>
    <w:rsid w:val="002E2800"/>
    <w:rsid w:val="002E3CD7"/>
    <w:rsid w:val="002E5B69"/>
    <w:rsid w:val="002E6101"/>
    <w:rsid w:val="002E6F9E"/>
    <w:rsid w:val="002F092C"/>
    <w:rsid w:val="002F326B"/>
    <w:rsid w:val="002F332C"/>
    <w:rsid w:val="002F38CA"/>
    <w:rsid w:val="002F3D09"/>
    <w:rsid w:val="002F49EB"/>
    <w:rsid w:val="002F6490"/>
    <w:rsid w:val="002F6940"/>
    <w:rsid w:val="002F7BF3"/>
    <w:rsid w:val="0030014A"/>
    <w:rsid w:val="0030147A"/>
    <w:rsid w:val="00303A21"/>
    <w:rsid w:val="00303E71"/>
    <w:rsid w:val="00304AED"/>
    <w:rsid w:val="003057C2"/>
    <w:rsid w:val="00305A64"/>
    <w:rsid w:val="00305F12"/>
    <w:rsid w:val="00307CE4"/>
    <w:rsid w:val="00311795"/>
    <w:rsid w:val="0031324B"/>
    <w:rsid w:val="00313A17"/>
    <w:rsid w:val="00313BFD"/>
    <w:rsid w:val="00314231"/>
    <w:rsid w:val="0031527C"/>
    <w:rsid w:val="00315B53"/>
    <w:rsid w:val="0031620C"/>
    <w:rsid w:val="00316C8E"/>
    <w:rsid w:val="00317F99"/>
    <w:rsid w:val="00320D1B"/>
    <w:rsid w:val="00321519"/>
    <w:rsid w:val="003215E8"/>
    <w:rsid w:val="00321834"/>
    <w:rsid w:val="00322B0E"/>
    <w:rsid w:val="00323095"/>
    <w:rsid w:val="00323DCE"/>
    <w:rsid w:val="003243D8"/>
    <w:rsid w:val="00326527"/>
    <w:rsid w:val="00326C4E"/>
    <w:rsid w:val="00327535"/>
    <w:rsid w:val="00330E36"/>
    <w:rsid w:val="0033136C"/>
    <w:rsid w:val="003317E3"/>
    <w:rsid w:val="003323B3"/>
    <w:rsid w:val="00335A0B"/>
    <w:rsid w:val="00335E69"/>
    <w:rsid w:val="003370FE"/>
    <w:rsid w:val="00341580"/>
    <w:rsid w:val="00342995"/>
    <w:rsid w:val="00343D7E"/>
    <w:rsid w:val="0034582F"/>
    <w:rsid w:val="00346FE9"/>
    <w:rsid w:val="00350A1E"/>
    <w:rsid w:val="00351A85"/>
    <w:rsid w:val="003520C6"/>
    <w:rsid w:val="003535BA"/>
    <w:rsid w:val="00353C5E"/>
    <w:rsid w:val="00354A5D"/>
    <w:rsid w:val="003550EB"/>
    <w:rsid w:val="0035645D"/>
    <w:rsid w:val="003565E9"/>
    <w:rsid w:val="00356694"/>
    <w:rsid w:val="00356C0E"/>
    <w:rsid w:val="00360D00"/>
    <w:rsid w:val="003619BD"/>
    <w:rsid w:val="00362565"/>
    <w:rsid w:val="00362BB5"/>
    <w:rsid w:val="0036373D"/>
    <w:rsid w:val="00365350"/>
    <w:rsid w:val="00365682"/>
    <w:rsid w:val="00365905"/>
    <w:rsid w:val="00367969"/>
    <w:rsid w:val="00370A78"/>
    <w:rsid w:val="00371226"/>
    <w:rsid w:val="0037241A"/>
    <w:rsid w:val="00372C71"/>
    <w:rsid w:val="00373978"/>
    <w:rsid w:val="00373A1C"/>
    <w:rsid w:val="00374026"/>
    <w:rsid w:val="0037500D"/>
    <w:rsid w:val="00375289"/>
    <w:rsid w:val="00376338"/>
    <w:rsid w:val="00376C56"/>
    <w:rsid w:val="00377D79"/>
    <w:rsid w:val="00380681"/>
    <w:rsid w:val="0038137D"/>
    <w:rsid w:val="003841B3"/>
    <w:rsid w:val="00384651"/>
    <w:rsid w:val="00384723"/>
    <w:rsid w:val="00384C08"/>
    <w:rsid w:val="00385B10"/>
    <w:rsid w:val="00385EE7"/>
    <w:rsid w:val="003860BA"/>
    <w:rsid w:val="0039134F"/>
    <w:rsid w:val="00391B6D"/>
    <w:rsid w:val="00391F84"/>
    <w:rsid w:val="003921A3"/>
    <w:rsid w:val="003926C9"/>
    <w:rsid w:val="00392700"/>
    <w:rsid w:val="00393EB8"/>
    <w:rsid w:val="003969C2"/>
    <w:rsid w:val="0039743F"/>
    <w:rsid w:val="00397860"/>
    <w:rsid w:val="003A0100"/>
    <w:rsid w:val="003A0BA2"/>
    <w:rsid w:val="003A31E1"/>
    <w:rsid w:val="003A53E2"/>
    <w:rsid w:val="003A5F12"/>
    <w:rsid w:val="003B09EC"/>
    <w:rsid w:val="003B14AF"/>
    <w:rsid w:val="003B1D9E"/>
    <w:rsid w:val="003B2439"/>
    <w:rsid w:val="003B25E3"/>
    <w:rsid w:val="003B3FAB"/>
    <w:rsid w:val="003B4640"/>
    <w:rsid w:val="003B47A7"/>
    <w:rsid w:val="003B54A6"/>
    <w:rsid w:val="003B5978"/>
    <w:rsid w:val="003B6FE8"/>
    <w:rsid w:val="003C3170"/>
    <w:rsid w:val="003C4641"/>
    <w:rsid w:val="003C4D4C"/>
    <w:rsid w:val="003C56B8"/>
    <w:rsid w:val="003C5863"/>
    <w:rsid w:val="003C6147"/>
    <w:rsid w:val="003C6FAB"/>
    <w:rsid w:val="003C7FAA"/>
    <w:rsid w:val="003D0EE8"/>
    <w:rsid w:val="003D1364"/>
    <w:rsid w:val="003D173D"/>
    <w:rsid w:val="003D27D2"/>
    <w:rsid w:val="003D2982"/>
    <w:rsid w:val="003D307A"/>
    <w:rsid w:val="003D5652"/>
    <w:rsid w:val="003E2F14"/>
    <w:rsid w:val="003E3005"/>
    <w:rsid w:val="003E3864"/>
    <w:rsid w:val="003E4F05"/>
    <w:rsid w:val="003E4F74"/>
    <w:rsid w:val="003E515C"/>
    <w:rsid w:val="003E6331"/>
    <w:rsid w:val="003E635A"/>
    <w:rsid w:val="003F29A4"/>
    <w:rsid w:val="003F2D85"/>
    <w:rsid w:val="003F453C"/>
    <w:rsid w:val="003F4D57"/>
    <w:rsid w:val="003F54CF"/>
    <w:rsid w:val="003F5FBC"/>
    <w:rsid w:val="003F626B"/>
    <w:rsid w:val="003F6B8B"/>
    <w:rsid w:val="003F7BC3"/>
    <w:rsid w:val="004027C2"/>
    <w:rsid w:val="00402AE5"/>
    <w:rsid w:val="0040404E"/>
    <w:rsid w:val="00404433"/>
    <w:rsid w:val="00405814"/>
    <w:rsid w:val="0041098A"/>
    <w:rsid w:val="00410B83"/>
    <w:rsid w:val="0041315C"/>
    <w:rsid w:val="00415BD7"/>
    <w:rsid w:val="00415FFC"/>
    <w:rsid w:val="0041644A"/>
    <w:rsid w:val="004174E5"/>
    <w:rsid w:val="00420386"/>
    <w:rsid w:val="00420BA6"/>
    <w:rsid w:val="00423626"/>
    <w:rsid w:val="00424DAD"/>
    <w:rsid w:val="00426769"/>
    <w:rsid w:val="00426B2F"/>
    <w:rsid w:val="00427155"/>
    <w:rsid w:val="0042747C"/>
    <w:rsid w:val="00427EB0"/>
    <w:rsid w:val="004311B9"/>
    <w:rsid w:val="004314CB"/>
    <w:rsid w:val="0043196A"/>
    <w:rsid w:val="004320CB"/>
    <w:rsid w:val="00433307"/>
    <w:rsid w:val="004337D2"/>
    <w:rsid w:val="00434AE0"/>
    <w:rsid w:val="00437072"/>
    <w:rsid w:val="00440653"/>
    <w:rsid w:val="0044090E"/>
    <w:rsid w:val="00444DAA"/>
    <w:rsid w:val="00446BCC"/>
    <w:rsid w:val="00447591"/>
    <w:rsid w:val="00451C0C"/>
    <w:rsid w:val="004538A0"/>
    <w:rsid w:val="00455D1B"/>
    <w:rsid w:val="00460533"/>
    <w:rsid w:val="0046088B"/>
    <w:rsid w:val="00461111"/>
    <w:rsid w:val="00461342"/>
    <w:rsid w:val="00462525"/>
    <w:rsid w:val="00462B3B"/>
    <w:rsid w:val="00463EA8"/>
    <w:rsid w:val="004645CD"/>
    <w:rsid w:val="0046466B"/>
    <w:rsid w:val="00470FD0"/>
    <w:rsid w:val="00472995"/>
    <w:rsid w:val="004733D9"/>
    <w:rsid w:val="0047416D"/>
    <w:rsid w:val="004742D7"/>
    <w:rsid w:val="00474A47"/>
    <w:rsid w:val="00474F55"/>
    <w:rsid w:val="00475224"/>
    <w:rsid w:val="00476469"/>
    <w:rsid w:val="00476C60"/>
    <w:rsid w:val="00477282"/>
    <w:rsid w:val="0047742A"/>
    <w:rsid w:val="004775EB"/>
    <w:rsid w:val="00477C73"/>
    <w:rsid w:val="00477EB2"/>
    <w:rsid w:val="00477FBC"/>
    <w:rsid w:val="004803C7"/>
    <w:rsid w:val="00480581"/>
    <w:rsid w:val="00480A4B"/>
    <w:rsid w:val="00481269"/>
    <w:rsid w:val="004813E2"/>
    <w:rsid w:val="00482229"/>
    <w:rsid w:val="00482EDF"/>
    <w:rsid w:val="00485400"/>
    <w:rsid w:val="00487364"/>
    <w:rsid w:val="00487E01"/>
    <w:rsid w:val="00487E76"/>
    <w:rsid w:val="00491651"/>
    <w:rsid w:val="00492775"/>
    <w:rsid w:val="004933EA"/>
    <w:rsid w:val="00493698"/>
    <w:rsid w:val="00493AE4"/>
    <w:rsid w:val="0049435D"/>
    <w:rsid w:val="004957E9"/>
    <w:rsid w:val="0049682A"/>
    <w:rsid w:val="00496B6B"/>
    <w:rsid w:val="00496E82"/>
    <w:rsid w:val="00497BE4"/>
    <w:rsid w:val="004A1AA7"/>
    <w:rsid w:val="004A476D"/>
    <w:rsid w:val="004A4E4F"/>
    <w:rsid w:val="004A5196"/>
    <w:rsid w:val="004A6993"/>
    <w:rsid w:val="004A753E"/>
    <w:rsid w:val="004B0BF0"/>
    <w:rsid w:val="004B10A8"/>
    <w:rsid w:val="004B1206"/>
    <w:rsid w:val="004B1C21"/>
    <w:rsid w:val="004B556B"/>
    <w:rsid w:val="004B65CF"/>
    <w:rsid w:val="004B756A"/>
    <w:rsid w:val="004B7AAF"/>
    <w:rsid w:val="004C14A0"/>
    <w:rsid w:val="004C28DD"/>
    <w:rsid w:val="004C30A3"/>
    <w:rsid w:val="004C3170"/>
    <w:rsid w:val="004C320B"/>
    <w:rsid w:val="004C36C6"/>
    <w:rsid w:val="004C50B1"/>
    <w:rsid w:val="004C5F7A"/>
    <w:rsid w:val="004C60D7"/>
    <w:rsid w:val="004C70AB"/>
    <w:rsid w:val="004C7B73"/>
    <w:rsid w:val="004D159B"/>
    <w:rsid w:val="004D23A4"/>
    <w:rsid w:val="004D2CA8"/>
    <w:rsid w:val="004D47EE"/>
    <w:rsid w:val="004D4A84"/>
    <w:rsid w:val="004D4B15"/>
    <w:rsid w:val="004D4B5B"/>
    <w:rsid w:val="004D6A5E"/>
    <w:rsid w:val="004D6C3B"/>
    <w:rsid w:val="004D7206"/>
    <w:rsid w:val="004E1C31"/>
    <w:rsid w:val="004E28F8"/>
    <w:rsid w:val="004E2ACB"/>
    <w:rsid w:val="004E3100"/>
    <w:rsid w:val="004E4BC6"/>
    <w:rsid w:val="004E5841"/>
    <w:rsid w:val="004E79F7"/>
    <w:rsid w:val="004F01F5"/>
    <w:rsid w:val="004F062E"/>
    <w:rsid w:val="004F23E4"/>
    <w:rsid w:val="004F264C"/>
    <w:rsid w:val="004F3C8D"/>
    <w:rsid w:val="004F74B5"/>
    <w:rsid w:val="004F78AB"/>
    <w:rsid w:val="00500F02"/>
    <w:rsid w:val="00501C85"/>
    <w:rsid w:val="00502960"/>
    <w:rsid w:val="00502EAA"/>
    <w:rsid w:val="00503602"/>
    <w:rsid w:val="005046F9"/>
    <w:rsid w:val="00504823"/>
    <w:rsid w:val="005050E5"/>
    <w:rsid w:val="005072DA"/>
    <w:rsid w:val="005112D1"/>
    <w:rsid w:val="0051340E"/>
    <w:rsid w:val="00515BC9"/>
    <w:rsid w:val="00516096"/>
    <w:rsid w:val="005166AA"/>
    <w:rsid w:val="0052136C"/>
    <w:rsid w:val="0052252E"/>
    <w:rsid w:val="005243B7"/>
    <w:rsid w:val="00524AA8"/>
    <w:rsid w:val="00525169"/>
    <w:rsid w:val="00525CE9"/>
    <w:rsid w:val="00530B95"/>
    <w:rsid w:val="00530BFC"/>
    <w:rsid w:val="00531144"/>
    <w:rsid w:val="00533B47"/>
    <w:rsid w:val="005350A3"/>
    <w:rsid w:val="00535786"/>
    <w:rsid w:val="00536414"/>
    <w:rsid w:val="0053659E"/>
    <w:rsid w:val="005405ED"/>
    <w:rsid w:val="00541417"/>
    <w:rsid w:val="00541620"/>
    <w:rsid w:val="00542BC1"/>
    <w:rsid w:val="00543899"/>
    <w:rsid w:val="00543AD2"/>
    <w:rsid w:val="005448E7"/>
    <w:rsid w:val="00544967"/>
    <w:rsid w:val="00544C90"/>
    <w:rsid w:val="00544F12"/>
    <w:rsid w:val="0054666B"/>
    <w:rsid w:val="00546930"/>
    <w:rsid w:val="00550B3A"/>
    <w:rsid w:val="00550F97"/>
    <w:rsid w:val="00551169"/>
    <w:rsid w:val="005519DB"/>
    <w:rsid w:val="00553AF6"/>
    <w:rsid w:val="0055404F"/>
    <w:rsid w:val="00554273"/>
    <w:rsid w:val="005549A2"/>
    <w:rsid w:val="005549BA"/>
    <w:rsid w:val="00555473"/>
    <w:rsid w:val="00555930"/>
    <w:rsid w:val="00555F92"/>
    <w:rsid w:val="00556162"/>
    <w:rsid w:val="00557918"/>
    <w:rsid w:val="00557D67"/>
    <w:rsid w:val="005619E8"/>
    <w:rsid w:val="00561E0F"/>
    <w:rsid w:val="00562071"/>
    <w:rsid w:val="005624BC"/>
    <w:rsid w:val="00562A40"/>
    <w:rsid w:val="005633C4"/>
    <w:rsid w:val="00563D69"/>
    <w:rsid w:val="005647CA"/>
    <w:rsid w:val="00564DB2"/>
    <w:rsid w:val="00566098"/>
    <w:rsid w:val="005662F2"/>
    <w:rsid w:val="00566324"/>
    <w:rsid w:val="0056722A"/>
    <w:rsid w:val="0057181A"/>
    <w:rsid w:val="005746EF"/>
    <w:rsid w:val="0057486C"/>
    <w:rsid w:val="00574DB9"/>
    <w:rsid w:val="00574E63"/>
    <w:rsid w:val="00575109"/>
    <w:rsid w:val="00575405"/>
    <w:rsid w:val="00575C74"/>
    <w:rsid w:val="005761FB"/>
    <w:rsid w:val="0057691A"/>
    <w:rsid w:val="00581DCD"/>
    <w:rsid w:val="0058379C"/>
    <w:rsid w:val="005855D2"/>
    <w:rsid w:val="00585615"/>
    <w:rsid w:val="00586002"/>
    <w:rsid w:val="005866C7"/>
    <w:rsid w:val="00586E1D"/>
    <w:rsid w:val="00590255"/>
    <w:rsid w:val="00590526"/>
    <w:rsid w:val="00590A53"/>
    <w:rsid w:val="00590E65"/>
    <w:rsid w:val="00591020"/>
    <w:rsid w:val="005927DE"/>
    <w:rsid w:val="0059342A"/>
    <w:rsid w:val="00593AB9"/>
    <w:rsid w:val="00594941"/>
    <w:rsid w:val="0059582A"/>
    <w:rsid w:val="00595CE2"/>
    <w:rsid w:val="005962CA"/>
    <w:rsid w:val="00596863"/>
    <w:rsid w:val="005A021E"/>
    <w:rsid w:val="005A0884"/>
    <w:rsid w:val="005A21FB"/>
    <w:rsid w:val="005A252D"/>
    <w:rsid w:val="005A3051"/>
    <w:rsid w:val="005A5D47"/>
    <w:rsid w:val="005A6C44"/>
    <w:rsid w:val="005B0AFC"/>
    <w:rsid w:val="005B0DE6"/>
    <w:rsid w:val="005B1E07"/>
    <w:rsid w:val="005B2A5A"/>
    <w:rsid w:val="005B4E32"/>
    <w:rsid w:val="005B5F6F"/>
    <w:rsid w:val="005B64DB"/>
    <w:rsid w:val="005B6A7E"/>
    <w:rsid w:val="005B7F70"/>
    <w:rsid w:val="005C079E"/>
    <w:rsid w:val="005C276F"/>
    <w:rsid w:val="005C2F1E"/>
    <w:rsid w:val="005C3D01"/>
    <w:rsid w:val="005C4487"/>
    <w:rsid w:val="005C71D2"/>
    <w:rsid w:val="005C72C5"/>
    <w:rsid w:val="005D0516"/>
    <w:rsid w:val="005D0B65"/>
    <w:rsid w:val="005D148E"/>
    <w:rsid w:val="005D1CD6"/>
    <w:rsid w:val="005D4E34"/>
    <w:rsid w:val="005D660C"/>
    <w:rsid w:val="005D7841"/>
    <w:rsid w:val="005E192C"/>
    <w:rsid w:val="005E3F2A"/>
    <w:rsid w:val="005E57EF"/>
    <w:rsid w:val="005F1A08"/>
    <w:rsid w:val="005F28F5"/>
    <w:rsid w:val="005F50AF"/>
    <w:rsid w:val="005F6707"/>
    <w:rsid w:val="005F6C10"/>
    <w:rsid w:val="006013D3"/>
    <w:rsid w:val="0060272A"/>
    <w:rsid w:val="006036CE"/>
    <w:rsid w:val="0060589C"/>
    <w:rsid w:val="00605DFB"/>
    <w:rsid w:val="0060722F"/>
    <w:rsid w:val="006078B9"/>
    <w:rsid w:val="00607FD4"/>
    <w:rsid w:val="00610988"/>
    <w:rsid w:val="0061115B"/>
    <w:rsid w:val="00611490"/>
    <w:rsid w:val="00611D3E"/>
    <w:rsid w:val="006121ED"/>
    <w:rsid w:val="00612BE5"/>
    <w:rsid w:val="00612FBF"/>
    <w:rsid w:val="0061305C"/>
    <w:rsid w:val="00614095"/>
    <w:rsid w:val="00615C97"/>
    <w:rsid w:val="00615D1E"/>
    <w:rsid w:val="006161AC"/>
    <w:rsid w:val="00616A5A"/>
    <w:rsid w:val="00616E0C"/>
    <w:rsid w:val="00616F54"/>
    <w:rsid w:val="00620138"/>
    <w:rsid w:val="0062234A"/>
    <w:rsid w:val="00622ADC"/>
    <w:rsid w:val="00623C60"/>
    <w:rsid w:val="00623D0F"/>
    <w:rsid w:val="00623F7B"/>
    <w:rsid w:val="00624035"/>
    <w:rsid w:val="0062676A"/>
    <w:rsid w:val="00627D41"/>
    <w:rsid w:val="00630258"/>
    <w:rsid w:val="0063174F"/>
    <w:rsid w:val="006319E9"/>
    <w:rsid w:val="00632368"/>
    <w:rsid w:val="0063344C"/>
    <w:rsid w:val="00633D92"/>
    <w:rsid w:val="0063548D"/>
    <w:rsid w:val="00635A53"/>
    <w:rsid w:val="0063786D"/>
    <w:rsid w:val="00642472"/>
    <w:rsid w:val="006425B1"/>
    <w:rsid w:val="006428EA"/>
    <w:rsid w:val="00643041"/>
    <w:rsid w:val="00643463"/>
    <w:rsid w:val="00643DDF"/>
    <w:rsid w:val="00644A20"/>
    <w:rsid w:val="00650E62"/>
    <w:rsid w:val="006513E1"/>
    <w:rsid w:val="00652290"/>
    <w:rsid w:val="0065387C"/>
    <w:rsid w:val="006542FF"/>
    <w:rsid w:val="00654548"/>
    <w:rsid w:val="00654D9D"/>
    <w:rsid w:val="00656613"/>
    <w:rsid w:val="006570B1"/>
    <w:rsid w:val="0065749D"/>
    <w:rsid w:val="0065755B"/>
    <w:rsid w:val="0065759C"/>
    <w:rsid w:val="006576F0"/>
    <w:rsid w:val="00657D70"/>
    <w:rsid w:val="00660ABB"/>
    <w:rsid w:val="00660D1D"/>
    <w:rsid w:val="00661E2B"/>
    <w:rsid w:val="00661F20"/>
    <w:rsid w:val="00663466"/>
    <w:rsid w:val="0066443B"/>
    <w:rsid w:val="00664643"/>
    <w:rsid w:val="00664900"/>
    <w:rsid w:val="00665F7E"/>
    <w:rsid w:val="006671E8"/>
    <w:rsid w:val="00667E3C"/>
    <w:rsid w:val="00670454"/>
    <w:rsid w:val="00670A24"/>
    <w:rsid w:val="00673C8D"/>
    <w:rsid w:val="00674138"/>
    <w:rsid w:val="0067738C"/>
    <w:rsid w:val="00677821"/>
    <w:rsid w:val="006802B5"/>
    <w:rsid w:val="0068256F"/>
    <w:rsid w:val="00682C06"/>
    <w:rsid w:val="00683B26"/>
    <w:rsid w:val="00684534"/>
    <w:rsid w:val="006853F7"/>
    <w:rsid w:val="006856D5"/>
    <w:rsid w:val="00686070"/>
    <w:rsid w:val="006865C3"/>
    <w:rsid w:val="00686ADD"/>
    <w:rsid w:val="00687829"/>
    <w:rsid w:val="00687E8C"/>
    <w:rsid w:val="0069170B"/>
    <w:rsid w:val="0069555B"/>
    <w:rsid w:val="0069623C"/>
    <w:rsid w:val="006973AD"/>
    <w:rsid w:val="006A074D"/>
    <w:rsid w:val="006A171D"/>
    <w:rsid w:val="006A2B77"/>
    <w:rsid w:val="006A2CAE"/>
    <w:rsid w:val="006A43D3"/>
    <w:rsid w:val="006A4AB0"/>
    <w:rsid w:val="006A5CF5"/>
    <w:rsid w:val="006B000F"/>
    <w:rsid w:val="006B0993"/>
    <w:rsid w:val="006B124B"/>
    <w:rsid w:val="006B1FE0"/>
    <w:rsid w:val="006B3C57"/>
    <w:rsid w:val="006B43F6"/>
    <w:rsid w:val="006B5FBE"/>
    <w:rsid w:val="006B711F"/>
    <w:rsid w:val="006C0C89"/>
    <w:rsid w:val="006C39C1"/>
    <w:rsid w:val="006C59AE"/>
    <w:rsid w:val="006C5F43"/>
    <w:rsid w:val="006C6958"/>
    <w:rsid w:val="006C7BFF"/>
    <w:rsid w:val="006C7C41"/>
    <w:rsid w:val="006D13FC"/>
    <w:rsid w:val="006D3E02"/>
    <w:rsid w:val="006D43E5"/>
    <w:rsid w:val="006D4D67"/>
    <w:rsid w:val="006D4E82"/>
    <w:rsid w:val="006D5549"/>
    <w:rsid w:val="006D6773"/>
    <w:rsid w:val="006D7C5E"/>
    <w:rsid w:val="006E01CA"/>
    <w:rsid w:val="006E0DA1"/>
    <w:rsid w:val="006E1A0A"/>
    <w:rsid w:val="006E1A76"/>
    <w:rsid w:val="006E1DCF"/>
    <w:rsid w:val="006E26C9"/>
    <w:rsid w:val="006E3FCE"/>
    <w:rsid w:val="006E4058"/>
    <w:rsid w:val="006E471A"/>
    <w:rsid w:val="006E5117"/>
    <w:rsid w:val="006E5A3B"/>
    <w:rsid w:val="006E672B"/>
    <w:rsid w:val="006F0030"/>
    <w:rsid w:val="006F1401"/>
    <w:rsid w:val="006F19EB"/>
    <w:rsid w:val="006F2C42"/>
    <w:rsid w:val="006F4684"/>
    <w:rsid w:val="006F491B"/>
    <w:rsid w:val="006F4E72"/>
    <w:rsid w:val="006F5B6A"/>
    <w:rsid w:val="006F66F3"/>
    <w:rsid w:val="006F6830"/>
    <w:rsid w:val="006F6F16"/>
    <w:rsid w:val="006F71B4"/>
    <w:rsid w:val="006F762B"/>
    <w:rsid w:val="006F7921"/>
    <w:rsid w:val="00700098"/>
    <w:rsid w:val="007017A2"/>
    <w:rsid w:val="0070263A"/>
    <w:rsid w:val="00703C8B"/>
    <w:rsid w:val="00703CC0"/>
    <w:rsid w:val="00705873"/>
    <w:rsid w:val="00706802"/>
    <w:rsid w:val="007068B5"/>
    <w:rsid w:val="0070770F"/>
    <w:rsid w:val="00710575"/>
    <w:rsid w:val="00710BDB"/>
    <w:rsid w:val="00711933"/>
    <w:rsid w:val="00716267"/>
    <w:rsid w:val="007162EC"/>
    <w:rsid w:val="00717850"/>
    <w:rsid w:val="0071797F"/>
    <w:rsid w:val="007179CC"/>
    <w:rsid w:val="00720065"/>
    <w:rsid w:val="0072115A"/>
    <w:rsid w:val="0072153A"/>
    <w:rsid w:val="007257FB"/>
    <w:rsid w:val="00725A8B"/>
    <w:rsid w:val="00727780"/>
    <w:rsid w:val="00732AC3"/>
    <w:rsid w:val="00733750"/>
    <w:rsid w:val="00733928"/>
    <w:rsid w:val="007341DD"/>
    <w:rsid w:val="00734253"/>
    <w:rsid w:val="00735BD0"/>
    <w:rsid w:val="00736435"/>
    <w:rsid w:val="0073694E"/>
    <w:rsid w:val="007419F7"/>
    <w:rsid w:val="00741BCA"/>
    <w:rsid w:val="00742EAD"/>
    <w:rsid w:val="00743F4F"/>
    <w:rsid w:val="00744485"/>
    <w:rsid w:val="00745D5E"/>
    <w:rsid w:val="00746697"/>
    <w:rsid w:val="00746911"/>
    <w:rsid w:val="00747F6A"/>
    <w:rsid w:val="0075236D"/>
    <w:rsid w:val="00752549"/>
    <w:rsid w:val="007528FB"/>
    <w:rsid w:val="00752EAD"/>
    <w:rsid w:val="0075388F"/>
    <w:rsid w:val="007547C6"/>
    <w:rsid w:val="00754FC9"/>
    <w:rsid w:val="00755CF3"/>
    <w:rsid w:val="00757736"/>
    <w:rsid w:val="00760677"/>
    <w:rsid w:val="0076074C"/>
    <w:rsid w:val="0076128C"/>
    <w:rsid w:val="00761441"/>
    <w:rsid w:val="0076191F"/>
    <w:rsid w:val="00761EC7"/>
    <w:rsid w:val="007640D0"/>
    <w:rsid w:val="00764152"/>
    <w:rsid w:val="00765E54"/>
    <w:rsid w:val="00766B63"/>
    <w:rsid w:val="00767B8A"/>
    <w:rsid w:val="00770632"/>
    <w:rsid w:val="00770D1D"/>
    <w:rsid w:val="00772432"/>
    <w:rsid w:val="007734E5"/>
    <w:rsid w:val="00774D8F"/>
    <w:rsid w:val="00774EC1"/>
    <w:rsid w:val="00775C86"/>
    <w:rsid w:val="007801A4"/>
    <w:rsid w:val="00780F4B"/>
    <w:rsid w:val="007827EA"/>
    <w:rsid w:val="007839C8"/>
    <w:rsid w:val="0078587B"/>
    <w:rsid w:val="00786054"/>
    <w:rsid w:val="00787B28"/>
    <w:rsid w:val="0079082C"/>
    <w:rsid w:val="0079271D"/>
    <w:rsid w:val="00793078"/>
    <w:rsid w:val="00795FD6"/>
    <w:rsid w:val="00796941"/>
    <w:rsid w:val="00796986"/>
    <w:rsid w:val="007A08D7"/>
    <w:rsid w:val="007A0D35"/>
    <w:rsid w:val="007A17C0"/>
    <w:rsid w:val="007A1E8A"/>
    <w:rsid w:val="007A2337"/>
    <w:rsid w:val="007A2566"/>
    <w:rsid w:val="007A4092"/>
    <w:rsid w:val="007A45E7"/>
    <w:rsid w:val="007A4C54"/>
    <w:rsid w:val="007A7B8B"/>
    <w:rsid w:val="007B04F5"/>
    <w:rsid w:val="007B05CC"/>
    <w:rsid w:val="007B1CAE"/>
    <w:rsid w:val="007B2B35"/>
    <w:rsid w:val="007B3558"/>
    <w:rsid w:val="007B40F8"/>
    <w:rsid w:val="007B4616"/>
    <w:rsid w:val="007B66E6"/>
    <w:rsid w:val="007C10E4"/>
    <w:rsid w:val="007C250D"/>
    <w:rsid w:val="007C2E94"/>
    <w:rsid w:val="007C562A"/>
    <w:rsid w:val="007D03D3"/>
    <w:rsid w:val="007D25A0"/>
    <w:rsid w:val="007D3AA9"/>
    <w:rsid w:val="007D50DB"/>
    <w:rsid w:val="007D536C"/>
    <w:rsid w:val="007D60E0"/>
    <w:rsid w:val="007D655C"/>
    <w:rsid w:val="007D72BD"/>
    <w:rsid w:val="007E06E1"/>
    <w:rsid w:val="007E1031"/>
    <w:rsid w:val="007E134F"/>
    <w:rsid w:val="007E25DE"/>
    <w:rsid w:val="007E26D0"/>
    <w:rsid w:val="007E2C23"/>
    <w:rsid w:val="007E3F09"/>
    <w:rsid w:val="007E40A2"/>
    <w:rsid w:val="007E463D"/>
    <w:rsid w:val="007E4AF0"/>
    <w:rsid w:val="007E557B"/>
    <w:rsid w:val="007E67C6"/>
    <w:rsid w:val="007E76E2"/>
    <w:rsid w:val="007F0739"/>
    <w:rsid w:val="007F0997"/>
    <w:rsid w:val="007F09E1"/>
    <w:rsid w:val="007F0E35"/>
    <w:rsid w:val="007F1D7E"/>
    <w:rsid w:val="007F1F30"/>
    <w:rsid w:val="007F2182"/>
    <w:rsid w:val="007F2E11"/>
    <w:rsid w:val="007F32A6"/>
    <w:rsid w:val="007F4B20"/>
    <w:rsid w:val="007F4BAD"/>
    <w:rsid w:val="007F4E4C"/>
    <w:rsid w:val="007F6B1A"/>
    <w:rsid w:val="007F6E77"/>
    <w:rsid w:val="007F7426"/>
    <w:rsid w:val="007F7765"/>
    <w:rsid w:val="007F7FF5"/>
    <w:rsid w:val="00800EBE"/>
    <w:rsid w:val="00801E12"/>
    <w:rsid w:val="00802CB3"/>
    <w:rsid w:val="00802CED"/>
    <w:rsid w:val="0080346F"/>
    <w:rsid w:val="0080600F"/>
    <w:rsid w:val="00806735"/>
    <w:rsid w:val="00807674"/>
    <w:rsid w:val="00810717"/>
    <w:rsid w:val="008107CC"/>
    <w:rsid w:val="008109B9"/>
    <w:rsid w:val="00810E26"/>
    <w:rsid w:val="0081149C"/>
    <w:rsid w:val="0081181C"/>
    <w:rsid w:val="00811F31"/>
    <w:rsid w:val="00812DDC"/>
    <w:rsid w:val="008132B1"/>
    <w:rsid w:val="00813F78"/>
    <w:rsid w:val="00814AF2"/>
    <w:rsid w:val="0081687A"/>
    <w:rsid w:val="008168EE"/>
    <w:rsid w:val="00816B36"/>
    <w:rsid w:val="00817992"/>
    <w:rsid w:val="008179A6"/>
    <w:rsid w:val="0082097E"/>
    <w:rsid w:val="00821C0D"/>
    <w:rsid w:val="00821CEF"/>
    <w:rsid w:val="008252EF"/>
    <w:rsid w:val="0082579C"/>
    <w:rsid w:val="0082594F"/>
    <w:rsid w:val="0082619B"/>
    <w:rsid w:val="008261AF"/>
    <w:rsid w:val="00827C85"/>
    <w:rsid w:val="0083102C"/>
    <w:rsid w:val="008330CD"/>
    <w:rsid w:val="00833CDB"/>
    <w:rsid w:val="00834125"/>
    <w:rsid w:val="00835D8B"/>
    <w:rsid w:val="00835E32"/>
    <w:rsid w:val="00836D72"/>
    <w:rsid w:val="00837001"/>
    <w:rsid w:val="00837F11"/>
    <w:rsid w:val="00840382"/>
    <w:rsid w:val="008403E6"/>
    <w:rsid w:val="00842637"/>
    <w:rsid w:val="008429C8"/>
    <w:rsid w:val="00843AE0"/>
    <w:rsid w:val="0084400A"/>
    <w:rsid w:val="00844234"/>
    <w:rsid w:val="008446F9"/>
    <w:rsid w:val="00844992"/>
    <w:rsid w:val="00844A4C"/>
    <w:rsid w:val="0084507A"/>
    <w:rsid w:val="00851A33"/>
    <w:rsid w:val="00852A0A"/>
    <w:rsid w:val="0085393E"/>
    <w:rsid w:val="008543CF"/>
    <w:rsid w:val="00854BA6"/>
    <w:rsid w:val="00855656"/>
    <w:rsid w:val="0085565F"/>
    <w:rsid w:val="00856529"/>
    <w:rsid w:val="008565F8"/>
    <w:rsid w:val="008569FD"/>
    <w:rsid w:val="00856FF3"/>
    <w:rsid w:val="008614B5"/>
    <w:rsid w:val="008615D9"/>
    <w:rsid w:val="008624A3"/>
    <w:rsid w:val="00864261"/>
    <w:rsid w:val="0086482E"/>
    <w:rsid w:val="00864BDD"/>
    <w:rsid w:val="00865614"/>
    <w:rsid w:val="0086746B"/>
    <w:rsid w:val="0086765B"/>
    <w:rsid w:val="00873E72"/>
    <w:rsid w:val="0087441F"/>
    <w:rsid w:val="0087477A"/>
    <w:rsid w:val="00876638"/>
    <w:rsid w:val="00876CC2"/>
    <w:rsid w:val="00877EC9"/>
    <w:rsid w:val="00877F88"/>
    <w:rsid w:val="008837E6"/>
    <w:rsid w:val="00883981"/>
    <w:rsid w:val="0088583C"/>
    <w:rsid w:val="008858C6"/>
    <w:rsid w:val="00886D45"/>
    <w:rsid w:val="00886D9A"/>
    <w:rsid w:val="00891D1E"/>
    <w:rsid w:val="00891F6A"/>
    <w:rsid w:val="008934CD"/>
    <w:rsid w:val="00893E50"/>
    <w:rsid w:val="008971B5"/>
    <w:rsid w:val="008A0545"/>
    <w:rsid w:val="008A2353"/>
    <w:rsid w:val="008A291F"/>
    <w:rsid w:val="008A2D65"/>
    <w:rsid w:val="008A452B"/>
    <w:rsid w:val="008A5FAA"/>
    <w:rsid w:val="008A6D7E"/>
    <w:rsid w:val="008A78BF"/>
    <w:rsid w:val="008A7C2E"/>
    <w:rsid w:val="008B0BA8"/>
    <w:rsid w:val="008B2912"/>
    <w:rsid w:val="008B2A73"/>
    <w:rsid w:val="008B420F"/>
    <w:rsid w:val="008B4329"/>
    <w:rsid w:val="008B4E77"/>
    <w:rsid w:val="008B51BF"/>
    <w:rsid w:val="008B57B5"/>
    <w:rsid w:val="008B5BD6"/>
    <w:rsid w:val="008B61CF"/>
    <w:rsid w:val="008C03A2"/>
    <w:rsid w:val="008C1575"/>
    <w:rsid w:val="008C27B4"/>
    <w:rsid w:val="008C3204"/>
    <w:rsid w:val="008C35E8"/>
    <w:rsid w:val="008C3DF8"/>
    <w:rsid w:val="008C55D9"/>
    <w:rsid w:val="008C5F50"/>
    <w:rsid w:val="008C667B"/>
    <w:rsid w:val="008C675C"/>
    <w:rsid w:val="008C7854"/>
    <w:rsid w:val="008C7BF3"/>
    <w:rsid w:val="008C7C63"/>
    <w:rsid w:val="008D0064"/>
    <w:rsid w:val="008D0EA3"/>
    <w:rsid w:val="008D3DC2"/>
    <w:rsid w:val="008D4221"/>
    <w:rsid w:val="008D6523"/>
    <w:rsid w:val="008D65C9"/>
    <w:rsid w:val="008D7283"/>
    <w:rsid w:val="008E1021"/>
    <w:rsid w:val="008E1470"/>
    <w:rsid w:val="008E1DAE"/>
    <w:rsid w:val="008E2ECD"/>
    <w:rsid w:val="008E3B88"/>
    <w:rsid w:val="008E46E4"/>
    <w:rsid w:val="008F05DA"/>
    <w:rsid w:val="008F3422"/>
    <w:rsid w:val="008F36BE"/>
    <w:rsid w:val="008F43A6"/>
    <w:rsid w:val="008F56F1"/>
    <w:rsid w:val="008F60F6"/>
    <w:rsid w:val="008F73B1"/>
    <w:rsid w:val="00901B62"/>
    <w:rsid w:val="00902872"/>
    <w:rsid w:val="00902C4C"/>
    <w:rsid w:val="00904AFC"/>
    <w:rsid w:val="00905B60"/>
    <w:rsid w:val="00906AEB"/>
    <w:rsid w:val="00906FBE"/>
    <w:rsid w:val="00910564"/>
    <w:rsid w:val="00912001"/>
    <w:rsid w:val="00912170"/>
    <w:rsid w:val="009121B8"/>
    <w:rsid w:val="00912567"/>
    <w:rsid w:val="00920E73"/>
    <w:rsid w:val="00921717"/>
    <w:rsid w:val="00922107"/>
    <w:rsid w:val="00923AA7"/>
    <w:rsid w:val="00923E36"/>
    <w:rsid w:val="00926105"/>
    <w:rsid w:val="00926839"/>
    <w:rsid w:val="00926BDA"/>
    <w:rsid w:val="00927553"/>
    <w:rsid w:val="00927FA0"/>
    <w:rsid w:val="00930DDB"/>
    <w:rsid w:val="009325F7"/>
    <w:rsid w:val="00932C45"/>
    <w:rsid w:val="009334D6"/>
    <w:rsid w:val="00934814"/>
    <w:rsid w:val="00934E16"/>
    <w:rsid w:val="009356FC"/>
    <w:rsid w:val="00936610"/>
    <w:rsid w:val="009367D7"/>
    <w:rsid w:val="00940B44"/>
    <w:rsid w:val="00940D5D"/>
    <w:rsid w:val="00943851"/>
    <w:rsid w:val="0094513E"/>
    <w:rsid w:val="00951956"/>
    <w:rsid w:val="009522C4"/>
    <w:rsid w:val="00952D07"/>
    <w:rsid w:val="00953B5C"/>
    <w:rsid w:val="009545F3"/>
    <w:rsid w:val="00954895"/>
    <w:rsid w:val="009549E6"/>
    <w:rsid w:val="00954FD8"/>
    <w:rsid w:val="009554CF"/>
    <w:rsid w:val="00956A2D"/>
    <w:rsid w:val="00957301"/>
    <w:rsid w:val="009619A2"/>
    <w:rsid w:val="00961A67"/>
    <w:rsid w:val="00961CD3"/>
    <w:rsid w:val="00962558"/>
    <w:rsid w:val="00962D72"/>
    <w:rsid w:val="00963735"/>
    <w:rsid w:val="0096583C"/>
    <w:rsid w:val="00966306"/>
    <w:rsid w:val="009670EC"/>
    <w:rsid w:val="00970536"/>
    <w:rsid w:val="00970C69"/>
    <w:rsid w:val="0097339D"/>
    <w:rsid w:val="0097521B"/>
    <w:rsid w:val="009752BC"/>
    <w:rsid w:val="0097593C"/>
    <w:rsid w:val="00976910"/>
    <w:rsid w:val="00977FD1"/>
    <w:rsid w:val="00980137"/>
    <w:rsid w:val="00982C63"/>
    <w:rsid w:val="0098362A"/>
    <w:rsid w:val="009838CB"/>
    <w:rsid w:val="00984710"/>
    <w:rsid w:val="00985334"/>
    <w:rsid w:val="00985B30"/>
    <w:rsid w:val="009867E2"/>
    <w:rsid w:val="0098683D"/>
    <w:rsid w:val="00986BC5"/>
    <w:rsid w:val="0098718A"/>
    <w:rsid w:val="00990F2C"/>
    <w:rsid w:val="0099118F"/>
    <w:rsid w:val="009911FC"/>
    <w:rsid w:val="00995586"/>
    <w:rsid w:val="00995FD7"/>
    <w:rsid w:val="0099701E"/>
    <w:rsid w:val="009971E5"/>
    <w:rsid w:val="009975AE"/>
    <w:rsid w:val="00997A6E"/>
    <w:rsid w:val="009A2114"/>
    <w:rsid w:val="009A2176"/>
    <w:rsid w:val="009A231C"/>
    <w:rsid w:val="009A267E"/>
    <w:rsid w:val="009A345F"/>
    <w:rsid w:val="009A4629"/>
    <w:rsid w:val="009A4A88"/>
    <w:rsid w:val="009A4ACD"/>
    <w:rsid w:val="009A528C"/>
    <w:rsid w:val="009A58DF"/>
    <w:rsid w:val="009A7DF2"/>
    <w:rsid w:val="009A7F5D"/>
    <w:rsid w:val="009A7FA7"/>
    <w:rsid w:val="009B1ED4"/>
    <w:rsid w:val="009B2665"/>
    <w:rsid w:val="009B2FB7"/>
    <w:rsid w:val="009B3471"/>
    <w:rsid w:val="009B4123"/>
    <w:rsid w:val="009B44EC"/>
    <w:rsid w:val="009B45C6"/>
    <w:rsid w:val="009B45CD"/>
    <w:rsid w:val="009B4ED6"/>
    <w:rsid w:val="009B65A5"/>
    <w:rsid w:val="009C1479"/>
    <w:rsid w:val="009C1C4D"/>
    <w:rsid w:val="009C1DE3"/>
    <w:rsid w:val="009C2683"/>
    <w:rsid w:val="009C4BA4"/>
    <w:rsid w:val="009C4E87"/>
    <w:rsid w:val="009C5B03"/>
    <w:rsid w:val="009C5FA4"/>
    <w:rsid w:val="009C6407"/>
    <w:rsid w:val="009C65EC"/>
    <w:rsid w:val="009C72D6"/>
    <w:rsid w:val="009C7B71"/>
    <w:rsid w:val="009C7EEC"/>
    <w:rsid w:val="009D26D5"/>
    <w:rsid w:val="009D7741"/>
    <w:rsid w:val="009D7CA9"/>
    <w:rsid w:val="009E2E90"/>
    <w:rsid w:val="009E35B0"/>
    <w:rsid w:val="009E35F9"/>
    <w:rsid w:val="009E3733"/>
    <w:rsid w:val="009E3D79"/>
    <w:rsid w:val="009E50D8"/>
    <w:rsid w:val="009E5736"/>
    <w:rsid w:val="009E6E47"/>
    <w:rsid w:val="009E7516"/>
    <w:rsid w:val="009F0CED"/>
    <w:rsid w:val="009F21D0"/>
    <w:rsid w:val="009F318A"/>
    <w:rsid w:val="009F38EC"/>
    <w:rsid w:val="009F449D"/>
    <w:rsid w:val="009F4D1F"/>
    <w:rsid w:val="009F5C59"/>
    <w:rsid w:val="009F5E55"/>
    <w:rsid w:val="009F6630"/>
    <w:rsid w:val="00A0241D"/>
    <w:rsid w:val="00A02A88"/>
    <w:rsid w:val="00A034E8"/>
    <w:rsid w:val="00A0481B"/>
    <w:rsid w:val="00A04B42"/>
    <w:rsid w:val="00A06696"/>
    <w:rsid w:val="00A07104"/>
    <w:rsid w:val="00A1029F"/>
    <w:rsid w:val="00A108F8"/>
    <w:rsid w:val="00A113A0"/>
    <w:rsid w:val="00A13E42"/>
    <w:rsid w:val="00A14263"/>
    <w:rsid w:val="00A14780"/>
    <w:rsid w:val="00A14A2B"/>
    <w:rsid w:val="00A15980"/>
    <w:rsid w:val="00A15B8F"/>
    <w:rsid w:val="00A15D6B"/>
    <w:rsid w:val="00A15E8A"/>
    <w:rsid w:val="00A16FD9"/>
    <w:rsid w:val="00A20802"/>
    <w:rsid w:val="00A24670"/>
    <w:rsid w:val="00A25735"/>
    <w:rsid w:val="00A25AF3"/>
    <w:rsid w:val="00A25BD5"/>
    <w:rsid w:val="00A26595"/>
    <w:rsid w:val="00A26A76"/>
    <w:rsid w:val="00A26D8C"/>
    <w:rsid w:val="00A30334"/>
    <w:rsid w:val="00A30C22"/>
    <w:rsid w:val="00A30FC7"/>
    <w:rsid w:val="00A314E7"/>
    <w:rsid w:val="00A349AD"/>
    <w:rsid w:val="00A35267"/>
    <w:rsid w:val="00A37D12"/>
    <w:rsid w:val="00A40DFE"/>
    <w:rsid w:val="00A4213A"/>
    <w:rsid w:val="00A44983"/>
    <w:rsid w:val="00A44A34"/>
    <w:rsid w:val="00A51850"/>
    <w:rsid w:val="00A51CDE"/>
    <w:rsid w:val="00A51EF2"/>
    <w:rsid w:val="00A51FB8"/>
    <w:rsid w:val="00A52400"/>
    <w:rsid w:val="00A53971"/>
    <w:rsid w:val="00A53AE9"/>
    <w:rsid w:val="00A53DB0"/>
    <w:rsid w:val="00A53F8C"/>
    <w:rsid w:val="00A543FF"/>
    <w:rsid w:val="00A55125"/>
    <w:rsid w:val="00A55C9B"/>
    <w:rsid w:val="00A57F96"/>
    <w:rsid w:val="00A60112"/>
    <w:rsid w:val="00A60F99"/>
    <w:rsid w:val="00A61973"/>
    <w:rsid w:val="00A61977"/>
    <w:rsid w:val="00A62CC2"/>
    <w:rsid w:val="00A63C00"/>
    <w:rsid w:val="00A63CC5"/>
    <w:rsid w:val="00A63F26"/>
    <w:rsid w:val="00A66AC3"/>
    <w:rsid w:val="00A7084E"/>
    <w:rsid w:val="00A71BD7"/>
    <w:rsid w:val="00A71E32"/>
    <w:rsid w:val="00A732EA"/>
    <w:rsid w:val="00A75540"/>
    <w:rsid w:val="00A755AE"/>
    <w:rsid w:val="00A7675E"/>
    <w:rsid w:val="00A76CEC"/>
    <w:rsid w:val="00A8325E"/>
    <w:rsid w:val="00A83710"/>
    <w:rsid w:val="00A8412A"/>
    <w:rsid w:val="00A85B6D"/>
    <w:rsid w:val="00A86BEE"/>
    <w:rsid w:val="00A87698"/>
    <w:rsid w:val="00A87CDC"/>
    <w:rsid w:val="00A90837"/>
    <w:rsid w:val="00A90AED"/>
    <w:rsid w:val="00A90B7F"/>
    <w:rsid w:val="00A93EDF"/>
    <w:rsid w:val="00A93F17"/>
    <w:rsid w:val="00A94235"/>
    <w:rsid w:val="00A958C2"/>
    <w:rsid w:val="00A95BF1"/>
    <w:rsid w:val="00A9726B"/>
    <w:rsid w:val="00A97833"/>
    <w:rsid w:val="00A97880"/>
    <w:rsid w:val="00A97AE9"/>
    <w:rsid w:val="00AA3E34"/>
    <w:rsid w:val="00AA438C"/>
    <w:rsid w:val="00AA43D2"/>
    <w:rsid w:val="00AA440C"/>
    <w:rsid w:val="00AA455E"/>
    <w:rsid w:val="00AA48EA"/>
    <w:rsid w:val="00AA6E25"/>
    <w:rsid w:val="00AA6F5A"/>
    <w:rsid w:val="00AB0372"/>
    <w:rsid w:val="00AB2F21"/>
    <w:rsid w:val="00AB4D7D"/>
    <w:rsid w:val="00AB4EA5"/>
    <w:rsid w:val="00AB512E"/>
    <w:rsid w:val="00AB6519"/>
    <w:rsid w:val="00AB6524"/>
    <w:rsid w:val="00AB6555"/>
    <w:rsid w:val="00AB6C5F"/>
    <w:rsid w:val="00AB7C12"/>
    <w:rsid w:val="00AC0E7F"/>
    <w:rsid w:val="00AC15AC"/>
    <w:rsid w:val="00AC1CD6"/>
    <w:rsid w:val="00AC1F71"/>
    <w:rsid w:val="00AC21B7"/>
    <w:rsid w:val="00AC286F"/>
    <w:rsid w:val="00AC45E5"/>
    <w:rsid w:val="00AC4F51"/>
    <w:rsid w:val="00AC62A7"/>
    <w:rsid w:val="00AC6B29"/>
    <w:rsid w:val="00AC6D65"/>
    <w:rsid w:val="00AC7751"/>
    <w:rsid w:val="00AD0345"/>
    <w:rsid w:val="00AD03E2"/>
    <w:rsid w:val="00AD08F9"/>
    <w:rsid w:val="00AD1E74"/>
    <w:rsid w:val="00AD444F"/>
    <w:rsid w:val="00AD5231"/>
    <w:rsid w:val="00AD640C"/>
    <w:rsid w:val="00AD71BC"/>
    <w:rsid w:val="00AE239A"/>
    <w:rsid w:val="00AE2A38"/>
    <w:rsid w:val="00AE3521"/>
    <w:rsid w:val="00AE407D"/>
    <w:rsid w:val="00AE60B4"/>
    <w:rsid w:val="00AE6D9E"/>
    <w:rsid w:val="00AF1158"/>
    <w:rsid w:val="00AF1DAA"/>
    <w:rsid w:val="00AF29D9"/>
    <w:rsid w:val="00AF2CA7"/>
    <w:rsid w:val="00AF2D0D"/>
    <w:rsid w:val="00AF3DA5"/>
    <w:rsid w:val="00AF4629"/>
    <w:rsid w:val="00AF605C"/>
    <w:rsid w:val="00AF63CC"/>
    <w:rsid w:val="00AF663D"/>
    <w:rsid w:val="00B00353"/>
    <w:rsid w:val="00B01A99"/>
    <w:rsid w:val="00B03131"/>
    <w:rsid w:val="00B052CE"/>
    <w:rsid w:val="00B13601"/>
    <w:rsid w:val="00B13E26"/>
    <w:rsid w:val="00B142D8"/>
    <w:rsid w:val="00B14753"/>
    <w:rsid w:val="00B14FF1"/>
    <w:rsid w:val="00B152B1"/>
    <w:rsid w:val="00B1589A"/>
    <w:rsid w:val="00B16CF3"/>
    <w:rsid w:val="00B16ED0"/>
    <w:rsid w:val="00B17B5A"/>
    <w:rsid w:val="00B17C41"/>
    <w:rsid w:val="00B20CF0"/>
    <w:rsid w:val="00B2337C"/>
    <w:rsid w:val="00B2514A"/>
    <w:rsid w:val="00B25F4F"/>
    <w:rsid w:val="00B26E22"/>
    <w:rsid w:val="00B277CE"/>
    <w:rsid w:val="00B309D8"/>
    <w:rsid w:val="00B31402"/>
    <w:rsid w:val="00B32226"/>
    <w:rsid w:val="00B324A5"/>
    <w:rsid w:val="00B34429"/>
    <w:rsid w:val="00B34FCF"/>
    <w:rsid w:val="00B3665A"/>
    <w:rsid w:val="00B40124"/>
    <w:rsid w:val="00B4079E"/>
    <w:rsid w:val="00B42844"/>
    <w:rsid w:val="00B42C6D"/>
    <w:rsid w:val="00B43EE7"/>
    <w:rsid w:val="00B45476"/>
    <w:rsid w:val="00B465FD"/>
    <w:rsid w:val="00B46B14"/>
    <w:rsid w:val="00B476C4"/>
    <w:rsid w:val="00B47CF1"/>
    <w:rsid w:val="00B47F2F"/>
    <w:rsid w:val="00B50BEB"/>
    <w:rsid w:val="00B52B9F"/>
    <w:rsid w:val="00B54A6B"/>
    <w:rsid w:val="00B55EEA"/>
    <w:rsid w:val="00B564A0"/>
    <w:rsid w:val="00B576C2"/>
    <w:rsid w:val="00B6074A"/>
    <w:rsid w:val="00B6162A"/>
    <w:rsid w:val="00B61E0A"/>
    <w:rsid w:val="00B623AE"/>
    <w:rsid w:val="00B625EE"/>
    <w:rsid w:val="00B626C5"/>
    <w:rsid w:val="00B628F0"/>
    <w:rsid w:val="00B62E4E"/>
    <w:rsid w:val="00B716B4"/>
    <w:rsid w:val="00B7380D"/>
    <w:rsid w:val="00B73908"/>
    <w:rsid w:val="00B76052"/>
    <w:rsid w:val="00B766CA"/>
    <w:rsid w:val="00B8078F"/>
    <w:rsid w:val="00B80CD1"/>
    <w:rsid w:val="00B80E7D"/>
    <w:rsid w:val="00B8383B"/>
    <w:rsid w:val="00B84E00"/>
    <w:rsid w:val="00B86591"/>
    <w:rsid w:val="00B869E7"/>
    <w:rsid w:val="00B86F75"/>
    <w:rsid w:val="00B87EF6"/>
    <w:rsid w:val="00B90475"/>
    <w:rsid w:val="00B93B67"/>
    <w:rsid w:val="00B948D3"/>
    <w:rsid w:val="00BA1A25"/>
    <w:rsid w:val="00BA20CF"/>
    <w:rsid w:val="00BA3BE8"/>
    <w:rsid w:val="00BA4BED"/>
    <w:rsid w:val="00BA553C"/>
    <w:rsid w:val="00BA5BE6"/>
    <w:rsid w:val="00BA66B3"/>
    <w:rsid w:val="00BB164A"/>
    <w:rsid w:val="00BB195C"/>
    <w:rsid w:val="00BB1FA1"/>
    <w:rsid w:val="00BB226F"/>
    <w:rsid w:val="00BB27E0"/>
    <w:rsid w:val="00BB322E"/>
    <w:rsid w:val="00BB708E"/>
    <w:rsid w:val="00BC08CF"/>
    <w:rsid w:val="00BC1A36"/>
    <w:rsid w:val="00BC2874"/>
    <w:rsid w:val="00BC4496"/>
    <w:rsid w:val="00BC483A"/>
    <w:rsid w:val="00BC55D3"/>
    <w:rsid w:val="00BC68BE"/>
    <w:rsid w:val="00BC7CE9"/>
    <w:rsid w:val="00BD22D8"/>
    <w:rsid w:val="00BD36DF"/>
    <w:rsid w:val="00BD6E63"/>
    <w:rsid w:val="00BD7118"/>
    <w:rsid w:val="00BD747D"/>
    <w:rsid w:val="00BD7E7B"/>
    <w:rsid w:val="00BE0286"/>
    <w:rsid w:val="00BE0C7D"/>
    <w:rsid w:val="00BE1C8A"/>
    <w:rsid w:val="00BE1F5D"/>
    <w:rsid w:val="00BE574A"/>
    <w:rsid w:val="00BE7361"/>
    <w:rsid w:val="00BE776F"/>
    <w:rsid w:val="00BF1A96"/>
    <w:rsid w:val="00BF246C"/>
    <w:rsid w:val="00BF2AE8"/>
    <w:rsid w:val="00BF5362"/>
    <w:rsid w:val="00BF53CD"/>
    <w:rsid w:val="00BF5C1B"/>
    <w:rsid w:val="00BF60B5"/>
    <w:rsid w:val="00BF6564"/>
    <w:rsid w:val="00BF7056"/>
    <w:rsid w:val="00BF7A15"/>
    <w:rsid w:val="00C02BCE"/>
    <w:rsid w:val="00C03331"/>
    <w:rsid w:val="00C04365"/>
    <w:rsid w:val="00C049AB"/>
    <w:rsid w:val="00C04B66"/>
    <w:rsid w:val="00C05BB4"/>
    <w:rsid w:val="00C061EE"/>
    <w:rsid w:val="00C06FAB"/>
    <w:rsid w:val="00C07482"/>
    <w:rsid w:val="00C10A93"/>
    <w:rsid w:val="00C116EB"/>
    <w:rsid w:val="00C11EDD"/>
    <w:rsid w:val="00C13D2A"/>
    <w:rsid w:val="00C13E4A"/>
    <w:rsid w:val="00C14026"/>
    <w:rsid w:val="00C15074"/>
    <w:rsid w:val="00C212EF"/>
    <w:rsid w:val="00C223F1"/>
    <w:rsid w:val="00C23747"/>
    <w:rsid w:val="00C248D7"/>
    <w:rsid w:val="00C262BF"/>
    <w:rsid w:val="00C26E49"/>
    <w:rsid w:val="00C27AE5"/>
    <w:rsid w:val="00C312B0"/>
    <w:rsid w:val="00C3154F"/>
    <w:rsid w:val="00C315D8"/>
    <w:rsid w:val="00C32D29"/>
    <w:rsid w:val="00C32DF6"/>
    <w:rsid w:val="00C34077"/>
    <w:rsid w:val="00C3570F"/>
    <w:rsid w:val="00C3601A"/>
    <w:rsid w:val="00C36746"/>
    <w:rsid w:val="00C36A51"/>
    <w:rsid w:val="00C37CED"/>
    <w:rsid w:val="00C40144"/>
    <w:rsid w:val="00C42C50"/>
    <w:rsid w:val="00C43010"/>
    <w:rsid w:val="00C45B9F"/>
    <w:rsid w:val="00C45E68"/>
    <w:rsid w:val="00C45F22"/>
    <w:rsid w:val="00C46A7C"/>
    <w:rsid w:val="00C50D87"/>
    <w:rsid w:val="00C50F91"/>
    <w:rsid w:val="00C51D90"/>
    <w:rsid w:val="00C522E5"/>
    <w:rsid w:val="00C5481D"/>
    <w:rsid w:val="00C54B97"/>
    <w:rsid w:val="00C54BF3"/>
    <w:rsid w:val="00C55F73"/>
    <w:rsid w:val="00C5620B"/>
    <w:rsid w:val="00C56997"/>
    <w:rsid w:val="00C57F82"/>
    <w:rsid w:val="00C62DA3"/>
    <w:rsid w:val="00C63168"/>
    <w:rsid w:val="00C636B0"/>
    <w:rsid w:val="00C64C7C"/>
    <w:rsid w:val="00C676B6"/>
    <w:rsid w:val="00C678F3"/>
    <w:rsid w:val="00C73277"/>
    <w:rsid w:val="00C7352E"/>
    <w:rsid w:val="00C74800"/>
    <w:rsid w:val="00C74CA3"/>
    <w:rsid w:val="00C7501D"/>
    <w:rsid w:val="00C75A62"/>
    <w:rsid w:val="00C764AD"/>
    <w:rsid w:val="00C765E2"/>
    <w:rsid w:val="00C7794F"/>
    <w:rsid w:val="00C77C0D"/>
    <w:rsid w:val="00C77E88"/>
    <w:rsid w:val="00C80F48"/>
    <w:rsid w:val="00C817A0"/>
    <w:rsid w:val="00C81F39"/>
    <w:rsid w:val="00C8293B"/>
    <w:rsid w:val="00C82EFE"/>
    <w:rsid w:val="00C83A46"/>
    <w:rsid w:val="00C84FE2"/>
    <w:rsid w:val="00C85D01"/>
    <w:rsid w:val="00C8756A"/>
    <w:rsid w:val="00C946AF"/>
    <w:rsid w:val="00C95779"/>
    <w:rsid w:val="00C95EF4"/>
    <w:rsid w:val="00C96085"/>
    <w:rsid w:val="00CA01CE"/>
    <w:rsid w:val="00CA0E12"/>
    <w:rsid w:val="00CA145D"/>
    <w:rsid w:val="00CA14B5"/>
    <w:rsid w:val="00CA2A3B"/>
    <w:rsid w:val="00CA5DBD"/>
    <w:rsid w:val="00CA6B29"/>
    <w:rsid w:val="00CA7655"/>
    <w:rsid w:val="00CA78FD"/>
    <w:rsid w:val="00CA7F93"/>
    <w:rsid w:val="00CB0B81"/>
    <w:rsid w:val="00CB1006"/>
    <w:rsid w:val="00CB1481"/>
    <w:rsid w:val="00CB18B2"/>
    <w:rsid w:val="00CB1FC7"/>
    <w:rsid w:val="00CB27C1"/>
    <w:rsid w:val="00CB3777"/>
    <w:rsid w:val="00CB4636"/>
    <w:rsid w:val="00CB66B9"/>
    <w:rsid w:val="00CB78EC"/>
    <w:rsid w:val="00CC02D4"/>
    <w:rsid w:val="00CC2533"/>
    <w:rsid w:val="00CC29FC"/>
    <w:rsid w:val="00CC722A"/>
    <w:rsid w:val="00CD12D6"/>
    <w:rsid w:val="00CD1421"/>
    <w:rsid w:val="00CD19E9"/>
    <w:rsid w:val="00CD1DCF"/>
    <w:rsid w:val="00CD616E"/>
    <w:rsid w:val="00CD7607"/>
    <w:rsid w:val="00CE03FA"/>
    <w:rsid w:val="00CE0A37"/>
    <w:rsid w:val="00CE109B"/>
    <w:rsid w:val="00CE20BE"/>
    <w:rsid w:val="00CE3796"/>
    <w:rsid w:val="00CE7495"/>
    <w:rsid w:val="00CF0BA1"/>
    <w:rsid w:val="00CF1A86"/>
    <w:rsid w:val="00CF1AD4"/>
    <w:rsid w:val="00CF3D53"/>
    <w:rsid w:val="00CF61F8"/>
    <w:rsid w:val="00CF6C97"/>
    <w:rsid w:val="00D00207"/>
    <w:rsid w:val="00D01F90"/>
    <w:rsid w:val="00D02E79"/>
    <w:rsid w:val="00D03267"/>
    <w:rsid w:val="00D05326"/>
    <w:rsid w:val="00D05D48"/>
    <w:rsid w:val="00D07A5D"/>
    <w:rsid w:val="00D10B2A"/>
    <w:rsid w:val="00D118CF"/>
    <w:rsid w:val="00D12E6A"/>
    <w:rsid w:val="00D1579D"/>
    <w:rsid w:val="00D16DCA"/>
    <w:rsid w:val="00D20991"/>
    <w:rsid w:val="00D20B79"/>
    <w:rsid w:val="00D20BDE"/>
    <w:rsid w:val="00D20D7F"/>
    <w:rsid w:val="00D22421"/>
    <w:rsid w:val="00D22821"/>
    <w:rsid w:val="00D24662"/>
    <w:rsid w:val="00D249D4"/>
    <w:rsid w:val="00D267C0"/>
    <w:rsid w:val="00D26D88"/>
    <w:rsid w:val="00D26EA7"/>
    <w:rsid w:val="00D3055B"/>
    <w:rsid w:val="00D324ED"/>
    <w:rsid w:val="00D32659"/>
    <w:rsid w:val="00D3760E"/>
    <w:rsid w:val="00D37724"/>
    <w:rsid w:val="00D41248"/>
    <w:rsid w:val="00D41A29"/>
    <w:rsid w:val="00D42484"/>
    <w:rsid w:val="00D42671"/>
    <w:rsid w:val="00D42AED"/>
    <w:rsid w:val="00D4376F"/>
    <w:rsid w:val="00D43B79"/>
    <w:rsid w:val="00D46FDF"/>
    <w:rsid w:val="00D470EA"/>
    <w:rsid w:val="00D51285"/>
    <w:rsid w:val="00D51568"/>
    <w:rsid w:val="00D533A8"/>
    <w:rsid w:val="00D55561"/>
    <w:rsid w:val="00D55C12"/>
    <w:rsid w:val="00D57FD6"/>
    <w:rsid w:val="00D61DCF"/>
    <w:rsid w:val="00D62229"/>
    <w:rsid w:val="00D6514F"/>
    <w:rsid w:val="00D66988"/>
    <w:rsid w:val="00D70100"/>
    <w:rsid w:val="00D70764"/>
    <w:rsid w:val="00D72EAA"/>
    <w:rsid w:val="00D7371E"/>
    <w:rsid w:val="00D73F49"/>
    <w:rsid w:val="00D74B3A"/>
    <w:rsid w:val="00D74F77"/>
    <w:rsid w:val="00D75DAB"/>
    <w:rsid w:val="00D768C8"/>
    <w:rsid w:val="00D77187"/>
    <w:rsid w:val="00D7797E"/>
    <w:rsid w:val="00D803A5"/>
    <w:rsid w:val="00D84362"/>
    <w:rsid w:val="00D845B8"/>
    <w:rsid w:val="00D87AC7"/>
    <w:rsid w:val="00D87BEC"/>
    <w:rsid w:val="00D87FCB"/>
    <w:rsid w:val="00D908F3"/>
    <w:rsid w:val="00D90A47"/>
    <w:rsid w:val="00D91571"/>
    <w:rsid w:val="00D92276"/>
    <w:rsid w:val="00D925B2"/>
    <w:rsid w:val="00D935B9"/>
    <w:rsid w:val="00D938B0"/>
    <w:rsid w:val="00D94A46"/>
    <w:rsid w:val="00D95724"/>
    <w:rsid w:val="00D9615F"/>
    <w:rsid w:val="00D96883"/>
    <w:rsid w:val="00D9691E"/>
    <w:rsid w:val="00D96933"/>
    <w:rsid w:val="00D97172"/>
    <w:rsid w:val="00DA092E"/>
    <w:rsid w:val="00DA0A5A"/>
    <w:rsid w:val="00DA0ADC"/>
    <w:rsid w:val="00DA3E33"/>
    <w:rsid w:val="00DA6154"/>
    <w:rsid w:val="00DA6A30"/>
    <w:rsid w:val="00DB19D6"/>
    <w:rsid w:val="00DB363F"/>
    <w:rsid w:val="00DB44CF"/>
    <w:rsid w:val="00DB46F2"/>
    <w:rsid w:val="00DB499A"/>
    <w:rsid w:val="00DB5113"/>
    <w:rsid w:val="00DB5A56"/>
    <w:rsid w:val="00DB5B2E"/>
    <w:rsid w:val="00DB6A52"/>
    <w:rsid w:val="00DC108E"/>
    <w:rsid w:val="00DC1B20"/>
    <w:rsid w:val="00DC2476"/>
    <w:rsid w:val="00DC2BFC"/>
    <w:rsid w:val="00DC31E4"/>
    <w:rsid w:val="00DC321F"/>
    <w:rsid w:val="00DD055C"/>
    <w:rsid w:val="00DD074A"/>
    <w:rsid w:val="00DD0EEF"/>
    <w:rsid w:val="00DD2737"/>
    <w:rsid w:val="00DD44DE"/>
    <w:rsid w:val="00DD481B"/>
    <w:rsid w:val="00DD4890"/>
    <w:rsid w:val="00DD4A55"/>
    <w:rsid w:val="00DD55AD"/>
    <w:rsid w:val="00DD5C47"/>
    <w:rsid w:val="00DE04D3"/>
    <w:rsid w:val="00DE1394"/>
    <w:rsid w:val="00DE1461"/>
    <w:rsid w:val="00DE2902"/>
    <w:rsid w:val="00DE36B3"/>
    <w:rsid w:val="00DE3ED0"/>
    <w:rsid w:val="00DE4BED"/>
    <w:rsid w:val="00DE6A03"/>
    <w:rsid w:val="00DE71A6"/>
    <w:rsid w:val="00DE733A"/>
    <w:rsid w:val="00DF02D9"/>
    <w:rsid w:val="00DF0521"/>
    <w:rsid w:val="00DF1819"/>
    <w:rsid w:val="00DF2924"/>
    <w:rsid w:val="00DF2E8C"/>
    <w:rsid w:val="00DF4720"/>
    <w:rsid w:val="00DF4759"/>
    <w:rsid w:val="00DF69A5"/>
    <w:rsid w:val="00DF7724"/>
    <w:rsid w:val="00DF7DB7"/>
    <w:rsid w:val="00E001D2"/>
    <w:rsid w:val="00E00603"/>
    <w:rsid w:val="00E00CD6"/>
    <w:rsid w:val="00E00F32"/>
    <w:rsid w:val="00E02031"/>
    <w:rsid w:val="00E03183"/>
    <w:rsid w:val="00E039C5"/>
    <w:rsid w:val="00E03E35"/>
    <w:rsid w:val="00E057A0"/>
    <w:rsid w:val="00E06408"/>
    <w:rsid w:val="00E1133B"/>
    <w:rsid w:val="00E1145F"/>
    <w:rsid w:val="00E115A9"/>
    <w:rsid w:val="00E11D8B"/>
    <w:rsid w:val="00E11EBF"/>
    <w:rsid w:val="00E12236"/>
    <w:rsid w:val="00E14A53"/>
    <w:rsid w:val="00E15324"/>
    <w:rsid w:val="00E1558C"/>
    <w:rsid w:val="00E16F62"/>
    <w:rsid w:val="00E20B48"/>
    <w:rsid w:val="00E2267B"/>
    <w:rsid w:val="00E24E85"/>
    <w:rsid w:val="00E2535A"/>
    <w:rsid w:val="00E2692A"/>
    <w:rsid w:val="00E26D27"/>
    <w:rsid w:val="00E272CD"/>
    <w:rsid w:val="00E303BE"/>
    <w:rsid w:val="00E305F8"/>
    <w:rsid w:val="00E30D2D"/>
    <w:rsid w:val="00E30DEA"/>
    <w:rsid w:val="00E3301E"/>
    <w:rsid w:val="00E3466C"/>
    <w:rsid w:val="00E355CA"/>
    <w:rsid w:val="00E3626F"/>
    <w:rsid w:val="00E37496"/>
    <w:rsid w:val="00E41B8F"/>
    <w:rsid w:val="00E41EDD"/>
    <w:rsid w:val="00E42952"/>
    <w:rsid w:val="00E4410F"/>
    <w:rsid w:val="00E44251"/>
    <w:rsid w:val="00E46FA4"/>
    <w:rsid w:val="00E4710C"/>
    <w:rsid w:val="00E47D5F"/>
    <w:rsid w:val="00E47EC0"/>
    <w:rsid w:val="00E50082"/>
    <w:rsid w:val="00E5154A"/>
    <w:rsid w:val="00E51636"/>
    <w:rsid w:val="00E519C8"/>
    <w:rsid w:val="00E51EAD"/>
    <w:rsid w:val="00E51FB7"/>
    <w:rsid w:val="00E52AA0"/>
    <w:rsid w:val="00E53E45"/>
    <w:rsid w:val="00E5483C"/>
    <w:rsid w:val="00E55E41"/>
    <w:rsid w:val="00E5656A"/>
    <w:rsid w:val="00E57FBA"/>
    <w:rsid w:val="00E6063C"/>
    <w:rsid w:val="00E617A5"/>
    <w:rsid w:val="00E621AB"/>
    <w:rsid w:val="00E637E4"/>
    <w:rsid w:val="00E64277"/>
    <w:rsid w:val="00E662AB"/>
    <w:rsid w:val="00E662C0"/>
    <w:rsid w:val="00E66789"/>
    <w:rsid w:val="00E66C2E"/>
    <w:rsid w:val="00E66D3B"/>
    <w:rsid w:val="00E6739E"/>
    <w:rsid w:val="00E67D0C"/>
    <w:rsid w:val="00E70784"/>
    <w:rsid w:val="00E70BA9"/>
    <w:rsid w:val="00E71CAD"/>
    <w:rsid w:val="00E722CE"/>
    <w:rsid w:val="00E72E0C"/>
    <w:rsid w:val="00E733AA"/>
    <w:rsid w:val="00E74A86"/>
    <w:rsid w:val="00E76409"/>
    <w:rsid w:val="00E76AC2"/>
    <w:rsid w:val="00E77932"/>
    <w:rsid w:val="00E817CA"/>
    <w:rsid w:val="00E81C23"/>
    <w:rsid w:val="00E81C7D"/>
    <w:rsid w:val="00E82932"/>
    <w:rsid w:val="00E83C3E"/>
    <w:rsid w:val="00E84A03"/>
    <w:rsid w:val="00E84C2A"/>
    <w:rsid w:val="00E84E26"/>
    <w:rsid w:val="00E85972"/>
    <w:rsid w:val="00E85CD7"/>
    <w:rsid w:val="00E86704"/>
    <w:rsid w:val="00E90328"/>
    <w:rsid w:val="00E9186E"/>
    <w:rsid w:val="00E92569"/>
    <w:rsid w:val="00E92EE3"/>
    <w:rsid w:val="00E94576"/>
    <w:rsid w:val="00E96063"/>
    <w:rsid w:val="00E97328"/>
    <w:rsid w:val="00EA0BB1"/>
    <w:rsid w:val="00EA3550"/>
    <w:rsid w:val="00EA3706"/>
    <w:rsid w:val="00EA5935"/>
    <w:rsid w:val="00EA61F1"/>
    <w:rsid w:val="00EA77F4"/>
    <w:rsid w:val="00EB0064"/>
    <w:rsid w:val="00EB0DF1"/>
    <w:rsid w:val="00EB0F87"/>
    <w:rsid w:val="00EB106E"/>
    <w:rsid w:val="00EB163B"/>
    <w:rsid w:val="00EB1E1F"/>
    <w:rsid w:val="00EB3DDC"/>
    <w:rsid w:val="00EB430A"/>
    <w:rsid w:val="00EB4D42"/>
    <w:rsid w:val="00EB5047"/>
    <w:rsid w:val="00EB5F00"/>
    <w:rsid w:val="00EB6EE8"/>
    <w:rsid w:val="00EB71D3"/>
    <w:rsid w:val="00EC0149"/>
    <w:rsid w:val="00EC022C"/>
    <w:rsid w:val="00EC124D"/>
    <w:rsid w:val="00EC3833"/>
    <w:rsid w:val="00EC3875"/>
    <w:rsid w:val="00EC49DB"/>
    <w:rsid w:val="00EC577D"/>
    <w:rsid w:val="00ED0916"/>
    <w:rsid w:val="00ED13F7"/>
    <w:rsid w:val="00ED2F99"/>
    <w:rsid w:val="00ED3381"/>
    <w:rsid w:val="00ED3611"/>
    <w:rsid w:val="00ED378B"/>
    <w:rsid w:val="00ED390C"/>
    <w:rsid w:val="00ED3D05"/>
    <w:rsid w:val="00ED4D71"/>
    <w:rsid w:val="00ED7BAA"/>
    <w:rsid w:val="00EE06B7"/>
    <w:rsid w:val="00EE1172"/>
    <w:rsid w:val="00EE1CA9"/>
    <w:rsid w:val="00EE2F75"/>
    <w:rsid w:val="00EE50CE"/>
    <w:rsid w:val="00EE5AB2"/>
    <w:rsid w:val="00EE600A"/>
    <w:rsid w:val="00EE6E15"/>
    <w:rsid w:val="00EE70A1"/>
    <w:rsid w:val="00EE7557"/>
    <w:rsid w:val="00EE75B4"/>
    <w:rsid w:val="00EE7F5D"/>
    <w:rsid w:val="00EF1F4A"/>
    <w:rsid w:val="00EF2A9A"/>
    <w:rsid w:val="00EF59A9"/>
    <w:rsid w:val="00EF5FAD"/>
    <w:rsid w:val="00EF6320"/>
    <w:rsid w:val="00EF6562"/>
    <w:rsid w:val="00EF6B91"/>
    <w:rsid w:val="00EF7408"/>
    <w:rsid w:val="00EF7BD3"/>
    <w:rsid w:val="00F003A7"/>
    <w:rsid w:val="00F00BF3"/>
    <w:rsid w:val="00F01AF8"/>
    <w:rsid w:val="00F01CDB"/>
    <w:rsid w:val="00F02524"/>
    <w:rsid w:val="00F0321B"/>
    <w:rsid w:val="00F043D9"/>
    <w:rsid w:val="00F0445C"/>
    <w:rsid w:val="00F04486"/>
    <w:rsid w:val="00F048AB"/>
    <w:rsid w:val="00F04D6A"/>
    <w:rsid w:val="00F059DA"/>
    <w:rsid w:val="00F05E25"/>
    <w:rsid w:val="00F1051D"/>
    <w:rsid w:val="00F121EA"/>
    <w:rsid w:val="00F12574"/>
    <w:rsid w:val="00F1270D"/>
    <w:rsid w:val="00F130CD"/>
    <w:rsid w:val="00F135AF"/>
    <w:rsid w:val="00F14F81"/>
    <w:rsid w:val="00F15387"/>
    <w:rsid w:val="00F15AE2"/>
    <w:rsid w:val="00F16E7C"/>
    <w:rsid w:val="00F170EC"/>
    <w:rsid w:val="00F20AA2"/>
    <w:rsid w:val="00F21C28"/>
    <w:rsid w:val="00F2229E"/>
    <w:rsid w:val="00F225D2"/>
    <w:rsid w:val="00F23CFA"/>
    <w:rsid w:val="00F23DCF"/>
    <w:rsid w:val="00F23EAE"/>
    <w:rsid w:val="00F2466F"/>
    <w:rsid w:val="00F2565B"/>
    <w:rsid w:val="00F27ECF"/>
    <w:rsid w:val="00F312A9"/>
    <w:rsid w:val="00F3225F"/>
    <w:rsid w:val="00F33144"/>
    <w:rsid w:val="00F331D7"/>
    <w:rsid w:val="00F33E58"/>
    <w:rsid w:val="00F37E08"/>
    <w:rsid w:val="00F37F3F"/>
    <w:rsid w:val="00F41B5E"/>
    <w:rsid w:val="00F424D4"/>
    <w:rsid w:val="00F42D97"/>
    <w:rsid w:val="00F433B6"/>
    <w:rsid w:val="00F43DFA"/>
    <w:rsid w:val="00F46D80"/>
    <w:rsid w:val="00F470A9"/>
    <w:rsid w:val="00F47E3B"/>
    <w:rsid w:val="00F515D3"/>
    <w:rsid w:val="00F5160B"/>
    <w:rsid w:val="00F51C0A"/>
    <w:rsid w:val="00F52F99"/>
    <w:rsid w:val="00F5480D"/>
    <w:rsid w:val="00F556B3"/>
    <w:rsid w:val="00F56396"/>
    <w:rsid w:val="00F56AA4"/>
    <w:rsid w:val="00F621B3"/>
    <w:rsid w:val="00F64072"/>
    <w:rsid w:val="00F64418"/>
    <w:rsid w:val="00F64C25"/>
    <w:rsid w:val="00F66BF5"/>
    <w:rsid w:val="00F66D22"/>
    <w:rsid w:val="00F67C3E"/>
    <w:rsid w:val="00F70CEF"/>
    <w:rsid w:val="00F71FE8"/>
    <w:rsid w:val="00F72763"/>
    <w:rsid w:val="00F72DFB"/>
    <w:rsid w:val="00F73212"/>
    <w:rsid w:val="00F73C3D"/>
    <w:rsid w:val="00F7531A"/>
    <w:rsid w:val="00F76D25"/>
    <w:rsid w:val="00F825EF"/>
    <w:rsid w:val="00F82945"/>
    <w:rsid w:val="00F83E8E"/>
    <w:rsid w:val="00F85BC0"/>
    <w:rsid w:val="00F86B8C"/>
    <w:rsid w:val="00F9168C"/>
    <w:rsid w:val="00F91ACC"/>
    <w:rsid w:val="00F91F03"/>
    <w:rsid w:val="00F91F3D"/>
    <w:rsid w:val="00F92D1A"/>
    <w:rsid w:val="00F9364B"/>
    <w:rsid w:val="00F93CF4"/>
    <w:rsid w:val="00F93D9F"/>
    <w:rsid w:val="00F9425B"/>
    <w:rsid w:val="00F979E1"/>
    <w:rsid w:val="00F97F8E"/>
    <w:rsid w:val="00FA101F"/>
    <w:rsid w:val="00FA424F"/>
    <w:rsid w:val="00FA43B1"/>
    <w:rsid w:val="00FA7CF7"/>
    <w:rsid w:val="00FB11D2"/>
    <w:rsid w:val="00FB1BDC"/>
    <w:rsid w:val="00FB2DAF"/>
    <w:rsid w:val="00FB3E3C"/>
    <w:rsid w:val="00FB55C4"/>
    <w:rsid w:val="00FB6726"/>
    <w:rsid w:val="00FB7755"/>
    <w:rsid w:val="00FC1914"/>
    <w:rsid w:val="00FC1DAD"/>
    <w:rsid w:val="00FC2764"/>
    <w:rsid w:val="00FC29D9"/>
    <w:rsid w:val="00FC65F5"/>
    <w:rsid w:val="00FD0BDB"/>
    <w:rsid w:val="00FD11CD"/>
    <w:rsid w:val="00FD1762"/>
    <w:rsid w:val="00FD321A"/>
    <w:rsid w:val="00FD3B85"/>
    <w:rsid w:val="00FD3BF6"/>
    <w:rsid w:val="00FD43F7"/>
    <w:rsid w:val="00FD49EF"/>
    <w:rsid w:val="00FD4B1E"/>
    <w:rsid w:val="00FD4CC5"/>
    <w:rsid w:val="00FD5A86"/>
    <w:rsid w:val="00FD6BAD"/>
    <w:rsid w:val="00FD7F4D"/>
    <w:rsid w:val="00FE0CD9"/>
    <w:rsid w:val="00FE18A0"/>
    <w:rsid w:val="00FE25FA"/>
    <w:rsid w:val="00FE3965"/>
    <w:rsid w:val="00FE5969"/>
    <w:rsid w:val="00FE5A8A"/>
    <w:rsid w:val="00FE5F45"/>
    <w:rsid w:val="00FE6705"/>
    <w:rsid w:val="00FE7F7F"/>
    <w:rsid w:val="00FF033E"/>
    <w:rsid w:val="00FF0FA4"/>
    <w:rsid w:val="00FF207A"/>
    <w:rsid w:val="00FF299B"/>
    <w:rsid w:val="00FF2B58"/>
    <w:rsid w:val="00FF3C1D"/>
    <w:rsid w:val="00FF3E69"/>
    <w:rsid w:val="00FF552D"/>
    <w:rsid w:val="00FF5D2D"/>
    <w:rsid w:val="00FF6539"/>
    <w:rsid w:val="00FF733A"/>
    <w:rsid w:val="00FF7787"/>
    <w:rsid w:val="00FF7F49"/>
    <w:rsid w:val="0E7D7CF4"/>
    <w:rsid w:val="0F6F8552"/>
    <w:rsid w:val="14BA5353"/>
    <w:rsid w:val="16BBC619"/>
    <w:rsid w:val="17EFE565"/>
    <w:rsid w:val="18BB771E"/>
    <w:rsid w:val="1DFFB15A"/>
    <w:rsid w:val="25D773FC"/>
    <w:rsid w:val="2F768486"/>
    <w:rsid w:val="33EFFDED"/>
    <w:rsid w:val="372F3EDA"/>
    <w:rsid w:val="37FBA05D"/>
    <w:rsid w:val="38E452E6"/>
    <w:rsid w:val="3AFB6F97"/>
    <w:rsid w:val="3BACBEF2"/>
    <w:rsid w:val="3BBF17CA"/>
    <w:rsid w:val="3BEDF0F6"/>
    <w:rsid w:val="3D7A3455"/>
    <w:rsid w:val="3DFF4F07"/>
    <w:rsid w:val="3E97831B"/>
    <w:rsid w:val="3F3E1A4B"/>
    <w:rsid w:val="3F4714EE"/>
    <w:rsid w:val="3F7EB322"/>
    <w:rsid w:val="3FBB01A1"/>
    <w:rsid w:val="3FDFDAF0"/>
    <w:rsid w:val="3FF52D53"/>
    <w:rsid w:val="3FF53914"/>
    <w:rsid w:val="3FF9D10A"/>
    <w:rsid w:val="3FFF77A6"/>
    <w:rsid w:val="42A67168"/>
    <w:rsid w:val="42E25FF9"/>
    <w:rsid w:val="4ECF62A9"/>
    <w:rsid w:val="4FAA10F3"/>
    <w:rsid w:val="4FDF83FD"/>
    <w:rsid w:val="4FF360DC"/>
    <w:rsid w:val="4FF4DD3D"/>
    <w:rsid w:val="4FF7FB07"/>
    <w:rsid w:val="4FFFE8F1"/>
    <w:rsid w:val="520D05A6"/>
    <w:rsid w:val="5368542D"/>
    <w:rsid w:val="539E91F3"/>
    <w:rsid w:val="53FBFCA2"/>
    <w:rsid w:val="56806FA4"/>
    <w:rsid w:val="575925A3"/>
    <w:rsid w:val="5775BD1B"/>
    <w:rsid w:val="591075D9"/>
    <w:rsid w:val="5A8B188B"/>
    <w:rsid w:val="5AAEA606"/>
    <w:rsid w:val="5AE39565"/>
    <w:rsid w:val="5BBD20E1"/>
    <w:rsid w:val="5E2F8001"/>
    <w:rsid w:val="5E573D82"/>
    <w:rsid w:val="5EBE567D"/>
    <w:rsid w:val="5F2BCAAE"/>
    <w:rsid w:val="5F39B480"/>
    <w:rsid w:val="5F3F0D54"/>
    <w:rsid w:val="5F7CBAB3"/>
    <w:rsid w:val="5FDA9DDB"/>
    <w:rsid w:val="5FDFCBC8"/>
    <w:rsid w:val="5FED878F"/>
    <w:rsid w:val="5FF9ABCD"/>
    <w:rsid w:val="5FFBB165"/>
    <w:rsid w:val="5FFBDD50"/>
    <w:rsid w:val="5FFE76E1"/>
    <w:rsid w:val="6357068E"/>
    <w:rsid w:val="65B90406"/>
    <w:rsid w:val="65F589FE"/>
    <w:rsid w:val="65FF7453"/>
    <w:rsid w:val="667F17E6"/>
    <w:rsid w:val="667FB5BB"/>
    <w:rsid w:val="66BB6E3D"/>
    <w:rsid w:val="67DF805F"/>
    <w:rsid w:val="6AD955D9"/>
    <w:rsid w:val="6BDF2737"/>
    <w:rsid w:val="6BF65370"/>
    <w:rsid w:val="6C3BB082"/>
    <w:rsid w:val="6DBCDBFC"/>
    <w:rsid w:val="6E7C5B11"/>
    <w:rsid w:val="6EBF58AA"/>
    <w:rsid w:val="6ECFD90E"/>
    <w:rsid w:val="6F5F094F"/>
    <w:rsid w:val="6F7E5E04"/>
    <w:rsid w:val="6FBB7BE3"/>
    <w:rsid w:val="6FBF38BD"/>
    <w:rsid w:val="6FDC660B"/>
    <w:rsid w:val="6FF7CF59"/>
    <w:rsid w:val="71362C53"/>
    <w:rsid w:val="72BE5091"/>
    <w:rsid w:val="731FD33F"/>
    <w:rsid w:val="73DFD371"/>
    <w:rsid w:val="73EF8685"/>
    <w:rsid w:val="74E9FF5F"/>
    <w:rsid w:val="75F74FDB"/>
    <w:rsid w:val="76E20941"/>
    <w:rsid w:val="76F6658C"/>
    <w:rsid w:val="76FE7C94"/>
    <w:rsid w:val="777A60A4"/>
    <w:rsid w:val="779B34BF"/>
    <w:rsid w:val="77ACC21C"/>
    <w:rsid w:val="77DE5E45"/>
    <w:rsid w:val="77F3A71B"/>
    <w:rsid w:val="77F46C42"/>
    <w:rsid w:val="77FD63C0"/>
    <w:rsid w:val="77FE2960"/>
    <w:rsid w:val="77FF049B"/>
    <w:rsid w:val="78E2C557"/>
    <w:rsid w:val="794FE691"/>
    <w:rsid w:val="79FED9A2"/>
    <w:rsid w:val="7A7F168E"/>
    <w:rsid w:val="7AE53990"/>
    <w:rsid w:val="7BAB7869"/>
    <w:rsid w:val="7BBFA65A"/>
    <w:rsid w:val="7BE1EA1C"/>
    <w:rsid w:val="7BEF8CA3"/>
    <w:rsid w:val="7BF99508"/>
    <w:rsid w:val="7BFFA9E4"/>
    <w:rsid w:val="7C7EEE7F"/>
    <w:rsid w:val="7D01437F"/>
    <w:rsid w:val="7D0F945A"/>
    <w:rsid w:val="7D6A6A58"/>
    <w:rsid w:val="7D738F35"/>
    <w:rsid w:val="7DBBDAC6"/>
    <w:rsid w:val="7E7F6DB4"/>
    <w:rsid w:val="7EBB98CC"/>
    <w:rsid w:val="7F3DB5A2"/>
    <w:rsid w:val="7F3DC4D9"/>
    <w:rsid w:val="7F475437"/>
    <w:rsid w:val="7F71FD15"/>
    <w:rsid w:val="7F7EC793"/>
    <w:rsid w:val="7F7FEDD8"/>
    <w:rsid w:val="7FC2A1C7"/>
    <w:rsid w:val="7FCB4189"/>
    <w:rsid w:val="7FD724DE"/>
    <w:rsid w:val="7FDB6C52"/>
    <w:rsid w:val="7FDB9491"/>
    <w:rsid w:val="7FE9D951"/>
    <w:rsid w:val="7FF6DED0"/>
    <w:rsid w:val="7FFB4CCF"/>
    <w:rsid w:val="7FFB5D01"/>
    <w:rsid w:val="7FFF1419"/>
    <w:rsid w:val="8FF30780"/>
    <w:rsid w:val="92AB4D68"/>
    <w:rsid w:val="937CB6A8"/>
    <w:rsid w:val="97BFD569"/>
    <w:rsid w:val="97FFF792"/>
    <w:rsid w:val="999A2616"/>
    <w:rsid w:val="99F6428E"/>
    <w:rsid w:val="9BFFA8AC"/>
    <w:rsid w:val="9DFBEEC4"/>
    <w:rsid w:val="9FDD1F1C"/>
    <w:rsid w:val="A159AEE3"/>
    <w:rsid w:val="A27EF864"/>
    <w:rsid w:val="ABF5829B"/>
    <w:rsid w:val="AEF7EC31"/>
    <w:rsid w:val="AFEB9113"/>
    <w:rsid w:val="AFEF8B5A"/>
    <w:rsid w:val="B5FFC3AE"/>
    <w:rsid w:val="B8FCA1EF"/>
    <w:rsid w:val="BABACF06"/>
    <w:rsid w:val="BB65AA10"/>
    <w:rsid w:val="BBDE8B2E"/>
    <w:rsid w:val="BC6FB5C3"/>
    <w:rsid w:val="BEF901FC"/>
    <w:rsid w:val="BF9FB697"/>
    <w:rsid w:val="BFBDE2D8"/>
    <w:rsid w:val="BFDFBBC8"/>
    <w:rsid w:val="BFF5BBEF"/>
    <w:rsid w:val="C67C7CFF"/>
    <w:rsid w:val="C7FB29D2"/>
    <w:rsid w:val="CEFF02EB"/>
    <w:rsid w:val="CF9D9E4B"/>
    <w:rsid w:val="CFD5B328"/>
    <w:rsid w:val="CFEF8D19"/>
    <w:rsid w:val="D5DD71D4"/>
    <w:rsid w:val="D7E7F480"/>
    <w:rsid w:val="DA3F51E5"/>
    <w:rsid w:val="DAA79263"/>
    <w:rsid w:val="DADBBEDF"/>
    <w:rsid w:val="DB59FFB1"/>
    <w:rsid w:val="DBFD4980"/>
    <w:rsid w:val="DCBE5612"/>
    <w:rsid w:val="DCE63D6E"/>
    <w:rsid w:val="DDCFB2F8"/>
    <w:rsid w:val="DDF741B3"/>
    <w:rsid w:val="DF1D22D8"/>
    <w:rsid w:val="DF6B8DBE"/>
    <w:rsid w:val="DFDDC40F"/>
    <w:rsid w:val="DFDF0168"/>
    <w:rsid w:val="DFFA6618"/>
    <w:rsid w:val="DFFBE861"/>
    <w:rsid w:val="DFFE6032"/>
    <w:rsid w:val="E7FEEAF8"/>
    <w:rsid w:val="EDDEFDC4"/>
    <w:rsid w:val="EF5FD8CC"/>
    <w:rsid w:val="EFE59C74"/>
    <w:rsid w:val="EFFF92C0"/>
    <w:rsid w:val="F37FEE42"/>
    <w:rsid w:val="F3A7BB38"/>
    <w:rsid w:val="F3BC8C3E"/>
    <w:rsid w:val="F5D42A2E"/>
    <w:rsid w:val="F5FE6956"/>
    <w:rsid w:val="F61FA79D"/>
    <w:rsid w:val="F6D42932"/>
    <w:rsid w:val="F6FFB473"/>
    <w:rsid w:val="F75B2A7C"/>
    <w:rsid w:val="F77A7172"/>
    <w:rsid w:val="F7B7A326"/>
    <w:rsid w:val="F7EAFA1C"/>
    <w:rsid w:val="F7FBFCF6"/>
    <w:rsid w:val="F7FF95E0"/>
    <w:rsid w:val="F83F68AB"/>
    <w:rsid w:val="F8F39ACF"/>
    <w:rsid w:val="F96A4E2A"/>
    <w:rsid w:val="F97FD885"/>
    <w:rsid w:val="F9B7D811"/>
    <w:rsid w:val="F9BDC352"/>
    <w:rsid w:val="FB8F6AF6"/>
    <w:rsid w:val="FBFB2401"/>
    <w:rsid w:val="FBFEB5C8"/>
    <w:rsid w:val="FBFF09EB"/>
    <w:rsid w:val="FC6E8C95"/>
    <w:rsid w:val="FD7313D4"/>
    <w:rsid w:val="FD7F5880"/>
    <w:rsid w:val="FDFA6341"/>
    <w:rsid w:val="FE7F71BB"/>
    <w:rsid w:val="FEAEBB98"/>
    <w:rsid w:val="FED93BCD"/>
    <w:rsid w:val="FEDBEFBB"/>
    <w:rsid w:val="FEED0137"/>
    <w:rsid w:val="FEF0CC2E"/>
    <w:rsid w:val="FEF94E8A"/>
    <w:rsid w:val="FF32D8BA"/>
    <w:rsid w:val="FF4B001C"/>
    <w:rsid w:val="FF4FE337"/>
    <w:rsid w:val="FF5E3EA2"/>
    <w:rsid w:val="FF5E42E0"/>
    <w:rsid w:val="FF68533C"/>
    <w:rsid w:val="FF76132F"/>
    <w:rsid w:val="FF7A7B53"/>
    <w:rsid w:val="FFAD1911"/>
    <w:rsid w:val="FFB993DD"/>
    <w:rsid w:val="FFCDD9AC"/>
    <w:rsid w:val="FFCF236C"/>
    <w:rsid w:val="FFE737E6"/>
    <w:rsid w:val="FFE7ED84"/>
    <w:rsid w:val="FFEB16BB"/>
    <w:rsid w:val="FFEB8281"/>
    <w:rsid w:val="FFF337EB"/>
    <w:rsid w:val="FFF9FB7C"/>
    <w:rsid w:val="FFFB677F"/>
    <w:rsid w:val="FFFCB02E"/>
    <w:rsid w:val="FFFF7DD4"/>
    <w:rsid w:val="FFFFD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1"/>
    <w:qFormat/>
    <w:uiPriority w:val="0"/>
    <w:pPr>
      <w:keepNext/>
      <w:keepLines/>
      <w:spacing w:line="360" w:lineRule="auto"/>
      <w:jc w:val="center"/>
      <w:outlineLvl w:val="0"/>
    </w:pPr>
    <w:rPr>
      <w:rFonts w:eastAsia="仿宋"/>
      <w:b/>
      <w:bCs/>
      <w:kern w:val="44"/>
      <w:sz w:val="32"/>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link w:val="22"/>
    <w:qFormat/>
    <w:uiPriority w:val="0"/>
    <w:pPr>
      <w:jc w:val="left"/>
    </w:pPr>
  </w:style>
  <w:style w:type="paragraph" w:styleId="5">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6">
    <w:name w:val="Plain Text"/>
    <w:basedOn w:val="1"/>
    <w:link w:val="23"/>
    <w:qFormat/>
    <w:uiPriority w:val="0"/>
    <w:rPr>
      <w:rFonts w:ascii="宋体" w:hAnsi="Courier New"/>
      <w:kern w:val="0"/>
      <w:sz w:val="32"/>
      <w:szCs w:val="32"/>
    </w:rPr>
  </w:style>
  <w:style w:type="paragraph" w:styleId="7">
    <w:name w:val="Date"/>
    <w:basedOn w:val="1"/>
    <w:next w:val="1"/>
    <w:link w:val="24"/>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27"/>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unhideWhenUsed/>
    <w:qFormat/>
    <w:uiPriority w:val="99"/>
    <w:rPr>
      <w:color w:val="0000FF"/>
      <w:u w:val="single"/>
    </w:rPr>
  </w:style>
  <w:style w:type="character" w:styleId="20">
    <w:name w:val="annotation reference"/>
    <w:qFormat/>
    <w:uiPriority w:val="0"/>
    <w:rPr>
      <w:sz w:val="21"/>
      <w:szCs w:val="21"/>
    </w:rPr>
  </w:style>
  <w:style w:type="character" w:customStyle="1" w:styleId="21">
    <w:name w:val="标题 1 字符"/>
    <w:link w:val="2"/>
    <w:qFormat/>
    <w:uiPriority w:val="0"/>
    <w:rPr>
      <w:rFonts w:eastAsia="仿宋"/>
      <w:b/>
      <w:bCs/>
      <w:kern w:val="44"/>
      <w:sz w:val="32"/>
      <w:szCs w:val="44"/>
    </w:rPr>
  </w:style>
  <w:style w:type="character" w:customStyle="1" w:styleId="22">
    <w:name w:val="批注文字 字符"/>
    <w:link w:val="4"/>
    <w:qFormat/>
    <w:uiPriority w:val="0"/>
    <w:rPr>
      <w:kern w:val="2"/>
      <w:sz w:val="21"/>
    </w:rPr>
  </w:style>
  <w:style w:type="character" w:customStyle="1" w:styleId="23">
    <w:name w:val="纯文本 字符"/>
    <w:link w:val="6"/>
    <w:qFormat/>
    <w:uiPriority w:val="0"/>
    <w:rPr>
      <w:rFonts w:ascii="宋体" w:hAnsi="Courier New"/>
      <w:sz w:val="32"/>
      <w:szCs w:val="32"/>
    </w:rPr>
  </w:style>
  <w:style w:type="character" w:customStyle="1" w:styleId="24">
    <w:name w:val="日期 字符"/>
    <w:link w:val="7"/>
    <w:qFormat/>
    <w:uiPriority w:val="0"/>
    <w:rPr>
      <w:kern w:val="2"/>
      <w:sz w:val="21"/>
    </w:rPr>
  </w:style>
  <w:style w:type="character" w:customStyle="1" w:styleId="25">
    <w:name w:val="页脚 字符"/>
    <w:link w:val="9"/>
    <w:qFormat/>
    <w:uiPriority w:val="99"/>
    <w:rPr>
      <w:kern w:val="2"/>
      <w:sz w:val="18"/>
      <w:szCs w:val="18"/>
    </w:rPr>
  </w:style>
  <w:style w:type="character" w:customStyle="1" w:styleId="26">
    <w:name w:val="页眉 字符"/>
    <w:link w:val="10"/>
    <w:qFormat/>
    <w:uiPriority w:val="0"/>
    <w:rPr>
      <w:kern w:val="2"/>
      <w:sz w:val="18"/>
      <w:szCs w:val="18"/>
    </w:rPr>
  </w:style>
  <w:style w:type="character" w:customStyle="1" w:styleId="27">
    <w:name w:val="批注主题 字符"/>
    <w:link w:val="14"/>
    <w:qFormat/>
    <w:uiPriority w:val="0"/>
    <w:rPr>
      <w:b/>
      <w:bCs/>
      <w:kern w:val="2"/>
      <w:sz w:val="21"/>
    </w:rPr>
  </w:style>
  <w:style w:type="paragraph" w:customStyle="1" w:styleId="2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
    <w:name w:val="4/（一）11&quot;中圆）"/>
    <w:basedOn w:val="1"/>
    <w:qFormat/>
    <w:uiPriority w:val="0"/>
    <w:pPr>
      <w:autoSpaceDE w:val="0"/>
      <w:autoSpaceDN w:val="0"/>
      <w:adjustRightInd w:val="0"/>
      <w:spacing w:line="360" w:lineRule="atLeast"/>
      <w:ind w:firstLine="482"/>
      <w:jc w:val="left"/>
    </w:pPr>
    <w:rPr>
      <w:rFonts w:ascii="汉仪中圆简" w:eastAsia="汉仪中圆简"/>
      <w:kern w:val="0"/>
      <w:sz w:val="22"/>
      <w:szCs w:val="22"/>
    </w:rPr>
  </w:style>
  <w:style w:type="paragraph" w:customStyle="1" w:styleId="30">
    <w:name w:val="修订1"/>
    <w:semiHidden/>
    <w:qFormat/>
    <w:uiPriority w:val="99"/>
    <w:rPr>
      <w:rFonts w:ascii="Times New Roman" w:hAnsi="Times New Roman" w:eastAsia="宋体" w:cs="Times New Roman"/>
      <w:kern w:val="2"/>
      <w:sz w:val="21"/>
      <w:lang w:val="en-US" w:eastAsia="zh-CN" w:bidi="ar-SA"/>
    </w:rPr>
  </w:style>
  <w:style w:type="paragraph" w:styleId="31">
    <w:name w:val="List Paragraph"/>
    <w:basedOn w:val="1"/>
    <w:qFormat/>
    <w:uiPriority w:val="34"/>
    <w:pPr>
      <w:ind w:firstLine="420" w:firstLineChars="200"/>
    </w:pPr>
    <w:rPr>
      <w:rFonts w:ascii="Calibri" w:hAnsi="Calibri" w:cs="Calibri"/>
      <w:szCs w:val="21"/>
    </w:rPr>
  </w:style>
  <w:style w:type="paragraph" w:customStyle="1" w:styleId="32">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7356</Words>
  <Characters>34</Characters>
  <Lines>1</Lines>
  <Paragraphs>14</Paragraphs>
  <TotalTime>0</TotalTime>
  <ScaleCrop>false</ScaleCrop>
  <LinksUpToDate>false</LinksUpToDate>
  <CharactersWithSpaces>7376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2023-07-04T17:41:00Z</dcterms:created>
  <dc:creator>贾明超</dc:creator>
  <cp:lastModifiedBy>qilin</cp:lastModifiedBy>
  <cp:lastPrinted>2023-07-01T22:53:00Z</cp:lastPrinted>
  <dcterms:modified xsi:type="dcterms:W3CDTF">2023-07-11T16:22:49Z</dcterms:modified>
  <dc:title>闲置土地处置工作规程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AB2C6F9962705C57BEC59A638226556F</vt:lpwstr>
  </property>
</Properties>
</file>