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附件</w:t>
      </w:r>
      <w:r>
        <w:rPr>
          <w:rFonts w:eastAsia="黑体"/>
          <w:sz w:val="32"/>
          <w:szCs w:val="32"/>
          <w:highlight w:val="none"/>
        </w:rPr>
        <w:t>3</w:t>
      </w:r>
    </w:p>
    <w:p>
      <w:pPr>
        <w:jc w:val="center"/>
        <w:rPr>
          <w:sz w:val="24"/>
          <w:szCs w:val="32"/>
          <w:highlight w:val="none"/>
        </w:rPr>
      </w:pPr>
    </w:p>
    <w:p>
      <w:pPr>
        <w:jc w:val="center"/>
        <w:rPr>
          <w:b/>
          <w:sz w:val="24"/>
          <w:szCs w:val="32"/>
          <w:highlight w:val="none"/>
        </w:rPr>
      </w:pPr>
      <w:r>
        <w:rPr>
          <w:rFonts w:hint="eastAsia"/>
          <w:b/>
          <w:sz w:val="40"/>
          <w:szCs w:val="32"/>
          <w:highlight w:val="none"/>
        </w:rPr>
        <w:t>评标办法及评分标准</w:t>
      </w:r>
    </w:p>
    <w:p>
      <w:pPr>
        <w:jc w:val="left"/>
        <w:rPr>
          <w:rFonts w:hint="eastAsia" w:eastAsiaTheme="minorEastAsia"/>
          <w:highlight w:val="none"/>
          <w:lang w:eastAsia="zh-CN"/>
        </w:rPr>
      </w:pPr>
    </w:p>
    <w:p>
      <w:pPr>
        <w:jc w:val="lef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一、评标办法</w:t>
      </w:r>
    </w:p>
    <w:p>
      <w:pPr>
        <w:ind w:firstLine="420"/>
        <w:rPr>
          <w:highlight w:val="none"/>
        </w:rPr>
      </w:pPr>
      <w:r>
        <w:rPr>
          <w:rFonts w:hint="eastAsia"/>
          <w:highlight w:val="none"/>
        </w:rPr>
        <w:t>本项目采用综合评标法进行项目评审。</w:t>
      </w:r>
    </w:p>
    <w:p>
      <w:pPr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评分组成</w:t>
      </w:r>
    </w:p>
    <w:p>
      <w:pPr>
        <w:ind w:firstLine="420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评分组成主要分为：价格部分；技术部分</w:t>
      </w:r>
      <w:r>
        <w:rPr>
          <w:rFonts w:hint="eastAsia"/>
          <w:highlight w:val="none"/>
          <w:lang w:eastAsia="zh-CN"/>
        </w:rPr>
        <w:t>；</w:t>
      </w:r>
      <w:r>
        <w:rPr>
          <w:rFonts w:hint="eastAsia"/>
          <w:highlight w:val="none"/>
          <w:lang w:val="en-US" w:eastAsia="zh-CN"/>
        </w:rPr>
        <w:t>综合实力部分</w:t>
      </w:r>
      <w:r>
        <w:rPr>
          <w:rFonts w:hint="eastAsia"/>
          <w:highlight w:val="none"/>
          <w:lang w:eastAsia="zh-CN"/>
        </w:rPr>
        <w:t>。</w:t>
      </w:r>
    </w:p>
    <w:p>
      <w:pPr>
        <w:rPr>
          <w:highlight w:val="none"/>
        </w:rPr>
      </w:pPr>
      <w:r>
        <w:rPr>
          <w:rFonts w:hint="eastAsia"/>
          <w:highlight w:val="none"/>
        </w:rPr>
        <w:t>三、评分标准</w:t>
      </w:r>
    </w:p>
    <w:p>
      <w:pPr>
        <w:ind w:firstLine="420"/>
        <w:rPr>
          <w:highlight w:val="none"/>
        </w:rPr>
      </w:pPr>
      <w:r>
        <w:rPr>
          <w:rFonts w:hint="eastAsia"/>
          <w:highlight w:val="none"/>
        </w:rPr>
        <w:t>资格性审查</w:t>
      </w:r>
    </w:p>
    <w:tbl>
      <w:tblPr>
        <w:tblStyle w:val="6"/>
        <w:tblW w:w="7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91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序号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资格要求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eastAsia="Times New Roman"/>
                <w:kern w:val="0"/>
                <w:sz w:val="20"/>
                <w:highlight w:val="none"/>
              </w:rPr>
              <w:t>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25" w:afterLines="25"/>
              <w:ind w:firstLine="400"/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1"/>
                <w:highlight w:val="none"/>
              </w:rPr>
              <w:t>投标人须是在中华人民共和国境内注册，具有独立法人资格或是具有独立承担民事责任的能力的其它组织（提供营业执照扫描件或事业单位法人证等法人证明扫描件，原件备查）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eastAsia="Times New Roman"/>
                <w:kern w:val="0"/>
                <w:sz w:val="20"/>
                <w:highlight w:val="none"/>
              </w:rPr>
              <w:t>2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参与政府类采购活动前</w:t>
            </w:r>
            <w:r>
              <w:rPr>
                <w:rFonts w:eastAsia="Times New Roman"/>
                <w:kern w:val="0"/>
                <w:sz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年内在经营活动中没有重大违法记录的证明。（提供</w:t>
            </w:r>
            <w:r>
              <w:rPr>
                <w:rFonts w:ascii="Calibri" w:hAnsi="Calibri" w:eastAsia="Times New Roman" w:cs="Calibri"/>
                <w:kern w:val="0"/>
                <w:sz w:val="20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信用中国</w:t>
            </w:r>
            <w:r>
              <w:rPr>
                <w:rFonts w:ascii="Calibri" w:hAnsi="Calibri" w:eastAsia="Times New Roman" w:cs="Calibri"/>
                <w:kern w:val="0"/>
                <w:sz w:val="20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0"/>
                <w:highlight w:val="none"/>
              </w:rPr>
              <w:t>网站无任何不良记录的查询截图）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highlight w:val="none"/>
              </w:rPr>
              <w:t>项目按使用方指定方式和地点完成交付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0"/>
                <w:highlight w:val="none"/>
              </w:rPr>
            </w:pPr>
          </w:p>
        </w:tc>
      </w:tr>
    </w:tbl>
    <w:p>
      <w:pPr>
        <w:ind w:left="420" w:hanging="420" w:hangingChars="200"/>
        <w:rPr>
          <w:highlight w:val="none"/>
        </w:rPr>
      </w:pPr>
    </w:p>
    <w:p>
      <w:pPr>
        <w:ind w:left="420" w:hanging="420" w:hangingChars="200"/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</w:p>
    <w:p>
      <w:pPr>
        <w:jc w:val="center"/>
        <w:rPr>
          <w:rFonts w:hint="eastAsia"/>
          <w:b/>
          <w:sz w:val="40"/>
          <w:szCs w:val="32"/>
          <w:highlight w:val="none"/>
        </w:rPr>
      </w:pPr>
      <w:r>
        <w:rPr>
          <w:rFonts w:hint="eastAsia"/>
          <w:b/>
          <w:sz w:val="40"/>
          <w:szCs w:val="32"/>
          <w:highlight w:val="none"/>
        </w:rPr>
        <w:t>评分表</w:t>
      </w:r>
    </w:p>
    <w:tbl>
      <w:tblPr>
        <w:tblStyle w:val="5"/>
        <w:tblpPr w:leftFromText="180" w:rightFromText="180" w:vertAnchor="text" w:horzAnchor="page" w:tblpX="1472" w:tblpY="453"/>
        <w:tblOverlap w:val="never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2"/>
        <w:gridCol w:w="709"/>
        <w:gridCol w:w="6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评分项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权重</w:t>
            </w:r>
          </w:p>
        </w:tc>
        <w:tc>
          <w:tcPr>
            <w:tcW w:w="6066" w:type="dxa"/>
            <w:vAlign w:val="center"/>
          </w:tcPr>
          <w:p>
            <w:pPr>
              <w:widowControl/>
              <w:spacing w:line="320" w:lineRule="exact"/>
              <w:ind w:firstLine="422" w:firstLineChars="200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价格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6066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满足本采购文件要求且投标价格最低的投标报价为评标基准价，其价格分为满分。其他投标人的价格分统一按照下列公式计算：投标报价得分＝（评标基准价/投标报价）×价格权值；保留两位小数。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技术部分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  <w:t>59</w:t>
            </w:r>
          </w:p>
        </w:tc>
        <w:tc>
          <w:tcPr>
            <w:tcW w:w="6066" w:type="dxa"/>
            <w:vAlign w:val="center"/>
          </w:tcPr>
          <w:p>
            <w:pPr>
              <w:widowControl/>
              <w:spacing w:before="240" w:after="240" w:line="320" w:lineRule="exact"/>
              <w:ind w:firstLine="422" w:firstLineChars="200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2.1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整体实施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方案评价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6066" w:type="dxa"/>
          </w:tcPr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评审标准：</w:t>
            </w:r>
          </w:p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根据方案的完整性、科学性、合理性、可行性和可操作性进行横向比较，分档评分：优得81%-100%，良得61%-80%，中得41%-60%，差得0%-40%。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2.2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企业诚信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6066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 xml:space="preserve">依据相关规定：供应商因违法违规被记入诚信档案且在有效期内的，不得分；不存在此类情况的，或虽受过行政处罚但修正行政处罚期已满，可参与政府采购活动的，得5分。 </w:t>
            </w:r>
          </w:p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注：以提供《诚信承诺函》（格式自拟，未按要求提供或提供不清晰的不得分。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2.3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保障措施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6066" w:type="dxa"/>
          </w:tcPr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（一）评分内容：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项目完成时间、活动安排等环节的保障措施及方案详细、合理，完成时间符合采购方要求。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（二）评分依据：</w:t>
            </w:r>
          </w:p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根据采购文件的需求和响应文件响应情况进行分档评分：评价为优得5分；评价为良得3分；评价为中得2分；评价为差不得分。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2.4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团队成员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6066" w:type="dxa"/>
          </w:tcPr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（一）评分内容：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团队成员总人数要求2人或以上，未达到人数不得分。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（二）评分依据：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根据采购文件的需求和响应文件响应情况进行分档评分：评价为优得 7分；评价为良得5分；评价为中得 3分；评价为差不得分。不符要求的，此项不得分；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1.为本项目拟安排项目团队成员中，具有 1人是正高级教师职称证书得3分，具有1人副高级教师职称证书得2分，中级职称1分，其他不得分；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2. 本项最高得分为7分。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（二）评分依据：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项目团队成员必须为响应供应商自有员工，提供相关人员的区级以上教育主管部门颁发的职称、获奖荣誉证书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未按要求提供或提供不清晰导致专家无法判断的不得分。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2.5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违约承诺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6066" w:type="dxa"/>
          </w:tcPr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（一）评分内容：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中选方书面承诺：需在合同签订之日起不少于5个工作日内，按时开展该合同服务，包括活动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举办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等相关工作。如未能按时开展，将视为根本违约，采购方有权立即解除与其签订的采购合同，且中选方还需向采购方支付中选价的10%的违约金并赔偿其他损失。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（二）评分依据：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须提供违约承诺函（格式自拟），按要求提供得5分。</w:t>
            </w:r>
          </w:p>
          <w:p>
            <w:pPr>
              <w:wordWrap w:val="0"/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未按要求提供或提供不清晰导致专家无法判断的不得分</w:t>
            </w:r>
          </w:p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【须提供加盖响应供应商公章的违约承诺函，按要求提供得5分，未提供或提供信息不全均不得分。】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2.6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媒体宣传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6066" w:type="dxa"/>
          </w:tcPr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评分内容：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1.投标单位具有较强的社会公信力；评价为优得3分；评价为良得 2分；评价为中得1分；评价为差不得分。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2.具有自身丰富的媒体资源和宣传平台，需提供相关证明扫描件（截图）加盖投标人公章，原件备查，每提供一个自身媒体资源平台得2分，最高得6分，不提供不得分；</w:t>
            </w:r>
          </w:p>
          <w:p>
            <w:pPr>
              <w:wordWrap w:val="0"/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3.提供投标单位近三年相关案例的媒体报道，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篇得3分，3-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篇得2分，1-2篇得1分，不提供不得分。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75" w:type="dxa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highlight w:val="none"/>
              </w:rPr>
              <w:t>综合实力部分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240" w:after="240" w:line="32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  <w:t>36</w:t>
            </w:r>
          </w:p>
        </w:tc>
        <w:tc>
          <w:tcPr>
            <w:tcW w:w="6066" w:type="dxa"/>
            <w:vAlign w:val="center"/>
          </w:tcPr>
          <w:p>
            <w:pPr>
              <w:widowControl/>
              <w:spacing w:before="240" w:after="240" w:line="320" w:lineRule="exact"/>
              <w:ind w:firstLine="422" w:firstLineChars="20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highlight w:val="none"/>
              </w:rPr>
              <w:t>评分准则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30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3.1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投标人资质认证情况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投标单位的业务范围必须包含教育培训、教育活动组织等相关业务。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证明文件：1）提供相关证明扫描件（截图）加盖投标人公章，原件备查；2）不提供或者不能有效证明的，不得分。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30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3.2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注册资金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横向比较。证明文件：1）提供相关证明扫描件（截图）加盖投标人公章，原件备查；2）不提供或者不能有效证明的，不得分。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30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3.4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投标人近三年相关案例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6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年1月1日以来，供应商承接区级或以上教育局、教育科学研究院教育活动服务项目案例数量，每提供一个成功案例得6分。满分30分。须提供中标通知书或合同关键页扫描件，原件备查，不提供者不得分。</w:t>
            </w:r>
          </w:p>
          <w:p>
            <w:pPr>
              <w:spacing w:line="320" w:lineRule="exact"/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注：一个单位同一时间服务有多份合同业绩的仅算一份业绩。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0" w:type="dxa"/>
            <w:left w:w="108" w:type="dxa"/>
            <w:bottom w:w="20" w:type="dxa"/>
            <w:right w:w="108" w:type="dxa"/>
          </w:tblCellMar>
        </w:tblPrEx>
        <w:trPr>
          <w:trHeight w:val="30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3.5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highlight w:val="none"/>
              </w:rPr>
              <w:t>本地化服务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投标人在深圳市具有售后服务机构（即深圳市注册公司或设有分公司或合法注册的办事处）的得100%，不符合条件不得分；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1）提供营业执照复印件作为证明材料。加盖投标人公章，原件备查；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highlight w:val="none"/>
              </w:rPr>
              <w:t>2）不提供或者不能有效证明的，不得分。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8910"/>
    <w:multiLevelType w:val="singleLevel"/>
    <w:tmpl w:val="162B8910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0478"/>
    <w:rsid w:val="1C9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2023-07-03T08:16:00Z</dcterms:created>
  <dc:creator>szedu</dc:creator>
  <cp:lastModifiedBy>szedu</cp:lastModifiedBy>
  <dcterms:modified xsi:type="dcterms:W3CDTF">2023-07-03T08:17:05Z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