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 w:hAnsi="宋体" w:hint="eastAsia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sz w:val="44"/>
          <w:szCs w:val="44"/>
        </w:rPr>
        <w:t>机关运行经费情况说明</w:t>
      </w:r>
    </w:p>
    <w:p>
      <w:pPr>
        <w:pStyle w:val="style0"/>
        <w:jc w:val="center"/>
        <w:rPr>
          <w:rFonts w:ascii="宋体" w:hAnsi="宋体" w:hint="eastAsia"/>
          <w:sz w:val="44"/>
          <w:szCs w:val="44"/>
        </w:rPr>
      </w:pPr>
    </w:p>
    <w:p>
      <w:pPr>
        <w:pStyle w:val="style0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单位2017年度机关运行经费131.71万元，主要是商品和服务支出，包括办公及印刷费、邮电费、差旅费、会议费、福利费、日常维修费、专用材料及一般设备购置费、办公用房水电费、办公用房水电费、办公用房物业管理费、公务用车运行维护费及其他费用。比2016年增加（减少）20.72万元 ，增长（降低）18.67%，主要原因是：本年度党代表换届选举及宣传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党的</w:t>
      </w:r>
      <w:r>
        <w:rPr>
          <w:rFonts w:ascii="仿宋_GB2312" w:eastAsia="仿宋_GB2312" w:hAnsi="宋体" w:hint="eastAsia"/>
          <w:sz w:val="32"/>
          <w:szCs w:val="32"/>
        </w:rPr>
        <w:t>十九大精神办公及印刷费增多，为进一步加强做好人才引进工作，学习调研活动增多，差旅费增多。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208</Words>
  <Pages>1</Pages>
  <Characters>228</Characters>
  <Application>WPS Office</Application>
  <DocSecurity>0</DocSecurity>
  <Paragraphs>3</Paragraphs>
  <ScaleCrop>false</ScaleCrop>
  <Company>盐田区政府</Company>
  <LinksUpToDate>false</LinksUpToDate>
  <CharactersWithSpaces>229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2017-11-10T06:26:00Z</dcterms:created>
  <dc:creator>㩠ϹݰϹ</dc:creator>
  <lastModifiedBy>PHU110</lastModifiedBy>
  <dcterms:modified xsi:type="dcterms:W3CDTF">2023-06-30T07:14:39Z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6F40231CE6A34F6F969E0E4B6992BA49_13</vt:lpwstr>
  </property>
</Properties>
</file>