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napToGrid/>
        <w:spacing w:line="600" w:lineRule="exact"/>
        <w:jc w:val="both"/>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eastAsia="zh-CN"/>
        </w:rPr>
        <w:t>附件</w:t>
      </w:r>
      <w:r>
        <w:rPr>
          <w:rFonts w:hint="eastAsia" w:ascii="黑体" w:hAnsi="黑体" w:eastAsia="黑体" w:cs="黑体"/>
          <w:kern w:val="2"/>
          <w:sz w:val="32"/>
          <w:szCs w:val="32"/>
          <w:lang w:val="en-US" w:eastAsia="zh-CN"/>
        </w:rPr>
        <w:t>2</w:t>
      </w:r>
    </w:p>
    <w:p>
      <w:pPr>
        <w:pageBreakBefore w:val="0"/>
        <w:kinsoku/>
        <w:wordWrap/>
        <w:overflowPunct/>
        <w:topLinePunct w:val="0"/>
        <w:bidi w:val="0"/>
        <w:snapToGrid/>
        <w:spacing w:line="600" w:lineRule="exact"/>
        <w:ind w:left="0" w:leftChars="0" w:firstLine="880" w:firstLineChars="200"/>
        <w:jc w:val="center"/>
        <w:textAlignment w:val="auto"/>
        <w:rPr>
          <w:rFonts w:hint="eastAsia" w:ascii="黑体" w:hAnsi="黑体" w:eastAsia="黑体" w:cs="黑体"/>
          <w:kern w:val="2"/>
          <w:sz w:val="44"/>
          <w:szCs w:val="44"/>
          <w:lang w:val="en-US" w:eastAsia="zh-CN"/>
        </w:rPr>
      </w:pPr>
    </w:p>
    <w:p>
      <w:pPr>
        <w:pageBreakBefore w:val="0"/>
        <w:kinsoku/>
        <w:wordWrap/>
        <w:overflowPunct/>
        <w:topLinePunct w:val="0"/>
        <w:bidi w:val="0"/>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深圳市2023年度碳排放配额分配方案</w:t>
      </w:r>
    </w:p>
    <w:p>
      <w:pPr>
        <w:pageBreakBefore w:val="0"/>
        <w:kinsoku/>
        <w:wordWrap/>
        <w:overflowPunct/>
        <w:topLinePunct w:val="0"/>
        <w:bidi w:val="0"/>
        <w:snapToGrid/>
        <w:spacing w:line="600" w:lineRule="exact"/>
        <w:ind w:left="0" w:leftChars="0" w:firstLine="880" w:firstLineChars="200"/>
        <w:jc w:val="both"/>
        <w:textAlignment w:val="auto"/>
        <w:rPr>
          <w:rFonts w:ascii="方正小标宋简体" w:hAnsi="方正小标宋简体" w:eastAsia="方正小标宋简体" w:cs="方正小标宋简体"/>
          <w:sz w:val="44"/>
          <w:szCs w:val="44"/>
        </w:rPr>
      </w:pPr>
      <w:bookmarkStart w:id="0" w:name="_GoBack"/>
      <w:bookmarkEnd w:id="0"/>
    </w:p>
    <w:p>
      <w:pPr>
        <w:pStyle w:val="9"/>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szCs w:val="28"/>
        </w:rPr>
      </w:pPr>
      <w:r>
        <w:rPr>
          <w:rFonts w:hint="eastAsia" w:ascii="仿宋_GB2312" w:hAnsi="仿宋_GB2312" w:eastAsia="仿宋_GB2312" w:cs="仿宋_GB2312"/>
          <w:szCs w:val="28"/>
        </w:rPr>
        <w:t>根据《深圳经济特区碳排放管理若干规定》《深圳市碳排放权交易管理办法》有关规定，为科学合理确定2023年度本市纳入碳排放配额管理单位（下称“重点排放单位”）碳排放配额，规范有序开展碳排放配额分配和管理工作，推动本市碳交易市场健康平稳发展，特制定本方案。</w:t>
      </w:r>
    </w:p>
    <w:p>
      <w:pPr>
        <w:pStyle w:val="2"/>
        <w:pageBreakBefore w:val="0"/>
        <w:kinsoku/>
        <w:wordWrap/>
        <w:overflowPunct/>
        <w:topLinePunct w:val="0"/>
        <w:bidi w:val="0"/>
        <w:snapToGrid/>
        <w:spacing w:before="0" w:after="0" w:line="600" w:lineRule="exact"/>
        <w:ind w:left="0" w:leftChars="0" w:firstLine="640" w:firstLineChars="200"/>
        <w:jc w:val="both"/>
        <w:textAlignment w:val="auto"/>
        <w:rPr>
          <w:rFonts w:ascii="黑体" w:hAnsi="黑体" w:eastAsia="黑体" w:cs="黑体"/>
          <w:b w:val="0"/>
          <w:bCs w:val="0"/>
          <w:kern w:val="2"/>
          <w:sz w:val="32"/>
          <w:szCs w:val="28"/>
        </w:rPr>
      </w:pPr>
      <w:r>
        <w:rPr>
          <w:rFonts w:hint="eastAsia" w:ascii="黑体" w:hAnsi="黑体" w:eastAsia="黑体" w:cs="黑体"/>
          <w:b w:val="0"/>
          <w:bCs w:val="0"/>
          <w:kern w:val="2"/>
          <w:sz w:val="32"/>
          <w:szCs w:val="28"/>
        </w:rPr>
        <w:t>一、配额总量</w:t>
      </w:r>
    </w:p>
    <w:p>
      <w:pPr>
        <w:pStyle w:val="9"/>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szCs w:val="28"/>
        </w:rPr>
      </w:pPr>
      <w:r>
        <w:rPr>
          <w:rFonts w:hint="eastAsia" w:ascii="仿宋_GB2312" w:hAnsi="仿宋_GB2312" w:eastAsia="仿宋_GB2312" w:cs="仿宋_GB2312"/>
          <w:szCs w:val="28"/>
        </w:rPr>
        <w:t>根据“十四五”时期深圳市应对气候变化目标、单位生产总值二氧化碳排放下降目标、经济增长趋势、产业发展政策、行业减排潜力、历史配额供需情况等因素，</w:t>
      </w:r>
      <w:r>
        <w:rPr>
          <w:rFonts w:hint="eastAsia" w:ascii="仿宋_GB2312" w:hAnsi="仿宋_GB2312" w:eastAsia="仿宋_GB2312" w:cs="仿宋_GB2312"/>
          <w:szCs w:val="32"/>
        </w:rPr>
        <w:t>坚持“稳中求进、奖优惩劣、促进高质量发展、服务碳达峰碳中和”的原则</w:t>
      </w:r>
      <w:r>
        <w:rPr>
          <w:rFonts w:hint="eastAsia" w:ascii="仿宋_GB2312" w:hAnsi="仿宋_GB2312" w:eastAsia="仿宋_GB2312" w:cs="仿宋_GB2312"/>
          <w:szCs w:val="28"/>
        </w:rPr>
        <w:t>，确定2023年度本市碳排放权交易体系配额总量约</w:t>
      </w:r>
      <w:r>
        <w:rPr>
          <w:rFonts w:hint="eastAsia" w:ascii="仿宋_GB2312" w:hAnsi="仿宋_GB2312" w:eastAsia="仿宋_GB2312" w:cs="仿宋_GB2312"/>
          <w:szCs w:val="28"/>
          <w:lang w:eastAsia="zh-CN"/>
        </w:rPr>
        <w:t>为</w:t>
      </w:r>
      <w:r>
        <w:rPr>
          <w:rFonts w:hint="eastAsia" w:ascii="仿宋_GB2312" w:hAnsi="仿宋_GB2312" w:eastAsia="仿宋_GB2312" w:cs="仿宋_GB2312"/>
          <w:szCs w:val="28"/>
        </w:rPr>
        <w:t>2</w:t>
      </w:r>
      <w:r>
        <w:rPr>
          <w:rFonts w:hint="eastAsia" w:ascii="仿宋_GB2312" w:hAnsi="仿宋_GB2312" w:eastAsia="仿宋_GB2312" w:cs="仿宋_GB2312"/>
          <w:szCs w:val="28"/>
          <w:lang w:val="en-US" w:eastAsia="zh-CN"/>
        </w:rPr>
        <w:t>8</w:t>
      </w:r>
      <w:r>
        <w:rPr>
          <w:rFonts w:hint="eastAsia" w:ascii="仿宋_GB2312" w:hAnsi="仿宋_GB2312" w:eastAsia="仿宋_GB2312" w:cs="仿宋_GB2312"/>
          <w:szCs w:val="28"/>
        </w:rPr>
        <w:t>00万吨。</w:t>
      </w:r>
    </w:p>
    <w:p>
      <w:pPr>
        <w:pStyle w:val="9"/>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szCs w:val="32"/>
        </w:rPr>
      </w:pPr>
      <w:r>
        <w:rPr>
          <w:rFonts w:hint="eastAsia" w:ascii="仿宋_GB2312" w:hAnsi="仿宋_GB2312" w:eastAsia="仿宋_GB2312" w:cs="仿宋_GB2312"/>
          <w:szCs w:val="32"/>
        </w:rPr>
        <w:t>年度配额总量由重点排放单位配额和政府储备配额构成，其中重点排放单位配额占比96%、新建项目储备配额占比</w:t>
      </w:r>
      <w:r>
        <w:rPr>
          <w:rFonts w:ascii="仿宋_GB2312" w:hAnsi="仿宋_GB2312" w:eastAsia="仿宋_GB2312" w:cs="仿宋_GB2312"/>
          <w:szCs w:val="32"/>
        </w:rPr>
        <w:t>2%、价格平抑储备配额占比2%</w:t>
      </w:r>
      <w:r>
        <w:rPr>
          <w:rFonts w:hint="eastAsia" w:ascii="仿宋_GB2312" w:hAnsi="仿宋_GB2312" w:eastAsia="仿宋_GB2312" w:cs="仿宋_GB2312"/>
          <w:szCs w:val="32"/>
        </w:rPr>
        <w:t>。</w:t>
      </w:r>
    </w:p>
    <w:p>
      <w:pPr>
        <w:pStyle w:val="2"/>
        <w:pageBreakBefore w:val="0"/>
        <w:kinsoku/>
        <w:wordWrap/>
        <w:overflowPunct/>
        <w:topLinePunct w:val="0"/>
        <w:bidi w:val="0"/>
        <w:snapToGrid/>
        <w:spacing w:before="0" w:after="0" w:line="600" w:lineRule="exact"/>
        <w:ind w:left="0" w:leftChars="0" w:firstLine="640" w:firstLineChars="200"/>
        <w:jc w:val="both"/>
        <w:textAlignment w:val="auto"/>
        <w:rPr>
          <w:rFonts w:ascii="黑体" w:hAnsi="黑体" w:eastAsia="黑体" w:cs="黑体"/>
          <w:b w:val="0"/>
          <w:bCs w:val="0"/>
          <w:kern w:val="2"/>
          <w:sz w:val="32"/>
          <w:szCs w:val="28"/>
        </w:rPr>
      </w:pPr>
      <w:r>
        <w:rPr>
          <w:rFonts w:hint="eastAsia" w:ascii="黑体" w:hAnsi="黑体" w:eastAsia="黑体" w:cs="黑体"/>
          <w:b w:val="0"/>
          <w:bCs w:val="0"/>
          <w:kern w:val="2"/>
          <w:sz w:val="32"/>
          <w:szCs w:val="28"/>
        </w:rPr>
        <w:t>二、配额分配</w:t>
      </w:r>
    </w:p>
    <w:p>
      <w:pPr>
        <w:pageBreakBefore w:val="0"/>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2023年度配额分配采用行业基准强度法、历史产量强度法、历史增加值强度法、历史排放法。</w:t>
      </w:r>
    </w:p>
    <w:p>
      <w:pPr>
        <w:pStyle w:val="3"/>
        <w:pageBreakBefore w:val="0"/>
        <w:kinsoku/>
        <w:wordWrap/>
        <w:overflowPunct/>
        <w:topLinePunct w:val="0"/>
        <w:bidi w:val="0"/>
        <w:snapToGrid/>
        <w:spacing w:before="0" w:after="0" w:line="600" w:lineRule="exact"/>
        <w:ind w:left="0" w:leftChars="0" w:firstLine="642" w:firstLineChars="200"/>
        <w:jc w:val="both"/>
        <w:textAlignment w:val="auto"/>
        <w:rPr>
          <w:rFonts w:ascii="楷体_GB2312" w:hAnsi="楷体_GB2312" w:eastAsia="楷体_GB2312" w:cs="楷体_GB2312"/>
          <w:szCs w:val="28"/>
        </w:rPr>
      </w:pPr>
      <w:r>
        <w:rPr>
          <w:rFonts w:hint="eastAsia" w:ascii="楷体_GB2312" w:hAnsi="楷体_GB2312" w:eastAsia="楷体_GB2312" w:cs="楷体_GB2312"/>
          <w:szCs w:val="28"/>
        </w:rPr>
        <w:t>（一）行业基准强度法</w:t>
      </w:r>
    </w:p>
    <w:p>
      <w:pPr>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对于供电、供水、供气行业重点排放单位，配额分配采用行业基准强度法。</w:t>
      </w:r>
    </w:p>
    <w:p>
      <w:pPr>
        <w:pStyle w:val="4"/>
        <w:pageBreakBefore w:val="0"/>
        <w:kinsoku/>
        <w:wordWrap/>
        <w:overflowPunct/>
        <w:topLinePunct w:val="0"/>
        <w:bidi w:val="0"/>
        <w:snapToGrid/>
        <w:spacing w:before="0" w:after="0" w:line="600" w:lineRule="exact"/>
        <w:ind w:left="0" w:leftChars="0" w:firstLine="642" w:firstLineChars="200"/>
        <w:jc w:val="both"/>
        <w:textAlignment w:val="auto"/>
        <w:rPr>
          <w:rFonts w:ascii="仿宋_GB2312" w:hAnsi="仿宋_GB2312" w:eastAsia="仿宋_GB2312" w:cs="仿宋_GB2312"/>
          <w:bCs/>
          <w:kern w:val="0"/>
          <w:szCs w:val="32"/>
        </w:rPr>
      </w:pPr>
      <w:r>
        <w:rPr>
          <w:rFonts w:hint="eastAsia" w:ascii="仿宋_GB2312" w:hAnsi="仿宋_GB2312" w:eastAsia="仿宋_GB2312" w:cs="仿宋_GB2312"/>
          <w:bCs/>
          <w:kern w:val="0"/>
          <w:szCs w:val="32"/>
        </w:rPr>
        <w:t>1.</w:t>
      </w:r>
      <w:r>
        <w:rPr>
          <w:rFonts w:hint="default" w:ascii="仿宋_GB2312" w:hAnsi="仿宋_GB2312" w:eastAsia="仿宋_GB2312" w:cs="仿宋_GB2312"/>
          <w:bCs/>
          <w:kern w:val="0"/>
          <w:szCs w:val="32"/>
          <w:lang w:val="en-US"/>
        </w:rPr>
        <w:t xml:space="preserve"> </w:t>
      </w:r>
      <w:r>
        <w:rPr>
          <w:rFonts w:hint="eastAsia" w:ascii="仿宋_GB2312" w:hAnsi="仿宋_GB2312" w:eastAsia="仿宋_GB2312" w:cs="仿宋_GB2312"/>
          <w:bCs/>
          <w:kern w:val="0"/>
          <w:szCs w:val="32"/>
        </w:rPr>
        <w:t>供电行业</w:t>
      </w:r>
    </w:p>
    <w:p>
      <w:pPr>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根据供电行业年度基准碳强度和重点排放单位年度供电量确定年度配额，计算公式为：</w:t>
      </w:r>
    </w:p>
    <w:p>
      <w:pPr>
        <w:pageBreakBefore w:val="0"/>
        <w:kinsoku/>
        <w:wordWrap/>
        <w:overflowPunct/>
        <w:topLinePunct w:val="0"/>
        <w:autoSpaceDE w:val="0"/>
        <w:autoSpaceDN w:val="0"/>
        <w:bidi w:val="0"/>
        <w:adjustRightInd w:val="0"/>
        <w:snapToGrid/>
        <w:spacing w:line="600" w:lineRule="exact"/>
        <w:ind w:left="0" w:leftChars="0" w:firstLine="642" w:firstLineChars="200"/>
        <w:jc w:val="both"/>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年度配额 = 供电行业基准碳强度×年度供电量</w:t>
      </w:r>
    </w:p>
    <w:p>
      <w:pPr>
        <w:pStyle w:val="4"/>
        <w:pageBreakBefore w:val="0"/>
        <w:kinsoku/>
        <w:wordWrap/>
        <w:overflowPunct/>
        <w:topLinePunct w:val="0"/>
        <w:bidi w:val="0"/>
        <w:snapToGrid/>
        <w:spacing w:before="0" w:after="0" w:line="600" w:lineRule="exact"/>
        <w:ind w:left="0" w:leftChars="0" w:firstLine="642" w:firstLineChars="200"/>
        <w:jc w:val="both"/>
        <w:textAlignment w:val="auto"/>
        <w:rPr>
          <w:rFonts w:ascii="仿宋_GB2312" w:hAnsi="仿宋_GB2312" w:eastAsia="仿宋_GB2312" w:cs="仿宋_GB2312"/>
          <w:bCs/>
          <w:kern w:val="0"/>
          <w:szCs w:val="32"/>
        </w:rPr>
      </w:pPr>
      <w:r>
        <w:rPr>
          <w:rFonts w:hint="eastAsia" w:ascii="仿宋_GB2312" w:hAnsi="仿宋_GB2312" w:eastAsia="仿宋_GB2312" w:cs="仿宋_GB2312"/>
          <w:bCs/>
          <w:kern w:val="0"/>
          <w:szCs w:val="32"/>
        </w:rPr>
        <w:t>2.</w:t>
      </w:r>
      <w:r>
        <w:rPr>
          <w:rFonts w:hint="default" w:ascii="仿宋_GB2312" w:hAnsi="仿宋_GB2312" w:eastAsia="仿宋_GB2312" w:cs="仿宋_GB2312"/>
          <w:bCs/>
          <w:kern w:val="0"/>
          <w:szCs w:val="32"/>
          <w:lang w:val="en-US"/>
        </w:rPr>
        <w:t xml:space="preserve"> </w:t>
      </w:r>
      <w:r>
        <w:rPr>
          <w:rFonts w:hint="eastAsia" w:ascii="仿宋_GB2312" w:hAnsi="仿宋_GB2312" w:eastAsia="仿宋_GB2312" w:cs="仿宋_GB2312"/>
          <w:bCs/>
          <w:kern w:val="0"/>
          <w:szCs w:val="32"/>
        </w:rPr>
        <w:t>供水行业</w:t>
      </w:r>
    </w:p>
    <w:p>
      <w:pPr>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根据供水行业年度基准碳强度和重点排放单位年度供水量确定年度配额，计算公式为：</w:t>
      </w:r>
    </w:p>
    <w:p>
      <w:pPr>
        <w:pageBreakBefore w:val="0"/>
        <w:kinsoku/>
        <w:wordWrap/>
        <w:overflowPunct/>
        <w:topLinePunct w:val="0"/>
        <w:autoSpaceDE w:val="0"/>
        <w:autoSpaceDN w:val="0"/>
        <w:bidi w:val="0"/>
        <w:adjustRightInd w:val="0"/>
        <w:snapToGrid/>
        <w:spacing w:line="600" w:lineRule="exact"/>
        <w:ind w:left="0" w:leftChars="0" w:firstLine="642" w:firstLineChars="200"/>
        <w:jc w:val="both"/>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年度配额 = 供水行业基准碳强度×年度供水量</w:t>
      </w:r>
    </w:p>
    <w:p>
      <w:pPr>
        <w:pStyle w:val="4"/>
        <w:pageBreakBefore w:val="0"/>
        <w:kinsoku/>
        <w:wordWrap/>
        <w:overflowPunct/>
        <w:topLinePunct w:val="0"/>
        <w:bidi w:val="0"/>
        <w:snapToGrid/>
        <w:spacing w:before="0" w:after="0" w:line="600" w:lineRule="exact"/>
        <w:ind w:left="0" w:leftChars="0" w:firstLine="642" w:firstLineChars="200"/>
        <w:jc w:val="both"/>
        <w:textAlignment w:val="auto"/>
        <w:rPr>
          <w:rFonts w:ascii="仿宋_GB2312" w:hAnsi="仿宋_GB2312" w:eastAsia="仿宋_GB2312" w:cs="仿宋_GB2312"/>
          <w:bCs/>
          <w:kern w:val="0"/>
          <w:szCs w:val="32"/>
        </w:rPr>
      </w:pPr>
      <w:r>
        <w:rPr>
          <w:rFonts w:hint="eastAsia" w:ascii="仿宋_GB2312" w:hAnsi="仿宋_GB2312" w:eastAsia="仿宋_GB2312" w:cs="仿宋_GB2312"/>
          <w:bCs/>
          <w:kern w:val="0"/>
          <w:szCs w:val="32"/>
        </w:rPr>
        <w:t>3.</w:t>
      </w:r>
      <w:r>
        <w:rPr>
          <w:rFonts w:hint="default" w:ascii="仿宋_GB2312" w:hAnsi="仿宋_GB2312" w:eastAsia="仿宋_GB2312" w:cs="仿宋_GB2312"/>
          <w:bCs/>
          <w:kern w:val="0"/>
          <w:szCs w:val="32"/>
          <w:lang w:val="en-US"/>
        </w:rPr>
        <w:t xml:space="preserve"> </w:t>
      </w:r>
      <w:r>
        <w:rPr>
          <w:rFonts w:hint="eastAsia" w:ascii="仿宋_GB2312" w:hAnsi="仿宋_GB2312" w:eastAsia="仿宋_GB2312" w:cs="仿宋_GB2312"/>
          <w:bCs/>
          <w:kern w:val="0"/>
          <w:szCs w:val="32"/>
        </w:rPr>
        <w:t>供气行业</w:t>
      </w:r>
    </w:p>
    <w:p>
      <w:pPr>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根据供气行业年度基准碳强度和重点排放单位年度天然气处理量确定年度配额，计算公式为：</w:t>
      </w:r>
    </w:p>
    <w:p>
      <w:pPr>
        <w:pageBreakBefore w:val="0"/>
        <w:kinsoku/>
        <w:wordWrap/>
        <w:overflowPunct/>
        <w:topLinePunct w:val="0"/>
        <w:autoSpaceDE w:val="0"/>
        <w:autoSpaceDN w:val="0"/>
        <w:bidi w:val="0"/>
        <w:adjustRightInd w:val="0"/>
        <w:snapToGrid/>
        <w:spacing w:line="600" w:lineRule="exact"/>
        <w:ind w:left="0" w:leftChars="0" w:firstLine="642" w:firstLineChars="200"/>
        <w:jc w:val="both"/>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年度配额 = 供气行业基准碳强度×年度天然气处理量</w:t>
      </w:r>
    </w:p>
    <w:p>
      <w:pPr>
        <w:pageBreakBefore w:val="0"/>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2023年度供电、供水、供气行业基准碳强度设定详见附件1。</w:t>
      </w:r>
    </w:p>
    <w:p>
      <w:pPr>
        <w:pStyle w:val="3"/>
        <w:pageBreakBefore w:val="0"/>
        <w:kinsoku/>
        <w:wordWrap/>
        <w:overflowPunct/>
        <w:topLinePunct w:val="0"/>
        <w:bidi w:val="0"/>
        <w:snapToGrid/>
        <w:spacing w:before="0" w:after="0" w:line="600" w:lineRule="exact"/>
        <w:ind w:left="0" w:leftChars="0" w:firstLine="642" w:firstLineChars="200"/>
        <w:jc w:val="both"/>
        <w:textAlignment w:val="auto"/>
        <w:rPr>
          <w:rFonts w:ascii="楷体_GB2312" w:hAnsi="楷体_GB2312" w:eastAsia="楷体_GB2312" w:cs="楷体_GB2312"/>
          <w:szCs w:val="28"/>
        </w:rPr>
      </w:pPr>
      <w:r>
        <w:rPr>
          <w:rFonts w:hint="eastAsia" w:ascii="楷体_GB2312" w:hAnsi="楷体_GB2312" w:eastAsia="楷体_GB2312" w:cs="楷体_GB2312"/>
          <w:szCs w:val="28"/>
        </w:rPr>
        <w:t>（二）历史产量强度法</w:t>
      </w:r>
    </w:p>
    <w:p>
      <w:pPr>
        <w:pageBreakBefore w:val="0"/>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对于公交、地铁、危险废物处理、污泥处理、污水处理、港口码头、平板显示、信息化学品及其他专用化学品等主要产品可归为</w:t>
      </w:r>
      <w:r>
        <w:rPr>
          <w:rFonts w:hint="eastAsia" w:ascii="仿宋_GB2312" w:hAnsi="仿宋_GB2312" w:eastAsia="仿宋_GB2312" w:cs="仿宋_GB2312"/>
          <w:kern w:val="0"/>
          <w:sz w:val="32"/>
          <w:szCs w:val="32"/>
          <w:lang w:val="en-US" w:eastAsia="zh-CN"/>
        </w:rPr>
        <w:t>单一类型</w:t>
      </w:r>
      <w:r>
        <w:rPr>
          <w:rFonts w:hint="eastAsia" w:ascii="仿宋_GB2312" w:hAnsi="仿宋_GB2312" w:eastAsia="仿宋_GB2312" w:cs="仿宋_GB2312"/>
          <w:kern w:val="0"/>
          <w:sz w:val="32"/>
          <w:szCs w:val="32"/>
        </w:rPr>
        <w:t>且产品类型稳定、产量计量完善的行业，重点排放单位配额分配采用历史产量强度法。</w:t>
      </w:r>
    </w:p>
    <w:p>
      <w:pPr>
        <w:pStyle w:val="4"/>
        <w:pageBreakBefore w:val="0"/>
        <w:widowControl w:val="0"/>
        <w:numPr>
          <w:numId w:val="0"/>
        </w:numPr>
        <w:kinsoku/>
        <w:wordWrap/>
        <w:overflowPunct/>
        <w:topLinePunct w:val="0"/>
        <w:bidi w:val="0"/>
        <w:snapToGrid/>
        <w:spacing w:before="0" w:after="0" w:line="600" w:lineRule="exact"/>
        <w:ind w:firstLine="642" w:firstLineChars="200"/>
        <w:jc w:val="both"/>
        <w:textAlignment w:val="auto"/>
        <w:rPr>
          <w:rFonts w:ascii="仿宋_GB2312" w:hAnsi="仿宋_GB2312" w:eastAsia="仿宋_GB2312" w:cs="仿宋_GB2312"/>
          <w:bCs/>
          <w:kern w:val="0"/>
          <w:szCs w:val="32"/>
        </w:rPr>
      </w:pPr>
      <w:r>
        <w:rPr>
          <w:rFonts w:hint="default" w:ascii="仿宋_GB2312" w:hAnsi="仿宋_GB2312" w:eastAsia="仿宋_GB2312" w:cs="仿宋_GB2312"/>
          <w:bCs/>
          <w:kern w:val="0"/>
          <w:szCs w:val="32"/>
          <w:lang w:val="en-US"/>
        </w:rPr>
        <w:t xml:space="preserve">1. </w:t>
      </w:r>
      <w:r>
        <w:rPr>
          <w:rFonts w:hint="eastAsia" w:ascii="仿宋_GB2312" w:hAnsi="仿宋_GB2312" w:eastAsia="仿宋_GB2312" w:cs="仿宋_GB2312"/>
          <w:bCs/>
          <w:kern w:val="0"/>
          <w:szCs w:val="32"/>
        </w:rPr>
        <w:t>公交行业</w:t>
      </w:r>
    </w:p>
    <w:p>
      <w:pPr>
        <w:pageBreakBefore w:val="0"/>
        <w:widowControl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根据公交重点排放单位营运系统年度目标碳强度、年度载客里程、非营运系统历史碳排放确定年度配额，计算公式为：</w:t>
      </w:r>
    </w:p>
    <w:p>
      <w:pPr>
        <w:pageBreakBefore w:val="0"/>
        <w:widowControl w:val="0"/>
        <w:kinsoku/>
        <w:wordWrap/>
        <w:overflowPunct/>
        <w:topLinePunct w:val="0"/>
        <w:autoSpaceDE w:val="0"/>
        <w:autoSpaceDN w:val="0"/>
        <w:bidi w:val="0"/>
        <w:adjustRightInd w:val="0"/>
        <w:snapToGrid/>
        <w:spacing w:line="600" w:lineRule="exact"/>
        <w:ind w:left="0" w:leftChars="0" w:firstLine="642" w:firstLineChars="200"/>
        <w:jc w:val="both"/>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年度配额=营运系统年度目标碳强度×年度载客里程×1.07+非营运系统历史碳排放×0.99</w:t>
      </w:r>
    </w:p>
    <w:p>
      <w:pPr>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kern w:val="0"/>
        </w:rPr>
      </w:pPr>
      <w:r>
        <w:rPr>
          <w:rFonts w:hint="eastAsia" w:ascii="仿宋_GB2312" w:hAnsi="仿宋_GB2312" w:eastAsia="仿宋_GB2312" w:cs="仿宋_GB2312"/>
          <w:kern w:val="0"/>
          <w:sz w:val="32"/>
          <w:szCs w:val="32"/>
        </w:rPr>
        <w:t>非营运系统历史碳排放是指公交重点排放单位2021年营运系统以外的附属系统（包括办公楼、机修车间及其他车辆等）碳排放量。</w:t>
      </w:r>
    </w:p>
    <w:p>
      <w:pPr>
        <w:pStyle w:val="4"/>
        <w:pageBreakBefore w:val="0"/>
        <w:kinsoku/>
        <w:wordWrap/>
        <w:overflowPunct/>
        <w:topLinePunct w:val="0"/>
        <w:bidi w:val="0"/>
        <w:snapToGrid/>
        <w:spacing w:before="0" w:after="0" w:line="600" w:lineRule="exact"/>
        <w:ind w:left="0" w:leftChars="0" w:firstLine="642" w:firstLineChars="200"/>
        <w:jc w:val="both"/>
        <w:textAlignment w:val="auto"/>
        <w:rPr>
          <w:rFonts w:ascii="仿宋_GB2312" w:hAnsi="仿宋_GB2312" w:eastAsia="仿宋_GB2312" w:cs="仿宋_GB2312"/>
          <w:bCs/>
          <w:kern w:val="0"/>
          <w:szCs w:val="32"/>
        </w:rPr>
      </w:pPr>
      <w:r>
        <w:rPr>
          <w:rFonts w:hint="eastAsia" w:ascii="仿宋_GB2312" w:hAnsi="仿宋_GB2312" w:eastAsia="仿宋_GB2312" w:cs="仿宋_GB2312"/>
          <w:bCs/>
          <w:kern w:val="0"/>
          <w:szCs w:val="32"/>
        </w:rPr>
        <w:t>2.</w:t>
      </w:r>
      <w:r>
        <w:rPr>
          <w:rFonts w:ascii="仿宋_GB2312" w:hAnsi="仿宋_GB2312" w:eastAsia="仿宋_GB2312" w:cs="仿宋_GB2312"/>
          <w:bCs/>
          <w:kern w:val="0"/>
          <w:szCs w:val="32"/>
        </w:rPr>
        <w:t xml:space="preserve"> </w:t>
      </w:r>
      <w:r>
        <w:rPr>
          <w:rFonts w:hint="eastAsia" w:ascii="仿宋_GB2312" w:hAnsi="仿宋_GB2312" w:eastAsia="仿宋_GB2312" w:cs="仿宋_GB2312"/>
          <w:bCs/>
          <w:kern w:val="0"/>
          <w:szCs w:val="32"/>
        </w:rPr>
        <w:t>地铁行业</w:t>
      </w:r>
    </w:p>
    <w:p>
      <w:pPr>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根据地铁重点排放单位年度目标碳强度、年度平均运距、年度平均客运量确定年度配额，计算公式为：</w:t>
      </w:r>
    </w:p>
    <w:p>
      <w:pPr>
        <w:pageBreakBefore w:val="0"/>
        <w:kinsoku/>
        <w:wordWrap/>
        <w:overflowPunct/>
        <w:topLinePunct w:val="0"/>
        <w:autoSpaceDE w:val="0"/>
        <w:autoSpaceDN w:val="0"/>
        <w:bidi w:val="0"/>
        <w:adjustRightInd w:val="0"/>
        <w:snapToGrid/>
        <w:spacing w:line="600" w:lineRule="exact"/>
        <w:ind w:left="0" w:leftChars="0" w:firstLine="642" w:firstLineChars="200"/>
        <w:jc w:val="both"/>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年度配额=年度目标碳强度×年度平均运距×年度平均客运量</w:t>
      </w:r>
    </w:p>
    <w:p>
      <w:pPr>
        <w:pStyle w:val="4"/>
        <w:pageBreakBefore w:val="0"/>
        <w:kinsoku/>
        <w:wordWrap/>
        <w:overflowPunct/>
        <w:topLinePunct w:val="0"/>
        <w:bidi w:val="0"/>
        <w:snapToGrid/>
        <w:spacing w:before="0" w:after="0" w:line="600" w:lineRule="exact"/>
        <w:ind w:left="0" w:leftChars="0" w:firstLine="642" w:firstLineChars="200"/>
        <w:jc w:val="both"/>
        <w:textAlignment w:val="auto"/>
        <w:rPr>
          <w:rFonts w:ascii="仿宋_GB2312" w:hAnsi="仿宋_GB2312" w:eastAsia="仿宋_GB2312" w:cs="仿宋_GB2312"/>
          <w:bCs/>
          <w:kern w:val="0"/>
          <w:szCs w:val="32"/>
        </w:rPr>
      </w:pPr>
      <w:r>
        <w:rPr>
          <w:rFonts w:hint="eastAsia" w:ascii="仿宋_GB2312" w:hAnsi="仿宋_GB2312" w:eastAsia="仿宋_GB2312" w:cs="仿宋_GB2312"/>
          <w:bCs/>
          <w:kern w:val="0"/>
          <w:szCs w:val="32"/>
        </w:rPr>
        <w:t>3.</w:t>
      </w:r>
      <w:r>
        <w:rPr>
          <w:rFonts w:ascii="仿宋_GB2312" w:hAnsi="仿宋_GB2312" w:eastAsia="仿宋_GB2312" w:cs="仿宋_GB2312"/>
          <w:bCs/>
          <w:kern w:val="0"/>
          <w:szCs w:val="32"/>
        </w:rPr>
        <w:t xml:space="preserve"> </w:t>
      </w:r>
      <w:r>
        <w:rPr>
          <w:rFonts w:hint="eastAsia" w:ascii="仿宋_GB2312" w:hAnsi="仿宋_GB2312" w:eastAsia="仿宋_GB2312" w:cs="仿宋_GB2312"/>
          <w:bCs/>
          <w:kern w:val="0"/>
          <w:szCs w:val="32"/>
        </w:rPr>
        <w:t>危险废物处理、污泥处理、污水处理行业</w:t>
      </w:r>
    </w:p>
    <w:p>
      <w:pPr>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根据重点排放单位年度目标碳强度、年度处理量确定年度配额，计算公式为：</w:t>
      </w:r>
    </w:p>
    <w:p>
      <w:pPr>
        <w:pageBreakBefore w:val="0"/>
        <w:kinsoku/>
        <w:wordWrap/>
        <w:overflowPunct/>
        <w:topLinePunct w:val="0"/>
        <w:autoSpaceDE w:val="0"/>
        <w:autoSpaceDN w:val="0"/>
        <w:bidi w:val="0"/>
        <w:adjustRightInd w:val="0"/>
        <w:snapToGrid/>
        <w:spacing w:line="600" w:lineRule="exact"/>
        <w:ind w:left="0" w:leftChars="0" w:firstLine="642" w:firstLineChars="200"/>
        <w:jc w:val="both"/>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年度配额 = 年度目标碳强度×年度处理量</w:t>
      </w:r>
    </w:p>
    <w:p>
      <w:pPr>
        <w:pageBreakBefore w:val="0"/>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年度处理量指年度危险废物处理量、污泥处理量、污水处理量。</w:t>
      </w:r>
    </w:p>
    <w:p>
      <w:pPr>
        <w:pStyle w:val="4"/>
        <w:pageBreakBefore w:val="0"/>
        <w:kinsoku/>
        <w:wordWrap/>
        <w:overflowPunct/>
        <w:topLinePunct w:val="0"/>
        <w:bidi w:val="0"/>
        <w:snapToGrid/>
        <w:spacing w:before="0" w:after="0" w:line="600" w:lineRule="exact"/>
        <w:ind w:left="0" w:leftChars="0" w:firstLine="642" w:firstLineChars="200"/>
        <w:jc w:val="both"/>
        <w:textAlignment w:val="auto"/>
        <w:rPr>
          <w:rFonts w:ascii="仿宋_GB2312" w:hAnsi="仿宋_GB2312" w:eastAsia="仿宋_GB2312" w:cs="仿宋_GB2312"/>
          <w:bCs/>
          <w:kern w:val="0"/>
          <w:szCs w:val="32"/>
        </w:rPr>
      </w:pPr>
      <w:r>
        <w:rPr>
          <w:rFonts w:hint="eastAsia" w:ascii="仿宋_GB2312" w:hAnsi="仿宋_GB2312" w:eastAsia="仿宋_GB2312" w:cs="仿宋_GB2312"/>
          <w:bCs/>
          <w:kern w:val="0"/>
          <w:szCs w:val="32"/>
        </w:rPr>
        <w:t>4.</w:t>
      </w:r>
      <w:r>
        <w:rPr>
          <w:rFonts w:ascii="仿宋_GB2312" w:hAnsi="仿宋_GB2312" w:eastAsia="仿宋_GB2312" w:cs="仿宋_GB2312"/>
          <w:bCs/>
          <w:kern w:val="0"/>
          <w:szCs w:val="32"/>
        </w:rPr>
        <w:t xml:space="preserve"> </w:t>
      </w:r>
      <w:r>
        <w:rPr>
          <w:rFonts w:hint="eastAsia" w:ascii="仿宋_GB2312" w:hAnsi="仿宋_GB2312" w:eastAsia="仿宋_GB2312" w:cs="仿宋_GB2312"/>
          <w:bCs/>
          <w:kern w:val="0"/>
          <w:szCs w:val="32"/>
        </w:rPr>
        <w:t>港口码头行业</w:t>
      </w:r>
    </w:p>
    <w:p>
      <w:pPr>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根据重点排放单位年度目标碳强度、年度吞吐量确定年度配额，计算公式为：</w:t>
      </w:r>
    </w:p>
    <w:p>
      <w:pPr>
        <w:pageBreakBefore w:val="0"/>
        <w:kinsoku/>
        <w:wordWrap/>
        <w:overflowPunct/>
        <w:topLinePunct w:val="0"/>
        <w:autoSpaceDE w:val="0"/>
        <w:autoSpaceDN w:val="0"/>
        <w:bidi w:val="0"/>
        <w:adjustRightInd w:val="0"/>
        <w:snapToGrid/>
        <w:spacing w:line="600" w:lineRule="exact"/>
        <w:ind w:left="0" w:leftChars="0" w:firstLine="642" w:firstLineChars="200"/>
        <w:jc w:val="both"/>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年度配额 = 年度目标碳强度×年度吞吐量</w:t>
      </w:r>
    </w:p>
    <w:p>
      <w:pPr>
        <w:pStyle w:val="4"/>
        <w:pageBreakBefore w:val="0"/>
        <w:kinsoku/>
        <w:wordWrap/>
        <w:overflowPunct/>
        <w:topLinePunct w:val="0"/>
        <w:bidi w:val="0"/>
        <w:snapToGrid/>
        <w:spacing w:before="0" w:after="0" w:line="600" w:lineRule="exact"/>
        <w:ind w:left="0" w:leftChars="0" w:firstLine="642" w:firstLineChars="200"/>
        <w:jc w:val="both"/>
        <w:textAlignment w:val="auto"/>
        <w:rPr>
          <w:rFonts w:ascii="仿宋_GB2312" w:hAnsi="仿宋_GB2312" w:eastAsia="仿宋_GB2312" w:cs="仿宋_GB2312"/>
          <w:bCs/>
          <w:kern w:val="0"/>
          <w:szCs w:val="32"/>
        </w:rPr>
      </w:pPr>
      <w:r>
        <w:rPr>
          <w:rFonts w:hint="eastAsia" w:ascii="仿宋_GB2312" w:hAnsi="仿宋_GB2312" w:eastAsia="仿宋_GB2312" w:cs="仿宋_GB2312"/>
          <w:bCs/>
          <w:kern w:val="0"/>
          <w:szCs w:val="32"/>
        </w:rPr>
        <w:t>5.</w:t>
      </w:r>
      <w:r>
        <w:rPr>
          <w:rFonts w:ascii="仿宋_GB2312" w:hAnsi="仿宋_GB2312" w:eastAsia="仿宋_GB2312" w:cs="仿宋_GB2312"/>
          <w:bCs/>
          <w:kern w:val="0"/>
          <w:szCs w:val="32"/>
        </w:rPr>
        <w:t xml:space="preserve"> </w:t>
      </w:r>
      <w:r>
        <w:rPr>
          <w:rFonts w:hint="eastAsia" w:ascii="仿宋_GB2312" w:hAnsi="仿宋_GB2312" w:eastAsia="仿宋_GB2312" w:cs="仿宋_GB2312"/>
          <w:bCs/>
          <w:kern w:val="0"/>
          <w:szCs w:val="32"/>
        </w:rPr>
        <w:t>平板显示、信息化学品及其他专用化学品行业</w:t>
      </w:r>
    </w:p>
    <w:p>
      <w:pPr>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根据重点排放单位年度目标碳强度、年度产品产量确定年度配额，计算公式为：</w:t>
      </w:r>
    </w:p>
    <w:p>
      <w:pPr>
        <w:pageBreakBefore w:val="0"/>
        <w:kinsoku/>
        <w:wordWrap/>
        <w:overflowPunct/>
        <w:topLinePunct w:val="0"/>
        <w:autoSpaceDE w:val="0"/>
        <w:autoSpaceDN w:val="0"/>
        <w:bidi w:val="0"/>
        <w:adjustRightInd w:val="0"/>
        <w:snapToGrid/>
        <w:spacing w:line="600" w:lineRule="exact"/>
        <w:ind w:left="0" w:leftChars="0" w:firstLine="642" w:firstLineChars="200"/>
        <w:jc w:val="both"/>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年度配额 = 年度目标碳强度×年度产品产量</w:t>
      </w:r>
    </w:p>
    <w:p>
      <w:pPr>
        <w:pageBreakBefore w:val="0"/>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年度产品产量指年度面板生产量、化学品生产量。</w:t>
      </w:r>
    </w:p>
    <w:p>
      <w:pPr>
        <w:pageBreakBefore w:val="0"/>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2023年公交、地铁、危险废物处理、污泥处理、污水处理、港口码头、平板显示、信息化学品及其他专用化学品行业重点排放单位年度目标碳强度的设定方法详见附件2。</w:t>
      </w:r>
    </w:p>
    <w:p>
      <w:pPr>
        <w:pStyle w:val="3"/>
        <w:pageBreakBefore w:val="0"/>
        <w:kinsoku/>
        <w:wordWrap/>
        <w:overflowPunct/>
        <w:topLinePunct w:val="0"/>
        <w:bidi w:val="0"/>
        <w:snapToGrid/>
        <w:spacing w:before="0" w:after="0" w:line="600" w:lineRule="exact"/>
        <w:ind w:left="0" w:leftChars="0" w:firstLine="642" w:firstLineChars="200"/>
        <w:jc w:val="both"/>
        <w:textAlignment w:val="auto"/>
        <w:rPr>
          <w:rFonts w:ascii="楷体_GB2312" w:hAnsi="楷体_GB2312" w:eastAsia="楷体_GB2312" w:cs="楷体_GB2312"/>
          <w:szCs w:val="28"/>
        </w:rPr>
      </w:pPr>
      <w:r>
        <w:rPr>
          <w:rFonts w:hint="eastAsia" w:ascii="楷体_GB2312" w:hAnsi="楷体_GB2312" w:eastAsia="楷体_GB2312" w:cs="楷体_GB2312"/>
          <w:szCs w:val="28"/>
        </w:rPr>
        <w:t>（三）历史增加值强度法</w:t>
      </w:r>
    </w:p>
    <w:p>
      <w:pPr>
        <w:pageBreakBefore w:val="0"/>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制造业及其他行业重点排放单位配额分配采用历史增加值强度法，根据重点排放单位年度目标碳强度、年度增加值确定年度配额，计算公式为：</w:t>
      </w:r>
    </w:p>
    <w:p>
      <w:pPr>
        <w:pageBreakBefore w:val="0"/>
        <w:kinsoku/>
        <w:wordWrap/>
        <w:overflowPunct/>
        <w:topLinePunct w:val="0"/>
        <w:autoSpaceDE w:val="0"/>
        <w:autoSpaceDN w:val="0"/>
        <w:bidi w:val="0"/>
        <w:adjustRightInd w:val="0"/>
        <w:snapToGrid/>
        <w:spacing w:line="600" w:lineRule="exact"/>
        <w:ind w:left="0" w:leftChars="0" w:firstLine="642" w:firstLineChars="200"/>
        <w:jc w:val="both"/>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年度配额=年度目标碳强度×年度增加值</w:t>
      </w:r>
    </w:p>
    <w:p>
      <w:pPr>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2023年制造业及其他行业重点排放单位年度目标碳强度的设定方法详见附件3。</w:t>
      </w:r>
    </w:p>
    <w:p>
      <w:pPr>
        <w:pStyle w:val="3"/>
        <w:pageBreakBefore w:val="0"/>
        <w:kinsoku/>
        <w:wordWrap/>
        <w:overflowPunct/>
        <w:topLinePunct w:val="0"/>
        <w:bidi w:val="0"/>
        <w:snapToGrid/>
        <w:spacing w:before="0" w:after="0" w:line="600" w:lineRule="exact"/>
        <w:ind w:left="0" w:leftChars="0" w:firstLine="642" w:firstLineChars="200"/>
        <w:jc w:val="both"/>
        <w:textAlignment w:val="auto"/>
        <w:rPr>
          <w:rFonts w:ascii="楷体_GB2312" w:hAnsi="楷体_GB2312" w:eastAsia="楷体_GB2312" w:cs="楷体_GB2312"/>
          <w:szCs w:val="28"/>
        </w:rPr>
      </w:pPr>
      <w:r>
        <w:rPr>
          <w:rFonts w:hint="eastAsia" w:ascii="楷体_GB2312" w:hAnsi="楷体_GB2312" w:eastAsia="楷体_GB2312" w:cs="楷体_GB2312"/>
          <w:szCs w:val="28"/>
        </w:rPr>
        <w:t>（四）历史排放法</w:t>
      </w:r>
    </w:p>
    <w:p>
      <w:pPr>
        <w:pageBreakBefore w:val="0"/>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宾馆、商超等服务行业及高校重点排放单位配额分配采用历史排放法，计算公式为：</w:t>
      </w:r>
    </w:p>
    <w:p>
      <w:pPr>
        <w:pageBreakBefore w:val="0"/>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年度配额=重点排放单位历史基准年排放量×0.99</w:t>
      </w:r>
    </w:p>
    <w:p>
      <w:pPr>
        <w:pStyle w:val="2"/>
        <w:pageBreakBefore w:val="0"/>
        <w:kinsoku/>
        <w:wordWrap/>
        <w:overflowPunct/>
        <w:topLinePunct w:val="0"/>
        <w:bidi w:val="0"/>
        <w:snapToGrid/>
        <w:spacing w:before="0" w:after="0" w:line="600" w:lineRule="exact"/>
        <w:ind w:left="0" w:leftChars="0" w:firstLine="640" w:firstLineChars="200"/>
        <w:jc w:val="both"/>
        <w:textAlignment w:val="auto"/>
        <w:rPr>
          <w:rFonts w:ascii="黑体" w:hAnsi="黑体" w:eastAsia="黑体" w:cs="黑体"/>
          <w:b w:val="0"/>
          <w:bCs w:val="0"/>
          <w:kern w:val="2"/>
          <w:sz w:val="32"/>
          <w:szCs w:val="28"/>
        </w:rPr>
      </w:pPr>
      <w:r>
        <w:rPr>
          <w:rFonts w:hint="eastAsia" w:ascii="黑体" w:hAnsi="黑体" w:eastAsia="黑体" w:cs="黑体"/>
          <w:b w:val="0"/>
          <w:bCs w:val="0"/>
          <w:kern w:val="2"/>
          <w:sz w:val="32"/>
          <w:szCs w:val="28"/>
        </w:rPr>
        <w:t>三、配额发放</w:t>
      </w:r>
    </w:p>
    <w:p>
      <w:pPr>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考虑新冠疫情冲击、国内外近期经济形势等因素，</w:t>
      </w:r>
      <w:r>
        <w:rPr>
          <w:rFonts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rPr>
        <w:t>3</w:t>
      </w:r>
      <w:r>
        <w:rPr>
          <w:rFonts w:ascii="仿宋_GB2312" w:hAnsi="仿宋_GB2312" w:eastAsia="仿宋_GB2312" w:cs="仿宋_GB2312"/>
          <w:kern w:val="0"/>
          <w:sz w:val="32"/>
          <w:szCs w:val="32"/>
        </w:rPr>
        <w:t>年度重点排放单位配额</w:t>
      </w:r>
      <w:r>
        <w:rPr>
          <w:rFonts w:hint="eastAsia" w:ascii="仿宋_GB2312" w:hAnsi="仿宋_GB2312" w:eastAsia="仿宋_GB2312" w:cs="仿宋_GB2312"/>
          <w:kern w:val="0"/>
          <w:sz w:val="32"/>
          <w:szCs w:val="32"/>
        </w:rPr>
        <w:t>全部</w:t>
      </w:r>
      <w:r>
        <w:rPr>
          <w:rFonts w:ascii="仿宋_GB2312" w:hAnsi="仿宋_GB2312" w:eastAsia="仿宋_GB2312" w:cs="仿宋_GB2312"/>
          <w:kern w:val="0"/>
          <w:sz w:val="32"/>
          <w:szCs w:val="32"/>
        </w:rPr>
        <w:t>免费</w:t>
      </w:r>
      <w:r>
        <w:rPr>
          <w:rFonts w:hint="eastAsia" w:ascii="仿宋_GB2312" w:hAnsi="仿宋_GB2312" w:eastAsia="仿宋_GB2312" w:cs="仿宋_GB2312"/>
          <w:kern w:val="0"/>
          <w:sz w:val="32"/>
          <w:szCs w:val="32"/>
        </w:rPr>
        <w:t>发放。</w:t>
      </w:r>
    </w:p>
    <w:p>
      <w:pPr>
        <w:pStyle w:val="3"/>
        <w:pageBreakBefore w:val="0"/>
        <w:kinsoku/>
        <w:wordWrap/>
        <w:overflowPunct/>
        <w:topLinePunct w:val="0"/>
        <w:bidi w:val="0"/>
        <w:snapToGrid/>
        <w:spacing w:before="0" w:after="0" w:line="600" w:lineRule="exact"/>
        <w:ind w:left="0" w:leftChars="0" w:firstLine="642" w:firstLineChars="200"/>
        <w:jc w:val="both"/>
        <w:textAlignment w:val="auto"/>
        <w:rPr>
          <w:rFonts w:hint="eastAsia" w:ascii="楷体_GB2312" w:hAnsi="楷体_GB2312" w:eastAsia="楷体_GB2312" w:cs="楷体_GB2312"/>
          <w:b w:val="0"/>
          <w:bCs w:val="0"/>
          <w:kern w:val="0"/>
        </w:rPr>
      </w:pPr>
      <w:r>
        <w:rPr>
          <w:rFonts w:hint="eastAsia" w:ascii="楷体_GB2312" w:hAnsi="楷体_GB2312" w:eastAsia="楷体_GB2312" w:cs="楷体_GB2312"/>
          <w:kern w:val="0"/>
        </w:rPr>
        <w:t>（一）配额预分配</w:t>
      </w:r>
    </w:p>
    <w:p>
      <w:pPr>
        <w:pageBreakBefore w:val="0"/>
        <w:kinsoku/>
        <w:wordWrap/>
        <w:overflowPunct/>
        <w:topLinePunct w:val="0"/>
        <w:bidi w:val="0"/>
        <w:snapToGrid/>
        <w:spacing w:line="600" w:lineRule="exact"/>
        <w:ind w:left="0" w:leftChars="0" w:firstLine="640" w:firstLineChars="200"/>
        <w:jc w:val="both"/>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根据重点排放单位</w:t>
      </w:r>
      <w:r>
        <w:rPr>
          <w:rFonts w:ascii="仿宋_GB2312" w:hAnsi="仿宋_GB2312" w:eastAsia="仿宋_GB2312" w:cs="仿宋_GB2312"/>
          <w:kern w:val="0"/>
          <w:sz w:val="32"/>
          <w:szCs w:val="32"/>
        </w:rPr>
        <w:t>2023</w:t>
      </w:r>
      <w:r>
        <w:rPr>
          <w:rFonts w:ascii="Times New Roman" w:hAnsi="Times New Roman" w:eastAsia="仿宋_GB2312" w:cs="Times New Roman"/>
          <w:kern w:val="0"/>
          <w:sz w:val="32"/>
          <w:szCs w:val="32"/>
        </w:rPr>
        <w:t>年度预测经济产出（供电量、供水量、</w:t>
      </w:r>
      <w:r>
        <w:rPr>
          <w:rFonts w:hint="eastAsia" w:ascii="Times New Roman" w:hAnsi="Times New Roman" w:eastAsia="仿宋_GB2312" w:cs="Times New Roman"/>
          <w:kern w:val="0"/>
          <w:sz w:val="32"/>
          <w:szCs w:val="32"/>
        </w:rPr>
        <w:t>天然气处理</w:t>
      </w:r>
      <w:r>
        <w:rPr>
          <w:rFonts w:ascii="Times New Roman" w:hAnsi="Times New Roman" w:eastAsia="仿宋_GB2312" w:cs="Times New Roman"/>
          <w:kern w:val="0"/>
          <w:sz w:val="32"/>
          <w:szCs w:val="32"/>
        </w:rPr>
        <w:t>量、载客里程、增加值等），结合其对应配额分配方法，</w:t>
      </w:r>
      <w:r>
        <w:rPr>
          <w:rFonts w:hint="eastAsia" w:ascii="Times New Roman" w:hAnsi="Times New Roman" w:eastAsia="仿宋_GB2312" w:cs="Times New Roman"/>
          <w:kern w:val="0"/>
          <w:sz w:val="32"/>
          <w:szCs w:val="32"/>
        </w:rPr>
        <w:t>按照预估配额数量</w:t>
      </w:r>
      <w:r>
        <w:rPr>
          <w:rFonts w:hint="default" w:ascii="仿宋_GB2312" w:hAnsi="仿宋_GB2312" w:eastAsia="仿宋_GB2312" w:cs="仿宋_GB2312"/>
          <w:kern w:val="0"/>
          <w:sz w:val="32"/>
          <w:szCs w:val="32"/>
        </w:rPr>
        <w:t>70%</w:t>
      </w:r>
      <w:r>
        <w:rPr>
          <w:rFonts w:hint="eastAsia" w:ascii="Times New Roman" w:hAnsi="Times New Roman" w:eastAsia="仿宋_GB2312" w:cs="Times New Roman"/>
          <w:kern w:val="0"/>
          <w:sz w:val="32"/>
          <w:szCs w:val="32"/>
        </w:rPr>
        <w:t>的比例发放</w:t>
      </w:r>
      <w:r>
        <w:rPr>
          <w:rFonts w:ascii="Times New Roman" w:hAnsi="Times New Roman" w:eastAsia="仿宋_GB2312" w:cs="Times New Roman"/>
          <w:kern w:val="0"/>
          <w:sz w:val="32"/>
          <w:szCs w:val="32"/>
        </w:rPr>
        <w:t>重点排放单位</w:t>
      </w:r>
      <w:r>
        <w:rPr>
          <w:rFonts w:ascii="仿宋_GB2312" w:hAnsi="仿宋_GB2312" w:eastAsia="仿宋_GB2312" w:cs="仿宋_GB2312"/>
          <w:kern w:val="0"/>
          <w:sz w:val="32"/>
          <w:szCs w:val="32"/>
        </w:rPr>
        <w:t>202</w:t>
      </w:r>
      <w:r>
        <w:rPr>
          <w:rFonts w:hint="default" w:ascii="仿宋_GB2312" w:hAnsi="仿宋_GB2312" w:eastAsia="仿宋_GB2312" w:cs="仿宋_GB2312"/>
          <w:kern w:val="0"/>
          <w:sz w:val="32"/>
          <w:szCs w:val="32"/>
        </w:rPr>
        <w:t>3</w:t>
      </w:r>
      <w:r>
        <w:rPr>
          <w:rFonts w:ascii="Times New Roman" w:hAnsi="Times New Roman" w:eastAsia="仿宋_GB2312" w:cs="Times New Roman"/>
          <w:kern w:val="0"/>
          <w:sz w:val="32"/>
          <w:szCs w:val="32"/>
        </w:rPr>
        <w:t>年度预分配配额。</w:t>
      </w:r>
    </w:p>
    <w:p>
      <w:pPr>
        <w:pStyle w:val="3"/>
        <w:pageBreakBefore w:val="0"/>
        <w:kinsoku/>
        <w:wordWrap/>
        <w:overflowPunct/>
        <w:topLinePunct w:val="0"/>
        <w:bidi w:val="0"/>
        <w:snapToGrid/>
        <w:spacing w:before="0" w:after="0" w:line="600" w:lineRule="exact"/>
        <w:ind w:left="0" w:leftChars="0" w:firstLine="642" w:firstLineChars="200"/>
        <w:jc w:val="both"/>
        <w:textAlignment w:val="auto"/>
        <w:rPr>
          <w:rFonts w:hint="eastAsia" w:ascii="楷体_GB2312" w:hAnsi="楷体_GB2312" w:eastAsia="楷体_GB2312" w:cs="楷体_GB2312"/>
          <w:kern w:val="0"/>
        </w:rPr>
      </w:pPr>
      <w:r>
        <w:rPr>
          <w:rFonts w:hint="eastAsia" w:ascii="楷体_GB2312" w:hAnsi="楷体_GB2312" w:eastAsia="楷体_GB2312" w:cs="楷体_GB2312"/>
          <w:kern w:val="0"/>
        </w:rPr>
        <w:t>（二）实际配额核定</w:t>
      </w:r>
    </w:p>
    <w:p>
      <w:pPr>
        <w:pageBreakBefore w:val="0"/>
        <w:kinsoku/>
        <w:wordWrap/>
        <w:overflowPunct/>
        <w:topLinePunct w:val="0"/>
        <w:bidi w:val="0"/>
        <w:snapToGrid/>
        <w:spacing w:line="600" w:lineRule="exact"/>
        <w:ind w:left="0" w:leftChars="0" w:firstLine="640" w:firstLineChars="200"/>
        <w:jc w:val="both"/>
        <w:textAlignment w:val="auto"/>
        <w:rPr>
          <w:rFonts w:ascii="仿宋_GB2312" w:hAnsi="宋体" w:eastAsia="仿宋_GB2312" w:cs="仿宋_GB2312"/>
          <w:sz w:val="32"/>
          <w:szCs w:val="32"/>
        </w:rPr>
      </w:pPr>
      <w:r>
        <w:rPr>
          <w:rFonts w:hint="eastAsia" w:ascii="Times New Roman" w:hAnsi="Times New Roman" w:eastAsia="仿宋_GB2312" w:cs="Times New Roman"/>
          <w:kern w:val="0"/>
          <w:sz w:val="32"/>
          <w:szCs w:val="32"/>
        </w:rPr>
        <w:t>根据重点排放单位</w:t>
      </w:r>
      <w:r>
        <w:rPr>
          <w:rFonts w:ascii="仿宋_GB2312" w:hAnsi="仿宋_GB2312" w:eastAsia="仿宋_GB2312" w:cs="仿宋_GB2312"/>
          <w:kern w:val="0"/>
          <w:sz w:val="32"/>
          <w:szCs w:val="32"/>
        </w:rPr>
        <w:t>2023</w:t>
      </w:r>
      <w:r>
        <w:rPr>
          <w:rFonts w:ascii="Times New Roman" w:hAnsi="Times New Roman" w:eastAsia="仿宋_GB2312" w:cs="Times New Roman"/>
          <w:kern w:val="0"/>
          <w:sz w:val="32"/>
          <w:szCs w:val="32"/>
        </w:rPr>
        <w:t>年度</w:t>
      </w:r>
      <w:r>
        <w:rPr>
          <w:rFonts w:hint="eastAsia" w:ascii="Times New Roman" w:hAnsi="Times New Roman" w:eastAsia="仿宋_GB2312" w:cs="Times New Roman"/>
          <w:kern w:val="0"/>
          <w:sz w:val="32"/>
          <w:szCs w:val="32"/>
        </w:rPr>
        <w:t>实际</w:t>
      </w:r>
      <w:r>
        <w:rPr>
          <w:rFonts w:ascii="Times New Roman" w:hAnsi="Times New Roman" w:eastAsia="仿宋_GB2312" w:cs="Times New Roman"/>
          <w:kern w:val="0"/>
          <w:sz w:val="32"/>
          <w:szCs w:val="32"/>
        </w:rPr>
        <w:t>经济产出</w:t>
      </w:r>
      <w:r>
        <w:rPr>
          <w:rFonts w:hint="eastAsia" w:ascii="Times New Roman" w:hAnsi="Times New Roman" w:eastAsia="仿宋_GB2312" w:cs="Times New Roman"/>
          <w:kern w:val="0"/>
          <w:sz w:val="32"/>
          <w:szCs w:val="32"/>
        </w:rPr>
        <w:t>统计指标</w:t>
      </w:r>
      <w:r>
        <w:rPr>
          <w:rFonts w:ascii="Times New Roman" w:hAnsi="Times New Roman" w:eastAsia="仿宋_GB2312" w:cs="Times New Roman"/>
          <w:kern w:val="0"/>
          <w:sz w:val="32"/>
          <w:szCs w:val="32"/>
        </w:rPr>
        <w:t>（供电量、供水量、</w:t>
      </w:r>
      <w:r>
        <w:rPr>
          <w:rFonts w:hint="eastAsia" w:ascii="Times New Roman" w:hAnsi="Times New Roman" w:eastAsia="仿宋_GB2312" w:cs="Times New Roman"/>
          <w:kern w:val="0"/>
          <w:sz w:val="32"/>
          <w:szCs w:val="32"/>
        </w:rPr>
        <w:t>天然气处理</w:t>
      </w:r>
      <w:r>
        <w:rPr>
          <w:rFonts w:ascii="Times New Roman" w:hAnsi="Times New Roman" w:eastAsia="仿宋_GB2312" w:cs="Times New Roman"/>
          <w:kern w:val="0"/>
          <w:sz w:val="32"/>
          <w:szCs w:val="32"/>
        </w:rPr>
        <w:t>量、载客里程</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增加值等）</w:t>
      </w:r>
      <w:r>
        <w:rPr>
          <w:rFonts w:hint="eastAsia" w:ascii="Times New Roman" w:hAnsi="Times New Roman" w:eastAsia="仿宋_GB2312" w:cs="Times New Roman"/>
          <w:kern w:val="0"/>
          <w:sz w:val="32"/>
          <w:szCs w:val="32"/>
        </w:rPr>
        <w:t>，结合其对应配额分配方法、</w:t>
      </w:r>
      <w:r>
        <w:rPr>
          <w:rFonts w:hint="eastAsia" w:ascii="仿宋_GB2312" w:hAnsi="仿宋_GB2312" w:eastAsia="仿宋_GB2312" w:cs="仿宋_GB2312"/>
          <w:kern w:val="0"/>
          <w:sz w:val="32"/>
          <w:szCs w:val="32"/>
        </w:rPr>
        <w:t>配额上限约束及履约成本控制机制</w:t>
      </w:r>
      <w:r>
        <w:rPr>
          <w:rFonts w:hint="eastAsia" w:ascii="Times New Roman" w:hAnsi="Times New Roman" w:eastAsia="仿宋_GB2312" w:cs="Times New Roman"/>
          <w:kern w:val="0"/>
          <w:sz w:val="32"/>
          <w:szCs w:val="32"/>
        </w:rPr>
        <w:t>，核定重点排放单位</w:t>
      </w:r>
      <w:r>
        <w:rPr>
          <w:rFonts w:hint="eastAsia" w:ascii="Times New Roman" w:hAnsi="Times New Roman" w:eastAsia="仿宋_GB2312" w:cs="Times New Roman"/>
          <w:kern w:val="0"/>
          <w:sz w:val="32"/>
          <w:szCs w:val="32"/>
          <w:lang w:eastAsia="zh-CN"/>
        </w:rPr>
        <w:t>应</w:t>
      </w:r>
      <w:r>
        <w:rPr>
          <w:rFonts w:hint="eastAsia" w:ascii="Times New Roman" w:hAnsi="Times New Roman" w:eastAsia="仿宋_GB2312" w:cs="Times New Roman"/>
          <w:kern w:val="0"/>
          <w:sz w:val="32"/>
          <w:szCs w:val="32"/>
        </w:rPr>
        <w:t>发放的年度实际配额数量。当重点排放单位年度实际配额数量与预分配配额数量存在偏差时，市生态环境主管部门将</w:t>
      </w:r>
      <w:r>
        <w:rPr>
          <w:rFonts w:hint="eastAsia" w:ascii="仿宋_GB2312" w:hAnsi="宋体" w:eastAsia="仿宋_GB2312" w:cs="仿宋_GB2312"/>
          <w:sz w:val="32"/>
          <w:szCs w:val="32"/>
        </w:rPr>
        <w:t>按照“多退少补”原则，对实际核定与预分配配额的差额部分予以收缴或补发。</w:t>
      </w:r>
    </w:p>
    <w:p>
      <w:pPr>
        <w:pStyle w:val="3"/>
        <w:pageBreakBefore w:val="0"/>
        <w:kinsoku/>
        <w:wordWrap/>
        <w:overflowPunct/>
        <w:topLinePunct w:val="0"/>
        <w:bidi w:val="0"/>
        <w:snapToGrid/>
        <w:spacing w:before="0" w:after="0" w:line="600" w:lineRule="exact"/>
        <w:ind w:left="0" w:leftChars="0" w:firstLine="642" w:firstLineChars="200"/>
        <w:jc w:val="both"/>
        <w:textAlignment w:val="auto"/>
        <w:rPr>
          <w:rFonts w:hint="eastAsia" w:ascii="楷体_GB2312" w:hAnsi="楷体_GB2312" w:eastAsia="楷体_GB2312" w:cs="楷体_GB2312"/>
          <w:kern w:val="0"/>
        </w:rPr>
      </w:pPr>
      <w:r>
        <w:rPr>
          <w:rFonts w:hint="eastAsia" w:ascii="楷体_GB2312" w:hAnsi="楷体_GB2312" w:eastAsia="楷体_GB2312" w:cs="楷体_GB2312"/>
          <w:kern w:val="0"/>
        </w:rPr>
        <w:t>（三）配额上限约束机制</w:t>
      </w:r>
    </w:p>
    <w:p>
      <w:pPr>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为贯彻落实国家碳达峰、碳中和工作部署，推动能耗“双控”向碳排放强度和总量“双控”转变，在实际配额核定时建立配额上限约束机制。</w:t>
      </w:r>
    </w:p>
    <w:p>
      <w:pPr>
        <w:pageBreakBefore w:val="0"/>
        <w:widowControl/>
        <w:kinsoku/>
        <w:wordWrap/>
        <w:overflowPunct/>
        <w:topLinePunct w:val="0"/>
        <w:bidi w:val="0"/>
        <w:snapToGrid/>
        <w:spacing w:line="600" w:lineRule="exact"/>
        <w:ind w:left="0" w:leftChars="0" w:firstLine="620" w:firstLineChars="200"/>
        <w:jc w:val="both"/>
        <w:textAlignment w:val="auto"/>
        <w:rPr>
          <w:rFonts w:ascii="仿宋_GB2312" w:hAnsi="仿宋_GB2312" w:eastAsia="仿宋_GB2312" w:cs="仿宋_GB2312"/>
          <w:kern w:val="0"/>
          <w:sz w:val="31"/>
          <w:szCs w:val="31"/>
          <w:lang w:bidi="ar"/>
        </w:rPr>
      </w:pPr>
      <w:r>
        <w:rPr>
          <w:rFonts w:hint="eastAsia" w:ascii="仿宋_GB2312" w:hAnsi="仿宋_GB2312" w:eastAsia="仿宋_GB2312" w:cs="仿宋_GB2312"/>
          <w:kern w:val="0"/>
          <w:sz w:val="31"/>
          <w:szCs w:val="31"/>
          <w:lang w:bidi="ar"/>
        </w:rPr>
        <w:t>对于履约年度二氧化碳排放量10万吨（含）以上的重点碳排放单位，年度免费配额不高于年度实际排放量的120%。对于履约年度二氧化碳排放量10万吨以下的重点碳排放单位，年度免费配额不高于年度实际排放量2万吨。</w:t>
      </w:r>
    </w:p>
    <w:p>
      <w:pPr>
        <w:pStyle w:val="3"/>
        <w:pageBreakBefore w:val="0"/>
        <w:kinsoku/>
        <w:wordWrap/>
        <w:overflowPunct/>
        <w:topLinePunct w:val="0"/>
        <w:bidi w:val="0"/>
        <w:snapToGrid/>
        <w:spacing w:before="0" w:after="0" w:line="600" w:lineRule="exact"/>
        <w:ind w:left="0" w:leftChars="0" w:firstLine="642" w:firstLineChars="200"/>
        <w:jc w:val="both"/>
        <w:textAlignment w:val="auto"/>
        <w:rPr>
          <w:rFonts w:hint="eastAsia" w:ascii="楷体_GB2312" w:hAnsi="楷体_GB2312" w:eastAsia="楷体_GB2312" w:cs="楷体_GB2312"/>
          <w:kern w:val="0"/>
        </w:rPr>
      </w:pPr>
      <w:r>
        <w:rPr>
          <w:rFonts w:hint="eastAsia" w:ascii="楷体_GB2312" w:hAnsi="楷体_GB2312" w:eastAsia="楷体_GB2312" w:cs="楷体_GB2312"/>
          <w:kern w:val="0"/>
        </w:rPr>
        <w:t>（四）履约成本控制机制</w:t>
      </w:r>
    </w:p>
    <w:p>
      <w:pPr>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为降低配额过量短缺对重点排放单位履约成本影响，在实际配额核定时建立履约成本控制机制。</w:t>
      </w:r>
    </w:p>
    <w:p>
      <w:pPr>
        <w:pageBreakBefore w:val="0"/>
        <w:widowControl/>
        <w:kinsoku/>
        <w:wordWrap/>
        <w:overflowPunct/>
        <w:topLinePunct w:val="0"/>
        <w:bidi w:val="0"/>
        <w:snapToGrid/>
        <w:spacing w:line="600" w:lineRule="exact"/>
        <w:ind w:left="0" w:leftChars="0" w:firstLine="620" w:firstLineChars="200"/>
        <w:jc w:val="both"/>
        <w:textAlignment w:val="auto"/>
        <w:rPr>
          <w:rFonts w:ascii="仿宋_GB2312" w:hAnsi="仿宋_GB2312" w:eastAsia="仿宋_GB2312" w:cs="仿宋_GB2312"/>
          <w:kern w:val="0"/>
          <w:sz w:val="31"/>
          <w:szCs w:val="31"/>
          <w:lang w:bidi="ar"/>
        </w:rPr>
      </w:pPr>
      <w:r>
        <w:rPr>
          <w:rFonts w:hint="eastAsia" w:ascii="仿宋_GB2312" w:hAnsi="仿宋_GB2312" w:eastAsia="仿宋_GB2312" w:cs="仿宋_GB2312"/>
          <w:kern w:val="0"/>
          <w:sz w:val="31"/>
          <w:szCs w:val="31"/>
          <w:lang w:bidi="ar"/>
        </w:rPr>
        <w:t>对于履约年度二氧化碳排放量10万吨（含）以上的重点排放单位，年度免费配额不低于年度实际排放量的80%。对于履约年度二氧化碳排放量10万吨以下的重点排放单位，年度免费配额不低于年度实际排放量2万吨。</w:t>
      </w:r>
    </w:p>
    <w:p>
      <w:pPr>
        <w:pStyle w:val="2"/>
        <w:pageBreakBefore w:val="0"/>
        <w:kinsoku/>
        <w:wordWrap/>
        <w:overflowPunct/>
        <w:topLinePunct w:val="0"/>
        <w:bidi w:val="0"/>
        <w:snapToGrid/>
        <w:spacing w:before="0" w:after="0" w:line="600" w:lineRule="exact"/>
        <w:ind w:left="0" w:leftChars="0" w:firstLine="640" w:firstLineChars="200"/>
        <w:jc w:val="both"/>
        <w:textAlignment w:val="auto"/>
        <w:rPr>
          <w:rFonts w:ascii="黑体" w:hAnsi="黑体" w:eastAsia="黑体" w:cs="黑体"/>
          <w:b w:val="0"/>
          <w:bCs w:val="0"/>
          <w:kern w:val="2"/>
          <w:sz w:val="32"/>
          <w:szCs w:val="28"/>
        </w:rPr>
      </w:pPr>
      <w:r>
        <w:rPr>
          <w:rFonts w:hint="eastAsia" w:ascii="黑体" w:hAnsi="黑体" w:eastAsia="黑体" w:cs="黑体"/>
          <w:b w:val="0"/>
          <w:bCs w:val="0"/>
          <w:kern w:val="2"/>
          <w:sz w:val="32"/>
          <w:szCs w:val="28"/>
        </w:rPr>
        <w:t>四、新建项目储备配额分配和发放</w:t>
      </w:r>
    </w:p>
    <w:p>
      <w:pPr>
        <w:pStyle w:val="3"/>
        <w:pageBreakBefore w:val="0"/>
        <w:kinsoku/>
        <w:wordWrap/>
        <w:overflowPunct/>
        <w:topLinePunct w:val="0"/>
        <w:bidi w:val="0"/>
        <w:snapToGrid/>
        <w:spacing w:before="0" w:after="0" w:line="600" w:lineRule="exact"/>
        <w:ind w:left="0" w:leftChars="0" w:firstLine="642" w:firstLineChars="200"/>
        <w:jc w:val="both"/>
        <w:textAlignment w:val="auto"/>
        <w:rPr>
          <w:rFonts w:ascii="楷体_GB2312" w:hAnsi="楷体_GB2312" w:eastAsia="楷体_GB2312" w:cs="楷体_GB2312"/>
          <w:szCs w:val="28"/>
        </w:rPr>
      </w:pPr>
      <w:r>
        <w:rPr>
          <w:rFonts w:hint="eastAsia" w:ascii="楷体_GB2312" w:hAnsi="楷体_GB2312" w:eastAsia="楷体_GB2312" w:cs="楷体_GB2312"/>
          <w:szCs w:val="28"/>
        </w:rPr>
        <w:t>（一）储备配额申请</w:t>
      </w:r>
    </w:p>
    <w:p>
      <w:pPr>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重点排放单位新建固定资产投资项目年排放量达到三千吨二氧化碳当量，应当在项目竣工验收前向市生态环境主管部门申请发放新建项目储备配额。 </w:t>
      </w:r>
    </w:p>
    <w:p>
      <w:pPr>
        <w:pStyle w:val="3"/>
        <w:pageBreakBefore w:val="0"/>
        <w:kinsoku/>
        <w:wordWrap/>
        <w:overflowPunct/>
        <w:topLinePunct w:val="0"/>
        <w:bidi w:val="0"/>
        <w:snapToGrid/>
        <w:spacing w:before="0" w:after="0" w:line="600" w:lineRule="exact"/>
        <w:ind w:left="0" w:leftChars="0" w:firstLine="642" w:firstLineChars="200"/>
        <w:jc w:val="both"/>
        <w:textAlignment w:val="auto"/>
        <w:rPr>
          <w:rFonts w:ascii="楷体_GB2312" w:hAnsi="楷体_GB2312" w:eastAsia="楷体_GB2312" w:cs="楷体_GB2312"/>
          <w:szCs w:val="28"/>
        </w:rPr>
      </w:pPr>
      <w:r>
        <w:rPr>
          <w:rFonts w:hint="eastAsia" w:ascii="楷体_GB2312" w:hAnsi="楷体_GB2312" w:eastAsia="楷体_GB2312" w:cs="楷体_GB2312"/>
          <w:szCs w:val="28"/>
        </w:rPr>
        <w:t>（二）储备配额分配方法</w:t>
      </w:r>
    </w:p>
    <w:p>
      <w:pPr>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新建项目储备配额分配采用先进强度法，根据新建项目所在行业先进碳强度、新建项目年度经济产出确定新建项目年度储备配额，计算公式为：</w:t>
      </w:r>
    </w:p>
    <w:p>
      <w:pPr>
        <w:pageBreakBefore w:val="0"/>
        <w:kinsoku/>
        <w:wordWrap/>
        <w:overflowPunct/>
        <w:topLinePunct w:val="0"/>
        <w:autoSpaceDE w:val="0"/>
        <w:autoSpaceDN w:val="0"/>
        <w:bidi w:val="0"/>
        <w:adjustRightInd w:val="0"/>
        <w:snapToGrid/>
        <w:spacing w:line="600" w:lineRule="exact"/>
        <w:ind w:left="0" w:leftChars="0" w:firstLine="642"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新建项目年度储备配额=新建项目先进碳强度</w:t>
      </w:r>
      <w:r>
        <w:rPr>
          <w:rFonts w:hint="eastAsia" w:ascii="仿宋_GB2312" w:hAnsi="仿宋_GB2312" w:eastAsia="仿宋_GB2312" w:cs="仿宋_GB2312"/>
          <w:b/>
          <w:bCs/>
          <w:kern w:val="0"/>
          <w:sz w:val="32"/>
          <w:szCs w:val="32"/>
        </w:rPr>
        <w:t>×新建项目年度经济产出</w:t>
      </w:r>
    </w:p>
    <w:p>
      <w:pPr>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新建项目先进碳强度为2023年度该新建项目所在行业最先进10%重点排放单位年度目标碳强度的加权平均值。当加权平均值高于该新建项目所在重点排放单位2023年度目标碳强度时，取其所在重点排放单位2023年度目标碳强度作为该新建项目先进碳强度。</w:t>
      </w:r>
    </w:p>
    <w:p>
      <w:pPr>
        <w:pStyle w:val="3"/>
        <w:pageBreakBefore w:val="0"/>
        <w:kinsoku/>
        <w:wordWrap/>
        <w:overflowPunct/>
        <w:topLinePunct w:val="0"/>
        <w:bidi w:val="0"/>
        <w:snapToGrid/>
        <w:spacing w:before="0" w:after="0" w:line="600" w:lineRule="exact"/>
        <w:ind w:left="0" w:leftChars="0" w:firstLine="642" w:firstLineChars="200"/>
        <w:jc w:val="both"/>
        <w:textAlignment w:val="auto"/>
        <w:rPr>
          <w:rFonts w:ascii="楷体_GB2312" w:hAnsi="楷体_GB2312" w:eastAsia="楷体_GB2312" w:cs="楷体_GB2312"/>
          <w:szCs w:val="28"/>
        </w:rPr>
      </w:pPr>
      <w:r>
        <w:rPr>
          <w:rFonts w:hint="eastAsia" w:ascii="楷体_GB2312" w:hAnsi="楷体_GB2312" w:eastAsia="楷体_GB2312" w:cs="楷体_GB2312"/>
          <w:szCs w:val="28"/>
        </w:rPr>
        <w:t>（三）储备配额发放</w:t>
      </w:r>
    </w:p>
    <w:p>
      <w:pPr>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2023年度新建项目储备配额全部免费发放。</w:t>
      </w:r>
      <w:r>
        <w:rPr>
          <w:rFonts w:hint="eastAsia" w:ascii="仿宋_GB2312" w:hAnsi="仿宋_GB2312" w:eastAsia="仿宋_GB2312" w:cs="仿宋_GB2312"/>
          <w:sz w:val="32"/>
          <w:szCs w:val="32"/>
        </w:rPr>
        <w:t>当年度新建项目储备配额全部申请发放完毕后，不再新增。</w:t>
      </w:r>
    </w:p>
    <w:p>
      <w:pPr>
        <w:pStyle w:val="2"/>
        <w:pageBreakBefore w:val="0"/>
        <w:kinsoku/>
        <w:wordWrap/>
        <w:overflowPunct/>
        <w:topLinePunct w:val="0"/>
        <w:bidi w:val="0"/>
        <w:snapToGrid/>
        <w:spacing w:before="0" w:after="0" w:line="600" w:lineRule="exact"/>
        <w:ind w:left="0" w:leftChars="0" w:firstLine="640" w:firstLineChars="200"/>
        <w:jc w:val="both"/>
        <w:textAlignment w:val="auto"/>
        <w:rPr>
          <w:rFonts w:ascii="黑体" w:hAnsi="黑体" w:eastAsia="黑体" w:cs="黑体"/>
          <w:b w:val="0"/>
          <w:bCs w:val="0"/>
          <w:kern w:val="2"/>
          <w:sz w:val="32"/>
          <w:szCs w:val="28"/>
        </w:rPr>
      </w:pPr>
      <w:r>
        <w:rPr>
          <w:rFonts w:hint="eastAsia" w:ascii="黑体" w:hAnsi="黑体" w:eastAsia="黑体" w:cs="黑体"/>
          <w:b w:val="0"/>
          <w:bCs w:val="0"/>
          <w:kern w:val="2"/>
          <w:sz w:val="32"/>
          <w:szCs w:val="28"/>
        </w:rPr>
        <w:t>五、价格平抑储备配额发放</w:t>
      </w:r>
    </w:p>
    <w:p>
      <w:pPr>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当</w:t>
      </w:r>
      <w:r>
        <w:rPr>
          <w:rFonts w:ascii="仿宋_GB2312" w:hAnsi="仿宋_GB2312" w:eastAsia="仿宋_GB2312" w:cs="仿宋_GB2312"/>
          <w:sz w:val="32"/>
          <w:szCs w:val="32"/>
        </w:rPr>
        <w:t>市场配额价格出现大幅上涨或者市场流动配额数量过低时，市生态环境主管部门</w:t>
      </w:r>
      <w:r>
        <w:rPr>
          <w:rFonts w:hint="eastAsia" w:ascii="仿宋_GB2312" w:hAnsi="仿宋_GB2312" w:eastAsia="仿宋_GB2312" w:cs="仿宋_GB2312"/>
          <w:sz w:val="32"/>
          <w:szCs w:val="32"/>
        </w:rPr>
        <w:t>可以释放价格平抑储备配额。价格平抑储备配额采用拍卖的方式出售。具体发放方案由市生态环境主管部门结合工作实际另行制定。</w:t>
      </w:r>
    </w:p>
    <w:p>
      <w:pPr>
        <w:pageBreakBefore w:val="0"/>
        <w:kinsoku/>
        <w:wordWrap/>
        <w:overflowPunct/>
        <w:topLinePunct w:val="0"/>
        <w:bidi w:val="0"/>
        <w:snapToGrid/>
        <w:spacing w:line="600" w:lineRule="exact"/>
        <w:ind w:left="0" w:leftChars="0"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价格平抑储备配额只能由重点排放单位购买用于履约，不能用于市场交易。</w:t>
      </w:r>
    </w:p>
    <w:p>
      <w:pPr>
        <w:pageBreakBefore w:val="0"/>
        <w:kinsoku/>
        <w:wordWrap/>
        <w:overflowPunct/>
        <w:topLinePunct w:val="0"/>
        <w:bidi w:val="0"/>
        <w:snapToGrid/>
        <w:spacing w:line="600" w:lineRule="exact"/>
        <w:jc w:val="both"/>
        <w:textAlignment w:val="auto"/>
        <w:rPr>
          <w:rFonts w:ascii="仿宋_GB2312" w:hAnsi="仿宋_GB2312" w:eastAsia="仿宋_GB2312" w:cs="仿宋_GB2312"/>
          <w:sz w:val="32"/>
          <w:szCs w:val="32"/>
        </w:rPr>
      </w:pPr>
    </w:p>
    <w:p>
      <w:pPr>
        <w:pageBreakBefore w:val="0"/>
        <w:kinsoku/>
        <w:wordWrap/>
        <w:overflowPunct/>
        <w:topLinePunct w:val="0"/>
        <w:bidi w:val="0"/>
        <w:snapToGrid/>
        <w:spacing w:line="60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附件：1.2023年供电、供水、供气行业基准碳强度设定方</w:t>
      </w:r>
    </w:p>
    <w:p>
      <w:pPr>
        <w:pageBreakBefore w:val="0"/>
        <w:kinsoku/>
        <w:wordWrap/>
        <w:overflowPunct/>
        <w:topLinePunct w:val="0"/>
        <w:bidi w:val="0"/>
        <w:snapToGrid/>
        <w:spacing w:line="600" w:lineRule="exact"/>
        <w:ind w:left="0" w:leftChars="0" w:firstLine="1920" w:firstLineChars="6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w:t>
      </w:r>
    </w:p>
    <w:p>
      <w:pPr>
        <w:pageBreakBefore w:val="0"/>
        <w:kinsoku/>
        <w:wordWrap/>
        <w:overflowPunct/>
        <w:topLinePunct w:val="0"/>
        <w:bidi w:val="0"/>
        <w:snapToGrid/>
        <w:spacing w:line="600" w:lineRule="exact"/>
        <w:ind w:left="0" w:leftChars="0"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2.2023年公交、地铁、危险废物处理、污泥处理、</w:t>
      </w:r>
    </w:p>
    <w:p>
      <w:pPr>
        <w:pageBreakBefore w:val="0"/>
        <w:kinsoku/>
        <w:wordWrap/>
        <w:overflowPunct/>
        <w:topLinePunct w:val="0"/>
        <w:bidi w:val="0"/>
        <w:snapToGrid/>
        <w:spacing w:line="600" w:lineRule="exact"/>
        <w:ind w:left="0" w:leftChars="0" w:firstLine="1920" w:firstLineChars="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污水处理、港口码头、平板显示、信息化学品及</w:t>
      </w:r>
    </w:p>
    <w:p>
      <w:pPr>
        <w:pageBreakBefore w:val="0"/>
        <w:kinsoku/>
        <w:wordWrap/>
        <w:overflowPunct/>
        <w:topLinePunct w:val="0"/>
        <w:bidi w:val="0"/>
        <w:snapToGrid/>
        <w:spacing w:line="600" w:lineRule="exact"/>
        <w:ind w:left="0" w:leftChars="0" w:firstLine="1920" w:firstLineChars="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其他专用化学品行业重点排放单位年度目标碳强</w:t>
      </w:r>
    </w:p>
    <w:p>
      <w:pPr>
        <w:pageBreakBefore w:val="0"/>
        <w:kinsoku/>
        <w:wordWrap/>
        <w:overflowPunct/>
        <w:topLinePunct w:val="0"/>
        <w:bidi w:val="0"/>
        <w:snapToGrid/>
        <w:spacing w:line="600" w:lineRule="exact"/>
        <w:ind w:left="0" w:leftChars="0" w:firstLine="1920" w:firstLineChars="6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度设定方法</w:t>
      </w:r>
    </w:p>
    <w:p>
      <w:pPr>
        <w:pageBreakBefore w:val="0"/>
        <w:kinsoku/>
        <w:wordWrap/>
        <w:overflowPunct/>
        <w:topLinePunct w:val="0"/>
        <w:bidi w:val="0"/>
        <w:snapToGrid/>
        <w:spacing w:line="600" w:lineRule="exact"/>
        <w:ind w:left="0" w:leftChars="0"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3.2023年制造业及其他行业重点排放单位年度目标</w:t>
      </w:r>
    </w:p>
    <w:p>
      <w:pPr>
        <w:pageBreakBefore w:val="0"/>
        <w:kinsoku/>
        <w:wordWrap/>
        <w:overflowPunct/>
        <w:topLinePunct w:val="0"/>
        <w:bidi w:val="0"/>
        <w:snapToGrid/>
        <w:spacing w:line="600" w:lineRule="exact"/>
        <w:ind w:left="0" w:leftChars="0" w:firstLine="1920" w:firstLineChars="6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碳强度设定方法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br w:type="page"/>
      </w:r>
    </w:p>
    <w:p>
      <w:pPr>
        <w:pStyle w:val="2"/>
        <w:spacing w:before="0" w:after="0" w:line="560" w:lineRule="exact"/>
        <w:rPr>
          <w:rFonts w:ascii="黑体" w:hAnsi="黑体" w:eastAsia="黑体" w:cs="黑体"/>
          <w:b w:val="0"/>
          <w:bCs w:val="0"/>
          <w:kern w:val="2"/>
          <w:sz w:val="32"/>
          <w:szCs w:val="28"/>
        </w:rPr>
      </w:pPr>
      <w:r>
        <w:rPr>
          <w:rFonts w:hint="eastAsia" w:ascii="黑体" w:hAnsi="黑体" w:eastAsia="黑体" w:cs="黑体"/>
          <w:b w:val="0"/>
          <w:bCs w:val="0"/>
          <w:kern w:val="2"/>
          <w:sz w:val="32"/>
          <w:szCs w:val="28"/>
        </w:rPr>
        <w:t>附件1</w:t>
      </w:r>
    </w:p>
    <w:p>
      <w:pPr>
        <w:rPr>
          <w:b w:val="0"/>
          <w:bCs w:val="0"/>
        </w:rPr>
      </w:pPr>
    </w:p>
    <w:p>
      <w:pPr>
        <w:pStyle w:val="2"/>
        <w:spacing w:before="0" w:after="0" w:line="560" w:lineRule="exact"/>
        <w:jc w:val="center"/>
        <w:rPr>
          <w:rFonts w:ascii="方正小标宋简体" w:hAnsi="方正小标宋简体" w:eastAsia="方正小标宋简体" w:cs="方正小标宋简体"/>
          <w:b w:val="0"/>
          <w:bCs w:val="0"/>
          <w:kern w:val="2"/>
          <w:sz w:val="32"/>
          <w:szCs w:val="32"/>
        </w:rPr>
      </w:pPr>
      <w:r>
        <w:rPr>
          <w:rFonts w:hint="eastAsia" w:ascii="方正小标宋简体" w:hAnsi="方正小标宋简体" w:eastAsia="方正小标宋简体" w:cs="方正小标宋简体"/>
          <w:b w:val="0"/>
          <w:bCs w:val="0"/>
          <w:kern w:val="2"/>
          <w:sz w:val="32"/>
          <w:szCs w:val="32"/>
        </w:rPr>
        <w:t>2023年供电、供水、供气行业基准碳强度设定方法</w:t>
      </w:r>
    </w:p>
    <w:p/>
    <w:p>
      <w:pPr>
        <w:autoSpaceDE w:val="0"/>
        <w:autoSpaceDN w:val="0"/>
        <w:adjustRightInd w:val="0"/>
        <w:spacing w:after="156" w:afterLines="50"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综合考虑本市供电、供水、供气行业重点排放单位线损率水平、水质提升要求、节能增效进展、碳排放情况、减排空间与潜力等因素，确定行业基准碳强度为：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5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3114" w:type="dxa"/>
          </w:tcPr>
          <w:p>
            <w:pPr>
              <w:autoSpaceDE w:val="0"/>
              <w:autoSpaceDN w:val="0"/>
              <w:adjustRightInd w:val="0"/>
              <w:spacing w:line="560" w:lineRule="exact"/>
              <w:ind w:firstLine="642" w:firstLineChars="200"/>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行业</w:t>
            </w:r>
          </w:p>
        </w:tc>
        <w:tc>
          <w:tcPr>
            <w:tcW w:w="5182" w:type="dxa"/>
          </w:tcPr>
          <w:p>
            <w:pPr>
              <w:autoSpaceDE w:val="0"/>
              <w:autoSpaceDN w:val="0"/>
              <w:adjustRightInd w:val="0"/>
              <w:spacing w:line="560" w:lineRule="exact"/>
              <w:ind w:firstLine="642" w:firstLineChars="200"/>
              <w:jc w:val="center"/>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行业基准碳强度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autoSpaceDE w:val="0"/>
              <w:autoSpaceDN w:val="0"/>
              <w:adjustRightInd w:val="0"/>
              <w:spacing w:line="560" w:lineRule="exact"/>
              <w:ind w:firstLine="640" w:firstLineChars="20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供电行业</w:t>
            </w:r>
          </w:p>
        </w:tc>
        <w:tc>
          <w:tcPr>
            <w:tcW w:w="5182" w:type="dxa"/>
          </w:tcPr>
          <w:p>
            <w:pPr>
              <w:autoSpaceDE w:val="0"/>
              <w:autoSpaceDN w:val="0"/>
              <w:adjustRightInd w:val="0"/>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7</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吨</w:t>
            </w:r>
            <w:r>
              <w:rPr>
                <w:rFonts w:ascii="仿宋_GB2312" w:hAnsi="仿宋_GB2312" w:eastAsia="仿宋_GB2312" w:cs="仿宋_GB2312"/>
                <w:kern w:val="0"/>
                <w:sz w:val="32"/>
                <w:szCs w:val="32"/>
              </w:rPr>
              <w:t>/万千瓦时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autoSpaceDE w:val="0"/>
              <w:autoSpaceDN w:val="0"/>
              <w:adjustRightInd w:val="0"/>
              <w:spacing w:line="560" w:lineRule="exact"/>
              <w:ind w:firstLine="640" w:firstLineChars="20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供水行业</w:t>
            </w:r>
          </w:p>
        </w:tc>
        <w:tc>
          <w:tcPr>
            <w:tcW w:w="5182" w:type="dxa"/>
          </w:tcPr>
          <w:p>
            <w:pPr>
              <w:autoSpaceDE w:val="0"/>
              <w:autoSpaceDN w:val="0"/>
              <w:adjustRightInd w:val="0"/>
              <w:spacing w:line="560" w:lineRule="exac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1.814</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吨/</w:t>
            </w:r>
            <w:r>
              <w:rPr>
                <w:rFonts w:ascii="仿宋_GB2312" w:hAnsi="仿宋_GB2312" w:eastAsia="仿宋_GB2312" w:cs="仿宋_GB2312"/>
                <w:kern w:val="0"/>
                <w:sz w:val="32"/>
                <w:szCs w:val="32"/>
              </w:rPr>
              <w:t>万立方米</w:t>
            </w:r>
            <w:r>
              <w:rPr>
                <w:rFonts w:hint="eastAsia" w:ascii="仿宋_GB2312" w:hAnsi="仿宋_GB2312" w:eastAsia="仿宋_GB2312" w:cs="仿宋_GB2312"/>
                <w:kern w:val="0"/>
                <w:sz w:val="32"/>
                <w:szCs w:val="32"/>
              </w:rPr>
              <w:t>自来</w:t>
            </w:r>
            <w:r>
              <w:rPr>
                <w:rFonts w:ascii="仿宋_GB2312" w:hAnsi="仿宋_GB2312" w:eastAsia="仿宋_GB2312" w:cs="仿宋_GB2312"/>
                <w:kern w:val="0"/>
                <w:sz w:val="32"/>
                <w:szCs w:val="32"/>
              </w:rPr>
              <w:t>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autoSpaceDE w:val="0"/>
              <w:autoSpaceDN w:val="0"/>
              <w:adjustRightInd w:val="0"/>
              <w:spacing w:line="560" w:lineRule="exact"/>
              <w:ind w:firstLine="640" w:firstLineChars="200"/>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供气行业</w:t>
            </w:r>
          </w:p>
        </w:tc>
        <w:tc>
          <w:tcPr>
            <w:tcW w:w="5182" w:type="dxa"/>
          </w:tcPr>
          <w:p>
            <w:pPr>
              <w:autoSpaceDE w:val="0"/>
              <w:autoSpaceDN w:val="0"/>
              <w:adjustRightInd w:val="0"/>
              <w:spacing w:line="560" w:lineRule="exact"/>
              <w:jc w:val="center"/>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12</w:t>
            </w:r>
            <w:r>
              <w:rPr>
                <w:rFonts w:hint="eastAsia" w:ascii="仿宋_GB2312" w:hAnsi="仿宋_GB2312" w:eastAsia="仿宋_GB2312" w:cs="仿宋_GB2312"/>
                <w:kern w:val="0"/>
                <w:sz w:val="32"/>
                <w:szCs w:val="32"/>
              </w:rPr>
              <w:t>4</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727</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吨/万吨天然气处理量</w:t>
            </w:r>
          </w:p>
        </w:tc>
      </w:tr>
    </w:tbl>
    <w:p>
      <w:pPr>
        <w:autoSpaceDE w:val="0"/>
        <w:autoSpaceDN w:val="0"/>
        <w:adjustRightInd w:val="0"/>
        <w:spacing w:line="560" w:lineRule="exact"/>
        <w:ind w:firstLine="640" w:firstLineChars="200"/>
        <w:rPr>
          <w:rFonts w:ascii="仿宋_GB2312" w:hAnsi="仿宋_GB2312" w:eastAsia="仿宋_GB2312" w:cs="仿宋_GB2312"/>
          <w:kern w:val="0"/>
          <w:sz w:val="32"/>
          <w:szCs w:val="32"/>
        </w:rPr>
      </w:pPr>
    </w:p>
    <w:p>
      <w:pPr>
        <w:spacing w:line="560" w:lineRule="exact"/>
        <w:ind w:firstLine="420" w:firstLineChars="200"/>
        <w:rPr>
          <w:rFonts w:ascii="仿宋_GB2312" w:hAnsi="仿宋_GB2312" w:eastAsia="仿宋_GB2312" w:cs="仿宋_GB2312"/>
        </w:rPr>
      </w:pPr>
    </w:p>
    <w:p>
      <w:pPr>
        <w:spacing w:line="560" w:lineRule="exact"/>
        <w:ind w:firstLine="400" w:firstLineChars="200"/>
        <w:rPr>
          <w:rFonts w:ascii="仿宋_GB2312" w:hAnsi="仿宋_GB2312" w:eastAsia="仿宋_GB2312" w:cs="仿宋_GB2312"/>
          <w:sz w:val="20"/>
          <w:szCs w:val="21"/>
        </w:rPr>
      </w:pPr>
    </w:p>
    <w:p>
      <w:pPr>
        <w:spacing w:line="560" w:lineRule="exact"/>
        <w:ind w:firstLine="420" w:firstLineChars="200"/>
        <w:rPr>
          <w:rFonts w:ascii="仿宋_GB2312" w:hAnsi="仿宋_GB2312" w:eastAsia="仿宋_GB2312" w:cs="仿宋_GB2312"/>
        </w:rPr>
      </w:pPr>
    </w:p>
    <w:p>
      <w:pPr>
        <w:spacing w:line="560" w:lineRule="exact"/>
        <w:ind w:firstLine="420" w:firstLineChars="200"/>
        <w:rPr>
          <w:rFonts w:ascii="仿宋_GB2312" w:hAnsi="仿宋_GB2312" w:eastAsia="仿宋_GB2312" w:cs="仿宋_GB2312"/>
        </w:rPr>
      </w:pPr>
    </w:p>
    <w:p>
      <w:pPr>
        <w:widowControl/>
        <w:spacing w:line="56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rPr>
        <w:br w:type="page"/>
      </w:r>
    </w:p>
    <w:p>
      <w:pPr>
        <w:pStyle w:val="2"/>
        <w:spacing w:before="0" w:after="0" w:line="560" w:lineRule="exact"/>
        <w:rPr>
          <w:rFonts w:ascii="黑体" w:hAnsi="黑体" w:eastAsia="黑体" w:cs="黑体"/>
          <w:b w:val="0"/>
          <w:bCs w:val="0"/>
          <w:kern w:val="2"/>
          <w:sz w:val="32"/>
          <w:szCs w:val="32"/>
        </w:rPr>
      </w:pPr>
      <w:r>
        <w:rPr>
          <w:rFonts w:hint="eastAsia" w:ascii="黑体" w:hAnsi="黑体" w:eastAsia="黑体" w:cs="黑体"/>
          <w:b w:val="0"/>
          <w:bCs w:val="0"/>
          <w:kern w:val="2"/>
          <w:sz w:val="32"/>
          <w:szCs w:val="32"/>
        </w:rPr>
        <w:t>附件</w:t>
      </w:r>
      <w:r>
        <w:rPr>
          <w:rFonts w:hint="eastAsia" w:ascii="黑体" w:hAnsi="黑体" w:eastAsia="黑体" w:cs="黑体"/>
          <w:b w:val="0"/>
          <w:bCs w:val="0"/>
          <w:kern w:val="2"/>
          <w:sz w:val="32"/>
          <w:szCs w:val="32"/>
          <w:lang w:val="en-US" w:eastAsia="zh-CN"/>
        </w:rPr>
        <w:t>2</w:t>
      </w:r>
    </w:p>
    <w:p/>
    <w:p>
      <w:pPr>
        <w:pStyle w:val="2"/>
        <w:spacing w:before="0" w:after="0" w:line="560" w:lineRule="exact"/>
        <w:jc w:val="center"/>
        <w:rPr>
          <w:rFonts w:ascii="方正小标宋简体" w:hAnsi="方正小标宋简体" w:eastAsia="方正小标宋简体" w:cs="方正小标宋简体"/>
          <w:b w:val="0"/>
          <w:bCs w:val="0"/>
          <w:kern w:val="2"/>
          <w:sz w:val="32"/>
          <w:szCs w:val="32"/>
        </w:rPr>
      </w:pPr>
      <w:r>
        <w:rPr>
          <w:rFonts w:hint="eastAsia" w:ascii="方正小标宋简体" w:hAnsi="方正小标宋简体" w:eastAsia="方正小标宋简体" w:cs="方正小标宋简体"/>
          <w:b w:val="0"/>
          <w:bCs w:val="0"/>
          <w:kern w:val="2"/>
          <w:sz w:val="32"/>
          <w:szCs w:val="32"/>
        </w:rPr>
        <w:t>2023年公交、地铁、危险废物处理、污泥处理、污水处理、港口码头、平板显示、信息化学品及其他专用化学品行业重点排放单位年度目标碳强度设定方法</w:t>
      </w:r>
    </w:p>
    <w:p/>
    <w:p>
      <w:pPr>
        <w:pStyle w:val="3"/>
        <w:spacing w:before="0" w:after="0" w:line="560" w:lineRule="exact"/>
        <w:ind w:firstLine="640" w:firstLineChars="200"/>
        <w:rPr>
          <w:rFonts w:ascii="黑体" w:hAnsi="黑体" w:eastAsia="黑体" w:cs="黑体"/>
          <w:b w:val="0"/>
          <w:bCs w:val="0"/>
        </w:rPr>
      </w:pPr>
      <w:r>
        <w:rPr>
          <w:rFonts w:hint="eastAsia" w:ascii="黑体" w:hAnsi="黑体" w:eastAsia="黑体" w:cs="黑体"/>
          <w:b w:val="0"/>
          <w:bCs w:val="0"/>
        </w:rPr>
        <w:t>一、公交行业</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2023年公交重点排放单位营运系统年度目标碳强度计算公式为：</w:t>
      </w:r>
    </w:p>
    <w:p>
      <w:pPr>
        <w:autoSpaceDE w:val="0"/>
        <w:autoSpaceDN w:val="0"/>
        <w:adjustRightInd w:val="0"/>
        <w:spacing w:line="560" w:lineRule="exact"/>
        <w:ind w:firstLine="642"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营运系统年度目标碳强度=营运系统2021年目标碳强度×0.990</w:t>
      </w:r>
    </w:p>
    <w:p>
      <w:pPr>
        <w:pStyle w:val="3"/>
        <w:spacing w:before="0" w:after="0" w:line="560" w:lineRule="exact"/>
        <w:ind w:firstLine="640" w:firstLineChars="200"/>
        <w:rPr>
          <w:rFonts w:ascii="黑体" w:hAnsi="黑体" w:eastAsia="黑体" w:cs="黑体"/>
          <w:b w:val="0"/>
          <w:bCs w:val="0"/>
        </w:rPr>
      </w:pPr>
      <w:r>
        <w:rPr>
          <w:rFonts w:hint="eastAsia" w:ascii="黑体" w:hAnsi="黑体" w:eastAsia="黑体" w:cs="黑体"/>
          <w:b w:val="0"/>
          <w:bCs w:val="0"/>
        </w:rPr>
        <w:t>二、地铁行业</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2023年地铁重点排放单位年度目标碳强度计算公式为：</w:t>
      </w:r>
    </w:p>
    <w:p>
      <w:pPr>
        <w:autoSpaceDE w:val="0"/>
        <w:autoSpaceDN w:val="0"/>
        <w:adjustRightInd w:val="0"/>
        <w:spacing w:line="560" w:lineRule="exact"/>
        <w:ind w:firstLine="642"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年度目标碳强度=重点排放单位2021年目标碳强度</w:t>
      </w:r>
      <w:r>
        <w:rPr>
          <w:rFonts w:ascii="仿宋_GB2312" w:hAnsi="仿宋_GB2312" w:eastAsia="仿宋_GB2312" w:cs="仿宋_GB2312"/>
          <w:b/>
          <w:bCs/>
          <w:kern w:val="0"/>
          <w:sz w:val="32"/>
          <w:szCs w:val="32"/>
        </w:rPr>
        <w:t xml:space="preserve"> </w:t>
      </w:r>
      <w:r>
        <w:rPr>
          <w:rFonts w:hint="eastAsia" w:ascii="仿宋_GB2312" w:hAnsi="仿宋_GB2312" w:eastAsia="仿宋_GB2312" w:cs="仿宋_GB2312"/>
          <w:b/>
          <w:bCs/>
          <w:kern w:val="0"/>
          <w:sz w:val="32"/>
          <w:szCs w:val="32"/>
        </w:rPr>
        <w:t>×0.990</w:t>
      </w:r>
    </w:p>
    <w:p>
      <w:pPr>
        <w:pStyle w:val="3"/>
        <w:spacing w:before="0" w:after="0" w:line="540" w:lineRule="exact"/>
        <w:ind w:firstLine="640" w:firstLineChars="200"/>
        <w:rPr>
          <w:rFonts w:ascii="黑体" w:hAnsi="黑体" w:eastAsia="黑体" w:cs="黑体"/>
          <w:b w:val="0"/>
          <w:bCs w:val="0"/>
        </w:rPr>
      </w:pPr>
      <w:r>
        <w:rPr>
          <w:rFonts w:hint="eastAsia" w:ascii="黑体" w:hAnsi="黑体" w:eastAsia="黑体" w:cs="黑体"/>
          <w:b w:val="0"/>
          <w:bCs w:val="0"/>
        </w:rPr>
        <w:t>三、危险废物处理、污泥处理、污水处理行业</w:t>
      </w:r>
    </w:p>
    <w:p>
      <w:pPr>
        <w:autoSpaceDE w:val="0"/>
        <w:autoSpaceDN w:val="0"/>
        <w:adjustRightInd w:val="0"/>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对危险废物处理、污泥处理、污水处理行业，2023年重点排放单位年度目标碳强度计算公式为：</w:t>
      </w:r>
    </w:p>
    <w:p>
      <w:pPr>
        <w:autoSpaceDE w:val="0"/>
        <w:autoSpaceDN w:val="0"/>
        <w:adjustRightInd w:val="0"/>
        <w:spacing w:line="540" w:lineRule="exact"/>
        <w:ind w:firstLine="642" w:firstLineChars="200"/>
        <w:rPr>
          <w:rFonts w:ascii="仿宋_GB2312" w:hAnsi="仿宋_GB2312" w:eastAsia="仿宋_GB2312" w:cs="仿宋_GB2312"/>
          <w:b/>
          <w:bCs/>
          <w:kern w:val="0"/>
          <w:sz w:val="32"/>
          <w:szCs w:val="32"/>
          <w:vertAlign w:val="superscript"/>
        </w:rPr>
      </w:pPr>
      <w:r>
        <w:rPr>
          <w:rFonts w:hint="eastAsia" w:ascii="仿宋_GB2312" w:hAnsi="仿宋_GB2312" w:eastAsia="仿宋_GB2312" w:cs="仿宋_GB2312"/>
          <w:b/>
          <w:bCs/>
          <w:kern w:val="0"/>
          <w:sz w:val="32"/>
          <w:szCs w:val="32"/>
        </w:rPr>
        <w:t>年度目标碳强度=重点排放单位2018-2020年历史加权平均碳强度×0.980</w:t>
      </w:r>
    </w:p>
    <w:p>
      <w:pPr>
        <w:pStyle w:val="3"/>
        <w:spacing w:before="0" w:after="0" w:line="540" w:lineRule="exact"/>
        <w:ind w:firstLine="640" w:firstLineChars="200"/>
        <w:rPr>
          <w:rFonts w:ascii="黑体" w:hAnsi="黑体" w:eastAsia="黑体" w:cs="黑体"/>
          <w:b w:val="0"/>
          <w:bCs w:val="0"/>
        </w:rPr>
      </w:pPr>
      <w:r>
        <w:rPr>
          <w:rFonts w:hint="eastAsia" w:ascii="黑体" w:hAnsi="黑体" w:eastAsia="黑体" w:cs="黑体"/>
          <w:b w:val="0"/>
          <w:bCs w:val="0"/>
        </w:rPr>
        <w:t>四、港口码头行业</w:t>
      </w:r>
    </w:p>
    <w:p>
      <w:pPr>
        <w:autoSpaceDE w:val="0"/>
        <w:autoSpaceDN w:val="0"/>
        <w:adjustRightInd w:val="0"/>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2023年港口码头行业重点排放单位年度目标碳强度计算公式为：</w:t>
      </w:r>
    </w:p>
    <w:p>
      <w:pPr>
        <w:autoSpaceDE w:val="0"/>
        <w:autoSpaceDN w:val="0"/>
        <w:adjustRightInd w:val="0"/>
        <w:spacing w:line="540" w:lineRule="exact"/>
        <w:ind w:firstLine="642" w:firstLineChars="200"/>
        <w:rPr>
          <w:rFonts w:ascii="仿宋_GB2312" w:hAnsi="仿宋_GB2312" w:eastAsia="仿宋_GB2312" w:cs="仿宋_GB2312"/>
          <w:b/>
          <w:bCs/>
          <w:kern w:val="0"/>
          <w:sz w:val="32"/>
          <w:szCs w:val="32"/>
          <w:vertAlign w:val="superscript"/>
        </w:rPr>
      </w:pPr>
      <w:r>
        <w:rPr>
          <w:rFonts w:hint="eastAsia" w:ascii="仿宋_GB2312" w:hAnsi="仿宋_GB2312" w:eastAsia="仿宋_GB2312" w:cs="仿宋_GB2312"/>
          <w:b/>
          <w:bCs/>
          <w:kern w:val="0"/>
          <w:sz w:val="32"/>
          <w:szCs w:val="32"/>
        </w:rPr>
        <w:t>年度目标碳强度=重点排放单位2018-2020年历史加权平均碳强度×0.916</w:t>
      </w:r>
    </w:p>
    <w:p>
      <w:pPr>
        <w:pStyle w:val="3"/>
        <w:spacing w:before="0" w:after="0" w:line="540" w:lineRule="exact"/>
        <w:ind w:firstLine="640" w:firstLineChars="200"/>
        <w:rPr>
          <w:rFonts w:ascii="黑体" w:hAnsi="黑体" w:eastAsia="黑体" w:cs="黑体"/>
          <w:b w:val="0"/>
          <w:bCs w:val="0"/>
        </w:rPr>
      </w:pPr>
      <w:r>
        <w:rPr>
          <w:rFonts w:hint="eastAsia" w:ascii="黑体" w:hAnsi="黑体" w:eastAsia="黑体" w:cs="黑体"/>
          <w:b w:val="0"/>
          <w:bCs w:val="0"/>
        </w:rPr>
        <w:t>五、平板显示、信息化学品及其他专用化学品行业</w:t>
      </w:r>
    </w:p>
    <w:p>
      <w:pPr>
        <w:autoSpaceDE w:val="0"/>
        <w:autoSpaceDN w:val="0"/>
        <w:adjustRightInd w:val="0"/>
        <w:spacing w:line="54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对平板显示、信息化学品及其他专用化学品行业，2023年重点排放单位年度目标碳强度计算公式为：</w:t>
      </w:r>
    </w:p>
    <w:p>
      <w:pPr>
        <w:autoSpaceDE w:val="0"/>
        <w:autoSpaceDN w:val="0"/>
        <w:adjustRightInd w:val="0"/>
        <w:spacing w:line="540" w:lineRule="exact"/>
        <w:ind w:firstLine="642" w:firstLineChars="200"/>
        <w:rPr>
          <w:rFonts w:ascii="仿宋_GB2312" w:hAnsi="仿宋_GB2312" w:eastAsia="仿宋_GB2312" w:cs="仿宋_GB2312"/>
          <w:b/>
          <w:bCs/>
          <w:kern w:val="0"/>
          <w:sz w:val="32"/>
          <w:szCs w:val="32"/>
          <w:vertAlign w:val="superscript"/>
        </w:rPr>
      </w:pPr>
      <w:r>
        <w:rPr>
          <w:rFonts w:hint="eastAsia" w:ascii="仿宋_GB2312" w:hAnsi="仿宋_GB2312" w:eastAsia="仿宋_GB2312" w:cs="仿宋_GB2312"/>
          <w:b/>
          <w:bCs/>
          <w:kern w:val="0"/>
          <w:sz w:val="32"/>
          <w:szCs w:val="32"/>
        </w:rPr>
        <w:t>年度目标碳强度=重点排放单位2018-2020年历史加权平均碳强度×0.916</w:t>
      </w: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kern w:val="0"/>
          <w:sz w:val="32"/>
          <w:szCs w:val="32"/>
        </w:rPr>
      </w:pPr>
    </w:p>
    <w:p>
      <w:pPr>
        <w:rPr>
          <w:rFonts w:ascii="黑体" w:hAnsi="黑体" w:eastAsia="黑体" w:cs="黑体"/>
          <w:b w:val="0"/>
          <w:bCs w:val="0"/>
          <w:kern w:val="2"/>
          <w:sz w:val="32"/>
          <w:szCs w:val="28"/>
        </w:rPr>
      </w:pPr>
      <w:r>
        <w:rPr>
          <w:rFonts w:hint="eastAsia" w:ascii="黑体" w:hAnsi="黑体" w:eastAsia="黑体" w:cs="黑体"/>
          <w:b w:val="0"/>
          <w:bCs w:val="0"/>
          <w:kern w:val="2"/>
          <w:sz w:val="32"/>
          <w:szCs w:val="28"/>
        </w:rPr>
        <w:t>附件3</w:t>
      </w:r>
    </w:p>
    <w:p/>
    <w:p>
      <w:pPr>
        <w:pStyle w:val="2"/>
        <w:spacing w:before="0" w:after="0" w:line="560" w:lineRule="exact"/>
        <w:jc w:val="center"/>
        <w:rPr>
          <w:rFonts w:ascii="方正小标宋简体" w:hAnsi="方正小标宋简体" w:eastAsia="方正小标宋简体" w:cs="方正小标宋简体"/>
          <w:b w:val="0"/>
          <w:bCs w:val="0"/>
          <w:kern w:val="2"/>
          <w:sz w:val="32"/>
          <w:szCs w:val="32"/>
        </w:rPr>
      </w:pPr>
      <w:r>
        <w:rPr>
          <w:rFonts w:hint="eastAsia" w:ascii="方正小标宋简体" w:hAnsi="方正小标宋简体" w:eastAsia="方正小标宋简体" w:cs="方正小标宋简体"/>
          <w:b w:val="0"/>
          <w:bCs w:val="0"/>
          <w:kern w:val="2"/>
          <w:sz w:val="32"/>
          <w:szCs w:val="32"/>
        </w:rPr>
        <w:t>2023年制造业及其他行业重点排放单位年度目标碳强度设定方法</w:t>
      </w:r>
    </w:p>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对制造业及其他行业重点排放单位，根据历史碳强度、2021年度碳强度下降率、</w:t>
      </w:r>
      <w:r>
        <w:rPr>
          <w:rFonts w:ascii="仿宋_GB2312" w:hAnsi="仿宋_GB2312" w:eastAsia="仿宋_GB2312" w:cs="仿宋_GB2312"/>
          <w:kern w:val="0"/>
          <w:sz w:val="32"/>
          <w:szCs w:val="32"/>
        </w:rPr>
        <w:t>20</w:t>
      </w:r>
      <w:r>
        <w:rPr>
          <w:rFonts w:hint="eastAsia" w:ascii="仿宋_GB2312" w:hAnsi="仿宋_GB2312" w:eastAsia="仿宋_GB2312" w:cs="仿宋_GB2312"/>
          <w:kern w:val="0"/>
          <w:sz w:val="32"/>
          <w:szCs w:val="32"/>
        </w:rPr>
        <w:t>23年度</w:t>
      </w:r>
      <w:r>
        <w:rPr>
          <w:rFonts w:ascii="仿宋_GB2312" w:hAnsi="仿宋_GB2312" w:eastAsia="仿宋_GB2312" w:cs="仿宋_GB2312"/>
          <w:kern w:val="0"/>
          <w:sz w:val="32"/>
          <w:szCs w:val="32"/>
        </w:rPr>
        <w:t>碳强度下降率</w:t>
      </w:r>
      <w:r>
        <w:rPr>
          <w:rFonts w:hint="eastAsia" w:ascii="仿宋_GB2312" w:hAnsi="仿宋_GB2312" w:eastAsia="仿宋_GB2312" w:cs="仿宋_GB2312"/>
          <w:kern w:val="0"/>
          <w:sz w:val="32"/>
          <w:szCs w:val="32"/>
        </w:rPr>
        <w:t>确定2023年度目标碳强度，计算公式为：</w:t>
      </w:r>
    </w:p>
    <w:p>
      <w:pPr>
        <w:autoSpaceDE w:val="0"/>
        <w:autoSpaceDN w:val="0"/>
        <w:adjustRightInd w:val="0"/>
        <w:spacing w:line="560" w:lineRule="exact"/>
        <w:ind w:firstLine="642" w:firstLineChars="200"/>
        <w:rPr>
          <w:rFonts w:ascii="仿宋_GB2312" w:hAnsi="仿宋_GB2312" w:eastAsia="仿宋_GB2312" w:cs="仿宋_GB2312"/>
          <w:b/>
          <w:bCs/>
          <w:kern w:val="0"/>
          <w:sz w:val="32"/>
          <w:szCs w:val="32"/>
          <w:vertAlign w:val="superscript"/>
        </w:rPr>
      </w:pPr>
      <w:r>
        <w:rPr>
          <w:rFonts w:hint="eastAsia" w:ascii="仿宋_GB2312" w:hAnsi="仿宋_GB2312" w:eastAsia="仿宋_GB2312" w:cs="仿宋_GB2312"/>
          <w:b/>
          <w:bCs/>
          <w:kern w:val="0"/>
          <w:sz w:val="32"/>
          <w:szCs w:val="32"/>
        </w:rPr>
        <w:t>年度目标碳强度=历史碳强度</w:t>
      </w:r>
      <w:r>
        <w:rPr>
          <w:rFonts w:hint="eastAsia" w:ascii="仿宋_GB2312" w:hAnsi="仿宋_GB2312" w:eastAsia="仿宋_GB2312" w:cs="仿宋_GB2312"/>
          <w:b/>
          <w:bCs/>
          <w:kern w:val="0"/>
          <w:sz w:val="32"/>
          <w:szCs w:val="32"/>
          <w:vertAlign w:val="superscript"/>
        </w:rPr>
        <w:t xml:space="preserve"> </w:t>
      </w:r>
      <w:r>
        <w:rPr>
          <w:rFonts w:hint="eastAsia" w:ascii="仿宋_GB2312" w:hAnsi="仿宋_GB2312" w:eastAsia="仿宋_GB2312" w:cs="仿宋_GB2312"/>
          <w:b/>
          <w:bCs/>
          <w:kern w:val="0"/>
          <w:sz w:val="32"/>
          <w:szCs w:val="32"/>
        </w:rPr>
        <w:t>×（1-2021年度碳强度下降率）×（1-2023年度碳强度下降率）</w:t>
      </w:r>
      <w:r>
        <w:rPr>
          <w:rFonts w:hint="eastAsia" w:ascii="仿宋_GB2312" w:hAnsi="仿宋_GB2312" w:eastAsia="仿宋_GB2312" w:cs="仿宋_GB2312"/>
          <w:b/>
          <w:bCs/>
          <w:kern w:val="0"/>
          <w:sz w:val="32"/>
          <w:szCs w:val="32"/>
          <w:vertAlign w:val="superscript"/>
        </w:rPr>
        <w:t>2</w:t>
      </w:r>
    </w:p>
    <w:p>
      <w:pPr>
        <w:pStyle w:val="9"/>
        <w:numPr>
          <w:ilvl w:val="255"/>
          <w:numId w:val="0"/>
        </w:numPr>
        <w:spacing w:line="560" w:lineRule="exact"/>
        <w:ind w:firstLine="640" w:firstLineChars="200"/>
        <w:rPr>
          <w:rFonts w:ascii="仿宋_GB2312" w:hAnsi="仿宋_GB2312" w:eastAsia="仿宋_GB2312" w:cs="仿宋_GB2312"/>
          <w:szCs w:val="28"/>
        </w:rPr>
      </w:pPr>
      <w:r>
        <w:rPr>
          <w:rFonts w:hint="eastAsia" w:ascii="仿宋_GB2312" w:hAnsi="仿宋_GB2312" w:eastAsia="仿宋_GB2312" w:cs="仿宋_GB2312"/>
          <w:szCs w:val="28"/>
        </w:rPr>
        <w:t>重点排放单位历史碳强度为该单位2018-2020年历史加权平均碳强度。</w:t>
      </w:r>
    </w:p>
    <w:p>
      <w:pPr>
        <w:pStyle w:val="9"/>
        <w:numPr>
          <w:ilvl w:val="255"/>
          <w:numId w:val="0"/>
        </w:numPr>
        <w:spacing w:line="560" w:lineRule="exact"/>
        <w:ind w:firstLine="640" w:firstLineChars="200"/>
        <w:rPr>
          <w:rFonts w:ascii="仿宋_GB2312" w:hAnsi="仿宋_GB2312" w:eastAsia="仿宋_GB2312" w:cs="仿宋_GB2312"/>
          <w:kern w:val="0"/>
          <w:szCs w:val="32"/>
        </w:rPr>
      </w:pPr>
      <w:r>
        <w:rPr>
          <w:rFonts w:hint="eastAsia" w:ascii="仿宋_GB2312" w:hAnsi="仿宋_GB2312" w:eastAsia="仿宋_GB2312" w:cs="仿宋_GB2312"/>
          <w:kern w:val="0"/>
          <w:szCs w:val="32"/>
        </w:rPr>
        <w:t>根据重点排放单位历史碳强度与其所在行业历史碳强度的比值划定重点排放单位历史碳绩效档次，秉着鼓励先进、惩罚落后的原则，确定重点排放单位年度碳强度下降率，2021</w:t>
      </w:r>
      <w:r>
        <w:rPr>
          <w:rFonts w:ascii="仿宋_GB2312" w:hAnsi="仿宋_GB2312" w:eastAsia="仿宋_GB2312" w:cs="仿宋_GB2312"/>
          <w:kern w:val="0"/>
          <w:szCs w:val="32"/>
        </w:rPr>
        <w:t>年度碳强度下降率</w:t>
      </w:r>
      <w:r>
        <w:rPr>
          <w:rFonts w:hint="eastAsia" w:ascii="仿宋_GB2312" w:hAnsi="仿宋_GB2312" w:eastAsia="仿宋_GB2312" w:cs="仿宋_GB2312"/>
          <w:kern w:val="0"/>
          <w:szCs w:val="32"/>
        </w:rPr>
        <w:t>选取主管部门下发2021年重点排放单位分配通知中的</w:t>
      </w:r>
      <w:r>
        <w:rPr>
          <w:rFonts w:ascii="仿宋_GB2312" w:hAnsi="仿宋_GB2312" w:eastAsia="仿宋_GB2312" w:cs="仿宋_GB2312"/>
          <w:kern w:val="0"/>
          <w:szCs w:val="32"/>
        </w:rPr>
        <w:t>设定值</w:t>
      </w:r>
      <w:r>
        <w:rPr>
          <w:rFonts w:hint="eastAsia" w:ascii="仿宋_GB2312" w:hAnsi="仿宋_GB2312" w:eastAsia="仿宋_GB2312" w:cs="仿宋_GB2312"/>
          <w:kern w:val="0"/>
          <w:szCs w:val="32"/>
        </w:rPr>
        <w:t>，2023年度碳强度下降率具体数值参见《2023年制造业及其他行业重点排放单位碳强度下降率对照表》。</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重点排放单位年度目标碳强度的设定不得超出其上一年度目标碳强度。当根据上述公式计算的重点排放单位2023年度目标碳强度高于其2022年度目标碳强度时，取2022年度目标碳强度作为重点排放单位2023年度目标碳强度。</w:t>
      </w:r>
    </w:p>
    <w:p>
      <w:pPr>
        <w:spacing w:line="560" w:lineRule="exact"/>
        <w:rPr>
          <w:rFonts w:ascii="仿宋_GB2312" w:hAnsi="仿宋_GB2312" w:eastAsia="仿宋_GB2312" w:cs="仿宋_GB2312"/>
          <w:kern w:val="0"/>
          <w:sz w:val="32"/>
          <w:szCs w:val="32"/>
        </w:rPr>
      </w:pPr>
    </w:p>
    <w:p>
      <w:pPr>
        <w:spacing w:line="560" w:lineRule="exact"/>
        <w:rPr>
          <w:rFonts w:ascii="仿宋_GB2312" w:hAnsi="仿宋_GB2312" w:eastAsia="仿宋_GB2312" w:cs="仿宋_GB2312"/>
          <w:kern w:val="0"/>
          <w:sz w:val="32"/>
          <w:szCs w:val="32"/>
        </w:rPr>
      </w:pPr>
    </w:p>
    <w:p>
      <w:pPr>
        <w:pStyle w:val="9"/>
        <w:keepNext w:val="0"/>
        <w:keepLines w:val="0"/>
        <w:pageBreakBefore w:val="0"/>
        <w:widowControl w:val="0"/>
        <w:numPr>
          <w:ilvl w:val="255"/>
          <w:numId w:val="0"/>
        </w:numPr>
        <w:kinsoku/>
        <w:wordWrap/>
        <w:overflowPunct/>
        <w:topLinePunct w:val="0"/>
        <w:autoSpaceDE/>
        <w:autoSpaceDN/>
        <w:bidi w:val="0"/>
        <w:adjustRightInd/>
        <w:snapToGrid/>
        <w:spacing w:before="156" w:beforeLines="50" w:after="156" w:afterLines="50" w:line="560" w:lineRule="exact"/>
        <w:ind w:firstLine="0" w:firstLineChars="0"/>
        <w:jc w:val="center"/>
        <w:textAlignment w:val="auto"/>
        <w:rPr>
          <w:rFonts w:ascii="仿宋_GB2312" w:hAnsi="仿宋_GB2312" w:eastAsia="仿宋_GB2312" w:cs="仿宋_GB2312"/>
          <w:b/>
          <w:bCs/>
          <w:sz w:val="28"/>
          <w:szCs w:val="24"/>
        </w:rPr>
      </w:pPr>
      <w:r>
        <w:rPr>
          <w:rFonts w:hint="eastAsia" w:ascii="仿宋_GB2312" w:hAnsi="仿宋_GB2312" w:eastAsia="仿宋_GB2312" w:cs="仿宋_GB2312"/>
          <w:b/>
          <w:bCs/>
          <w:sz w:val="28"/>
          <w:szCs w:val="24"/>
        </w:rPr>
        <w:t>2023年制造业及其他行业重点排放单位碳强度年均下降率对照表</w:t>
      </w:r>
    </w:p>
    <w:tbl>
      <w:tblPr>
        <w:tblStyle w:val="6"/>
        <w:tblW w:w="7984" w:type="dxa"/>
        <w:jc w:val="center"/>
        <w:tblLayout w:type="fixed"/>
        <w:tblCellMar>
          <w:top w:w="0" w:type="dxa"/>
          <w:left w:w="108" w:type="dxa"/>
          <w:bottom w:w="0" w:type="dxa"/>
          <w:right w:w="108" w:type="dxa"/>
        </w:tblCellMar>
      </w:tblPr>
      <w:tblGrid>
        <w:gridCol w:w="5098"/>
        <w:gridCol w:w="2886"/>
      </w:tblGrid>
      <w:tr>
        <w:tblPrEx>
          <w:tblCellMar>
            <w:top w:w="0" w:type="dxa"/>
            <w:left w:w="108" w:type="dxa"/>
            <w:bottom w:w="0" w:type="dxa"/>
            <w:right w:w="108" w:type="dxa"/>
          </w:tblCellMar>
        </w:tblPrEx>
        <w:trPr>
          <w:trHeight w:val="645" w:hRule="exact"/>
          <w:jc w:val="center"/>
        </w:trPr>
        <w:tc>
          <w:tcPr>
            <w:tcW w:w="509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重点排放单位历史碳强度与其行业历史碳强度的比值</w:t>
            </w:r>
          </w:p>
        </w:tc>
        <w:tc>
          <w:tcPr>
            <w:tcW w:w="2886" w:type="dxa"/>
            <w:tcBorders>
              <w:top w:val="single" w:color="auto" w:sz="4" w:space="0"/>
              <w:left w:val="nil"/>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
                <w:bCs/>
                <w:kern w:val="0"/>
                <w:sz w:val="20"/>
                <w:szCs w:val="20"/>
              </w:rPr>
            </w:pPr>
            <w:r>
              <w:rPr>
                <w:rFonts w:hint="eastAsia" w:ascii="仿宋_GB2312" w:hAnsi="仿宋_GB2312" w:eastAsia="仿宋_GB2312" w:cs="仿宋_GB2312"/>
                <w:b/>
                <w:bCs/>
                <w:kern w:val="0"/>
                <w:sz w:val="20"/>
                <w:szCs w:val="20"/>
              </w:rPr>
              <w:t>重点排放单位碳强度年均下降率</w:t>
            </w:r>
          </w:p>
        </w:tc>
      </w:tr>
      <w:tr>
        <w:tblPrEx>
          <w:tblCellMar>
            <w:top w:w="0" w:type="dxa"/>
            <w:left w:w="108" w:type="dxa"/>
            <w:bottom w:w="0" w:type="dxa"/>
            <w:right w:w="108" w:type="dxa"/>
          </w:tblCellMar>
        </w:tblPrEx>
        <w:trPr>
          <w:trHeight w:val="20" w:hRule="atLeast"/>
          <w:jc w:val="center"/>
        </w:trPr>
        <w:tc>
          <w:tcPr>
            <w:tcW w:w="5098" w:type="dxa"/>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0-0.1</w:t>
            </w:r>
          </w:p>
        </w:tc>
        <w:tc>
          <w:tcPr>
            <w:tcW w:w="2886" w:type="dxa"/>
            <w:tcBorders>
              <w:top w:val="nil"/>
              <w:left w:val="nil"/>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0.30%</w:t>
            </w:r>
          </w:p>
        </w:tc>
      </w:tr>
      <w:tr>
        <w:tblPrEx>
          <w:tblCellMar>
            <w:top w:w="0" w:type="dxa"/>
            <w:left w:w="108" w:type="dxa"/>
            <w:bottom w:w="0" w:type="dxa"/>
            <w:right w:w="108" w:type="dxa"/>
          </w:tblCellMar>
        </w:tblPrEx>
        <w:trPr>
          <w:trHeight w:val="20" w:hRule="atLeast"/>
          <w:jc w:val="center"/>
        </w:trPr>
        <w:tc>
          <w:tcPr>
            <w:tcW w:w="5098" w:type="dxa"/>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0.1-0.2</w:t>
            </w:r>
          </w:p>
        </w:tc>
        <w:tc>
          <w:tcPr>
            <w:tcW w:w="2886" w:type="dxa"/>
            <w:tcBorders>
              <w:top w:val="nil"/>
              <w:left w:val="nil"/>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0.61%</w:t>
            </w:r>
          </w:p>
        </w:tc>
      </w:tr>
      <w:tr>
        <w:tblPrEx>
          <w:tblCellMar>
            <w:top w:w="0" w:type="dxa"/>
            <w:left w:w="108" w:type="dxa"/>
            <w:bottom w:w="0" w:type="dxa"/>
            <w:right w:w="108" w:type="dxa"/>
          </w:tblCellMar>
        </w:tblPrEx>
        <w:trPr>
          <w:trHeight w:val="20" w:hRule="atLeast"/>
          <w:jc w:val="center"/>
        </w:trPr>
        <w:tc>
          <w:tcPr>
            <w:tcW w:w="5098" w:type="dxa"/>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0.2-0.3</w:t>
            </w:r>
          </w:p>
        </w:tc>
        <w:tc>
          <w:tcPr>
            <w:tcW w:w="2886" w:type="dxa"/>
            <w:tcBorders>
              <w:top w:val="nil"/>
              <w:left w:val="nil"/>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0.92%</w:t>
            </w:r>
          </w:p>
        </w:tc>
      </w:tr>
      <w:tr>
        <w:tblPrEx>
          <w:tblCellMar>
            <w:top w:w="0" w:type="dxa"/>
            <w:left w:w="108" w:type="dxa"/>
            <w:bottom w:w="0" w:type="dxa"/>
            <w:right w:w="108" w:type="dxa"/>
          </w:tblCellMar>
        </w:tblPrEx>
        <w:trPr>
          <w:trHeight w:val="20" w:hRule="atLeast"/>
          <w:jc w:val="center"/>
        </w:trPr>
        <w:tc>
          <w:tcPr>
            <w:tcW w:w="5098" w:type="dxa"/>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0.3-0.4</w:t>
            </w:r>
          </w:p>
        </w:tc>
        <w:tc>
          <w:tcPr>
            <w:tcW w:w="2886" w:type="dxa"/>
            <w:tcBorders>
              <w:top w:val="nil"/>
              <w:left w:val="nil"/>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1.23%</w:t>
            </w:r>
          </w:p>
        </w:tc>
      </w:tr>
      <w:tr>
        <w:tblPrEx>
          <w:tblCellMar>
            <w:top w:w="0" w:type="dxa"/>
            <w:left w:w="108" w:type="dxa"/>
            <w:bottom w:w="0" w:type="dxa"/>
            <w:right w:w="108" w:type="dxa"/>
          </w:tblCellMar>
        </w:tblPrEx>
        <w:trPr>
          <w:trHeight w:val="20" w:hRule="atLeast"/>
          <w:jc w:val="center"/>
        </w:trPr>
        <w:tc>
          <w:tcPr>
            <w:tcW w:w="5098" w:type="dxa"/>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0.4-0.5</w:t>
            </w:r>
          </w:p>
        </w:tc>
        <w:tc>
          <w:tcPr>
            <w:tcW w:w="2886" w:type="dxa"/>
            <w:tcBorders>
              <w:top w:val="nil"/>
              <w:left w:val="nil"/>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1.55%</w:t>
            </w:r>
          </w:p>
        </w:tc>
      </w:tr>
      <w:tr>
        <w:tblPrEx>
          <w:tblCellMar>
            <w:top w:w="0" w:type="dxa"/>
            <w:left w:w="108" w:type="dxa"/>
            <w:bottom w:w="0" w:type="dxa"/>
            <w:right w:w="108" w:type="dxa"/>
          </w:tblCellMar>
        </w:tblPrEx>
        <w:trPr>
          <w:trHeight w:val="20" w:hRule="atLeast"/>
          <w:jc w:val="center"/>
        </w:trPr>
        <w:tc>
          <w:tcPr>
            <w:tcW w:w="5098" w:type="dxa"/>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0.5-0.6</w:t>
            </w:r>
          </w:p>
        </w:tc>
        <w:tc>
          <w:tcPr>
            <w:tcW w:w="2886" w:type="dxa"/>
            <w:tcBorders>
              <w:top w:val="nil"/>
              <w:left w:val="nil"/>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1.87%</w:t>
            </w:r>
          </w:p>
        </w:tc>
      </w:tr>
      <w:tr>
        <w:tblPrEx>
          <w:tblCellMar>
            <w:top w:w="0" w:type="dxa"/>
            <w:left w:w="108" w:type="dxa"/>
            <w:bottom w:w="0" w:type="dxa"/>
            <w:right w:w="108" w:type="dxa"/>
          </w:tblCellMar>
        </w:tblPrEx>
        <w:trPr>
          <w:trHeight w:val="20" w:hRule="atLeast"/>
          <w:jc w:val="center"/>
        </w:trPr>
        <w:tc>
          <w:tcPr>
            <w:tcW w:w="5098" w:type="dxa"/>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0.6-0.7</w:t>
            </w:r>
          </w:p>
        </w:tc>
        <w:tc>
          <w:tcPr>
            <w:tcW w:w="2886" w:type="dxa"/>
            <w:tcBorders>
              <w:top w:val="nil"/>
              <w:left w:val="nil"/>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2.19%</w:t>
            </w:r>
          </w:p>
        </w:tc>
      </w:tr>
      <w:tr>
        <w:tblPrEx>
          <w:tblCellMar>
            <w:top w:w="0" w:type="dxa"/>
            <w:left w:w="108" w:type="dxa"/>
            <w:bottom w:w="0" w:type="dxa"/>
            <w:right w:w="108" w:type="dxa"/>
          </w:tblCellMar>
        </w:tblPrEx>
        <w:trPr>
          <w:trHeight w:val="20" w:hRule="atLeast"/>
          <w:jc w:val="center"/>
        </w:trPr>
        <w:tc>
          <w:tcPr>
            <w:tcW w:w="5098" w:type="dxa"/>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0.7-0.8</w:t>
            </w:r>
          </w:p>
        </w:tc>
        <w:tc>
          <w:tcPr>
            <w:tcW w:w="2886" w:type="dxa"/>
            <w:tcBorders>
              <w:top w:val="nil"/>
              <w:left w:val="nil"/>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2.52%</w:t>
            </w:r>
          </w:p>
        </w:tc>
      </w:tr>
      <w:tr>
        <w:tblPrEx>
          <w:tblCellMar>
            <w:top w:w="0" w:type="dxa"/>
            <w:left w:w="108" w:type="dxa"/>
            <w:bottom w:w="0" w:type="dxa"/>
            <w:right w:w="108" w:type="dxa"/>
          </w:tblCellMar>
        </w:tblPrEx>
        <w:trPr>
          <w:trHeight w:val="20" w:hRule="atLeast"/>
          <w:jc w:val="center"/>
        </w:trPr>
        <w:tc>
          <w:tcPr>
            <w:tcW w:w="5098" w:type="dxa"/>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0.8-0.9</w:t>
            </w:r>
          </w:p>
        </w:tc>
        <w:tc>
          <w:tcPr>
            <w:tcW w:w="2886" w:type="dxa"/>
            <w:tcBorders>
              <w:top w:val="nil"/>
              <w:left w:val="nil"/>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2.86%</w:t>
            </w:r>
          </w:p>
        </w:tc>
      </w:tr>
      <w:tr>
        <w:tblPrEx>
          <w:tblCellMar>
            <w:top w:w="0" w:type="dxa"/>
            <w:left w:w="108" w:type="dxa"/>
            <w:bottom w:w="0" w:type="dxa"/>
            <w:right w:w="108" w:type="dxa"/>
          </w:tblCellMar>
        </w:tblPrEx>
        <w:trPr>
          <w:trHeight w:val="20" w:hRule="atLeast"/>
          <w:jc w:val="center"/>
        </w:trPr>
        <w:tc>
          <w:tcPr>
            <w:tcW w:w="5098" w:type="dxa"/>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0.9-1</w:t>
            </w:r>
          </w:p>
        </w:tc>
        <w:tc>
          <w:tcPr>
            <w:tcW w:w="2886" w:type="dxa"/>
            <w:tcBorders>
              <w:top w:val="nil"/>
              <w:left w:val="nil"/>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3.20%</w:t>
            </w:r>
          </w:p>
        </w:tc>
      </w:tr>
      <w:tr>
        <w:tblPrEx>
          <w:tblCellMar>
            <w:top w:w="0" w:type="dxa"/>
            <w:left w:w="108" w:type="dxa"/>
            <w:bottom w:w="0" w:type="dxa"/>
            <w:right w:w="108" w:type="dxa"/>
          </w:tblCellMar>
        </w:tblPrEx>
        <w:trPr>
          <w:trHeight w:val="20" w:hRule="atLeast"/>
          <w:jc w:val="center"/>
        </w:trPr>
        <w:tc>
          <w:tcPr>
            <w:tcW w:w="5098" w:type="dxa"/>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1-1.1</w:t>
            </w:r>
          </w:p>
        </w:tc>
        <w:tc>
          <w:tcPr>
            <w:tcW w:w="2886" w:type="dxa"/>
            <w:tcBorders>
              <w:top w:val="nil"/>
              <w:left w:val="nil"/>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3.54%</w:t>
            </w:r>
          </w:p>
        </w:tc>
      </w:tr>
      <w:tr>
        <w:tblPrEx>
          <w:tblCellMar>
            <w:top w:w="0" w:type="dxa"/>
            <w:left w:w="108" w:type="dxa"/>
            <w:bottom w:w="0" w:type="dxa"/>
            <w:right w:w="108" w:type="dxa"/>
          </w:tblCellMar>
        </w:tblPrEx>
        <w:trPr>
          <w:trHeight w:val="20" w:hRule="atLeast"/>
          <w:jc w:val="center"/>
        </w:trPr>
        <w:tc>
          <w:tcPr>
            <w:tcW w:w="5098" w:type="dxa"/>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1.1-1.2</w:t>
            </w:r>
          </w:p>
        </w:tc>
        <w:tc>
          <w:tcPr>
            <w:tcW w:w="2886" w:type="dxa"/>
            <w:tcBorders>
              <w:top w:val="nil"/>
              <w:left w:val="nil"/>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3.89%</w:t>
            </w:r>
          </w:p>
        </w:tc>
      </w:tr>
      <w:tr>
        <w:tblPrEx>
          <w:tblCellMar>
            <w:top w:w="0" w:type="dxa"/>
            <w:left w:w="108" w:type="dxa"/>
            <w:bottom w:w="0" w:type="dxa"/>
            <w:right w:w="108" w:type="dxa"/>
          </w:tblCellMar>
        </w:tblPrEx>
        <w:trPr>
          <w:trHeight w:val="20" w:hRule="atLeast"/>
          <w:jc w:val="center"/>
        </w:trPr>
        <w:tc>
          <w:tcPr>
            <w:tcW w:w="5098" w:type="dxa"/>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1.2-1.3</w:t>
            </w:r>
          </w:p>
        </w:tc>
        <w:tc>
          <w:tcPr>
            <w:tcW w:w="2886" w:type="dxa"/>
            <w:tcBorders>
              <w:top w:val="nil"/>
              <w:left w:val="nil"/>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4.25%</w:t>
            </w:r>
          </w:p>
        </w:tc>
      </w:tr>
      <w:tr>
        <w:tblPrEx>
          <w:tblCellMar>
            <w:top w:w="0" w:type="dxa"/>
            <w:left w:w="108" w:type="dxa"/>
            <w:bottom w:w="0" w:type="dxa"/>
            <w:right w:w="108" w:type="dxa"/>
          </w:tblCellMar>
        </w:tblPrEx>
        <w:trPr>
          <w:trHeight w:val="20" w:hRule="atLeast"/>
          <w:jc w:val="center"/>
        </w:trPr>
        <w:tc>
          <w:tcPr>
            <w:tcW w:w="5098" w:type="dxa"/>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1.3-1.4</w:t>
            </w:r>
          </w:p>
        </w:tc>
        <w:tc>
          <w:tcPr>
            <w:tcW w:w="2886" w:type="dxa"/>
            <w:tcBorders>
              <w:top w:val="nil"/>
              <w:left w:val="nil"/>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4.61%</w:t>
            </w:r>
          </w:p>
        </w:tc>
      </w:tr>
      <w:tr>
        <w:tblPrEx>
          <w:tblCellMar>
            <w:top w:w="0" w:type="dxa"/>
            <w:left w:w="108" w:type="dxa"/>
            <w:bottom w:w="0" w:type="dxa"/>
            <w:right w:w="108" w:type="dxa"/>
          </w:tblCellMar>
        </w:tblPrEx>
        <w:trPr>
          <w:trHeight w:val="20" w:hRule="atLeast"/>
          <w:jc w:val="center"/>
        </w:trPr>
        <w:tc>
          <w:tcPr>
            <w:tcW w:w="5098" w:type="dxa"/>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1.4-1.5</w:t>
            </w:r>
          </w:p>
        </w:tc>
        <w:tc>
          <w:tcPr>
            <w:tcW w:w="2886" w:type="dxa"/>
            <w:tcBorders>
              <w:top w:val="nil"/>
              <w:left w:val="nil"/>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4.97%</w:t>
            </w:r>
          </w:p>
        </w:tc>
      </w:tr>
      <w:tr>
        <w:tblPrEx>
          <w:tblCellMar>
            <w:top w:w="0" w:type="dxa"/>
            <w:left w:w="108" w:type="dxa"/>
            <w:bottom w:w="0" w:type="dxa"/>
            <w:right w:w="108" w:type="dxa"/>
          </w:tblCellMar>
        </w:tblPrEx>
        <w:trPr>
          <w:trHeight w:val="20" w:hRule="atLeast"/>
          <w:jc w:val="center"/>
        </w:trPr>
        <w:tc>
          <w:tcPr>
            <w:tcW w:w="5098" w:type="dxa"/>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1.5-1.6</w:t>
            </w:r>
          </w:p>
        </w:tc>
        <w:tc>
          <w:tcPr>
            <w:tcW w:w="2886" w:type="dxa"/>
            <w:tcBorders>
              <w:top w:val="nil"/>
              <w:left w:val="nil"/>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5.34%</w:t>
            </w:r>
          </w:p>
        </w:tc>
      </w:tr>
      <w:tr>
        <w:tblPrEx>
          <w:tblCellMar>
            <w:top w:w="0" w:type="dxa"/>
            <w:left w:w="108" w:type="dxa"/>
            <w:bottom w:w="0" w:type="dxa"/>
            <w:right w:w="108" w:type="dxa"/>
          </w:tblCellMar>
        </w:tblPrEx>
        <w:trPr>
          <w:trHeight w:val="20" w:hRule="atLeast"/>
          <w:jc w:val="center"/>
        </w:trPr>
        <w:tc>
          <w:tcPr>
            <w:tcW w:w="5098" w:type="dxa"/>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1.6-1.7</w:t>
            </w:r>
          </w:p>
        </w:tc>
        <w:tc>
          <w:tcPr>
            <w:tcW w:w="2886" w:type="dxa"/>
            <w:tcBorders>
              <w:top w:val="nil"/>
              <w:left w:val="nil"/>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5.72%</w:t>
            </w:r>
          </w:p>
        </w:tc>
      </w:tr>
      <w:tr>
        <w:tblPrEx>
          <w:tblCellMar>
            <w:top w:w="0" w:type="dxa"/>
            <w:left w:w="108" w:type="dxa"/>
            <w:bottom w:w="0" w:type="dxa"/>
            <w:right w:w="108" w:type="dxa"/>
          </w:tblCellMar>
        </w:tblPrEx>
        <w:trPr>
          <w:trHeight w:val="20" w:hRule="atLeast"/>
          <w:jc w:val="center"/>
        </w:trPr>
        <w:tc>
          <w:tcPr>
            <w:tcW w:w="5098" w:type="dxa"/>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1.7-1.8</w:t>
            </w:r>
          </w:p>
        </w:tc>
        <w:tc>
          <w:tcPr>
            <w:tcW w:w="2886" w:type="dxa"/>
            <w:tcBorders>
              <w:top w:val="nil"/>
              <w:left w:val="nil"/>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6.10%</w:t>
            </w:r>
          </w:p>
        </w:tc>
      </w:tr>
      <w:tr>
        <w:tblPrEx>
          <w:tblCellMar>
            <w:top w:w="0" w:type="dxa"/>
            <w:left w:w="108" w:type="dxa"/>
            <w:bottom w:w="0" w:type="dxa"/>
            <w:right w:w="108" w:type="dxa"/>
          </w:tblCellMar>
        </w:tblPrEx>
        <w:trPr>
          <w:trHeight w:val="20" w:hRule="atLeast"/>
          <w:jc w:val="center"/>
        </w:trPr>
        <w:tc>
          <w:tcPr>
            <w:tcW w:w="5098" w:type="dxa"/>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1.8-1.9</w:t>
            </w:r>
          </w:p>
        </w:tc>
        <w:tc>
          <w:tcPr>
            <w:tcW w:w="2886" w:type="dxa"/>
            <w:tcBorders>
              <w:top w:val="nil"/>
              <w:left w:val="nil"/>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6.49%</w:t>
            </w:r>
          </w:p>
        </w:tc>
      </w:tr>
      <w:tr>
        <w:tblPrEx>
          <w:tblCellMar>
            <w:top w:w="0" w:type="dxa"/>
            <w:left w:w="108" w:type="dxa"/>
            <w:bottom w:w="0" w:type="dxa"/>
            <w:right w:w="108" w:type="dxa"/>
          </w:tblCellMar>
        </w:tblPrEx>
        <w:trPr>
          <w:trHeight w:val="20" w:hRule="atLeast"/>
          <w:jc w:val="center"/>
        </w:trPr>
        <w:tc>
          <w:tcPr>
            <w:tcW w:w="5098" w:type="dxa"/>
            <w:tcBorders>
              <w:top w:val="nil"/>
              <w:left w:val="single" w:color="auto" w:sz="4" w:space="0"/>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1.9及以上</w:t>
            </w:r>
          </w:p>
        </w:tc>
        <w:tc>
          <w:tcPr>
            <w:tcW w:w="2886" w:type="dxa"/>
            <w:tcBorders>
              <w:top w:val="nil"/>
              <w:left w:val="nil"/>
              <w:bottom w:val="single" w:color="auto" w:sz="4" w:space="0"/>
              <w:right w:val="single" w:color="auto" w:sz="4" w:space="0"/>
            </w:tcBorders>
            <w:shd w:val="clear" w:color="auto" w:fill="auto"/>
            <w:vAlign w:val="center"/>
          </w:tcPr>
          <w:p>
            <w:pPr>
              <w:spacing w:line="560" w:lineRule="exact"/>
              <w:jc w:val="center"/>
              <w:rPr>
                <w:rFonts w:ascii="仿宋_GB2312" w:hAnsi="仿宋_GB2312" w:eastAsia="仿宋_GB2312" w:cs="仿宋_GB2312"/>
                <w:bCs/>
                <w:sz w:val="28"/>
                <w:szCs w:val="28"/>
              </w:rPr>
            </w:pPr>
            <w:r>
              <w:rPr>
                <w:rFonts w:ascii="仿宋_GB2312" w:hAnsi="仿宋_GB2312" w:eastAsia="仿宋_GB2312" w:cs="仿宋_GB2312"/>
                <w:bCs/>
                <w:sz w:val="28"/>
                <w:szCs w:val="28"/>
              </w:rPr>
              <w:t>6.89%</w:t>
            </w:r>
          </w:p>
        </w:tc>
      </w:tr>
    </w:tbl>
    <w:p/>
    <w:sectPr>
      <w:footerReference r:id="rId3" w:type="default"/>
      <w:pgSz w:w="11906" w:h="16838"/>
      <w:pgMar w:top="2154"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汉仪中等线B5">
    <w:panose1 w:val="0101010401010101010B"/>
    <w:charset w:val="86"/>
    <w:family w:val="auto"/>
    <w:pitch w:val="default"/>
    <w:sig w:usb0="800000A3" w:usb1="00497878"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imes New Roman" w:hAnsi="Times New Roman" w:cs="Times New Roman"/>
        <w:b/>
        <w:bCs/>
      </w:rPr>
    </w:sdtEndPr>
    <w:sdtContent>
      <w:p>
        <w:pPr>
          <w:pStyle w:val="5"/>
          <w:jc w:val="center"/>
          <w:rPr>
            <w:rFonts w:ascii="Times New Roman" w:hAnsi="Times New Roman" w:cs="Times New Roman"/>
            <w:b/>
            <w:bCs/>
          </w:rPr>
        </w:pPr>
        <w:r>
          <w:rPr>
            <w:rFonts w:ascii="Times New Roman" w:hAnsi="Times New Roman" w:cs="Times New Roman"/>
            <w:b/>
            <w:bCs/>
          </w:rPr>
          <w:fldChar w:fldCharType="begin"/>
        </w:r>
        <w:r>
          <w:rPr>
            <w:rFonts w:ascii="Times New Roman" w:hAnsi="Times New Roman" w:cs="Times New Roman"/>
            <w:b/>
            <w:bCs/>
          </w:rPr>
          <w:instrText xml:space="preserve">PAGE   \* MERGEFORMAT</w:instrText>
        </w:r>
        <w:r>
          <w:rPr>
            <w:rFonts w:ascii="Times New Roman" w:hAnsi="Times New Roman" w:cs="Times New Roman"/>
            <w:b/>
            <w:bCs/>
          </w:rPr>
          <w:fldChar w:fldCharType="separate"/>
        </w:r>
        <w:r>
          <w:rPr>
            <w:rFonts w:ascii="Times New Roman" w:hAnsi="Times New Roman" w:cs="Times New Roman"/>
            <w:b/>
            <w:bCs/>
            <w:lang w:val="zh-CN"/>
          </w:rPr>
          <w:t>2</w:t>
        </w:r>
        <w:r>
          <w:rPr>
            <w:rFonts w:ascii="Times New Roman" w:hAnsi="Times New Roman" w:cs="Times New Roman"/>
            <w:b/>
            <w:bCs/>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C486C"/>
    <w:rsid w:val="2DF6D4EA"/>
    <w:rsid w:val="66FC486C"/>
    <w:rsid w:val="F3BEA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jc w:val="left"/>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列出段落1"/>
    <w:basedOn w:val="1"/>
    <w:qFormat/>
    <w:uiPriority w:val="0"/>
    <w:pPr>
      <w:ind w:firstLine="420" w:firstLineChars="200"/>
    </w:pPr>
    <w:rPr>
      <w:rFonts w:ascii="Calibri" w:hAnsi="Calibri" w:eastAsia="宋体" w:cs="Calibri"/>
      <w:sz w:val="32"/>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2023-06-15T09:12:00Z</dcterms:created>
  <dc:creator>sthjj</dc:creator>
  <cp:lastModifiedBy>xiaowang</cp:lastModifiedBy>
  <dcterms:modified xsi:type="dcterms:W3CDTF">2023-06-14T18:02:42Z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92FA1CF67E05DED74290896436D78D52</vt:lpwstr>
  </property>
</Properties>
</file>