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framePr w:wrap="around"/>
        <w:rPr>
          <w:rFonts w:hint="eastAsia" w:hAnsi="黑体" w:cs="黑体"/>
        </w:rPr>
      </w:pPr>
    </w:p>
    <w:p>
      <w:pPr>
        <w:pStyle w:val="125"/>
        <w:framePr w:wrap="around"/>
        <w:rPr>
          <w:rFonts w:hAnsi="黑体" w:cs="黑体"/>
        </w:rPr>
      </w:pPr>
      <w:r>
        <w:rPr>
          <w:rFonts w:hint="eastAsia" w:hAnsi="黑体" w:cs="黑体"/>
        </w:rPr>
        <w:t>ICS 13.020</w:t>
      </w:r>
    </w:p>
    <w:p>
      <w:pPr>
        <w:pStyle w:val="125"/>
        <w:framePr w:wrap="around"/>
        <w:rPr>
          <w:rFonts w:ascii="Times New Roman"/>
        </w:rPr>
      </w:pPr>
      <w:r>
        <w:rPr>
          <w:rFonts w:hint="eastAsia" w:hAnsi="黑体" w:cs="黑体"/>
        </w:rPr>
        <w:t>CCS Z 00</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5"/>
              <w:framePr w:wrap="around"/>
              <w:rPr>
                <w:rFonts w:ascii="Times New Roman"/>
              </w:rPr>
            </w:pPr>
          </w:p>
        </w:tc>
      </w:tr>
    </w:tbl>
    <w:p>
      <w:pPr>
        <w:pStyle w:val="112"/>
        <w:framePr w:wrap="around"/>
        <w:rPr>
          <w:rFonts w:ascii="Times New Roman" w:hAnsi="Times New Roman"/>
        </w:rPr>
      </w:pPr>
      <w:r>
        <w:rPr>
          <w:rFonts w:hint="eastAsia" w:ascii="Times New Roman" w:hAnsi="Times New Roman"/>
        </w:rPr>
        <w:t>团体标准</w:t>
      </w:r>
    </w:p>
    <w:p>
      <w:pPr>
        <w:pStyle w:val="49"/>
        <w:framePr w:wrap="around"/>
        <w:rPr>
          <w:rFonts w:ascii="Times New Roman"/>
        </w:rPr>
      </w:pPr>
      <w:r>
        <w:rPr>
          <w:rFonts w:hint="eastAsia" w:hAnsi="黑体" w:cs="黑体"/>
        </w:rPr>
        <w:t>T/XXX XXX-20XX</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78"/>
              <w:framePr w:wrap="around"/>
              <w:wordWrap w:val="0"/>
              <w:ind w:right="630"/>
              <w:rPr>
                <w:rFonts w:ascii="Times New Roman"/>
              </w:rPr>
            </w:pPr>
          </w:p>
        </w:tc>
      </w:tr>
    </w:tbl>
    <w:p>
      <w:pPr>
        <w:pStyle w:val="49"/>
        <w:framePr w:wrap="around"/>
        <w:rPr>
          <w:rFonts w:ascii="Times New Roman"/>
        </w:rPr>
      </w:pPr>
    </w:p>
    <w:p>
      <w:pPr>
        <w:pStyle w:val="49"/>
        <w:framePr w:wrap="around"/>
        <w:rPr>
          <w:rFonts w:ascii="Times New Roman"/>
        </w:rPr>
      </w:pPr>
    </w:p>
    <w:p>
      <w:pPr>
        <w:pStyle w:val="80"/>
        <w:framePr w:wrap="around" w:x="1306" w:y="5911"/>
        <w:rPr>
          <w:rFonts w:ascii="Times New Roman"/>
        </w:rPr>
      </w:pPr>
      <w:r>
        <w:rPr>
          <w:rFonts w:ascii="Times New Roman"/>
        </w:rPr>
        <w:t>绿色</w:t>
      </w:r>
      <w:r>
        <w:rPr>
          <w:rFonts w:hint="eastAsia" w:ascii="Times New Roman"/>
          <w:lang w:val="en-US" w:eastAsia="zh-CN"/>
        </w:rPr>
        <w:t>低碳</w:t>
      </w:r>
      <w:r>
        <w:rPr>
          <w:rFonts w:ascii="Times New Roman"/>
        </w:rPr>
        <w:t>产业认定行业技术规范</w:t>
      </w:r>
    </w:p>
    <w:p>
      <w:pPr>
        <w:pStyle w:val="80"/>
        <w:framePr w:wrap="around" w:x="1306" w:y="5911"/>
        <w:rPr>
          <w:rFonts w:hint="eastAsia" w:ascii="Times New Roman"/>
        </w:rPr>
      </w:pPr>
      <w:r>
        <w:rPr>
          <w:rFonts w:hint="eastAsia" w:ascii="Times New Roman"/>
        </w:rPr>
        <w:t>太阳能</w:t>
      </w:r>
    </w:p>
    <w:p>
      <w:pPr>
        <w:pStyle w:val="80"/>
        <w:framePr w:wrap="around" w:x="1306" w:y="5911"/>
        <w:rPr>
          <w:rFonts w:hint="eastAsia" w:ascii="Times New Roman" w:eastAsia="黑体"/>
          <w:sz w:val="36"/>
          <w:szCs w:val="13"/>
          <w:lang w:eastAsia="zh-CN"/>
        </w:rPr>
      </w:pPr>
      <w:r>
        <w:rPr>
          <w:rFonts w:hint="eastAsia" w:ascii="Times New Roman"/>
          <w:sz w:val="36"/>
          <w:szCs w:val="13"/>
          <w:lang w:eastAsia="zh-CN"/>
        </w:rPr>
        <w:t>（征求意见稿）</w:t>
      </w:r>
    </w:p>
    <w:p>
      <w:pPr>
        <w:pStyle w:val="81"/>
        <w:framePr w:wrap="around" w:x="1306" w:y="5911"/>
        <w:rPr>
          <w:rFonts w:ascii="黑体" w:hAnsi="黑体" w:cs="黑体"/>
        </w:rPr>
      </w:pPr>
      <w:r>
        <w:rPr>
          <w:rFonts w:hint="eastAsia" w:ascii="黑体" w:hAnsi="黑体" w:cs="黑体"/>
          <w:spacing w:val="-20"/>
        </w:rPr>
        <w:t xml:space="preserve">Technical specifications of </w:t>
      </w:r>
      <w:r>
        <w:rPr>
          <w:rFonts w:hint="eastAsia" w:ascii="黑体" w:hAnsi="黑体" w:cs="黑体"/>
          <w:spacing w:val="-20"/>
          <w:lang w:val="en-US" w:eastAsia="zh-CN"/>
        </w:rPr>
        <w:t xml:space="preserve"> </w:t>
      </w:r>
      <w:r>
        <w:rPr>
          <w:rFonts w:hint="eastAsia" w:ascii="黑体" w:hAnsi="黑体" w:cs="黑体"/>
          <w:spacing w:val="-20"/>
        </w:rPr>
        <w:t xml:space="preserve">green </w:t>
      </w:r>
      <w:r>
        <w:rPr>
          <w:rFonts w:hint="eastAsia" w:ascii="黑体" w:hAnsi="黑体" w:cs="黑体"/>
          <w:spacing w:val="-20"/>
          <w:lang w:val="en-US" w:eastAsia="zh-CN"/>
        </w:rPr>
        <w:t xml:space="preserve">and Low-carbon </w:t>
      </w:r>
      <w:r>
        <w:rPr>
          <w:rFonts w:hint="eastAsia" w:ascii="黑体" w:hAnsi="黑体" w:cs="黑体"/>
          <w:spacing w:val="-20"/>
        </w:rPr>
        <w:t>industr</w:t>
      </w:r>
      <w:r>
        <w:rPr>
          <w:rFonts w:hint="eastAsia" w:ascii="黑体" w:hAnsi="黑体" w:cs="黑体"/>
          <w:spacing w:val="-20"/>
          <w:lang w:val="en-US" w:eastAsia="zh-CN"/>
        </w:rPr>
        <w:t>ies</w:t>
      </w:r>
      <w:r>
        <w:rPr>
          <w:rFonts w:hint="eastAsia" w:ascii="黑体" w:hAnsi="黑体" w:cs="黑体"/>
          <w:spacing w:val="-20"/>
        </w:rPr>
        <w:t xml:space="preserve"> identification</w:t>
      </w:r>
    </w:p>
    <w:p>
      <w:pPr>
        <w:pStyle w:val="81"/>
        <w:framePr w:wrap="around" w:x="1306" w:y="5911"/>
      </w:pPr>
      <w:r>
        <w:rPr>
          <w:rFonts w:hint="eastAsia" w:ascii="黑体" w:hAnsi="黑体" w:cs="黑体"/>
        </w:rPr>
        <w:t>Solar energy</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rap="around" w:x="1306" w:y="5911"/>
              <w:ind w:firstLine="36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4"/>
              <w:framePr w:wrap="around" w:x="1306" w:y="5911"/>
              <w:rPr>
                <w:rFonts w:ascii="Times New Roman"/>
              </w:rPr>
            </w:pPr>
            <w:r>
              <w:rPr>
                <w:rFonts w:ascii="Times New Roman"/>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p>
        </w:tc>
      </w:tr>
    </w:tbl>
    <w:p>
      <w:pPr>
        <w:pStyle w:val="132"/>
        <w:framePr w:wrap="around" w:hAnchor="page" w:x="1096" w:y="14101"/>
      </w:pPr>
      <w:r>
        <w:rPr>
          <w:rFonts w:hint="eastAsia"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hint="eastAsia"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hint="eastAsia" w:ascii="黑体" w:hAnsi="黑体" w:cs="黑体"/>
        </w:rPr>
        <w:t>XXXX—XX—XX发布</w:t>
      </w:r>
    </w:p>
    <w:p>
      <w:pPr>
        <w:pStyle w:val="133"/>
        <w:framePr w:wrap="around" w:hAnchor="page" w:x="6678" w:y="14045"/>
      </w:pPr>
      <w:r>
        <w:rPr>
          <w:rFonts w:hint="eastAsia" w:ascii="黑体" w:hAnsi="黑体" w:cs="黑体"/>
        </w:rPr>
        <w:t>XXXX—XX—XX实施</w:t>
      </w:r>
    </w:p>
    <w:p>
      <w:pPr>
        <w:pStyle w:val="113"/>
        <w:framePr w:h="781" w:hRule="exact" w:wrap="around" w:x="2156" w:y="15046"/>
        <w:rPr>
          <w:rFonts w:ascii="Times New Roman"/>
        </w:rPr>
      </w:pPr>
      <w:r>
        <w:rPr>
          <w:rFonts w:hint="eastAsia" w:ascii="Times New Roman"/>
          <w:lang w:val="en-US" w:eastAsia="zh-CN"/>
        </w:rPr>
        <w:t>深圳市</w:t>
      </w:r>
      <w:r>
        <w:rPr>
          <w:rFonts w:hint="eastAsia" w:ascii="Times New Roman"/>
        </w:rPr>
        <w:t>深圳标准促进会</w:t>
      </w:r>
      <w:r>
        <w:rPr>
          <w:rFonts w:ascii="Times New Roman"/>
        </w:rPr>
        <w:t>   </w:t>
      </w:r>
      <w:r>
        <w:rPr>
          <w:rStyle w:val="75"/>
          <w:rFonts w:ascii="Times New Roman"/>
        </w:rPr>
        <w:t>发布</w:t>
      </w:r>
    </w:p>
    <w:p>
      <w:pPr>
        <w:pStyle w:val="24"/>
        <w:rPr>
          <w:rFonts w:ascii="Times New Roman"/>
        </w:rPr>
        <w:sectPr>
          <w:headerReference r:id="rId3" w:type="even"/>
          <w:footerReference r:id="rId4" w:type="even"/>
          <w:pgSz w:w="11906" w:h="16838"/>
          <w:pgMar w:top="567" w:right="1134"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16.45pt;margin-top:708.5pt;height:0pt;width:481.9pt;z-index:251663360;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pPr>
        <w:pStyle w:val="52"/>
        <w:rPr>
          <w:rFonts w:ascii="Times New Roman"/>
        </w:rPr>
      </w:pPr>
      <w:bookmarkStart w:id="0" w:name="_Toc102992444"/>
      <w:bookmarkStart w:id="1" w:name="_Toc32692"/>
      <w:bookmarkStart w:id="2" w:name="_Toc82157001"/>
      <w:bookmarkStart w:id="3" w:name="_Toc30742"/>
      <w:bookmarkStart w:id="4" w:name="_Toc80953767"/>
      <w:bookmarkStart w:id="5" w:name="_Toc21858"/>
      <w:bookmarkStart w:id="6" w:name="_Toc80794396"/>
      <w:bookmarkStart w:id="7" w:name="_Toc17711"/>
      <w:bookmarkStart w:id="8" w:name="_Toc28394"/>
      <w:bookmarkStart w:id="9" w:name="_Toc80867245"/>
      <w:bookmarkStart w:id="10" w:name="_Toc80887602"/>
      <w:bookmarkStart w:id="11" w:name="_Toc52098618"/>
      <w:bookmarkStart w:id="12" w:name="_Toc80954701"/>
      <w:bookmarkStart w:id="13" w:name="_Toc26162"/>
      <w:bookmarkStart w:id="14" w:name="_Toc55807222"/>
      <w:bookmarkStart w:id="15" w:name="_Toc8350"/>
      <w:bookmarkStart w:id="16" w:name="_Toc25224"/>
      <w:bookmarkStart w:id="17" w:name="_Toc22075"/>
      <w:bookmarkStart w:id="18" w:name="_Toc82684134"/>
      <w:bookmarkStart w:id="19" w:name="_Toc118282033"/>
      <w:r>
        <w:rPr>
          <w:rFonts w:ascii="Times New Roman"/>
        </w:rPr>
        <w:t>目</w:t>
      </w:r>
      <w:bookmarkStart w:id="20" w:name="BKML"/>
      <w:r>
        <w:rPr>
          <w:rFonts w:ascii="Times New Roman"/>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szCs w:val="24"/>
        </w:rPr>
        <w:id w:val="147478139"/>
        <w15:color w:val="DBDBDB"/>
        <w:docPartObj>
          <w:docPartGallery w:val="Table of Contents"/>
          <w:docPartUnique/>
        </w:docPartObj>
      </w:sdtPr>
      <w:sdtEndPr>
        <w:rPr>
          <w:rFonts w:hint="eastAsia" w:ascii="宋体" w:hAnsi="宋体" w:eastAsia="宋体" w:cs="宋体"/>
          <w:b/>
          <w:szCs w:val="24"/>
        </w:rPr>
      </w:sdtEndPr>
      <w:sdtContent>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_Toc29407 </w:instrText>
          </w:r>
          <w:r>
            <w:rPr>
              <w:rFonts w:hint="eastAsia" w:ascii="宋体" w:hAnsi="宋体" w:eastAsia="宋体" w:cs="宋体"/>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_Toc29407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_Toc23595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_Toc22415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_Toc22415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_Toc9739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_Toc6989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ascii="宋体" w:hAnsi="宋体" w:eastAsia="宋体" w:cs="宋体"/>
            </w:rPr>
            <w:t>评价总则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_Toc6989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_Toc29016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评价原则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4.2</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 </w:t>
          </w:r>
          <w:r>
            <w:rPr>
              <w:rFonts w:hint="eastAsia" w:ascii="宋体" w:hAnsi="宋体" w:eastAsia="宋体" w:cs="宋体"/>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_Toc6991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i w:val="0"/>
              <w:szCs w:val="21"/>
              <w:lang w:val="en-US" w:eastAsia="zh-CN"/>
            </w:rPr>
            <w:t xml:space="preserve"> </w:t>
          </w:r>
          <w:r>
            <w:rPr>
              <w:rFonts w:hint="eastAsia" w:ascii="宋体" w:hAnsi="宋体" w:eastAsia="宋体" w:cs="宋体"/>
              <w:lang w:eastAsia="zh-CN"/>
            </w:rPr>
            <w:t>绿色低碳产业企业</w:t>
          </w:r>
          <w:r>
            <w:rPr>
              <w:rFonts w:hint="eastAsia" w:ascii="宋体" w:hAnsi="宋体" w:eastAsia="宋体" w:cs="宋体"/>
              <w:lang w:val="en-US" w:eastAsia="zh-CN"/>
            </w:rPr>
            <w:t>综合</w:t>
          </w:r>
          <w:r>
            <w:rPr>
              <w:rFonts w:hint="eastAsia" w:ascii="宋体" w:hAnsi="宋体" w:eastAsia="宋体" w:cs="宋体"/>
            </w:rPr>
            <w:t>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_Toc23388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_Toc23388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_Toc28123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综合评价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_Toc28123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_Toc1429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ascii="宋体" w:hAnsi="宋体" w:eastAsia="宋体" w:cs="宋体"/>
              <w:lang w:eastAsia="zh-CN"/>
            </w:rPr>
            <w:t>绿色低碳产业项目</w:t>
          </w:r>
          <w:r>
            <w:rPr>
              <w:rFonts w:hint="eastAsia" w:ascii="宋体" w:hAnsi="宋体" w:eastAsia="宋体" w:cs="宋体"/>
              <w:lang w:val="en-US" w:eastAsia="zh-CN"/>
            </w:rPr>
            <w:t>综合</w:t>
          </w:r>
          <w:r>
            <w:rPr>
              <w:rFonts w:hint="eastAsia" w:ascii="宋体" w:hAnsi="宋体" w:eastAsia="宋体" w:cs="宋体"/>
              <w:lang w:eastAsia="zh-CN"/>
            </w:rPr>
            <w:t>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_Toc15152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lang w:eastAsia="zh-CN"/>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_Toc15152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_Toc9398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lang w:eastAsia="zh-CN"/>
            </w:rPr>
            <w:t>综合评价指标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_Toc9398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_Toc1807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i w:val="0"/>
              <w:szCs w:val="21"/>
              <w:lang w:val="en-US" w:eastAsia="zh-CN"/>
            </w:rPr>
            <w:t xml:space="preserve"> </w:t>
          </w:r>
          <w:r>
            <w:rPr>
              <w:rFonts w:hint="eastAsia" w:ascii="宋体" w:hAnsi="宋体" w:eastAsia="宋体" w:cs="宋体"/>
            </w:rPr>
            <w:t>评价程序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成立工作组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_Toc13173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收集材料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_Toc13173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_Toc22939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认定评价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_Toc22939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_Toc4998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7.4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编制报告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_Toc4998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_Toc21986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eastAsia="zh-CN"/>
              <w14:shadow w14:blurRad="0" w14:dist="0" w14:dir="0" w14:sx="0" w14:sy="0" w14:kx="0" w14:ky="0" w14:algn="none">
                <w14:srgbClr w14:val="000000"/>
              </w14:shadow>
            </w:rPr>
            <w:t xml:space="preserve">7.5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lang w:eastAsia="zh-CN"/>
            </w:rPr>
            <w:t>专家评审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_Toc21986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_Toc7911 </w:instrText>
          </w:r>
          <w:r>
            <w:rPr>
              <w:rFonts w:hint="eastAsia" w:ascii="宋体" w:hAnsi="宋体" w:eastAsia="宋体" w:cs="宋体"/>
            </w:rPr>
            <w:fldChar w:fldCharType="separate"/>
          </w:r>
          <w:r>
            <w:rPr>
              <w:rFonts w:hint="eastAsia" w:ascii="宋体" w:hAnsi="宋体" w:eastAsia="宋体" w:cs="宋体"/>
              <w:i w:val="0"/>
              <w:spacing w:val="0"/>
              <w:w w:val="100"/>
            </w:rPr>
            <w:t xml:space="preserve">附录A（资料性） </w:t>
          </w:r>
          <w:r>
            <w:rPr>
              <w:rFonts w:hint="eastAsia" w:ascii="宋体" w:hAnsi="宋体" w:eastAsia="宋体" w:cs="宋体"/>
              <w:i w:val="0"/>
              <w:spacing w:val="0"/>
              <w:w w:val="100"/>
              <w:lang w:val="en-US" w:eastAsia="zh-CN"/>
            </w:rPr>
            <w:t xml:space="preserve"> 太阳能行业</w:t>
          </w:r>
          <w:r>
            <w:rPr>
              <w:rFonts w:hint="eastAsia" w:ascii="宋体" w:hAnsi="宋体" w:eastAsia="宋体" w:cs="宋体"/>
              <w:i w:val="0"/>
              <w:spacing w:val="0"/>
              <w:w w:val="100"/>
              <w:lang w:eastAsia="zh-CN"/>
            </w:rPr>
            <w:t>绿色低碳产业</w:t>
          </w:r>
          <w:r>
            <w:rPr>
              <w:rFonts w:hint="eastAsia" w:ascii="宋体" w:hAnsi="宋体" w:eastAsia="宋体" w:cs="宋体"/>
              <w:i w:val="0"/>
              <w:spacing w:val="0"/>
              <w:w w:val="100"/>
            </w:rPr>
            <w:t>认定评价指标表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_Toc7911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_Toc12862 </w:instrText>
          </w:r>
          <w:r>
            <w:rPr>
              <w:rFonts w:hint="eastAsia" w:ascii="宋体" w:hAnsi="宋体" w:eastAsia="宋体" w:cs="宋体"/>
            </w:rPr>
            <w:fldChar w:fldCharType="separate"/>
          </w:r>
          <w:r>
            <w:rPr>
              <w:rFonts w:hint="eastAsia" w:ascii="宋体" w:hAnsi="宋体" w:eastAsia="宋体" w:cs="宋体"/>
              <w:i w:val="0"/>
              <w:spacing w:val="0"/>
              <w:w w:val="100"/>
            </w:rPr>
            <w:t xml:space="preserve">附录B（资料性） </w:t>
          </w:r>
          <w:r>
            <w:rPr>
              <w:rFonts w:hint="eastAsia" w:ascii="宋体" w:hAnsi="宋体" w:eastAsia="宋体" w:cs="宋体"/>
              <w:i w:val="0"/>
              <w:spacing w:val="0"/>
              <w:w w:val="100"/>
              <w:lang w:val="en-US" w:eastAsia="zh-CN"/>
            </w:rPr>
            <w:t xml:space="preserve"> 太阳能行业</w:t>
          </w:r>
          <w:r>
            <w:rPr>
              <w:rFonts w:hint="eastAsia" w:ascii="宋体" w:hAnsi="宋体" w:eastAsia="宋体" w:cs="宋体"/>
              <w:i w:val="0"/>
              <w:spacing w:val="0"/>
              <w:w w:val="100"/>
              <w:lang w:eastAsia="zh-CN"/>
            </w:rPr>
            <w:t>绿色低碳产业</w:t>
          </w:r>
          <w:r>
            <w:rPr>
              <w:rFonts w:hint="eastAsia" w:ascii="宋体" w:hAnsi="宋体" w:eastAsia="宋体" w:cs="宋体"/>
              <w:i w:val="0"/>
              <w:spacing w:val="0"/>
              <w:w w:val="100"/>
            </w:rPr>
            <w:t>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_Toc12862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_Toc4336 </w:instrText>
          </w:r>
          <w:r>
            <w:rPr>
              <w:rFonts w:hint="eastAsia" w:ascii="宋体" w:hAnsi="宋体" w:eastAsia="宋体" w:cs="宋体"/>
            </w:rPr>
            <w:fldChar w:fldCharType="separate"/>
          </w:r>
          <w:r>
            <w:rPr>
              <w:rFonts w:hint="eastAsia" w:ascii="宋体" w:hAnsi="宋体" w:eastAsia="宋体" w:cs="宋体"/>
              <w:i w:val="0"/>
              <w:spacing w:val="0"/>
              <w:w w:val="100"/>
            </w:rPr>
            <w:t>附录C（资料性）</w:t>
          </w:r>
          <w:r>
            <w:rPr>
              <w:rFonts w:hint="eastAsia" w:ascii="宋体" w:hAnsi="宋体" w:eastAsia="宋体" w:cs="宋体"/>
              <w:i w:val="0"/>
              <w:spacing w:val="0"/>
              <w:w w:val="100"/>
              <w:lang w:val="en-US" w:eastAsia="zh-CN"/>
            </w:rPr>
            <w:t xml:space="preserve"> </w:t>
          </w:r>
          <w:r>
            <w:rPr>
              <w:rFonts w:hint="eastAsia" w:ascii="宋体" w:hAnsi="宋体" w:eastAsia="宋体" w:cs="宋体"/>
              <w:i w:val="0"/>
              <w:spacing w:val="0"/>
              <w:w w:val="100"/>
            </w:rPr>
            <w:t xml:space="preserve"> </w:t>
          </w:r>
          <w:r>
            <w:rPr>
              <w:rFonts w:hint="eastAsia" w:ascii="宋体" w:hAnsi="宋体" w:eastAsia="宋体" w:cs="宋体"/>
              <w:i w:val="0"/>
              <w:spacing w:val="0"/>
              <w:w w:val="100"/>
              <w:lang w:val="en-US" w:eastAsia="zh-CN"/>
            </w:rPr>
            <w:t>太阳能行业</w:t>
          </w:r>
          <w:r>
            <w:rPr>
              <w:rFonts w:hint="eastAsia" w:ascii="宋体" w:hAnsi="宋体" w:eastAsia="宋体" w:cs="宋体"/>
              <w:i w:val="0"/>
              <w:spacing w:val="0"/>
              <w:w w:val="100"/>
            </w:rPr>
            <w:t>绿色低碳产业项目认定评价报告模板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_Toc4336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_Toc16102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_Toc16102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spacing w:before="78" w:after="78"/>
            <w:rPr>
              <w:rFonts w:hint="eastAsia" w:ascii="宋体" w:hAnsi="宋体" w:eastAsia="宋体" w:cs="宋体"/>
            </w:rPr>
          </w:pPr>
          <w:r>
            <w:rPr>
              <w:rFonts w:hint="eastAsia" w:ascii="宋体" w:hAnsi="宋体" w:eastAsia="宋体" w:cs="宋体"/>
              <w:b/>
            </w:rPr>
            <w:fldChar w:fldCharType="end"/>
          </w:r>
        </w:p>
      </w:sdtContent>
    </w:sdt>
    <w:p>
      <w:pPr>
        <w:pStyle w:val="114"/>
        <w:rPr>
          <w:rFonts w:ascii="Times New Roman"/>
        </w:rPr>
      </w:pPr>
      <w:bookmarkStart w:id="21" w:name="_Toc118282034"/>
      <w:bookmarkStart w:id="22" w:name="_Toc29407"/>
      <w:r>
        <w:rPr>
          <w:rFonts w:ascii="Times New Roman"/>
        </w:rPr>
        <w:t>前</w:t>
      </w:r>
      <w:bookmarkStart w:id="23" w:name="BKQY"/>
      <w:r>
        <w:rPr>
          <w:rFonts w:ascii="Times New Roman"/>
        </w:rPr>
        <w:t>  言</w:t>
      </w:r>
      <w:bookmarkEnd w:id="21"/>
      <w:bookmarkEnd w:id="22"/>
      <w:bookmarkEnd w:id="23"/>
    </w:p>
    <w:p>
      <w:pPr>
        <w:pStyle w:val="24"/>
        <w:rPr>
          <w:rFonts w:hAnsi="宋体" w:cs="宋体"/>
        </w:rPr>
      </w:pPr>
      <w:r>
        <w:rPr>
          <w:rFonts w:hint="eastAsia" w:hAnsi="宋体" w:cs="宋体"/>
        </w:rPr>
        <w:t>本文件按照GB/T 1.1—2020《标准化工作导则  第1部分：标准化文件的结构和起草规则》的规定起草。</w:t>
      </w:r>
    </w:p>
    <w:p>
      <w:pPr>
        <w:pStyle w:val="24"/>
        <w:rPr>
          <w:rFonts w:hAnsi="宋体" w:cs="宋体"/>
        </w:rPr>
      </w:pPr>
      <w:r>
        <w:rPr>
          <w:rFonts w:hint="eastAsia" w:hAnsi="宋体" w:cs="宋体"/>
        </w:rPr>
        <w:t>本文件由</w:t>
      </w:r>
      <w:r>
        <w:rPr>
          <w:rFonts w:hint="eastAsia" w:hAnsi="宋体" w:cs="宋体"/>
          <w:lang w:eastAsia="zh-CN"/>
        </w:rPr>
        <w:t>深圳市计量质量检测研究院</w:t>
      </w:r>
      <w:r>
        <w:rPr>
          <w:rFonts w:hint="eastAsia" w:hAnsi="宋体" w:cs="宋体"/>
        </w:rPr>
        <w:t>提出。</w:t>
      </w:r>
    </w:p>
    <w:p>
      <w:pPr>
        <w:pStyle w:val="24"/>
        <w:rPr>
          <w:rFonts w:hAnsi="宋体" w:cs="宋体"/>
        </w:rPr>
      </w:pPr>
      <w:r>
        <w:rPr>
          <w:rFonts w:hint="eastAsia" w:hAnsi="宋体" w:cs="宋体"/>
        </w:rPr>
        <w:t>本文件由</w:t>
      </w:r>
      <w:r>
        <w:rPr>
          <w:rFonts w:hint="eastAsia" w:hAnsi="宋体" w:cs="宋体"/>
          <w:lang w:val="en-US" w:eastAsia="zh-CN"/>
        </w:rPr>
        <w:t>深圳市</w:t>
      </w:r>
      <w:r>
        <w:rPr>
          <w:rFonts w:hint="eastAsia" w:hAnsi="宋体" w:cs="宋体"/>
        </w:rPr>
        <w:t>深圳标准促进会归口。</w:t>
      </w:r>
    </w:p>
    <w:p>
      <w:pPr>
        <w:pStyle w:val="24"/>
        <w:ind w:firstLine="0" w:firstLineChars="0"/>
        <w:rPr>
          <w:rFonts w:hAnsi="宋体" w:cs="宋体"/>
        </w:rPr>
      </w:pPr>
      <w:r>
        <w:rPr>
          <w:rFonts w:hint="eastAsia" w:hAnsi="宋体" w:cs="宋体"/>
        </w:rPr>
        <w:t>本文件起草单位：</w:t>
      </w:r>
      <w:r>
        <w:rPr>
          <w:rFonts w:hint="eastAsia" w:hAnsi="宋体" w:cs="宋体"/>
          <w:lang w:eastAsia="zh-CN"/>
        </w:rPr>
        <w:t>深圳市生态环境局、深圳市发展和改革委员会、</w:t>
      </w:r>
      <w:r>
        <w:rPr>
          <w:rFonts w:hint="eastAsia" w:hAnsi="宋体" w:cs="宋体"/>
        </w:rPr>
        <w:t>深圳市计量质量检测研究院</w:t>
      </w:r>
      <w:r>
        <w:rPr>
          <w:rFonts w:hint="eastAsia" w:hAnsi="宋体" w:cs="宋体"/>
          <w:lang w:eastAsia="zh-CN"/>
        </w:rPr>
        <w:t>、深圳市新能源行业协会、深圳市标准技术研究院、</w:t>
      </w:r>
      <w:r>
        <w:rPr>
          <w:rFonts w:hint="eastAsia" w:hAnsi="宋体" w:cs="宋体"/>
        </w:rPr>
        <w:t>深圳国家高技术产业创新中心、</w:t>
      </w:r>
      <w:r>
        <w:rPr>
          <w:rFonts w:hint="eastAsia" w:hAnsi="宋体" w:cs="宋体"/>
          <w:lang w:eastAsia="zh-CN"/>
        </w:rPr>
        <w:t>一带一路环境技术交流与转移中心（深圳）</w:t>
      </w:r>
      <w:r>
        <w:rPr>
          <w:rFonts w:hint="eastAsia" w:hAnsi="宋体" w:cs="宋体"/>
        </w:rPr>
        <w:t>。</w:t>
      </w:r>
    </w:p>
    <w:p>
      <w:pPr>
        <w:pStyle w:val="24"/>
        <w:rPr>
          <w:rFonts w:ascii="Times New Roman"/>
        </w:rPr>
      </w:pPr>
      <w:r>
        <w:rPr>
          <w:rFonts w:hint="eastAsia" w:hAnsi="宋体" w:cs="宋体"/>
        </w:rPr>
        <w:t>本文件主要起草人：谭清良、</w:t>
      </w:r>
      <w:r>
        <w:rPr>
          <w:rFonts w:hint="eastAsia" w:hAnsi="宋体" w:cs="宋体"/>
          <w:lang w:val="en-US" w:eastAsia="zh-CN"/>
        </w:rPr>
        <w:t>陈琨、</w:t>
      </w:r>
      <w:r>
        <w:rPr>
          <w:rFonts w:hint="eastAsia" w:hAnsi="宋体" w:cs="宋体"/>
        </w:rPr>
        <w:t>曹洋、</w:t>
      </w:r>
      <w:r>
        <w:rPr>
          <w:rFonts w:hint="eastAsia" w:hAnsi="宋体" w:cs="宋体"/>
          <w:lang w:val="en-US" w:eastAsia="zh-CN"/>
        </w:rPr>
        <w:t>薛淇文、</w:t>
      </w:r>
      <w:r>
        <w:rPr>
          <w:rFonts w:hint="eastAsia" w:hAnsi="宋体" w:cs="宋体"/>
          <w:lang w:eastAsia="zh-CN"/>
        </w:rPr>
        <w:t>姚婷婷</w:t>
      </w:r>
      <w:r>
        <w:rPr>
          <w:rFonts w:hint="eastAsia" w:hAnsi="宋体" w:cs="宋体"/>
        </w:rPr>
        <w:t>、</w:t>
      </w:r>
      <w:r>
        <w:rPr>
          <w:rFonts w:hint="eastAsia" w:hAnsi="宋体" w:cs="宋体"/>
          <w:lang w:eastAsia="zh-CN"/>
        </w:rPr>
        <w:t>伏晓林</w:t>
      </w:r>
      <w:r>
        <w:rPr>
          <w:rFonts w:hint="eastAsia" w:hAnsi="宋体" w:cs="宋体"/>
        </w:rPr>
        <w:t>、</w:t>
      </w:r>
      <w:r>
        <w:rPr>
          <w:rFonts w:hint="eastAsia" w:hAnsi="宋体" w:cs="宋体"/>
          <w:lang w:eastAsia="zh-CN"/>
        </w:rPr>
        <w:t>林娜、陈学力</w:t>
      </w:r>
      <w:r>
        <w:rPr>
          <w:rFonts w:hint="eastAsia" w:hAnsi="宋体" w:cs="宋体"/>
        </w:rPr>
        <w:t>、</w:t>
      </w:r>
      <w:r>
        <w:rPr>
          <w:rFonts w:hint="eastAsia" w:hAnsi="宋体" w:cs="宋体"/>
          <w:lang w:eastAsia="zh-CN"/>
        </w:rPr>
        <w:t>孙思源、唐云鹭、戴知友、许立杰、</w:t>
      </w:r>
      <w:r>
        <w:rPr>
          <w:rFonts w:hint="eastAsia" w:hAnsi="宋体" w:cs="宋体"/>
        </w:rPr>
        <w:t>纪炘烨、罗茜、陈建兰、颜昌晶、</w:t>
      </w:r>
      <w:r>
        <w:rPr>
          <w:rFonts w:hint="eastAsia" w:hAnsi="宋体" w:cs="宋体"/>
          <w:lang w:eastAsia="zh-CN"/>
        </w:rPr>
        <w:t>刘冲、马玥睿、李宜繁、李菊欢、杨晨昊</w:t>
      </w:r>
      <w:r>
        <w:rPr>
          <w:rFonts w:hint="eastAsia" w:hAnsi="宋体" w:cs="宋体"/>
        </w:rPr>
        <w:t>。</w:t>
      </w:r>
    </w:p>
    <w:p>
      <w:pPr>
        <w:pStyle w:val="24"/>
        <w:rPr>
          <w:rFonts w:ascii="Times New Roman"/>
        </w:rPr>
      </w:pPr>
    </w:p>
    <w:p>
      <w:pPr>
        <w:pStyle w:val="24"/>
        <w:rPr>
          <w:rFonts w:ascii="Times New Roman"/>
        </w:rPr>
      </w:pPr>
    </w:p>
    <w:p>
      <w:pPr>
        <w:pStyle w:val="52"/>
        <w:rPr>
          <w:rFonts w:ascii="Times New Roman"/>
        </w:rPr>
        <w:sectPr>
          <w:headerReference r:id="rId5" w:type="default"/>
          <w:footerReference r:id="rId6" w:type="default"/>
          <w:footerReference r:id="rId7"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bookmarkStart w:id="24" w:name="_Toc80867248"/>
      <w:bookmarkStart w:id="25" w:name="_Toc80690485"/>
      <w:bookmarkStart w:id="26" w:name="_Toc80887605"/>
      <w:bookmarkStart w:id="27" w:name="_Toc82157004"/>
      <w:bookmarkStart w:id="28" w:name="_Toc80954704"/>
      <w:bookmarkStart w:id="29" w:name="_Toc80953770"/>
      <w:bookmarkStart w:id="30" w:name="_Toc14800"/>
      <w:bookmarkStart w:id="31" w:name="_Toc82626056"/>
      <w:bookmarkStart w:id="32" w:name="_Toc24880"/>
      <w:bookmarkStart w:id="33" w:name="_Toc19299"/>
      <w:bookmarkStart w:id="34" w:name="_Toc52091808"/>
    </w:p>
    <w:p>
      <w:pPr>
        <w:pStyle w:val="52"/>
        <w:rPr>
          <w:rFonts w:ascii="Times New Roman"/>
        </w:rPr>
      </w:pPr>
      <w:bookmarkStart w:id="35" w:name="_Toc16267"/>
      <w:bookmarkStart w:id="36" w:name="_Toc27626"/>
      <w:bookmarkStart w:id="37" w:name="_Toc118282035"/>
      <w:r>
        <w:rPr>
          <w:rFonts w:hint="eastAsia" w:ascii="Times New Roman"/>
          <w:lang w:eastAsia="zh-CN"/>
        </w:rPr>
        <w:t>绿色低碳产业</w:t>
      </w:r>
      <w:r>
        <w:rPr>
          <w:rFonts w:ascii="Times New Roman"/>
        </w:rPr>
        <w:t>认定</w:t>
      </w:r>
      <w:bookmarkEnd w:id="24"/>
      <w:bookmarkEnd w:id="25"/>
      <w:bookmarkEnd w:id="26"/>
      <w:bookmarkEnd w:id="27"/>
      <w:bookmarkEnd w:id="28"/>
      <w:bookmarkEnd w:id="29"/>
      <w:r>
        <w:rPr>
          <w:rFonts w:ascii="Times New Roman"/>
        </w:rPr>
        <w:t xml:space="preserve">行业技术规范 </w:t>
      </w:r>
      <w:bookmarkEnd w:id="30"/>
      <w:bookmarkEnd w:id="31"/>
      <w:bookmarkEnd w:id="32"/>
      <w:bookmarkEnd w:id="33"/>
      <w:r>
        <w:rPr>
          <w:rFonts w:hint="eastAsia" w:ascii="Times New Roman"/>
        </w:rPr>
        <w:t>太阳能</w:t>
      </w:r>
      <w:bookmarkEnd w:id="35"/>
      <w:bookmarkEnd w:id="36"/>
      <w:bookmarkEnd w:id="37"/>
    </w:p>
    <w:p>
      <w:pPr>
        <w:pStyle w:val="47"/>
        <w:outlineLvl w:val="0"/>
        <w:rPr>
          <w:rFonts w:ascii="Times New Roman"/>
        </w:rPr>
      </w:pPr>
      <w:bookmarkStart w:id="38" w:name="_Toc102992448"/>
      <w:bookmarkStart w:id="39" w:name="_Toc23595"/>
      <w:bookmarkStart w:id="40" w:name="_Toc118282036"/>
      <w:r>
        <w:rPr>
          <w:rFonts w:ascii="Times New Roman"/>
        </w:rPr>
        <w:t>范围</w:t>
      </w:r>
      <w:bookmarkEnd w:id="34"/>
      <w:bookmarkEnd w:id="38"/>
      <w:bookmarkEnd w:id="39"/>
      <w:bookmarkEnd w:id="40"/>
    </w:p>
    <w:p>
      <w:pPr>
        <w:pStyle w:val="24"/>
        <w:rPr>
          <w:rFonts w:ascii="Times New Roman"/>
        </w:rPr>
      </w:pPr>
      <w:r>
        <w:rPr>
          <w:rFonts w:ascii="Times New Roman"/>
        </w:rPr>
        <w:t>本文件规定了深圳市</w:t>
      </w:r>
      <w:r>
        <w:rPr>
          <w:rFonts w:hint="eastAsia" w:ascii="Times New Roman"/>
        </w:rPr>
        <w:t>太阳能行业开展</w:t>
      </w:r>
      <w:r>
        <w:rPr>
          <w:rFonts w:hint="eastAsia" w:ascii="Times New Roman"/>
          <w:lang w:eastAsia="zh-CN"/>
        </w:rPr>
        <w:t>绿色低碳产业</w:t>
      </w:r>
      <w:r>
        <w:rPr>
          <w:rFonts w:ascii="Times New Roman"/>
        </w:rPr>
        <w:t>认定评价的术语和定义、</w:t>
      </w:r>
      <w:r>
        <w:rPr>
          <w:rFonts w:hint="eastAsia" w:ascii="Times New Roman"/>
        </w:rPr>
        <w:t>评价原则及基本要求、</w:t>
      </w:r>
      <w:r>
        <w:rPr>
          <w:rFonts w:ascii="Times New Roman"/>
        </w:rPr>
        <w:t>评价指标和评价程序。</w:t>
      </w:r>
    </w:p>
    <w:p>
      <w:pPr>
        <w:pStyle w:val="24"/>
        <w:rPr>
          <w:rFonts w:ascii="Times New Roman"/>
        </w:rPr>
      </w:pPr>
      <w:r>
        <w:rPr>
          <w:rFonts w:ascii="Times New Roman"/>
        </w:rPr>
        <w:t>本文件适用于深圳市行政区域内</w:t>
      </w:r>
      <w:r>
        <w:rPr>
          <w:rFonts w:hint="eastAsia" w:ascii="Times New Roman"/>
        </w:rPr>
        <w:t>太阳能</w:t>
      </w:r>
      <w:r>
        <w:rPr>
          <w:rFonts w:ascii="Times New Roman"/>
        </w:rPr>
        <w:t>行业的</w:t>
      </w:r>
      <w:r>
        <w:rPr>
          <w:rFonts w:hint="eastAsia" w:ascii="Times New Roman"/>
          <w:lang w:eastAsia="zh-CN"/>
        </w:rPr>
        <w:t>绿色低碳产业</w:t>
      </w:r>
      <w:r>
        <w:rPr>
          <w:rFonts w:ascii="Times New Roman"/>
        </w:rPr>
        <w:t>认定评价。深汕特别合作区可参照</w:t>
      </w:r>
      <w:r>
        <w:rPr>
          <w:rFonts w:hint="eastAsia" w:ascii="Times New Roman"/>
          <w:lang w:val="en-US" w:eastAsia="zh-CN"/>
        </w:rPr>
        <w:t>使用</w:t>
      </w:r>
      <w:r>
        <w:rPr>
          <w:rFonts w:ascii="Times New Roman"/>
        </w:rPr>
        <w:t>本文件。</w:t>
      </w:r>
    </w:p>
    <w:p>
      <w:pPr>
        <w:pStyle w:val="47"/>
        <w:outlineLvl w:val="0"/>
        <w:rPr>
          <w:rFonts w:ascii="Times New Roman"/>
        </w:rPr>
      </w:pPr>
      <w:bookmarkStart w:id="41" w:name="_Toc102992449"/>
      <w:bookmarkStart w:id="42" w:name="_Toc52091809"/>
      <w:bookmarkStart w:id="43" w:name="_Toc118282037"/>
      <w:bookmarkStart w:id="44" w:name="_Toc22415"/>
      <w:r>
        <w:rPr>
          <w:rFonts w:ascii="Times New Roman"/>
        </w:rPr>
        <w:t>规范性引用文件</w:t>
      </w:r>
      <w:bookmarkEnd w:id="41"/>
      <w:bookmarkEnd w:id="42"/>
      <w:bookmarkEnd w:id="43"/>
      <w:bookmarkEnd w:id="44"/>
    </w:p>
    <w:p>
      <w:pPr>
        <w:autoSpaceDE w:val="0"/>
        <w:autoSpaceDN w:val="0"/>
        <w:ind w:firstLine="420" w:firstLineChars="200"/>
        <w:rPr>
          <w:rFonts w:ascii="宋体" w:hAnsi="宋体" w:cs="宋体"/>
        </w:rPr>
      </w:pPr>
      <w:r>
        <w:rPr>
          <w:rFonts w:hint="eastAsia" w:ascii="宋体" w:hAnsi="宋体" w:cs="宋体"/>
        </w:rPr>
        <w:t>下列文件对于本文件的应用是必不可少的。凡是注日期的引用文件，仅注日期的版本适用于本文件。凡是不注日期的引用文件，其最新版本（包括所有的修改单）适用于本文件。</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4271  太阳能集热器性能试验方法</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6424  平板型太阳能集热器</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17049  全玻璃真空太阳集热管</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17581  真空管型太阳能集热器</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25074  太阳能级多晶硅</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 26969  家用太阳能热水系统能效限定值及能效等级</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35307  流化床法颗粒硅</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GB/T 39857  光伏发电效率技术规范</w:t>
      </w:r>
    </w:p>
    <w:p>
      <w:pPr>
        <w:ind w:firstLine="420" w:firstLineChars="200"/>
        <w:rPr>
          <w:rFonts w:hint="default" w:cs="Times New Roman" w:asciiTheme="minorEastAsia" w:hAnsiTheme="minorEastAsia" w:eastAsiaTheme="minorEastAsia"/>
          <w:b w:val="0"/>
          <w:bCs w:val="0"/>
          <w:i w:val="0"/>
          <w:iCs w:val="0"/>
          <w:caps w:val="0"/>
          <w:spacing w:val="0"/>
          <w:sz w:val="21"/>
          <w:szCs w:val="24"/>
          <w:shd w:val="clear"/>
          <w:lang w:val="en-US" w:eastAsia="zh-CN"/>
        </w:rPr>
      </w:pPr>
      <w:r>
        <w:rPr>
          <w:rFonts w:cs="Times New Roman" w:asciiTheme="minorEastAsia" w:hAnsiTheme="minorEastAsia" w:eastAsiaTheme="minorEastAsia"/>
          <w:b w:val="0"/>
          <w:bCs w:val="0"/>
          <w:i w:val="0"/>
          <w:iCs w:val="0"/>
          <w:caps w:val="0"/>
          <w:spacing w:val="0"/>
          <w:sz w:val="21"/>
          <w:szCs w:val="24"/>
          <w:shd w:val="clear"/>
        </w:rPr>
        <w:t>YS/T 838-2012</w:t>
      </w:r>
      <w:r>
        <w:rPr>
          <w:rFonts w:hint="default" w:cs="Times New Roman" w:asciiTheme="minorEastAsia" w:hAnsiTheme="minorEastAsia" w:eastAsiaTheme="minorEastAsia"/>
          <w:b w:val="0"/>
          <w:bCs w:val="0"/>
          <w:i w:val="0"/>
          <w:iCs w:val="0"/>
          <w:caps w:val="0"/>
          <w:spacing w:val="0"/>
          <w:sz w:val="21"/>
          <w:szCs w:val="24"/>
          <w:shd w:val="clear"/>
          <w:lang w:val="en-US" w:eastAsia="zh-CN"/>
        </w:rPr>
        <w:t xml:space="preserve"> 碲化镉</w:t>
      </w:r>
    </w:p>
    <w:p>
      <w:pPr>
        <w:ind w:firstLine="420" w:firstLineChars="200"/>
        <w:rPr>
          <w:rFonts w:hint="default" w:cs="Times New Roman" w:asciiTheme="minorEastAsia" w:hAnsiTheme="minorEastAsia" w:eastAsiaTheme="minorEastAsia"/>
          <w:b w:val="0"/>
          <w:bCs w:val="0"/>
          <w:i w:val="0"/>
          <w:iCs w:val="0"/>
          <w:caps w:val="0"/>
          <w:spacing w:val="0"/>
          <w:sz w:val="21"/>
          <w:szCs w:val="24"/>
          <w:shd w:val="clear"/>
          <w:lang w:val="en-US" w:eastAsia="zh-CN"/>
        </w:rPr>
      </w:pPr>
      <w:r>
        <w:rPr>
          <w:rFonts w:cs="Times New Roman" w:asciiTheme="minorEastAsia" w:hAnsiTheme="minorEastAsia" w:eastAsiaTheme="minorEastAsia"/>
          <w:b w:val="0"/>
          <w:bCs w:val="0"/>
          <w:i w:val="0"/>
          <w:iCs w:val="0"/>
          <w:caps w:val="0"/>
          <w:spacing w:val="0"/>
          <w:sz w:val="21"/>
          <w:szCs w:val="24"/>
          <w:shd w:val="clear"/>
        </w:rPr>
        <w:t>YS/T 1156</w:t>
      </w:r>
      <w:r>
        <w:rPr>
          <w:rFonts w:hint="default" w:cs="Times New Roman" w:asciiTheme="minorEastAsia" w:hAnsiTheme="minorEastAsia" w:eastAsiaTheme="minorEastAsia"/>
          <w:b w:val="0"/>
          <w:bCs w:val="0"/>
          <w:i w:val="0"/>
          <w:iCs w:val="0"/>
          <w:caps w:val="0"/>
          <w:spacing w:val="0"/>
          <w:sz w:val="21"/>
          <w:szCs w:val="24"/>
          <w:shd w:val="clear"/>
          <w:lang w:val="en-US" w:eastAsia="zh-CN"/>
        </w:rPr>
        <w:t xml:space="preserve"> 铜铟镓硒靶材</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CQC 3309  光伏组件转换效率和户外实证测试方法</w:t>
      </w:r>
    </w:p>
    <w:p>
      <w:pPr>
        <w:autoSpaceDE w:val="0"/>
        <w:autoSpaceDN w:val="0"/>
        <w:ind w:firstLine="420" w:firstLineChars="200"/>
        <w:rPr>
          <w:rFonts w:asciiTheme="minorEastAsia" w:hAnsiTheme="minorEastAsia" w:eastAsiaTheme="minorEastAsia"/>
        </w:rPr>
      </w:pPr>
      <w:r>
        <w:rPr>
          <w:rFonts w:asciiTheme="minorEastAsia" w:hAnsiTheme="minorEastAsia" w:eastAsiaTheme="minorEastAsia"/>
        </w:rPr>
        <w:t>CGC/GF 035  光伏并网逆变器中国效率技术条件</w:t>
      </w:r>
    </w:p>
    <w:p>
      <w:pPr>
        <w:pStyle w:val="47"/>
        <w:outlineLvl w:val="0"/>
        <w:rPr>
          <w:rFonts w:ascii="Times New Roman"/>
        </w:rPr>
      </w:pPr>
      <w:bookmarkStart w:id="45" w:name="_Toc102992450"/>
      <w:bookmarkStart w:id="46" w:name="_Toc118282038"/>
      <w:bookmarkStart w:id="47" w:name="_Toc9739"/>
      <w:r>
        <w:rPr>
          <w:rFonts w:ascii="Times New Roman"/>
        </w:rPr>
        <w:t>术语和定义</w:t>
      </w:r>
      <w:bookmarkEnd w:id="45"/>
      <w:bookmarkEnd w:id="46"/>
      <w:bookmarkEnd w:id="47"/>
    </w:p>
    <w:p>
      <w:pPr>
        <w:pStyle w:val="24"/>
        <w:rPr>
          <w:rFonts w:ascii="Times New Roman"/>
        </w:rPr>
      </w:pPr>
      <w:bookmarkStart w:id="48" w:name="_Toc55807229"/>
      <w:bookmarkEnd w:id="48"/>
      <w:bookmarkStart w:id="49" w:name="_Toc52098625"/>
      <w:bookmarkEnd w:id="49"/>
      <w:r>
        <w:rPr>
          <w:rFonts w:ascii="Times New Roman"/>
        </w:rPr>
        <w:t>下列术语和定义适用于本文件。</w:t>
      </w:r>
    </w:p>
    <w:p>
      <w:pPr>
        <w:pStyle w:val="44"/>
        <w:spacing w:before="0" w:beforeLines="0" w:after="0" w:afterLines="0"/>
        <w:rPr>
          <w:rFonts w:ascii="Times New Roman"/>
        </w:rPr>
      </w:pPr>
    </w:p>
    <w:p>
      <w:pPr>
        <w:pStyle w:val="24"/>
        <w:rPr>
          <w:rFonts w:ascii="Times New Roman" w:eastAsia="黑体"/>
        </w:rPr>
      </w:pPr>
      <w:r>
        <w:rPr>
          <w:rFonts w:hint="eastAsia" w:ascii="黑体" w:hAnsi="黑体" w:eastAsia="黑体" w:cs="黑体"/>
        </w:rPr>
        <w:t>企事业单位  public enterprises and institutions</w:t>
      </w:r>
    </w:p>
    <w:p>
      <w:pPr>
        <w:pStyle w:val="24"/>
        <w:rPr>
          <w:rFonts w:ascii="Times New Roman"/>
        </w:rPr>
      </w:pPr>
      <w:r>
        <w:rPr>
          <w:rFonts w:ascii="Times New Roman"/>
        </w:rPr>
        <w:t>包括企业单位及事业单位。其中，企业单位是以盈利为目的</w:t>
      </w:r>
      <w:r>
        <w:rPr>
          <w:rFonts w:hint="eastAsia" w:ascii="Times New Roman"/>
        </w:rPr>
        <w:t>，</w:t>
      </w:r>
      <w:r>
        <w:rPr>
          <w:rFonts w:ascii="Times New Roman"/>
        </w:rPr>
        <w:t>独立核算的法人或非法人单位，事业单位是以政府职能、公益服务为主要宗旨的公益性单位、公益性职能部门等。</w:t>
      </w:r>
    </w:p>
    <w:p>
      <w:pPr>
        <w:pStyle w:val="44"/>
        <w:spacing w:before="0" w:beforeLines="0" w:after="0" w:afterLines="0"/>
        <w:rPr>
          <w:rFonts w:ascii="Times New Roman"/>
        </w:rPr>
      </w:pPr>
    </w:p>
    <w:p>
      <w:pPr>
        <w:pStyle w:val="24"/>
        <w:rPr>
          <w:rFonts w:ascii="Times New Roman" w:eastAsia="黑体"/>
          <w:highlight w:val="none"/>
        </w:rPr>
      </w:pPr>
      <w:r>
        <w:rPr>
          <w:rFonts w:hint="eastAsia" w:ascii="黑体" w:hAnsi="黑体" w:eastAsia="黑体" w:cs="黑体"/>
          <w:highlight w:val="none"/>
        </w:rPr>
        <w:t>资源节约  r</w:t>
      </w:r>
      <w:r>
        <w:rPr>
          <w:rFonts w:ascii="黑体" w:hAnsi="黑体" w:eastAsia="黑体" w:cs="黑体"/>
          <w:highlight w:val="none"/>
        </w:rPr>
        <w:t>esource saving</w:t>
      </w:r>
    </w:p>
    <w:p>
      <w:pPr>
        <w:pStyle w:val="24"/>
        <w:rPr>
          <w:rFonts w:ascii="Times New Roman"/>
          <w:highlight w:val="none"/>
        </w:rPr>
      </w:pPr>
      <w:r>
        <w:rPr>
          <w:rFonts w:hint="eastAsia" w:ascii="Times New Roman"/>
          <w:highlight w:val="none"/>
        </w:rPr>
        <w:t>在生产、流通等环节提高资源利用效率，推进资源循环利用，以最少的资源消耗获得最大的经济和社会效益</w:t>
      </w:r>
      <w:r>
        <w:rPr>
          <w:rFonts w:ascii="Times New Roman"/>
          <w:highlight w:val="none"/>
        </w:rPr>
        <w:t>。</w:t>
      </w:r>
    </w:p>
    <w:p>
      <w:pPr>
        <w:pStyle w:val="44"/>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 xml:space="preserve">环境友好  </w:t>
      </w:r>
      <w:r>
        <w:rPr>
          <w:rFonts w:ascii="黑体" w:hAnsi="黑体" w:eastAsia="黑体" w:cs="黑体"/>
          <w:highlight w:val="none"/>
        </w:rPr>
        <w:t>environmentally friendly</w:t>
      </w:r>
    </w:p>
    <w:p>
      <w:pPr>
        <w:pStyle w:val="24"/>
        <w:rPr>
          <w:rFonts w:ascii="Times New Roman"/>
          <w:highlight w:val="none"/>
        </w:rPr>
      </w:pPr>
      <w:r>
        <w:rPr>
          <w:rFonts w:hint="eastAsia" w:ascii="Times New Roman"/>
          <w:highlight w:val="none"/>
        </w:rPr>
        <w:t>用清洁化的能源和原料，采用有利于环境保护的生产消费方式，降低污染产生量、实现排放无害化，减少社会经济系统对环境系统的不利影响</w:t>
      </w:r>
      <w:r>
        <w:rPr>
          <w:rFonts w:ascii="Times New Roman"/>
          <w:highlight w:val="none"/>
        </w:rPr>
        <w:t>。</w:t>
      </w:r>
    </w:p>
    <w:p>
      <w:pPr>
        <w:pStyle w:val="44"/>
        <w:spacing w:before="0" w:beforeLines="0" w:after="0" w:afterLines="0"/>
        <w:rPr>
          <w:rFonts w:ascii="Times New Roman"/>
          <w:highlight w:val="none"/>
        </w:rPr>
      </w:pPr>
    </w:p>
    <w:p>
      <w:pPr>
        <w:pStyle w:val="24"/>
        <w:rPr>
          <w:rFonts w:ascii="Times New Roman" w:eastAsia="黑体"/>
          <w:highlight w:val="none"/>
        </w:rPr>
      </w:pPr>
      <w:r>
        <w:rPr>
          <w:rFonts w:ascii="黑体" w:hAnsi="黑体" w:eastAsia="黑体" w:cs="黑体"/>
          <w:highlight w:val="none"/>
        </w:rPr>
        <w:t>生态良好</w:t>
      </w:r>
      <w:r>
        <w:rPr>
          <w:rFonts w:hint="eastAsia" w:ascii="黑体" w:hAnsi="黑体" w:eastAsia="黑体" w:cs="黑体"/>
          <w:highlight w:val="none"/>
        </w:rPr>
        <w:t xml:space="preserve">  e</w:t>
      </w:r>
      <w:r>
        <w:rPr>
          <w:rFonts w:ascii="黑体" w:hAnsi="黑体" w:eastAsia="黑体" w:cs="黑体"/>
          <w:highlight w:val="none"/>
        </w:rPr>
        <w:t>cological soundness</w:t>
      </w:r>
    </w:p>
    <w:p>
      <w:pPr>
        <w:pStyle w:val="24"/>
        <w:rPr>
          <w:rFonts w:ascii="Times New Roman"/>
          <w:highlight w:val="none"/>
        </w:rPr>
      </w:pPr>
      <w:r>
        <w:rPr>
          <w:rFonts w:hint="eastAsia" w:ascii="Times New Roman"/>
          <w:highlight w:val="none"/>
        </w:rPr>
        <w:t>生态环保、生态修复以及减缓和适应气候变化等</w:t>
      </w:r>
      <w:r>
        <w:rPr>
          <w:rFonts w:ascii="Times New Roman"/>
          <w:highlight w:val="none"/>
        </w:rPr>
        <w:t>。</w:t>
      </w:r>
    </w:p>
    <w:p>
      <w:pPr>
        <w:pStyle w:val="44"/>
        <w:spacing w:beforeLines="0" w:afterLines="0"/>
        <w:rPr>
          <w:rFonts w:hint="eastAsia" w:ascii="黑体" w:hAnsi="黑体" w:eastAsia="黑体" w:cs="黑体"/>
        </w:rPr>
      </w:pPr>
    </w:p>
    <w:p>
      <w:pPr>
        <w:pStyle w:val="24"/>
        <w:rPr>
          <w:rFonts w:ascii="Times New Roman" w:eastAsia="黑体"/>
        </w:rPr>
      </w:pPr>
      <w:r>
        <w:rPr>
          <w:rFonts w:hint="eastAsia" w:ascii="黑体" w:hAnsi="黑体" w:eastAsia="黑体" w:cs="黑体"/>
          <w:lang w:eastAsia="zh-CN"/>
        </w:rPr>
        <w:t>绿色低碳产业</w:t>
      </w:r>
      <w:r>
        <w:rPr>
          <w:rFonts w:hint="eastAsia" w:ascii="黑体" w:hAnsi="黑体" w:eastAsia="黑体" w:cs="黑体"/>
        </w:rPr>
        <w:t xml:space="preserve">  </w:t>
      </w:r>
      <w:r>
        <w:rPr>
          <w:rFonts w:hint="eastAsia" w:ascii="黑体" w:hAnsi="黑体" w:eastAsia="黑体" w:cs="黑体"/>
          <w:lang w:val="en-US" w:eastAsia="zh-CN"/>
        </w:rPr>
        <w:t>g</w:t>
      </w:r>
      <w:r>
        <w:rPr>
          <w:rFonts w:hint="eastAsia" w:ascii="黑体" w:hAnsi="黑体" w:eastAsia="黑体" w:cs="黑体"/>
        </w:rPr>
        <w:t>reen and low-carbon industr</w:t>
      </w:r>
      <w:r>
        <w:rPr>
          <w:rFonts w:hint="eastAsia" w:ascii="黑体" w:hAnsi="黑体" w:eastAsia="黑体" w:cs="黑体"/>
          <w:lang w:val="en-US" w:eastAsia="zh-CN"/>
        </w:rPr>
        <w:t>ies</w:t>
      </w:r>
    </w:p>
    <w:p>
      <w:pPr>
        <w:pStyle w:val="24"/>
        <w:rPr>
          <w:rFonts w:ascii="Times New Roman"/>
        </w:rPr>
      </w:pPr>
      <w:r>
        <w:rPr>
          <w:rFonts w:hint="eastAsia" w:ascii="Times New Roman"/>
          <w:lang w:val="en-US" w:eastAsia="zh-CN"/>
        </w:rPr>
        <w:t>以低能耗、低排放和低污染为基础，</w:t>
      </w:r>
      <w:r>
        <w:rPr>
          <w:rFonts w:ascii="Times New Roman"/>
        </w:rPr>
        <w:t>提供有利于资源节约、环境友好、生态良好的产品或服务的企事业单位的集合体。</w:t>
      </w:r>
    </w:p>
    <w:p>
      <w:pPr>
        <w:pStyle w:val="44"/>
        <w:spacing w:before="0" w:beforeLines="0" w:after="0" w:afterLines="0"/>
        <w:rPr>
          <w:rFonts w:ascii="Times New Roman"/>
        </w:rPr>
      </w:pPr>
      <w:bookmarkStart w:id="50" w:name="_Toc80887609"/>
      <w:bookmarkEnd w:id="50"/>
      <w:bookmarkStart w:id="51" w:name="_Toc82684141"/>
      <w:bookmarkEnd w:id="51"/>
      <w:bookmarkStart w:id="52" w:name="_Toc80867252"/>
      <w:bookmarkEnd w:id="52"/>
      <w:bookmarkStart w:id="53" w:name="_Toc80954708"/>
      <w:bookmarkEnd w:id="53"/>
      <w:bookmarkStart w:id="54" w:name="_Toc80953774"/>
      <w:bookmarkEnd w:id="54"/>
      <w:bookmarkStart w:id="55" w:name="_Toc102992451"/>
      <w:bookmarkEnd w:id="55"/>
      <w:bookmarkStart w:id="56" w:name="_Toc82157008"/>
      <w:bookmarkEnd w:id="56"/>
    </w:p>
    <w:p>
      <w:pPr>
        <w:kinsoku w:val="0"/>
        <w:overflowPunct w:val="0"/>
        <w:autoSpaceDE w:val="0"/>
        <w:autoSpaceDN w:val="0"/>
        <w:adjustRightInd w:val="0"/>
        <w:snapToGrid w:val="0"/>
        <w:spacing w:line="300" w:lineRule="auto"/>
        <w:ind w:firstLine="420" w:firstLineChars="200"/>
        <w:jc w:val="left"/>
        <w:textAlignment w:val="baseline"/>
        <w:rPr>
          <w:rFonts w:eastAsia="黑体"/>
        </w:rPr>
      </w:pPr>
      <w:r>
        <w:rPr>
          <w:rFonts w:eastAsia="黑体"/>
        </w:rPr>
        <w:t>太阳能产业</w:t>
      </w:r>
      <w:r>
        <w:rPr>
          <w:rFonts w:hint="eastAsia" w:eastAsia="黑体"/>
        </w:rPr>
        <w:t xml:space="preserve"> </w:t>
      </w:r>
      <w:r>
        <w:rPr>
          <w:rFonts w:hint="eastAsia" w:ascii="黑体" w:hAnsi="黑体" w:eastAsia="黑体" w:cs="黑体"/>
        </w:rPr>
        <w:t xml:space="preserve"> solar energy</w:t>
      </w:r>
      <w:r>
        <w:rPr>
          <w:rFonts w:ascii="黑体" w:hAnsi="黑体" w:eastAsia="黑体" w:cs="黑体"/>
        </w:rPr>
        <w:t xml:space="preserve"> industry</w:t>
      </w:r>
    </w:p>
    <w:p>
      <w:pPr>
        <w:pStyle w:val="24"/>
        <w:rPr>
          <w:rFonts w:ascii="Times New Roman"/>
        </w:rPr>
      </w:pPr>
      <w:r>
        <w:rPr>
          <w:rFonts w:hint="eastAsia" w:ascii="Times New Roman"/>
        </w:rPr>
        <w:t>属于《</w:t>
      </w:r>
      <w:r>
        <w:rPr>
          <w:rFonts w:hint="eastAsia" w:ascii="Times New Roman"/>
          <w:lang w:val="en-US" w:eastAsia="zh-CN"/>
        </w:rPr>
        <w:t>深圳市</w:t>
      </w:r>
      <w:r>
        <w:rPr>
          <w:rFonts w:hint="eastAsia" w:ascii="Times New Roman"/>
        </w:rPr>
        <w:t>绿色</w:t>
      </w:r>
      <w:r>
        <w:rPr>
          <w:rFonts w:hint="eastAsia" w:ascii="Times New Roman"/>
          <w:lang w:val="en-US" w:eastAsia="zh-CN"/>
        </w:rPr>
        <w:t>低碳</w:t>
      </w:r>
      <w:r>
        <w:rPr>
          <w:rFonts w:hint="eastAsia" w:ascii="Times New Roman"/>
        </w:rPr>
        <w:t>产业指导目录》所列“太阳能”</w:t>
      </w:r>
      <w:r>
        <w:rPr>
          <w:rFonts w:hint="eastAsia" w:ascii="Times New Roman"/>
          <w:lang w:val="en-US" w:eastAsia="zh-CN"/>
        </w:rPr>
        <w:t>中列明的行业</w:t>
      </w:r>
      <w:r>
        <w:rPr>
          <w:rFonts w:ascii="Times New Roman"/>
        </w:rPr>
        <w:t>。</w:t>
      </w:r>
    </w:p>
    <w:p>
      <w:pPr>
        <w:pStyle w:val="44"/>
        <w:spacing w:before="0" w:beforeLines="0" w:after="0" w:afterLines="0"/>
        <w:rPr>
          <w:rFonts w:ascii="Times New Roman"/>
        </w:rPr>
      </w:pPr>
    </w:p>
    <w:p>
      <w:pPr>
        <w:pStyle w:val="24"/>
        <w:rPr>
          <w:rFonts w:ascii="Times New Roman" w:eastAsia="黑体"/>
        </w:rPr>
      </w:pPr>
      <w:r>
        <w:rPr>
          <w:rFonts w:hint="eastAsia" w:ascii="黑体" w:hAnsi="黑体" w:eastAsia="黑体" w:cs="黑体"/>
        </w:rPr>
        <w:t>绿色业务  green business</w:t>
      </w:r>
    </w:p>
    <w:p>
      <w:pPr>
        <w:pStyle w:val="24"/>
        <w:rPr>
          <w:rFonts w:ascii="Times New Roman"/>
        </w:rPr>
      </w:pPr>
      <w:r>
        <w:rPr>
          <w:rFonts w:ascii="Times New Roman"/>
        </w:rPr>
        <w:t>提供</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相关产品或服务的经营活动。</w:t>
      </w:r>
    </w:p>
    <w:p>
      <w:pPr>
        <w:pStyle w:val="44"/>
        <w:spacing w:before="0" w:beforeLines="0" w:after="0" w:afterLines="0"/>
        <w:rPr>
          <w:rFonts w:ascii="Times New Roman"/>
        </w:rPr>
      </w:pPr>
      <w:bookmarkStart w:id="57" w:name="_Toc102992454"/>
      <w:bookmarkEnd w:id="57"/>
      <w:bookmarkStart w:id="58" w:name="_Toc82684143"/>
      <w:bookmarkEnd w:id="58"/>
    </w:p>
    <w:p>
      <w:pPr>
        <w:pStyle w:val="24"/>
        <w:rPr>
          <w:rFonts w:ascii="Times New Roman" w:eastAsia="黑体"/>
        </w:rPr>
      </w:pPr>
      <w:r>
        <w:rPr>
          <w:rFonts w:hint="eastAsia" w:ascii="黑体" w:hAnsi="黑体" w:eastAsia="黑体" w:cs="黑体"/>
          <w:lang w:eastAsia="zh-CN"/>
        </w:rPr>
        <w:t>绿色低碳产业</w:t>
      </w:r>
      <w:r>
        <w:rPr>
          <w:rFonts w:hint="eastAsia" w:ascii="黑体" w:hAnsi="黑体" w:eastAsia="黑体" w:cs="黑体"/>
        </w:rPr>
        <w:t>企业  enterprises and institutions recognized as green industry</w:t>
      </w:r>
    </w:p>
    <w:p>
      <w:pPr>
        <w:pStyle w:val="24"/>
        <w:rPr>
          <w:rFonts w:ascii="Times New Roman"/>
        </w:rPr>
      </w:pPr>
      <w:r>
        <w:rPr>
          <w:rFonts w:ascii="Times New Roman"/>
        </w:rPr>
        <w:t>经营范围包括</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，自身生产运营环境表现和社会表现良好，并通过了深圳市</w:t>
      </w:r>
      <w:r>
        <w:rPr>
          <w:rFonts w:hint="eastAsia" w:ascii="Times New Roman"/>
          <w:lang w:eastAsia="zh-CN"/>
        </w:rPr>
        <w:t>绿色低碳产业</w:t>
      </w:r>
      <w:r>
        <w:rPr>
          <w:rFonts w:ascii="Times New Roman"/>
        </w:rPr>
        <w:t>认定的企事业单位。</w:t>
      </w:r>
    </w:p>
    <w:p>
      <w:pPr>
        <w:pStyle w:val="44"/>
        <w:spacing w:beforeLines="0" w:afterLines="0"/>
        <w:rPr>
          <w:rFonts w:ascii="Times New Roman"/>
        </w:rPr>
      </w:pPr>
    </w:p>
    <w:p>
      <w:pPr>
        <w:pStyle w:val="44"/>
        <w:keepNext w:val="0"/>
        <w:keepLines w:val="0"/>
        <w:pageBreakBefore w:val="0"/>
        <w:widowControl/>
        <w:numPr>
          <w:ilvl w:val="-1"/>
          <w:numId w:val="0"/>
        </w:numPr>
        <w:kinsoku/>
        <w:wordWrap/>
        <w:overflowPunct/>
        <w:topLinePunct w:val="0"/>
        <w:autoSpaceDE/>
        <w:autoSpaceDN/>
        <w:bidi w:val="0"/>
        <w:adjustRightInd/>
        <w:snapToGrid/>
        <w:spacing w:beforeLines="0" w:afterLines="0"/>
        <w:ind w:firstLine="420" w:firstLineChars="200"/>
        <w:textAlignment w:val="auto"/>
        <w:outlineLvl w:val="9"/>
        <w:rPr>
          <w:rFonts w:hint="eastAsia" w:ascii="Times New Roman" w:eastAsia="黑体"/>
          <w:lang w:val="en-US" w:eastAsia="zh-CN"/>
        </w:rPr>
      </w:pPr>
      <w:r>
        <w:rPr>
          <w:rFonts w:hint="eastAsia" w:ascii="黑体" w:hAnsi="黑体" w:eastAsia="黑体" w:cs="黑体"/>
        </w:rPr>
        <w:t>绿色</w:t>
      </w:r>
      <w:r>
        <w:rPr>
          <w:rFonts w:hint="eastAsia" w:ascii="黑体" w:hAnsi="黑体" w:eastAsia="黑体" w:cs="黑体"/>
          <w:lang w:val="en-US" w:eastAsia="zh-CN"/>
        </w:rPr>
        <w:t>低碳产业项目</w:t>
      </w:r>
      <w:r>
        <w:rPr>
          <w:rFonts w:hint="eastAsia" w:ascii="黑体" w:hAnsi="黑体" w:eastAsia="黑体" w:cs="黑体"/>
        </w:rPr>
        <w:t xml:space="preserve">  project</w:t>
      </w:r>
      <w:r>
        <w:rPr>
          <w:rFonts w:hint="eastAsia" w:ascii="黑体" w:hAnsi="黑体" w:eastAsia="黑体" w:cs="黑体"/>
          <w:lang w:val="en-US" w:eastAsia="zh-CN"/>
        </w:rPr>
        <w:t xml:space="preserve">s </w:t>
      </w:r>
      <w:r>
        <w:rPr>
          <w:rFonts w:hint="eastAsia" w:ascii="黑体" w:hAnsi="黑体" w:eastAsia="黑体" w:cs="黑体"/>
          <w:spacing w:val="-11"/>
        </w:rPr>
        <w:t>recognized as green and low-carbon industr</w:t>
      </w:r>
      <w:r>
        <w:rPr>
          <w:rFonts w:hint="eastAsia" w:ascii="黑体" w:hAnsi="黑体" w:eastAsia="黑体" w:cs="黑体"/>
          <w:spacing w:val="-11"/>
          <w:lang w:val="en-US" w:eastAsia="zh-CN"/>
        </w:rPr>
        <w:t>ies</w:t>
      </w:r>
    </w:p>
    <w:p>
      <w:pPr>
        <w:pStyle w:val="24"/>
      </w:pPr>
      <w:r>
        <w:rPr>
          <w:rFonts w:hint="eastAsia" w:ascii="Times New Roman"/>
          <w:lang w:val="en-US" w:eastAsia="zh-CN"/>
        </w:rPr>
        <w:t>符合</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w:t>
      </w:r>
      <w:r>
        <w:rPr>
          <w:rFonts w:hint="eastAsia" w:ascii="Times New Roman"/>
          <w:lang w:val="en-US" w:eastAsia="zh-CN"/>
        </w:rPr>
        <w:t>绿色效益和绿色技术先进性表现良好，</w:t>
      </w:r>
      <w:r>
        <w:rPr>
          <w:rFonts w:ascii="Times New Roman"/>
        </w:rPr>
        <w:t>并通过了深圳市绿色</w:t>
      </w:r>
      <w:r>
        <w:rPr>
          <w:rFonts w:hint="eastAsia" w:ascii="Times New Roman"/>
          <w:lang w:val="en-US" w:eastAsia="zh-CN"/>
        </w:rPr>
        <w:t>低碳</w:t>
      </w:r>
      <w:r>
        <w:rPr>
          <w:rFonts w:ascii="Times New Roman"/>
        </w:rPr>
        <w:t>产业认定的项目</w:t>
      </w:r>
      <w:r>
        <w:rPr>
          <w:rFonts w:hint="eastAsia" w:ascii="Times New Roman"/>
          <w:lang w:eastAsia="zh-CN"/>
        </w:rPr>
        <w:t>。</w:t>
      </w:r>
    </w:p>
    <w:p>
      <w:pPr>
        <w:pStyle w:val="47"/>
        <w:outlineLvl w:val="0"/>
        <w:rPr>
          <w:rFonts w:ascii="Times New Roman"/>
        </w:rPr>
      </w:pPr>
      <w:bookmarkStart w:id="59" w:name="_Toc55807232"/>
      <w:bookmarkEnd w:id="59"/>
      <w:bookmarkStart w:id="60" w:name="_Toc55807233"/>
      <w:bookmarkEnd w:id="60"/>
      <w:bookmarkStart w:id="61" w:name="_Toc102992453"/>
      <w:bookmarkEnd w:id="61"/>
      <w:bookmarkStart w:id="62" w:name="_Toc52098629"/>
      <w:bookmarkEnd w:id="62"/>
      <w:bookmarkStart w:id="63" w:name="_Toc52098628"/>
      <w:bookmarkEnd w:id="63"/>
      <w:bookmarkStart w:id="64" w:name="_Toc6989"/>
      <w:bookmarkStart w:id="65" w:name="_Toc118282039"/>
      <w:r>
        <w:rPr>
          <w:rFonts w:ascii="Times New Roman"/>
        </w:rPr>
        <w:t>评价</w:t>
      </w:r>
      <w:r>
        <w:rPr>
          <w:rFonts w:hint="eastAsia" w:ascii="Times New Roman"/>
        </w:rPr>
        <w:t>总则</w:t>
      </w:r>
      <w:bookmarkEnd w:id="64"/>
      <w:bookmarkEnd w:id="65"/>
    </w:p>
    <w:p>
      <w:pPr>
        <w:pStyle w:val="44"/>
        <w:outlineLvl w:val="1"/>
        <w:rPr>
          <w:rFonts w:ascii="Times New Roman"/>
        </w:rPr>
      </w:pPr>
      <w:bookmarkStart w:id="66" w:name="_Toc118282040"/>
      <w:bookmarkStart w:id="67" w:name="_Toc29016"/>
      <w:bookmarkStart w:id="68" w:name="_Toc52098632"/>
      <w:r>
        <w:rPr>
          <w:rFonts w:ascii="Times New Roman"/>
        </w:rPr>
        <w:t>评价原则</w:t>
      </w:r>
      <w:bookmarkEnd w:id="66"/>
      <w:bookmarkEnd w:id="67"/>
    </w:p>
    <w:p>
      <w:pPr>
        <w:pStyle w:val="24"/>
        <w:rPr>
          <w:rFonts w:hAnsi="宋体" w:cs="宋体"/>
        </w:rPr>
      </w:pPr>
      <w:r>
        <w:rPr>
          <w:rFonts w:hint="eastAsia" w:hAnsi="宋体" w:cs="宋体"/>
          <w:lang w:eastAsia="zh-CN"/>
        </w:rPr>
        <w:t>绿色低碳产业</w:t>
      </w:r>
      <w:r>
        <w:rPr>
          <w:rFonts w:hint="eastAsia" w:hAnsi="宋体" w:cs="宋体"/>
        </w:rPr>
        <w:t>认定评价遵循以下原则：</w:t>
      </w:r>
    </w:p>
    <w:p>
      <w:pPr>
        <w:pStyle w:val="24"/>
        <w:ind w:left="840" w:leftChars="200" w:hanging="420" w:hangingChars="200"/>
        <w:rPr>
          <w:rFonts w:hAnsi="宋体" w:cs="宋体"/>
        </w:rPr>
      </w:pPr>
      <w:r>
        <w:rPr>
          <w:rFonts w:hint="eastAsia" w:hAnsi="宋体" w:cs="宋体"/>
        </w:rPr>
        <w:t>——科学性。评价过程应根据太阳能产业特点和各子行业差异性，依据本文件及《</w:t>
      </w:r>
      <w:r>
        <w:rPr>
          <w:rFonts w:hint="eastAsia" w:hAnsi="宋体" w:cs="宋体"/>
          <w:lang w:eastAsia="zh-CN"/>
        </w:rPr>
        <w:t>绿色低碳产业</w:t>
      </w:r>
      <w:r>
        <w:rPr>
          <w:rFonts w:hint="eastAsia" w:hAnsi="宋体" w:cs="宋体"/>
        </w:rPr>
        <w:t>认定评价导则》，采用科学的方法，全面、客观地评价企事业单位实际情况，给出评价结论。</w:t>
      </w:r>
    </w:p>
    <w:p>
      <w:pPr>
        <w:pStyle w:val="24"/>
        <w:rPr>
          <w:rFonts w:hAnsi="宋体" w:cs="宋体"/>
        </w:rPr>
      </w:pPr>
      <w:r>
        <w:rPr>
          <w:rFonts w:hint="eastAsia" w:hAnsi="宋体" w:cs="宋体"/>
        </w:rPr>
        <w:t>——可验证性。应详细记录评价材料、数据、文件等的获取途径、渠道，保留原始的测试数据、材</w:t>
      </w:r>
    </w:p>
    <w:p>
      <w:pPr>
        <w:pStyle w:val="24"/>
        <w:ind w:firstLine="840" w:firstLineChars="400"/>
        <w:rPr>
          <w:rFonts w:ascii="Times New Roman"/>
        </w:rPr>
      </w:pPr>
      <w:r>
        <w:rPr>
          <w:rFonts w:hint="eastAsia" w:hAnsi="宋体" w:cs="宋体"/>
        </w:rPr>
        <w:t>料，保证数据、材料的可溯源性和可验证性。</w:t>
      </w:r>
    </w:p>
    <w:p>
      <w:pPr>
        <w:pStyle w:val="24"/>
        <w:ind w:left="840" w:leftChars="200" w:hanging="420" w:hangingChars="200"/>
        <w:rPr>
          <w:rFonts w:ascii="Times New Roman"/>
        </w:rPr>
      </w:pPr>
      <w:r>
        <w:rPr>
          <w:rFonts w:hint="eastAsia" w:hAnsi="宋体" w:cs="宋体"/>
        </w:rPr>
        <w:t>——审慎性。自评报告应给出谨慎的评价意见，对于基础数据不全、信息不完整的企事业单位，应说明由于条件不具备无法给出评价结论。</w:t>
      </w:r>
    </w:p>
    <w:bookmarkEnd w:id="68"/>
    <w:p>
      <w:pPr>
        <w:pStyle w:val="44"/>
        <w:outlineLvl w:val="1"/>
        <w:rPr>
          <w:rFonts w:ascii="Times New Roman"/>
        </w:rPr>
      </w:pPr>
      <w:bookmarkStart w:id="69" w:name="_Toc102992456"/>
      <w:bookmarkStart w:id="70" w:name="_Toc118282041"/>
      <w:bookmarkStart w:id="71" w:name="_Toc1526"/>
      <w:r>
        <w:rPr>
          <w:rFonts w:ascii="Times New Roman"/>
        </w:rPr>
        <w:t>基本要求</w:t>
      </w:r>
      <w:bookmarkEnd w:id="69"/>
      <w:bookmarkEnd w:id="70"/>
      <w:bookmarkEnd w:id="71"/>
    </w:p>
    <w:p>
      <w:pPr>
        <w:pStyle w:val="24"/>
        <w:rPr>
          <w:rFonts w:hAnsi="宋体" w:cs="宋体"/>
        </w:rPr>
      </w:pPr>
      <w:r>
        <w:rPr>
          <w:rFonts w:hint="eastAsia" w:hAnsi="宋体" w:cs="宋体"/>
        </w:rPr>
        <w:t>申报绿色</w:t>
      </w:r>
      <w:r>
        <w:rPr>
          <w:rFonts w:hint="eastAsia" w:hAnsi="宋体" w:cs="宋体"/>
          <w:lang w:val="en-US" w:eastAsia="zh-CN"/>
        </w:rPr>
        <w:t>低碳</w:t>
      </w:r>
      <w:r>
        <w:rPr>
          <w:rFonts w:hint="eastAsia" w:hAnsi="宋体" w:cs="宋体"/>
        </w:rPr>
        <w:t>产业认定评价的企事业单位</w:t>
      </w:r>
      <w:r>
        <w:rPr>
          <w:rFonts w:hint="eastAsia" w:hAnsi="宋体" w:cs="宋体"/>
          <w:lang w:val="en-US" w:eastAsia="zh-CN"/>
        </w:rPr>
        <w:t>或项目业主</w:t>
      </w:r>
      <w:r>
        <w:rPr>
          <w:rFonts w:hint="eastAsia" w:hAnsi="宋体" w:cs="宋体"/>
        </w:rPr>
        <w:t>应满足下列所有条件：</w:t>
      </w:r>
    </w:p>
    <w:p>
      <w:pPr>
        <w:pStyle w:val="24"/>
        <w:rPr>
          <w:rFonts w:hint="eastAsia" w:hAnsi="宋体" w:cs="宋体"/>
          <w:lang w:val="en-US" w:eastAsia="zh-CN"/>
        </w:rPr>
      </w:pPr>
      <w:r>
        <w:rPr>
          <w:rFonts w:hint="eastAsia" w:hAnsi="宋体" w:cs="宋体"/>
        </w:rPr>
        <w:t>——</w:t>
      </w:r>
      <w:r>
        <w:rPr>
          <w:rFonts w:hint="eastAsia" w:hAnsi="宋体" w:cs="宋体"/>
          <w:lang w:val="en-US" w:eastAsia="zh-CN"/>
        </w:rPr>
        <w:t>在深圳市（含深汕特别合作区）行政辖区内注册满一年的法人企业或事业单位法人，总部设立</w:t>
      </w:r>
    </w:p>
    <w:p>
      <w:pPr>
        <w:pStyle w:val="24"/>
        <w:ind w:firstLine="840" w:firstLineChars="400"/>
        <w:rPr>
          <w:rFonts w:hint="default" w:hAnsi="宋体" w:eastAsia="宋体" w:cs="宋体"/>
          <w:lang w:val="en-US" w:eastAsia="zh-CN"/>
        </w:rPr>
      </w:pPr>
      <w:r>
        <w:rPr>
          <w:rFonts w:hint="eastAsia" w:hAnsi="宋体" w:cs="宋体"/>
          <w:lang w:val="en-US" w:eastAsia="zh-CN"/>
        </w:rPr>
        <w:t>在深圳的集团公司可联合深圳市行政辖区外的控股子公司共同申报</w:t>
      </w:r>
      <w:r>
        <w:rPr>
          <w:rFonts w:hint="eastAsia" w:hAnsi="宋体" w:cs="宋体"/>
        </w:rPr>
        <w:t>；</w:t>
      </w:r>
    </w:p>
    <w:p>
      <w:pPr>
        <w:pStyle w:val="24"/>
        <w:rPr>
          <w:rFonts w:hAnsi="宋体" w:cs="宋体"/>
        </w:rPr>
      </w:pPr>
      <w:r>
        <w:rPr>
          <w:rFonts w:hint="eastAsia" w:hAnsi="宋体" w:cs="宋体"/>
        </w:rPr>
        <w:t>——</w:t>
      </w:r>
      <w:r>
        <w:rPr>
          <w:rFonts w:hint="eastAsia" w:hAnsi="宋体" w:cs="宋体"/>
          <w:lang w:val="en-US" w:eastAsia="zh-CN"/>
        </w:rPr>
        <w:t>在申报、认定及结果公示期结束之前均未被列入失信联合惩戒黑名单及失信被执行人名单</w:t>
      </w:r>
      <w:r>
        <w:rPr>
          <w:rFonts w:hint="eastAsia" w:hAnsi="宋体" w:cs="宋体"/>
        </w:rPr>
        <w:t>；</w:t>
      </w:r>
    </w:p>
    <w:p>
      <w:pPr>
        <w:pStyle w:val="24"/>
        <w:rPr>
          <w:rFonts w:hAnsi="宋体" w:cs="宋体"/>
        </w:rPr>
      </w:pPr>
      <w:r>
        <w:rPr>
          <w:rFonts w:hint="eastAsia" w:hAnsi="宋体" w:cs="宋体"/>
        </w:rPr>
        <w:t>——</w:t>
      </w:r>
      <w:r>
        <w:rPr>
          <w:rFonts w:hint="eastAsia" w:hAnsi="宋体" w:cs="宋体"/>
          <w:lang w:val="en-US" w:eastAsia="zh-CN"/>
        </w:rPr>
        <w:t>申报前三年内未发生重大安全、重大质量事故或严重环境违法行为</w:t>
      </w:r>
      <w:r>
        <w:rPr>
          <w:rFonts w:hint="eastAsia" w:hAnsi="宋体" w:cs="宋体"/>
        </w:rPr>
        <w:t>；</w:t>
      </w:r>
    </w:p>
    <w:p>
      <w:pPr>
        <w:pStyle w:val="24"/>
        <w:rPr>
          <w:rFonts w:ascii="Times New Roman"/>
        </w:rPr>
      </w:pPr>
      <w:r>
        <w:rPr>
          <w:rFonts w:hint="eastAsia" w:hAnsi="宋体" w:cs="宋体"/>
        </w:rPr>
        <w:t>——《深圳市绿色</w:t>
      </w:r>
      <w:r>
        <w:rPr>
          <w:rFonts w:hint="eastAsia" w:hAnsi="宋体" w:cs="宋体"/>
          <w:lang w:val="en-US" w:eastAsia="zh-CN"/>
        </w:rPr>
        <w:t>低碳</w:t>
      </w:r>
      <w:r>
        <w:rPr>
          <w:rFonts w:hint="eastAsia" w:hAnsi="宋体" w:cs="宋体"/>
        </w:rPr>
        <w:t>产业认定管理办法》所规定的其他要求。</w:t>
      </w:r>
    </w:p>
    <w:p>
      <w:pPr>
        <w:pStyle w:val="47"/>
        <w:outlineLvl w:val="0"/>
        <w:rPr>
          <w:rFonts w:ascii="Times New Roman"/>
        </w:rPr>
      </w:pPr>
      <w:bookmarkStart w:id="72" w:name="_Toc6991"/>
      <w:bookmarkStart w:id="73" w:name="_Toc118282042"/>
      <w:bookmarkStart w:id="74" w:name="_Toc80690492"/>
      <w:bookmarkStart w:id="75" w:name="_Toc102992458"/>
      <w:r>
        <w:rPr>
          <w:rFonts w:hint="eastAsia" w:ascii="Times New Roman"/>
          <w:lang w:eastAsia="zh-CN"/>
        </w:rPr>
        <w:t>绿色低碳产业企业</w:t>
      </w:r>
      <w:r>
        <w:rPr>
          <w:rFonts w:hint="eastAsia" w:ascii="Times New Roman"/>
          <w:lang w:val="en-US" w:eastAsia="zh-CN"/>
        </w:rPr>
        <w:t>综合</w:t>
      </w:r>
      <w:r>
        <w:rPr>
          <w:rFonts w:ascii="Times New Roman"/>
        </w:rPr>
        <w:t>评价指标</w:t>
      </w:r>
      <w:bookmarkEnd w:id="72"/>
      <w:bookmarkEnd w:id="73"/>
      <w:bookmarkEnd w:id="74"/>
      <w:bookmarkEnd w:id="75"/>
    </w:p>
    <w:p>
      <w:pPr>
        <w:pStyle w:val="44"/>
        <w:outlineLvl w:val="1"/>
        <w:rPr>
          <w:rFonts w:ascii="Times New Roman"/>
        </w:rPr>
      </w:pPr>
      <w:bookmarkStart w:id="76" w:name="_Toc23388"/>
      <w:bookmarkStart w:id="77" w:name="_Toc118282043"/>
      <w:bookmarkStart w:id="78" w:name="_Toc102992460"/>
      <w:r>
        <w:rPr>
          <w:rFonts w:ascii="Times New Roman"/>
        </w:rPr>
        <w:t>符合性评价</w:t>
      </w:r>
      <w:bookmarkEnd w:id="76"/>
      <w:bookmarkEnd w:id="77"/>
      <w:bookmarkEnd w:id="78"/>
    </w:p>
    <w:p>
      <w:pPr>
        <w:pStyle w:val="48"/>
        <w:spacing w:before="156" w:after="156"/>
        <w:rPr>
          <w:rFonts w:ascii="Times New Roman"/>
        </w:rPr>
      </w:pPr>
      <w:r>
        <w:rPr>
          <w:rFonts w:ascii="Times New Roman"/>
        </w:rPr>
        <w:t>目录符合</w:t>
      </w:r>
    </w:p>
    <w:p>
      <w:pPr>
        <w:pStyle w:val="24"/>
        <w:rPr>
          <w:rFonts w:ascii="Times New Roman"/>
        </w:rPr>
      </w:pPr>
      <w:r>
        <w:rPr>
          <w:rFonts w:hint="eastAsia" w:ascii="Times New Roman"/>
        </w:rPr>
        <w:t>申报认定评价的主营业务应属于太阳能产品、太阳能生产装备、太阳能利用设施建设和运营等太阳能产业。</w:t>
      </w:r>
      <w:r>
        <w:rPr>
          <w:rFonts w:hint="eastAsia" w:ascii="Times New Roman"/>
          <w:highlight w:val="none"/>
        </w:rPr>
        <w:t>且</w:t>
      </w:r>
      <w:r>
        <w:rPr>
          <w:rFonts w:hint="eastAsia" w:ascii="Times New Roman" w:hAnsi="Times New Roman" w:eastAsia="宋体"/>
          <w:highlight w:val="none"/>
        </w:rPr>
        <w:t>其绿色业务占比达到50%或以上，或跨界规模达到1亿元、在国内外新兴领域超前领先。</w:t>
      </w:r>
    </w:p>
    <w:p>
      <w:pPr>
        <w:pStyle w:val="48"/>
        <w:spacing w:before="156" w:after="156"/>
        <w:rPr>
          <w:rFonts w:ascii="Times New Roman"/>
        </w:rPr>
      </w:pPr>
      <w:r>
        <w:rPr>
          <w:rFonts w:ascii="Times New Roman"/>
        </w:rPr>
        <w:t>技术符合</w:t>
      </w:r>
    </w:p>
    <w:p>
      <w:pPr>
        <w:pStyle w:val="24"/>
        <w:rPr>
          <w:rFonts w:ascii="Times New Roman"/>
        </w:rPr>
      </w:pPr>
      <w:r>
        <w:rPr>
          <w:rFonts w:hint="eastAsia" w:hAnsi="宋体" w:cs="宋体"/>
        </w:rPr>
        <w:t>提供的产品或服务应符合国家、广东省及深圳市相关主管部门发布的法律法规和政策标准要求，</w:t>
      </w:r>
      <w:r>
        <w:rPr>
          <w:rFonts w:hint="eastAsia" w:ascii="Times New Roman"/>
        </w:rPr>
        <w:t>相关</w:t>
      </w:r>
      <w:r>
        <w:rPr>
          <w:rFonts w:hint="eastAsia" w:ascii="Times New Roman"/>
          <w:lang w:eastAsia="zh-CN"/>
        </w:rPr>
        <w:t>太阳能</w:t>
      </w:r>
      <w:r>
        <w:rPr>
          <w:rFonts w:hint="eastAsia" w:ascii="Times New Roman"/>
        </w:rPr>
        <w:t>产品及</w:t>
      </w:r>
      <w:r>
        <w:rPr>
          <w:rFonts w:hint="eastAsia" w:ascii="Times New Roman"/>
          <w:lang w:eastAsia="zh-CN"/>
        </w:rPr>
        <w:t>装备</w:t>
      </w:r>
      <w:r>
        <w:rPr>
          <w:rFonts w:hint="eastAsia" w:ascii="Times New Roman"/>
        </w:rPr>
        <w:t>制造活动、</w:t>
      </w:r>
      <w:r>
        <w:rPr>
          <w:rFonts w:hint="eastAsia" w:ascii="Times New Roman"/>
          <w:lang w:eastAsia="zh-CN"/>
        </w:rPr>
        <w:t>太阳能</w:t>
      </w:r>
      <w:r>
        <w:rPr>
          <w:rFonts w:hint="eastAsia" w:ascii="Times New Roman"/>
        </w:rPr>
        <w:t>利用设施建设和运营情况符合深圳市</w:t>
      </w:r>
      <w:r>
        <w:rPr>
          <w:rFonts w:hint="eastAsia" w:ascii="Times New Roman"/>
          <w:lang w:eastAsia="zh-CN"/>
        </w:rPr>
        <w:t>绿色低碳产业</w:t>
      </w:r>
      <w:r>
        <w:rPr>
          <w:rFonts w:hint="eastAsia" w:ascii="Times New Roman"/>
        </w:rPr>
        <w:t>认定规则体系规定的技术要求。</w:t>
      </w:r>
    </w:p>
    <w:p>
      <w:pPr>
        <w:pStyle w:val="44"/>
        <w:outlineLvl w:val="1"/>
        <w:rPr>
          <w:rFonts w:ascii="Times New Roman"/>
        </w:rPr>
      </w:pPr>
      <w:bookmarkStart w:id="79" w:name="_Toc82684150"/>
      <w:bookmarkEnd w:id="79"/>
      <w:bookmarkStart w:id="80" w:name="_Toc118282044"/>
      <w:bookmarkStart w:id="81" w:name="_Toc28123"/>
      <w:bookmarkStart w:id="82" w:name="_Toc102992461"/>
      <w:r>
        <w:rPr>
          <w:rFonts w:ascii="Times New Roman"/>
        </w:rPr>
        <w:t>综合评价</w:t>
      </w:r>
      <w:bookmarkEnd w:id="80"/>
      <w:bookmarkEnd w:id="81"/>
      <w:bookmarkEnd w:id="82"/>
    </w:p>
    <w:p>
      <w:pPr>
        <w:pStyle w:val="48"/>
        <w:spacing w:before="156" w:after="156"/>
        <w:rPr>
          <w:rFonts w:ascii="Times New Roman"/>
        </w:rPr>
      </w:pPr>
      <w:r>
        <w:rPr>
          <w:rFonts w:ascii="Times New Roman"/>
        </w:rPr>
        <w:t>技术表现</w:t>
      </w:r>
    </w:p>
    <w:p>
      <w:pPr>
        <w:pStyle w:val="53"/>
        <w:numPr>
          <w:ilvl w:val="3"/>
          <w:numId w:val="2"/>
        </w:numPr>
        <w:spacing w:before="156" w:after="156"/>
        <w:rPr>
          <w:rFonts w:ascii="Times New Roman"/>
        </w:rPr>
      </w:pPr>
      <w:r>
        <w:rPr>
          <w:rFonts w:ascii="Times New Roman"/>
        </w:rPr>
        <w:t>先进性</w:t>
      </w:r>
    </w:p>
    <w:p>
      <w:pPr>
        <w:pStyle w:val="57"/>
        <w:spacing w:before="156" w:after="156"/>
        <w:rPr>
          <w:rFonts w:ascii="Times New Roman"/>
        </w:rPr>
      </w:pPr>
      <w:r>
        <w:rPr>
          <w:rFonts w:ascii="Times New Roman"/>
        </w:rPr>
        <w:t>有效知识产权</w:t>
      </w:r>
    </w:p>
    <w:p>
      <w:pPr>
        <w:pStyle w:val="24"/>
        <w:rPr>
          <w:rFonts w:hAnsi="宋体" w:cs="宋体"/>
        </w:rPr>
      </w:pPr>
      <w:r>
        <w:rPr>
          <w:rFonts w:hint="eastAsia" w:hAnsi="宋体" w:cs="宋体"/>
        </w:rPr>
        <w:t>有效知识产权是指在申请认定评价的绿色业务领域，通过自主研发、受让、受赠、并购等方式，获得的发明专利、实用新型、非简单改变产品图案和形状的外观设计、软件著作权。具体评分规则见表1。</w:t>
      </w:r>
    </w:p>
    <w:p>
      <w:pPr>
        <w:pStyle w:val="128"/>
        <w:rPr>
          <w:rFonts w:ascii="Times New Roman"/>
        </w:rPr>
      </w:pPr>
      <w:r>
        <w:rPr>
          <w:rFonts w:ascii="Times New Roman"/>
        </w:rPr>
        <w:t>有效知识产权评分规则表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8" w:space="0"/>
              <w:right w:val="single" w:color="auto" w:sz="4" w:space="0"/>
            </w:tcBorders>
            <w:vAlign w:val="center"/>
          </w:tcPr>
          <w:p>
            <w:pPr>
              <w:pStyle w:val="24"/>
              <w:ind w:firstLine="0" w:firstLineChars="0"/>
              <w:jc w:val="center"/>
              <w:rPr>
                <w:rFonts w:ascii="Times New Roman"/>
                <w:b/>
                <w:bCs/>
                <w:sz w:val="18"/>
                <w:szCs w:val="16"/>
              </w:rPr>
            </w:pPr>
            <w:r>
              <w:rPr>
                <w:rFonts w:ascii="Times New Roman"/>
                <w:b/>
                <w:bCs/>
                <w:sz w:val="18"/>
                <w:szCs w:val="16"/>
              </w:rPr>
              <w:t>有效知识产权数量</w:t>
            </w:r>
            <w:r>
              <w:rPr>
                <w:rFonts w:hint="eastAsia" w:ascii="Times New Roman"/>
                <w:b/>
                <w:bCs/>
                <w:sz w:val="18"/>
                <w:szCs w:val="16"/>
              </w:rPr>
              <w:t>（个）</w:t>
            </w:r>
          </w:p>
        </w:tc>
        <w:tc>
          <w:tcPr>
            <w:tcW w:w="1219" w:type="dxa"/>
            <w:tcBorders>
              <w:top w:val="single" w:color="auto" w:sz="8" w:space="0"/>
              <w:left w:val="single" w:color="auto" w:sz="4" w:space="0"/>
              <w:bottom w:val="single" w:color="auto" w:sz="8" w:space="0"/>
              <w:right w:val="single" w:color="auto" w:sz="8" w:space="0"/>
            </w:tcBorders>
            <w:vAlign w:val="center"/>
          </w:tcPr>
          <w:p>
            <w:pPr>
              <w:pStyle w:val="24"/>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4" w:space="0"/>
              <w:right w:val="single" w:color="auto" w:sz="4" w:space="0"/>
            </w:tcBorders>
          </w:tcPr>
          <w:p>
            <w:pPr>
              <w:pStyle w:val="24"/>
              <w:ind w:firstLine="0" w:firstLineChars="0"/>
              <w:jc w:val="center"/>
              <w:rPr>
                <w:rFonts w:hint="eastAsia" w:hAnsi="宋体" w:eastAsia="宋体" w:cs="宋体"/>
                <w:sz w:val="18"/>
                <w:szCs w:val="16"/>
                <w:lang w:val="en-US" w:eastAsia="zh-CN"/>
              </w:rPr>
            </w:pPr>
            <w:r>
              <w:rPr>
                <w:rFonts w:hint="eastAsia" w:hAnsi="宋体" w:cs="宋体"/>
                <w:sz w:val="18"/>
                <w:szCs w:val="16"/>
              </w:rPr>
              <w:t>≥</w:t>
            </w:r>
            <w:r>
              <w:rPr>
                <w:rFonts w:hint="eastAsia" w:hAnsi="宋体" w:cs="宋体"/>
                <w:sz w:val="18"/>
                <w:szCs w:val="16"/>
                <w:lang w:val="en-US" w:eastAsia="zh-CN"/>
              </w:rPr>
              <w:t>15</w:t>
            </w:r>
          </w:p>
        </w:tc>
        <w:tc>
          <w:tcPr>
            <w:tcW w:w="1219" w:type="dxa"/>
            <w:tcBorders>
              <w:top w:val="single" w:color="auto" w:sz="8" w:space="0"/>
              <w:left w:val="single" w:color="auto" w:sz="4" w:space="0"/>
              <w:bottom w:val="single" w:color="auto" w:sz="4" w:space="0"/>
              <w:right w:val="single" w:color="auto" w:sz="8" w:space="0"/>
            </w:tcBorders>
          </w:tcPr>
          <w:p>
            <w:pPr>
              <w:pStyle w:val="24"/>
              <w:ind w:firstLine="0" w:firstLineChars="0"/>
              <w:jc w:val="center"/>
              <w:rPr>
                <w:rFonts w:hAnsi="宋体" w:cs="宋体"/>
                <w:sz w:val="18"/>
                <w:szCs w:val="16"/>
              </w:rPr>
            </w:pPr>
            <w:r>
              <w:rPr>
                <w:rFonts w:hint="eastAsia" w:hAnsi="宋体" w:cs="宋体"/>
                <w:sz w:val="18"/>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4"/>
              <w:ind w:firstLine="0" w:firstLineChars="0"/>
              <w:jc w:val="center"/>
              <w:rPr>
                <w:rFonts w:hAnsi="宋体" w:cs="宋体"/>
                <w:sz w:val="18"/>
                <w:szCs w:val="16"/>
              </w:rPr>
            </w:pPr>
            <w:r>
              <w:rPr>
                <w:rFonts w:hint="eastAsia" w:hAnsi="宋体" w:cs="宋体"/>
                <w:sz w:val="18"/>
                <w:szCs w:val="16"/>
              </w:rPr>
              <w:t>[</w:t>
            </w:r>
            <w:r>
              <w:rPr>
                <w:rFonts w:hint="eastAsia" w:hAnsi="宋体" w:cs="宋体"/>
                <w:sz w:val="18"/>
                <w:szCs w:val="16"/>
                <w:lang w:val="en-US" w:eastAsia="zh-CN"/>
              </w:rPr>
              <w:t>8</w:t>
            </w:r>
            <w:r>
              <w:rPr>
                <w:rFonts w:hint="eastAsia" w:hAnsi="宋体" w:cs="宋体"/>
                <w:sz w:val="18"/>
                <w:szCs w:val="16"/>
              </w:rPr>
              <w:t>,</w:t>
            </w:r>
            <w:r>
              <w:rPr>
                <w:rFonts w:hint="eastAsia" w:hAnsi="宋体" w:cs="宋体"/>
                <w:sz w:val="18"/>
                <w:szCs w:val="16"/>
                <w:lang w:val="en-US" w:eastAsia="zh-CN"/>
              </w:rPr>
              <w:t>15</w:t>
            </w:r>
            <w:r>
              <w:rPr>
                <w:rFonts w:hint="eastAsia" w:hAnsi="宋体" w:cs="宋体"/>
                <w:sz w:val="18"/>
                <w:szCs w:val="16"/>
              </w:rPr>
              <w:t>)</w:t>
            </w:r>
          </w:p>
        </w:tc>
        <w:tc>
          <w:tcPr>
            <w:tcW w:w="1219" w:type="dxa"/>
            <w:tcBorders>
              <w:top w:val="single" w:color="auto" w:sz="4" w:space="0"/>
              <w:left w:val="single" w:color="auto" w:sz="4" w:space="0"/>
              <w:bottom w:val="single" w:color="auto" w:sz="4" w:space="0"/>
              <w:right w:val="single" w:color="auto" w:sz="8" w:space="0"/>
            </w:tcBorders>
          </w:tcPr>
          <w:p>
            <w:pPr>
              <w:pStyle w:val="24"/>
              <w:ind w:firstLine="0" w:firstLineChars="0"/>
              <w:jc w:val="center"/>
              <w:rPr>
                <w:rFonts w:hAnsi="宋体" w:cs="宋体"/>
                <w:sz w:val="18"/>
                <w:szCs w:val="16"/>
              </w:rPr>
            </w:pPr>
            <w:r>
              <w:rPr>
                <w:rFonts w:hint="eastAsia" w:hAnsi="宋体" w:cs="宋体"/>
                <w:sz w:val="18"/>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4"/>
              <w:ind w:firstLine="0" w:firstLineChars="0"/>
              <w:jc w:val="center"/>
              <w:rPr>
                <w:rFonts w:hAnsi="宋体" w:cs="宋体"/>
                <w:sz w:val="18"/>
                <w:szCs w:val="16"/>
              </w:rPr>
            </w:pPr>
            <w:r>
              <w:rPr>
                <w:rFonts w:hint="eastAsia" w:hAnsi="宋体" w:cs="宋体"/>
                <w:sz w:val="18"/>
                <w:szCs w:val="16"/>
              </w:rPr>
              <w:t>[</w:t>
            </w:r>
            <w:r>
              <w:rPr>
                <w:rFonts w:hint="eastAsia" w:hAnsi="宋体" w:cs="宋体"/>
                <w:sz w:val="18"/>
                <w:szCs w:val="16"/>
                <w:lang w:val="en-US" w:eastAsia="zh-CN"/>
              </w:rPr>
              <w:t>1</w:t>
            </w:r>
            <w:r>
              <w:rPr>
                <w:rFonts w:hint="eastAsia" w:hAnsi="宋体" w:cs="宋体"/>
                <w:sz w:val="18"/>
                <w:szCs w:val="16"/>
              </w:rPr>
              <w:t>,</w:t>
            </w:r>
            <w:r>
              <w:rPr>
                <w:rFonts w:hint="eastAsia" w:hAnsi="宋体" w:cs="宋体"/>
                <w:sz w:val="18"/>
                <w:szCs w:val="16"/>
                <w:lang w:val="en-US" w:eastAsia="zh-CN"/>
              </w:rPr>
              <w:t>8</w:t>
            </w:r>
            <w:r>
              <w:rPr>
                <w:rFonts w:hint="eastAsia" w:hAnsi="宋体" w:cs="宋体"/>
                <w:sz w:val="18"/>
                <w:szCs w:val="16"/>
              </w:rPr>
              <w:t>)</w:t>
            </w:r>
          </w:p>
        </w:tc>
        <w:tc>
          <w:tcPr>
            <w:tcW w:w="1219" w:type="dxa"/>
            <w:tcBorders>
              <w:top w:val="single" w:color="auto" w:sz="4" w:space="0"/>
              <w:left w:val="single" w:color="auto" w:sz="4" w:space="0"/>
              <w:bottom w:val="single" w:color="auto" w:sz="4" w:space="0"/>
              <w:right w:val="single" w:color="auto" w:sz="8" w:space="0"/>
            </w:tcBorders>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vAlign w:val="top"/>
          </w:tcPr>
          <w:p>
            <w:pPr>
              <w:pStyle w:val="24"/>
              <w:ind w:firstLine="0" w:firstLineChars="0"/>
              <w:jc w:val="center"/>
              <w:rPr>
                <w:rFonts w:hint="eastAsia" w:hAnsi="宋体" w:cs="宋体"/>
                <w:sz w:val="18"/>
                <w:szCs w:val="16"/>
              </w:rPr>
            </w:pPr>
            <w:r>
              <w:rPr>
                <w:rFonts w:hint="eastAsia" w:hAnsi="宋体" w:cs="宋体"/>
                <w:sz w:val="18"/>
                <w:szCs w:val="16"/>
              </w:rPr>
              <w:t>[0,1)</w:t>
            </w:r>
          </w:p>
        </w:tc>
        <w:tc>
          <w:tcPr>
            <w:tcW w:w="1219" w:type="dxa"/>
            <w:tcBorders>
              <w:top w:val="single" w:color="auto" w:sz="4" w:space="0"/>
              <w:left w:val="single" w:color="auto" w:sz="4" w:space="0"/>
              <w:bottom w:val="single" w:color="auto" w:sz="8" w:space="0"/>
              <w:right w:val="single" w:color="auto" w:sz="8" w:space="0"/>
            </w:tcBorders>
            <w:vAlign w:val="top"/>
          </w:tcPr>
          <w:p>
            <w:pPr>
              <w:pStyle w:val="24"/>
              <w:ind w:firstLine="0" w:firstLineChars="0"/>
              <w:jc w:val="center"/>
              <w:rPr>
                <w:rFonts w:hint="eastAsia" w:hAnsi="宋体" w:cs="宋体"/>
                <w:sz w:val="18"/>
                <w:szCs w:val="16"/>
              </w:rPr>
            </w:pPr>
            <w:r>
              <w:rPr>
                <w:rFonts w:hint="eastAsia" w:hAnsi="宋体" w:cs="宋体"/>
                <w:sz w:val="18"/>
                <w:szCs w:val="16"/>
              </w:rPr>
              <w:t>0</w:t>
            </w:r>
          </w:p>
        </w:tc>
      </w:tr>
    </w:tbl>
    <w:p>
      <w:pPr>
        <w:pStyle w:val="24"/>
        <w:rPr>
          <w:rFonts w:hAnsi="宋体" w:cs="宋体"/>
        </w:rPr>
      </w:pPr>
      <w:r>
        <w:rPr>
          <w:rFonts w:hint="eastAsia" w:hAnsi="宋体" w:cs="宋体"/>
        </w:rPr>
        <w:t>有效知识产权数量采用加权法进行计算。在知识产权类别上，以发明专利为折算基数，实用新型专利按折算系数0.5进行计算，软件著作权、外观设计专利数量按折算系数0.2进行计算。在知识产权获得形式上，以自主研发为折算基数，通过受让、受赠、并购方式获取其所有权的，按折算系数0.5进行计算。计算公式如下：</w:t>
      </w:r>
    </w:p>
    <w:p>
      <w:pPr>
        <w:pStyle w:val="24"/>
        <w:rPr>
          <w:rFonts w:hAnsi="宋体" w:cs="宋体"/>
        </w:rPr>
      </w:pPr>
      <m:oMathPara>
        <m:oMath>
          <m:r>
            <m:rPr/>
            <w:rPr>
              <w:rFonts w:hint="eastAsia" w:ascii="Cambria Math" w:hAnsi="Cambria Math" w:cs="宋体"/>
            </w:rPr>
            <m:t>N</m:t>
          </m:r>
          <m:r>
            <m:rPr>
              <m:sty m:val="p"/>
            </m:rPr>
            <w:rPr>
              <w:rFonts w:hint="eastAsia" w:ascii="Cambria Math" w:hAnsi="Cambria Math" w:cs="宋体"/>
            </w:rPr>
            <m:t>=</m:t>
          </m:r>
          <m:nary>
            <m:naryPr>
              <m:chr m:val="∑"/>
              <m:limLoc m:val="undOvr"/>
              <m:ctrlPr>
                <w:rPr>
                  <w:rFonts w:hint="eastAsia" w:ascii="Cambria Math" w:hAnsi="Cambria Math" w:cs="宋体"/>
                </w:rPr>
              </m:ctrlPr>
            </m:naryPr>
            <m:sub>
              <m:r>
                <m:rPr/>
                <w:rPr>
                  <w:rFonts w:hint="eastAsia" w:ascii="Cambria Math" w:hAnsi="Cambria Math" w:cs="宋体"/>
                </w:rPr>
                <m:t>i=1</m:t>
              </m:r>
              <m:ctrlPr>
                <w:rPr>
                  <w:rFonts w:hint="eastAsia" w:ascii="Cambria Math" w:hAnsi="Cambria Math" w:cs="宋体"/>
                </w:rPr>
              </m:ctrlPr>
            </m:sub>
            <m:sup>
              <m:r>
                <m:rPr/>
                <w:rPr>
                  <w:rFonts w:hint="eastAsia" w:ascii="Cambria Math" w:hAnsi="Cambria Math" w:cs="宋体"/>
                </w:rPr>
                <m:t>n</m:t>
              </m:r>
              <m:ctrlPr>
                <w:rPr>
                  <w:rFonts w:hint="eastAsia" w:ascii="Cambria Math" w:hAnsi="Cambria Math" w:cs="宋体"/>
                </w:rPr>
              </m:ctrlPr>
            </m:sup>
            <m:e>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rPr>
              </m:ctrlPr>
            </m:e>
          </m:nary>
        </m:oMath>
      </m:oMathPara>
    </w:p>
    <w:p>
      <w:pPr>
        <w:pStyle w:val="24"/>
        <w:rPr>
          <w:rFonts w:hAnsi="宋体" w:cs="宋体"/>
        </w:rPr>
      </w:pPr>
      <w:r>
        <w:rPr>
          <w:rFonts w:hint="eastAsia" w:hAnsi="宋体" w:cs="宋体"/>
        </w:rPr>
        <w:t>式中：</w:t>
      </w:r>
    </w:p>
    <w:p>
      <w:pPr>
        <w:pStyle w:val="24"/>
        <w:rPr>
          <w:rFonts w:hAnsi="宋体" w:cs="宋体"/>
        </w:rPr>
      </w:pPr>
      <m:oMath>
        <m:r>
          <m:rPr/>
          <w:rPr>
            <w:rFonts w:ascii="Cambria Math" w:hAnsi="Cambria Math" w:cs="宋体"/>
          </w:rPr>
          <m:t>N</m:t>
        </m:r>
      </m:oMath>
      <w:r>
        <w:rPr>
          <w:rFonts w:hint="eastAsia" w:hAnsi="宋体" w:cs="宋体"/>
        </w:rPr>
        <w:t>——有效知识产权数量；</w:t>
      </w:r>
    </w:p>
    <w:p>
      <w:pPr>
        <w:pStyle w:val="24"/>
        <w:rPr>
          <w:rFonts w:hAnsi="宋体" w:cs="宋体"/>
        </w:rPr>
      </w:pPr>
      <m:oMath>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——第i个知识产权的类别折算系数；</w:t>
      </w:r>
    </w:p>
    <w:p>
      <w:pPr>
        <w:pStyle w:val="24"/>
        <w:rPr>
          <w:rFonts w:ascii="Times New Roman"/>
        </w:rPr>
      </w:pPr>
      <m:oMath>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——第i个知识产权的获得形式折算系数。</w:t>
      </w:r>
    </w:p>
    <w:p>
      <w:pPr>
        <w:pStyle w:val="57"/>
        <w:spacing w:before="156" w:after="156"/>
        <w:rPr>
          <w:rFonts w:ascii="Times New Roman"/>
        </w:rPr>
      </w:pPr>
      <w:r>
        <w:rPr>
          <w:rFonts w:ascii="Times New Roman"/>
        </w:rPr>
        <w:t>参与制修订标准</w:t>
      </w:r>
    </w:p>
    <w:p>
      <w:pPr>
        <w:pStyle w:val="24"/>
        <w:rPr>
          <w:rFonts w:hint="eastAsia" w:hAnsi="宋体" w:cs="宋体"/>
        </w:rPr>
      </w:pPr>
      <w:r>
        <w:rPr>
          <w:rFonts w:hint="eastAsia" w:hAnsi="宋体" w:cs="宋体"/>
        </w:rPr>
        <w:t>参与制修订标准是指在申请认定评价的绿色业务领域，参与国家标准、行业标准、地方标准的制修订工作。具体评分规则见表2。</w:t>
      </w:r>
      <w:r>
        <w:rPr>
          <w:rFonts w:hint="eastAsia" w:hAnsi="宋体" w:cs="宋体"/>
        </w:rPr>
        <w:br w:type="page"/>
      </w:r>
    </w:p>
    <w:p>
      <w:pPr>
        <w:pStyle w:val="128"/>
        <w:rPr>
          <w:rFonts w:ascii="Times New Roman"/>
        </w:rPr>
      </w:pPr>
      <w:r>
        <w:rPr>
          <w:rFonts w:ascii="Times New Roman"/>
        </w:rPr>
        <w:t>参与制修订标准评分规则表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8" w:space="0"/>
              <w:left w:val="single" w:color="auto" w:sz="8" w:space="0"/>
              <w:bottom w:val="single" w:color="auto" w:sz="4" w:space="0"/>
              <w:right w:val="single" w:color="auto" w:sz="4" w:space="0"/>
            </w:tcBorders>
            <w:vAlign w:val="center"/>
          </w:tcPr>
          <w:p>
            <w:pPr>
              <w:pStyle w:val="24"/>
              <w:ind w:firstLine="0" w:firstLineChars="0"/>
              <w:jc w:val="center"/>
              <w:rPr>
                <w:rFonts w:ascii="Times New Roman"/>
                <w:b/>
                <w:bCs/>
                <w:sz w:val="18"/>
                <w:szCs w:val="16"/>
              </w:rPr>
            </w:pPr>
            <w:r>
              <w:rPr>
                <w:rFonts w:ascii="Times New Roman"/>
                <w:b/>
                <w:bCs/>
                <w:sz w:val="18"/>
                <w:szCs w:val="16"/>
              </w:rPr>
              <w:t>参与制修订标准数量</w:t>
            </w:r>
            <w:r>
              <w:rPr>
                <w:rFonts w:hint="eastAsia" w:ascii="Times New Roman"/>
                <w:b/>
                <w:bCs/>
                <w:sz w:val="18"/>
                <w:szCs w:val="16"/>
              </w:rPr>
              <w:t>（个）</w:t>
            </w:r>
          </w:p>
        </w:tc>
        <w:tc>
          <w:tcPr>
            <w:tcW w:w="1167" w:type="dxa"/>
            <w:tcBorders>
              <w:top w:val="single" w:color="auto" w:sz="8" w:space="0"/>
              <w:left w:val="single" w:color="auto" w:sz="4" w:space="0"/>
              <w:bottom w:val="single" w:color="auto" w:sz="4" w:space="0"/>
              <w:right w:val="single" w:color="auto" w:sz="8" w:space="0"/>
            </w:tcBorders>
            <w:vAlign w:val="center"/>
          </w:tcPr>
          <w:p>
            <w:pPr>
              <w:pStyle w:val="24"/>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≥2</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[1,2)</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8"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lang w:eastAsia="zh-CN"/>
              </w:rPr>
              <w:t>（</w:t>
            </w:r>
            <w:r>
              <w:rPr>
                <w:rFonts w:hint="eastAsia" w:hAnsi="宋体" w:cs="宋体"/>
                <w:sz w:val="18"/>
                <w:szCs w:val="16"/>
              </w:rPr>
              <w:t>0,1)</w:t>
            </w:r>
          </w:p>
        </w:tc>
        <w:tc>
          <w:tcPr>
            <w:tcW w:w="1167" w:type="dxa"/>
            <w:tcBorders>
              <w:top w:val="single" w:color="auto" w:sz="4" w:space="0"/>
              <w:left w:val="single" w:color="auto" w:sz="4" w:space="0"/>
              <w:bottom w:val="single" w:color="auto" w:sz="8" w:space="0"/>
              <w:right w:val="single" w:color="auto" w:sz="8" w:space="0"/>
            </w:tcBorders>
            <w:vAlign w:val="center"/>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1</w:t>
            </w:r>
          </w:p>
        </w:tc>
      </w:tr>
    </w:tbl>
    <w:p>
      <w:pPr>
        <w:pStyle w:val="24"/>
        <w:rPr>
          <w:rFonts w:hAnsi="宋体" w:cs="宋体"/>
        </w:rPr>
      </w:pPr>
      <w:r>
        <w:rPr>
          <w:rFonts w:hint="eastAsia" w:hAnsi="宋体" w:cs="宋体"/>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29"/>
        <w:rPr>
          <w:rFonts w:hAnsi="宋体" w:cs="宋体"/>
        </w:rPr>
      </w:pPr>
      <m:oMathPara>
        <m:oMath>
          <m:r>
            <m:rPr/>
            <w:rPr>
              <w:rFonts w:hint="eastAsia" w:ascii="Cambria Math" w:hAnsi="Cambria Math" w:cs="宋体"/>
            </w:rPr>
            <m:t>N=</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hint="eastAsia" w:ascii="Cambria Math" w:hAnsi="Cambria Math" w:cs="宋体"/>
                    </w:rPr>
                    <m:t>F</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r>
          <m:rPr/>
          <w:rPr>
            <w:rFonts w:hint="eastAsia" w:ascii="Cambria Math" w:hAnsi="Cambria Math" w:cs="宋体"/>
          </w:rPr>
          <m:t>N</m:t>
        </m:r>
      </m:oMath>
      <w:r>
        <w:rPr>
          <w:rFonts w:hint="eastAsia" w:hAnsi="宋体" w:cs="宋体"/>
        </w:rPr>
        <w:t>——参与制修订标准数量；</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F</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——第i个标准的编制形式折算系数；</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——第i个标准的制修订参与程度折算系数；</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T</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——第i个标准的类别折算系数。</w:t>
      </w:r>
    </w:p>
    <w:p>
      <w:pPr>
        <w:pStyle w:val="57"/>
        <w:spacing w:before="156" w:after="156"/>
        <w:rPr>
          <w:rFonts w:ascii="Times New Roman"/>
        </w:rPr>
      </w:pPr>
      <w:r>
        <w:rPr>
          <w:rFonts w:hint="eastAsia" w:ascii="Times New Roman"/>
          <w:lang w:eastAsia="zh-CN"/>
        </w:rPr>
        <w:t>绿电采购占比</w:t>
      </w:r>
    </w:p>
    <w:p>
      <w:pPr>
        <w:pStyle w:val="24"/>
        <w:rPr>
          <w:rFonts w:hint="eastAsia" w:hAnsi="宋体" w:cs="宋体"/>
          <w:b w:val="0"/>
          <w:bCs w:val="0"/>
          <w:i w:val="0"/>
          <w:iCs w:val="0"/>
          <w:caps w:val="0"/>
          <w:spacing w:val="0"/>
          <w:sz w:val="21"/>
          <w:szCs w:val="20"/>
          <w:lang w:val="en-US" w:eastAsia="zh-CN"/>
        </w:rPr>
      </w:pPr>
      <w:r>
        <w:rPr>
          <w:rFonts w:hint="eastAsia" w:hAnsi="宋体" w:cs="宋体"/>
          <w:b w:val="0"/>
          <w:bCs w:val="0"/>
          <w:i w:val="0"/>
          <w:iCs w:val="0"/>
          <w:caps w:val="0"/>
          <w:spacing w:val="0"/>
          <w:sz w:val="21"/>
          <w:szCs w:val="20"/>
          <w:lang w:eastAsia="zh-CN"/>
        </w:rPr>
        <w:t>绿色电力交易是指以绿色电力产品为标物的电力中长期交易,用以满足发电企业、售电公司、电力用户等市场主体出售、购买绿色电力产品的需求，并为购买绿色电力产品的电力用户提供绿色电力证书。具体评分规则见表</w:t>
      </w:r>
      <w:r>
        <w:rPr>
          <w:rFonts w:hint="eastAsia" w:hAnsi="宋体" w:cs="宋体"/>
          <w:b w:val="0"/>
          <w:bCs w:val="0"/>
          <w:i w:val="0"/>
          <w:iCs w:val="0"/>
          <w:caps w:val="0"/>
          <w:spacing w:val="0"/>
          <w:sz w:val="21"/>
          <w:szCs w:val="20"/>
          <w:lang w:val="en-US" w:eastAsia="zh-CN"/>
        </w:rPr>
        <w:t>3。</w:t>
      </w:r>
    </w:p>
    <w:p>
      <w:pPr>
        <w:pStyle w:val="128"/>
        <w:rPr>
          <w:rFonts w:hint="default" w:hAnsi="宋体" w:cs="宋体"/>
          <w:b w:val="0"/>
          <w:bCs w:val="0"/>
          <w:i w:val="0"/>
          <w:iCs w:val="0"/>
          <w:caps w:val="0"/>
          <w:spacing w:val="0"/>
          <w:sz w:val="21"/>
          <w:szCs w:val="20"/>
          <w:lang w:val="en-US" w:eastAsia="zh-CN"/>
        </w:rPr>
      </w:pPr>
      <w:r>
        <w:rPr>
          <w:rFonts w:hint="eastAsia" w:hAnsi="宋体" w:cs="宋体"/>
          <w:b w:val="0"/>
          <w:bCs w:val="0"/>
          <w:i w:val="0"/>
          <w:iCs w:val="0"/>
          <w:caps w:val="0"/>
          <w:spacing w:val="0"/>
          <w:sz w:val="21"/>
          <w:szCs w:val="20"/>
          <w:lang w:val="en-US" w:eastAsia="zh-CN"/>
        </w:rPr>
        <w:t>绿电采购评分规则表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8" w:space="0"/>
              <w:left w:val="single" w:color="auto" w:sz="8" w:space="0"/>
              <w:bottom w:val="single" w:color="auto" w:sz="4" w:space="0"/>
              <w:right w:val="single" w:color="auto" w:sz="4" w:space="0"/>
            </w:tcBorders>
            <w:vAlign w:val="center"/>
          </w:tcPr>
          <w:p>
            <w:pPr>
              <w:pStyle w:val="24"/>
              <w:ind w:firstLine="0" w:firstLineChars="0"/>
              <w:jc w:val="center"/>
              <w:rPr>
                <w:rFonts w:hint="default" w:ascii="Times New Roman" w:eastAsia="宋体"/>
                <w:b/>
                <w:bCs/>
                <w:sz w:val="18"/>
                <w:szCs w:val="16"/>
                <w:lang w:val="en-US" w:eastAsia="zh-CN"/>
              </w:rPr>
            </w:pPr>
            <w:r>
              <w:rPr>
                <w:rFonts w:hint="eastAsia" w:ascii="Times New Roman"/>
                <w:b/>
                <w:bCs/>
                <w:sz w:val="18"/>
                <w:szCs w:val="16"/>
                <w:lang w:eastAsia="zh-CN"/>
              </w:rPr>
              <w:t>绿电采购占比</w:t>
            </w:r>
            <w:r>
              <w:rPr>
                <w:rFonts w:hint="eastAsia" w:ascii="Times New Roman"/>
                <w:b/>
                <w:bCs/>
                <w:sz w:val="18"/>
                <w:szCs w:val="16"/>
                <w:lang w:val="en-US" w:eastAsia="zh-CN"/>
              </w:rPr>
              <w:t>（%）</w:t>
            </w:r>
          </w:p>
        </w:tc>
        <w:tc>
          <w:tcPr>
            <w:tcW w:w="1167" w:type="dxa"/>
            <w:tcBorders>
              <w:top w:val="single" w:color="auto" w:sz="8" w:space="0"/>
              <w:left w:val="single" w:color="auto" w:sz="4" w:space="0"/>
              <w:bottom w:val="single" w:color="auto" w:sz="4" w:space="0"/>
              <w:right w:val="single" w:color="auto" w:sz="8" w:space="0"/>
            </w:tcBorders>
            <w:vAlign w:val="center"/>
          </w:tcPr>
          <w:p>
            <w:pPr>
              <w:pStyle w:val="24"/>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lang w:eastAsia="zh-CN"/>
              </w:rPr>
              <w:t>≥</w:t>
            </w:r>
            <w:r>
              <w:rPr>
                <w:rFonts w:hint="eastAsia" w:hAnsi="宋体" w:cs="宋体"/>
                <w:sz w:val="18"/>
                <w:szCs w:val="16"/>
                <w:lang w:val="en-US" w:eastAsia="zh-CN"/>
              </w:rPr>
              <w:t>10</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[1,</w:t>
            </w:r>
            <w:r>
              <w:rPr>
                <w:rFonts w:hint="eastAsia" w:hAnsi="宋体" w:cs="宋体"/>
                <w:sz w:val="18"/>
                <w:szCs w:val="16"/>
                <w:lang w:val="en-US" w:eastAsia="zh-CN"/>
              </w:rPr>
              <w:t>10</w:t>
            </w:r>
            <w:r>
              <w:rPr>
                <w:rFonts w:hint="eastAsia" w:hAnsi="宋体" w:cs="宋体"/>
                <w:sz w:val="18"/>
                <w:szCs w:val="16"/>
              </w:rPr>
              <w:t>)</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6"/>
              </w:rPr>
            </w:pPr>
            <w:r>
              <w:rPr>
                <w:rFonts w:hint="eastAsia" w:hAnsi="宋体" w:cs="宋体"/>
                <w:sz w:val="18"/>
                <w:szCs w:val="16"/>
              </w:rPr>
              <w:t>[</w:t>
            </w:r>
            <w:r>
              <w:rPr>
                <w:rFonts w:hint="eastAsia" w:hAnsi="宋体" w:cs="宋体"/>
                <w:sz w:val="18"/>
                <w:szCs w:val="16"/>
                <w:lang w:val="en-US" w:eastAsia="zh-CN"/>
              </w:rPr>
              <w:t>0.5</w:t>
            </w:r>
            <w:r>
              <w:rPr>
                <w:rFonts w:hint="eastAsia" w:hAnsi="宋体" w:cs="宋体"/>
                <w:sz w:val="18"/>
                <w:szCs w:val="16"/>
              </w:rPr>
              <w:t>,1)</w:t>
            </w:r>
          </w:p>
        </w:tc>
        <w:tc>
          <w:tcPr>
            <w:tcW w:w="1167" w:type="dxa"/>
            <w:tcBorders>
              <w:top w:val="single" w:color="auto" w:sz="4" w:space="0"/>
              <w:left w:val="single" w:color="auto" w:sz="4" w:space="0"/>
              <w:bottom w:val="single" w:color="auto" w:sz="4" w:space="0"/>
              <w:right w:val="single" w:color="auto" w:sz="8" w:space="0"/>
            </w:tcBorders>
            <w:vAlign w:val="center"/>
          </w:tcPr>
          <w:p>
            <w:pPr>
              <w:pStyle w:val="24"/>
              <w:ind w:firstLine="0" w:firstLineChars="0"/>
              <w:jc w:val="center"/>
              <w:rPr>
                <w:rFonts w:hint="eastAsia" w:hAnsi="宋体" w:eastAsia="宋体" w:cs="宋体"/>
                <w:sz w:val="18"/>
                <w:szCs w:val="16"/>
                <w:lang w:eastAsia="zh-CN"/>
              </w:rPr>
            </w:pPr>
            <w:r>
              <w:rPr>
                <w:rFonts w:hint="eastAsia" w:hAnsi="宋体" w:cs="宋体"/>
                <w:sz w:val="18"/>
                <w:szCs w:val="16"/>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8" w:space="0"/>
              <w:right w:val="single" w:color="auto" w:sz="4" w:space="0"/>
            </w:tcBorders>
            <w:vAlign w:val="center"/>
          </w:tcPr>
          <w:p>
            <w:pPr>
              <w:pStyle w:val="24"/>
              <w:ind w:firstLine="0" w:firstLineChars="0"/>
              <w:jc w:val="center"/>
              <w:rPr>
                <w:rFonts w:hint="eastAsia" w:hAnsi="宋体" w:cs="宋体"/>
                <w:sz w:val="18"/>
                <w:szCs w:val="16"/>
              </w:rPr>
            </w:pPr>
            <w:r>
              <w:rPr>
                <w:rFonts w:hint="eastAsia" w:hAnsi="宋体" w:cs="宋体"/>
                <w:sz w:val="18"/>
                <w:szCs w:val="16"/>
                <w:lang w:eastAsia="zh-CN"/>
              </w:rPr>
              <w:t>（</w:t>
            </w:r>
            <w:r>
              <w:rPr>
                <w:rFonts w:hint="eastAsia" w:hAnsi="宋体" w:cs="宋体"/>
                <w:sz w:val="18"/>
                <w:szCs w:val="16"/>
                <w:lang w:val="en-US" w:eastAsia="zh-CN"/>
              </w:rPr>
              <w:t>0</w:t>
            </w:r>
            <w:r>
              <w:rPr>
                <w:rFonts w:hint="eastAsia" w:hAnsi="宋体" w:cs="宋体"/>
                <w:sz w:val="18"/>
                <w:szCs w:val="16"/>
              </w:rPr>
              <w:t>,</w:t>
            </w:r>
            <w:r>
              <w:rPr>
                <w:rFonts w:hint="eastAsia" w:hAnsi="宋体" w:cs="宋体"/>
                <w:sz w:val="18"/>
                <w:szCs w:val="16"/>
                <w:lang w:val="en-US" w:eastAsia="zh-CN"/>
              </w:rPr>
              <w:t>0.5</w:t>
            </w:r>
            <w:r>
              <w:rPr>
                <w:rFonts w:hint="eastAsia" w:hAnsi="宋体" w:cs="宋体"/>
                <w:sz w:val="18"/>
                <w:szCs w:val="16"/>
              </w:rPr>
              <w:t>)</w:t>
            </w:r>
          </w:p>
        </w:tc>
        <w:tc>
          <w:tcPr>
            <w:tcW w:w="1167" w:type="dxa"/>
            <w:tcBorders>
              <w:top w:val="single" w:color="auto" w:sz="4" w:space="0"/>
              <w:left w:val="single" w:color="auto" w:sz="4" w:space="0"/>
              <w:bottom w:val="single" w:color="auto" w:sz="8" w:space="0"/>
              <w:right w:val="single" w:color="auto" w:sz="8" w:space="0"/>
            </w:tcBorders>
            <w:vAlign w:val="center"/>
          </w:tcPr>
          <w:p>
            <w:pPr>
              <w:pStyle w:val="24"/>
              <w:ind w:firstLine="0" w:firstLineChars="0"/>
              <w:jc w:val="center"/>
              <w:rPr>
                <w:rFonts w:hint="eastAsia" w:hAnsi="宋体" w:eastAsia="宋体" w:cs="宋体"/>
                <w:sz w:val="18"/>
                <w:szCs w:val="16"/>
                <w:lang w:val="en-US" w:eastAsia="zh-CN"/>
              </w:rPr>
            </w:pPr>
            <w:r>
              <w:rPr>
                <w:rFonts w:hint="eastAsia" w:hAnsi="宋体" w:cs="宋体"/>
                <w:sz w:val="18"/>
                <w:szCs w:val="16"/>
                <w:lang w:val="en-US" w:eastAsia="zh-CN"/>
              </w:rPr>
              <w:t>1</w:t>
            </w:r>
          </w:p>
        </w:tc>
      </w:tr>
    </w:tbl>
    <w:p>
      <w:pPr>
        <w:pStyle w:val="57"/>
        <w:spacing w:before="156" w:after="156"/>
        <w:rPr>
          <w:rFonts w:ascii="Times New Roman"/>
        </w:rPr>
      </w:pPr>
      <w:r>
        <w:rPr>
          <w:rFonts w:ascii="Times New Roman"/>
        </w:rPr>
        <w:t>关键技术先进性</w:t>
      </w:r>
    </w:p>
    <w:p>
      <w:pPr>
        <w:autoSpaceDE w:val="0"/>
        <w:autoSpaceDN w:val="0"/>
        <w:ind w:firstLine="420" w:firstLineChars="200"/>
        <w:rPr>
          <w:rFonts w:hint="eastAsia"/>
          <w:szCs w:val="21"/>
        </w:rPr>
      </w:pPr>
      <w:r>
        <w:rPr>
          <w:szCs w:val="21"/>
        </w:rPr>
        <w:t>关键技术先进</w:t>
      </w:r>
      <w:r>
        <w:rPr>
          <w:rFonts w:hint="eastAsia"/>
          <w:szCs w:val="21"/>
        </w:rPr>
        <w:t>性</w:t>
      </w:r>
      <w:r>
        <w:rPr>
          <w:szCs w:val="21"/>
        </w:rPr>
        <w:t>根据太阳能</w:t>
      </w:r>
      <w:r>
        <w:rPr>
          <w:rFonts w:hint="eastAsia"/>
          <w:szCs w:val="21"/>
        </w:rPr>
        <w:t>产业链情况</w:t>
      </w:r>
      <w:r>
        <w:rPr>
          <w:szCs w:val="21"/>
        </w:rPr>
        <w:t>选取不同评价指标，具体评分规则见表</w:t>
      </w:r>
      <w:r>
        <w:rPr>
          <w:rFonts w:hint="eastAsia" w:ascii="宋体" w:hAnsi="宋体" w:cs="宋体"/>
          <w:szCs w:val="21"/>
        </w:rPr>
        <w:t>3</w:t>
      </w:r>
      <w:r>
        <w:rPr>
          <w:rFonts w:hint="eastAsia"/>
          <w:szCs w:val="21"/>
        </w:rPr>
        <w:t>。太阳能产品相关原材料、电池、组件、关键器件、集热器、集热管，太阳能生产装备相关光伏制造装备制造、热发电装备制造，太阳能利用设施建设和运</w:t>
      </w:r>
      <w:r>
        <w:rPr>
          <w:rFonts w:hint="eastAsia" w:asciiTheme="minorEastAsia" w:hAnsiTheme="minorEastAsia" w:eastAsiaTheme="minorEastAsia"/>
          <w:szCs w:val="21"/>
        </w:rPr>
        <w:t>营相关光伏电站、家用太阳能系统、民用建筑太阳能热水系统的具体评价内容及评价方法见表</w:t>
      </w:r>
      <w:r>
        <w:rPr>
          <w:rFonts w:asciiTheme="minorEastAsia" w:hAnsiTheme="minorEastAsia" w:eastAsiaTheme="minorEastAsia"/>
          <w:szCs w:val="21"/>
        </w:rPr>
        <w:t>4</w:t>
      </w:r>
      <w:r>
        <w:rPr>
          <w:rFonts w:hint="eastAsia" w:asciiTheme="minorEastAsia" w:hAnsiTheme="minorEastAsia" w:eastAsiaTheme="minorEastAsia"/>
          <w:szCs w:val="21"/>
        </w:rPr>
        <w:t>—表</w:t>
      </w: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szCs w:val="21"/>
        </w:rPr>
        <w:t>未有相关标准明确</w:t>
      </w:r>
      <w:r>
        <w:rPr>
          <w:rFonts w:hint="eastAsia"/>
          <w:szCs w:val="21"/>
        </w:rPr>
        <w:t>关键技术先进性评价指标</w:t>
      </w:r>
      <w:r>
        <w:rPr>
          <w:szCs w:val="21"/>
        </w:rPr>
        <w:t>时，参考行业国内外发展的实际技术先进水平进行评价</w:t>
      </w:r>
      <w:r>
        <w:rPr>
          <w:rFonts w:hint="eastAsia"/>
          <w:szCs w:val="21"/>
        </w:rPr>
        <w:t>。</w:t>
      </w:r>
    </w:p>
    <w:p>
      <w:pPr>
        <w:rPr>
          <w:rFonts w:hint="eastAsia"/>
          <w:szCs w:val="21"/>
        </w:rPr>
      </w:pPr>
      <w:r>
        <w:rPr>
          <w:rFonts w:hint="eastAsia"/>
          <w:szCs w:val="21"/>
        </w:rPr>
        <w:br w:type="page"/>
      </w:r>
    </w:p>
    <w:p>
      <w:pPr>
        <w:numPr>
          <w:ilvl w:val="0"/>
          <w:numId w:val="17"/>
        </w:numPr>
        <w:spacing w:before="156" w:beforeLines="50" w:after="156" w:afterLines="50"/>
        <w:jc w:val="center"/>
        <w:rPr>
          <w:rFonts w:eastAsia="黑体"/>
        </w:rPr>
      </w:pPr>
      <w:r>
        <w:rPr>
          <w:rFonts w:hint="eastAsia" w:eastAsia="黑体"/>
        </w:rPr>
        <w:t>关键</w:t>
      </w:r>
      <w:r>
        <w:rPr>
          <w:rFonts w:eastAsia="黑体"/>
        </w:rPr>
        <w:t>技术先进性评分规则表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3" w:type="dxa"/>
            <w:vAlign w:val="center"/>
          </w:tcPr>
          <w:p>
            <w:pPr>
              <w:autoSpaceDE w:val="0"/>
              <w:autoSpaceDN w:val="0"/>
              <w:jc w:val="center"/>
              <w:rPr>
                <w:rFonts w:ascii="宋体" w:hAnsi="宋体" w:cs="宋体"/>
                <w:b/>
                <w:bCs/>
                <w:sz w:val="18"/>
                <w:szCs w:val="16"/>
              </w:rPr>
            </w:pPr>
            <w:r>
              <w:rPr>
                <w:rFonts w:hint="eastAsia" w:ascii="宋体" w:hAnsi="宋体" w:cs="宋体"/>
                <w:b/>
                <w:bCs/>
                <w:sz w:val="18"/>
                <w:szCs w:val="16"/>
              </w:rPr>
              <w:t>行业先进水平</w:t>
            </w:r>
          </w:p>
        </w:tc>
        <w:tc>
          <w:tcPr>
            <w:tcW w:w="1256" w:type="dxa"/>
            <w:vAlign w:val="center"/>
          </w:tcPr>
          <w:p>
            <w:pPr>
              <w:autoSpaceDE w:val="0"/>
              <w:autoSpaceDN w:val="0"/>
              <w:jc w:val="center"/>
              <w:rPr>
                <w:rFonts w:ascii="宋体" w:hAnsi="宋体" w:cs="宋体"/>
                <w:b/>
                <w:bCs/>
                <w:sz w:val="18"/>
                <w:szCs w:val="16"/>
              </w:rPr>
            </w:pPr>
            <w:r>
              <w:rPr>
                <w:rFonts w:hint="eastAsia" w:ascii="宋体" w:hAnsi="宋体" w:cs="宋体"/>
                <w:b/>
                <w:bCs/>
                <w:sz w:val="18"/>
                <w:szCs w:val="16"/>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3" w:type="dxa"/>
          </w:tcPr>
          <w:p>
            <w:pPr>
              <w:autoSpaceDE w:val="0"/>
              <w:autoSpaceDN w:val="0"/>
              <w:rPr>
                <w:rFonts w:ascii="宋体" w:hAnsi="宋体" w:cs="宋体"/>
                <w:sz w:val="18"/>
                <w:szCs w:val="16"/>
              </w:rPr>
            </w:pPr>
            <w:r>
              <w:rPr>
                <w:rFonts w:hint="eastAsia" w:ascii="宋体" w:hAnsi="宋体" w:cs="宋体"/>
                <w:sz w:val="18"/>
                <w:szCs w:val="16"/>
              </w:rPr>
              <w:t>在全面符合</w:t>
            </w:r>
            <w:r>
              <w:rPr>
                <w:rFonts w:hint="eastAsia" w:ascii="宋体" w:hAnsi="宋体" w:cs="宋体"/>
                <w:sz w:val="18"/>
                <w:szCs w:val="16"/>
                <w:lang w:eastAsia="zh-CN"/>
              </w:rPr>
              <w:t>绿色低碳产业</w:t>
            </w:r>
            <w:r>
              <w:rPr>
                <w:rFonts w:hint="eastAsia" w:ascii="宋体" w:hAnsi="宋体" w:cs="宋体"/>
                <w:sz w:val="18"/>
                <w:szCs w:val="16"/>
              </w:rPr>
              <w:t>认定工作相关要求的基础上，处于行业领先水平，对产业（行业）具有显著技术引领作用。</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7</w:t>
            </w:r>
            <w:r>
              <w:rPr>
                <w:rFonts w:hint="eastAsia" w:ascii="宋体" w:hAnsi="宋体" w:cs="宋体"/>
                <w:sz w:val="18"/>
                <w:szCs w:val="16"/>
              </w:rPr>
              <w:t>,1</w:t>
            </w:r>
            <w:r>
              <w:rPr>
                <w:rFonts w:hint="eastAsia" w:ascii="宋体" w:hAnsi="宋体" w:cs="宋体"/>
                <w:sz w:val="18"/>
                <w:szCs w:val="16"/>
                <w:lang w:val="en-US" w:eastAsia="zh-CN"/>
              </w:rPr>
              <w:t>0</w:t>
            </w:r>
            <w:r>
              <w:rPr>
                <w:rFonts w:hint="eastAsia" w:ascii="宋体" w:hAnsi="宋体" w:cs="宋体"/>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3" w:type="dxa"/>
          </w:tcPr>
          <w:p>
            <w:pPr>
              <w:autoSpaceDE w:val="0"/>
              <w:autoSpaceDN w:val="0"/>
              <w:rPr>
                <w:rFonts w:ascii="宋体" w:hAnsi="宋体" w:cs="宋体"/>
                <w:sz w:val="18"/>
                <w:szCs w:val="16"/>
              </w:rPr>
            </w:pPr>
            <w:r>
              <w:rPr>
                <w:rFonts w:hint="eastAsia" w:ascii="宋体" w:hAnsi="宋体" w:cs="宋体"/>
                <w:sz w:val="18"/>
                <w:szCs w:val="16"/>
              </w:rPr>
              <w:t>在全面符合</w:t>
            </w:r>
            <w:r>
              <w:rPr>
                <w:rFonts w:hint="eastAsia" w:ascii="宋体" w:hAnsi="宋体" w:cs="宋体"/>
                <w:sz w:val="18"/>
                <w:szCs w:val="16"/>
                <w:lang w:eastAsia="zh-CN"/>
              </w:rPr>
              <w:t>绿色低碳产业</w:t>
            </w:r>
            <w:r>
              <w:rPr>
                <w:rFonts w:hint="eastAsia" w:ascii="宋体" w:hAnsi="宋体" w:cs="宋体"/>
                <w:sz w:val="18"/>
                <w:szCs w:val="16"/>
              </w:rPr>
              <w:t>认定工作相关要求的基础上，处于行业较好水平，对产业（行业）具有一定技术推动作用。</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w:t>
            </w:r>
            <w:r>
              <w:rPr>
                <w:rFonts w:hint="eastAsia" w:ascii="宋体" w:hAnsi="宋体" w:cs="宋体"/>
                <w:sz w:val="18"/>
                <w:szCs w:val="16"/>
                <w:lang w:val="en-US" w:eastAsia="zh-CN"/>
              </w:rPr>
              <w:t>4</w:t>
            </w:r>
            <w:r>
              <w:rPr>
                <w:rFonts w:hint="eastAsia" w:ascii="宋体" w:hAnsi="宋体" w:cs="宋体"/>
                <w:sz w:val="18"/>
                <w:szCs w:val="16"/>
              </w:rPr>
              <w:t>,</w:t>
            </w:r>
            <w:r>
              <w:rPr>
                <w:rFonts w:hint="eastAsia" w:ascii="宋体" w:hAnsi="宋体" w:cs="宋体"/>
                <w:sz w:val="18"/>
                <w:szCs w:val="16"/>
                <w:lang w:val="en-US" w:eastAsia="zh-CN"/>
              </w:rPr>
              <w:t>7</w:t>
            </w:r>
            <w:r>
              <w:rPr>
                <w:rFonts w:hint="eastAsia" w:ascii="宋体" w:hAnsi="宋体" w:cs="宋体"/>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3" w:type="dxa"/>
          </w:tcPr>
          <w:p>
            <w:pPr>
              <w:autoSpaceDE w:val="0"/>
              <w:autoSpaceDN w:val="0"/>
              <w:rPr>
                <w:rFonts w:ascii="宋体" w:hAnsi="宋体" w:cs="宋体"/>
                <w:sz w:val="18"/>
                <w:szCs w:val="16"/>
              </w:rPr>
            </w:pPr>
            <w:r>
              <w:rPr>
                <w:rFonts w:hint="eastAsia" w:ascii="宋体" w:hAnsi="宋体" w:cs="宋体"/>
                <w:sz w:val="18"/>
                <w:szCs w:val="16"/>
              </w:rPr>
              <w:t>在全面符合</w:t>
            </w:r>
            <w:r>
              <w:rPr>
                <w:rFonts w:hint="eastAsia" w:ascii="宋体" w:hAnsi="宋体" w:cs="宋体"/>
                <w:sz w:val="18"/>
                <w:szCs w:val="16"/>
                <w:lang w:eastAsia="zh-CN"/>
              </w:rPr>
              <w:t>绿色低碳产业</w:t>
            </w:r>
            <w:r>
              <w:rPr>
                <w:rFonts w:hint="eastAsia" w:ascii="宋体" w:hAnsi="宋体" w:cs="宋体"/>
                <w:sz w:val="18"/>
                <w:szCs w:val="16"/>
              </w:rPr>
              <w:t>认定工作相关要求的基础上，处于行业平均水平。</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(0,</w:t>
            </w:r>
            <w:r>
              <w:rPr>
                <w:rFonts w:hint="eastAsia" w:ascii="宋体" w:hAnsi="宋体" w:cs="宋体"/>
                <w:sz w:val="18"/>
                <w:szCs w:val="16"/>
                <w:lang w:val="en-US" w:eastAsia="zh-CN"/>
              </w:rPr>
              <w:t>4</w:t>
            </w:r>
            <w:r>
              <w:rPr>
                <w:rFonts w:hint="eastAsia" w:ascii="宋体" w:hAnsi="宋体" w:cs="宋体"/>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3" w:type="dxa"/>
          </w:tcPr>
          <w:p>
            <w:pPr>
              <w:autoSpaceDE w:val="0"/>
              <w:autoSpaceDN w:val="0"/>
              <w:rPr>
                <w:rFonts w:ascii="宋体" w:hAnsi="宋体" w:cs="宋体"/>
                <w:sz w:val="18"/>
                <w:szCs w:val="16"/>
              </w:rPr>
            </w:pPr>
            <w:r>
              <w:rPr>
                <w:rFonts w:hint="eastAsia" w:ascii="宋体" w:hAnsi="宋体" w:cs="宋体"/>
                <w:sz w:val="18"/>
                <w:szCs w:val="16"/>
              </w:rPr>
              <w:t>未满足上述任何一项。</w:t>
            </w:r>
          </w:p>
        </w:tc>
        <w:tc>
          <w:tcPr>
            <w:tcW w:w="1256" w:type="dxa"/>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r>
    </w:tbl>
    <w:p>
      <w:pPr>
        <w:pStyle w:val="58"/>
        <w:spacing w:before="156" w:after="156"/>
        <w:rPr>
          <w:rFonts w:hAnsi="黑体" w:cs="黑体"/>
        </w:rPr>
      </w:pPr>
      <w:r>
        <w:rPr>
          <w:rFonts w:hint="eastAsia"/>
        </w:rPr>
        <w:t>太阳能产品</w:t>
      </w:r>
    </w:p>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a）原材料</w:t>
      </w:r>
    </w:p>
    <w:p>
      <w:pPr>
        <w:autoSpaceDE w:val="0"/>
        <w:autoSpaceDN w:val="0"/>
        <w:ind w:firstLine="420" w:firstLineChars="200"/>
        <w:rPr>
          <w:szCs w:val="21"/>
        </w:rPr>
      </w:pPr>
      <w:r>
        <w:rPr>
          <w:rFonts w:hint="eastAsia"/>
          <w:szCs w:val="21"/>
        </w:rPr>
        <w:t>光伏原材料主要包含单晶硅、多晶硅、及硅片，具体评价内容及评价方法</w:t>
      </w:r>
      <w:r>
        <w:rPr>
          <w:rFonts w:hint="eastAsia" w:ascii="宋体" w:hAnsi="宋体" w:cs="宋体"/>
          <w:szCs w:val="21"/>
        </w:rPr>
        <w:t>见表</w:t>
      </w:r>
      <w:r>
        <w:rPr>
          <w:rFonts w:hint="eastAsia" w:ascii="宋体" w:hAnsi="宋体" w:cs="宋体"/>
          <w:szCs w:val="21"/>
          <w:lang w:val="en-US" w:eastAsia="zh-CN"/>
        </w:rPr>
        <w:t>5</w:t>
      </w:r>
      <w:r>
        <w:rPr>
          <w:rFonts w:hint="eastAsia" w:ascii="宋体" w:hAnsi="宋体" w:cs="宋体"/>
          <w:szCs w:val="21"/>
        </w:rPr>
        <w:t>。</w:t>
      </w:r>
    </w:p>
    <w:p>
      <w:pPr>
        <w:numPr>
          <w:ilvl w:val="0"/>
          <w:numId w:val="17"/>
        </w:numPr>
        <w:spacing w:before="156" w:beforeLines="50" w:after="156" w:afterLines="50"/>
        <w:jc w:val="center"/>
        <w:rPr>
          <w:szCs w:val="21"/>
        </w:rPr>
      </w:pPr>
      <w:r>
        <w:rPr>
          <w:rFonts w:hint="eastAsia" w:eastAsia="黑体"/>
        </w:rPr>
        <w:t>原材料关键</w:t>
      </w:r>
      <w:r>
        <w:rPr>
          <w:rFonts w:eastAsia="黑体"/>
        </w:rPr>
        <w:t>技术先进性</w:t>
      </w:r>
      <w:r>
        <w:rPr>
          <w:rFonts w:hint="eastAsia" w:eastAsia="黑体"/>
        </w:rPr>
        <w:t>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050"/>
        <w:gridCol w:w="1322"/>
        <w:gridCol w:w="394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05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322"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394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30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restart"/>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050" w:type="dxa"/>
            <w:vAlign w:val="center"/>
          </w:tcPr>
          <w:p>
            <w:pPr>
              <w:jc w:val="center"/>
              <w:rPr>
                <w:rFonts w:ascii="宋体" w:hAnsi="宋体" w:cs="宋体"/>
                <w:sz w:val="18"/>
                <w:szCs w:val="18"/>
              </w:rPr>
            </w:pPr>
            <w:r>
              <w:rPr>
                <w:rFonts w:hint="eastAsia" w:ascii="宋体" w:hAnsi="宋体" w:cs="宋体"/>
                <w:sz w:val="18"/>
                <w:szCs w:val="18"/>
              </w:rPr>
              <w:t>多晶硅</w:t>
            </w:r>
          </w:p>
        </w:tc>
        <w:tc>
          <w:tcPr>
            <w:tcW w:w="1322" w:type="dxa"/>
            <w:vAlign w:val="center"/>
          </w:tcPr>
          <w:p>
            <w:pPr>
              <w:autoSpaceDE w:val="0"/>
              <w:autoSpaceDN w:val="0"/>
              <w:jc w:val="center"/>
              <w:rPr>
                <w:rFonts w:ascii="宋体" w:hAnsi="宋体" w:cs="宋体"/>
                <w:sz w:val="18"/>
                <w:szCs w:val="18"/>
              </w:rPr>
            </w:pPr>
            <w:r>
              <w:rPr>
                <w:rFonts w:hint="eastAsia" w:ascii="宋体" w:hAnsi="宋体" w:cs="宋体"/>
                <w:sz w:val="18"/>
                <w:szCs w:val="18"/>
              </w:rPr>
              <w:t>品质级别</w:t>
            </w:r>
          </w:p>
        </w:tc>
        <w:tc>
          <w:tcPr>
            <w:tcW w:w="3940" w:type="dxa"/>
          </w:tcPr>
          <w:p>
            <w:pPr>
              <w:rPr>
                <w:rFonts w:ascii="宋体" w:hAnsi="宋体" w:cs="宋体"/>
                <w:sz w:val="18"/>
                <w:szCs w:val="18"/>
              </w:rPr>
            </w:pPr>
            <w:r>
              <w:rPr>
                <w:rFonts w:hint="eastAsia" w:ascii="宋体" w:hAnsi="宋体" w:cs="宋体"/>
                <w:sz w:val="18"/>
                <w:szCs w:val="18"/>
              </w:rPr>
              <w:t>应满足《太阳能级多晶硅》（GB/T 25074）或《流化床法颗粒硅》（GB/T 35307）特级品的要求。</w:t>
            </w:r>
          </w:p>
        </w:tc>
        <w:tc>
          <w:tcPr>
            <w:tcW w:w="1300" w:type="dxa"/>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GB/T 25074、GB/T 35307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vAlign w:val="center"/>
          </w:tcPr>
          <w:p>
            <w:pPr>
              <w:autoSpaceDE w:val="0"/>
              <w:autoSpaceDN w:val="0"/>
              <w:jc w:val="center"/>
              <w:rPr>
                <w:rFonts w:ascii="宋体" w:hAnsi="宋体" w:cs="宋体"/>
                <w:sz w:val="18"/>
                <w:szCs w:val="18"/>
              </w:rPr>
            </w:pPr>
          </w:p>
        </w:tc>
        <w:tc>
          <w:tcPr>
            <w:tcW w:w="1050" w:type="dxa"/>
            <w:vAlign w:val="center"/>
          </w:tcPr>
          <w:p>
            <w:pPr>
              <w:jc w:val="center"/>
              <w:rPr>
                <w:rFonts w:ascii="宋体" w:hAnsi="宋体" w:cs="宋体"/>
                <w:sz w:val="18"/>
                <w:szCs w:val="18"/>
              </w:rPr>
            </w:pPr>
            <w:r>
              <w:rPr>
                <w:rFonts w:hint="eastAsia" w:ascii="宋体" w:hAnsi="宋体" w:cs="宋体"/>
                <w:sz w:val="18"/>
                <w:szCs w:val="18"/>
              </w:rPr>
              <w:t>多晶硅片</w:t>
            </w:r>
          </w:p>
        </w:tc>
        <w:tc>
          <w:tcPr>
            <w:tcW w:w="1322" w:type="dxa"/>
            <w:vAlign w:val="center"/>
          </w:tcPr>
          <w:p>
            <w:pPr>
              <w:autoSpaceDE w:val="0"/>
              <w:autoSpaceDN w:val="0"/>
              <w:jc w:val="center"/>
              <w:rPr>
                <w:rFonts w:ascii="宋体" w:hAnsi="宋体" w:cs="宋体"/>
                <w:sz w:val="18"/>
                <w:szCs w:val="18"/>
              </w:rPr>
            </w:pPr>
            <w:r>
              <w:rPr>
                <w:rFonts w:hint="eastAsia" w:ascii="宋体" w:hAnsi="宋体" w:cs="宋体"/>
                <w:sz w:val="18"/>
                <w:szCs w:val="18"/>
              </w:rPr>
              <w:t>少子寿命、碳氧含量</w:t>
            </w:r>
          </w:p>
        </w:tc>
        <w:tc>
          <w:tcPr>
            <w:tcW w:w="3940" w:type="dxa"/>
          </w:tcPr>
          <w:p>
            <w:pPr>
              <w:rPr>
                <w:rFonts w:ascii="宋体" w:hAnsi="宋体" w:cs="宋体"/>
                <w:sz w:val="18"/>
                <w:szCs w:val="18"/>
              </w:rPr>
            </w:pPr>
            <w:r>
              <w:rPr>
                <w:rFonts w:hint="eastAsia" w:ascii="宋体" w:hAnsi="宋体" w:cs="宋体"/>
                <w:sz w:val="18"/>
                <w:szCs w:val="18"/>
              </w:rPr>
              <w:t>多晶硅片（含准单晶硅片）少子寿命不低于 2μs，碳、氧含量分别小于 10ppma 和 12ppma。</w:t>
            </w:r>
          </w:p>
        </w:tc>
        <w:tc>
          <w:tcPr>
            <w:tcW w:w="1300" w:type="dxa"/>
            <w:vMerge w:val="restart"/>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《光伏制造行业技术规范（2021年本）》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vAlign w:val="center"/>
          </w:tcPr>
          <w:p>
            <w:pPr>
              <w:autoSpaceDE w:val="0"/>
              <w:autoSpaceDN w:val="0"/>
              <w:jc w:val="center"/>
              <w:rPr>
                <w:rFonts w:ascii="宋体" w:hAnsi="宋体" w:cs="宋体"/>
                <w:sz w:val="18"/>
                <w:szCs w:val="18"/>
              </w:rPr>
            </w:pPr>
          </w:p>
        </w:tc>
        <w:tc>
          <w:tcPr>
            <w:tcW w:w="1050" w:type="dxa"/>
            <w:vAlign w:val="center"/>
          </w:tcPr>
          <w:p>
            <w:pPr>
              <w:jc w:val="center"/>
              <w:rPr>
                <w:rFonts w:ascii="宋体" w:hAnsi="宋体" w:cs="宋体"/>
                <w:sz w:val="18"/>
                <w:szCs w:val="18"/>
              </w:rPr>
            </w:pPr>
            <w:r>
              <w:rPr>
                <w:rFonts w:hint="eastAsia" w:ascii="宋体" w:hAnsi="宋体" w:cs="宋体"/>
                <w:sz w:val="18"/>
                <w:szCs w:val="18"/>
              </w:rPr>
              <w:t>单晶硅片</w:t>
            </w:r>
          </w:p>
        </w:tc>
        <w:tc>
          <w:tcPr>
            <w:tcW w:w="1322" w:type="dxa"/>
            <w:vAlign w:val="center"/>
          </w:tcPr>
          <w:p>
            <w:pPr>
              <w:autoSpaceDE w:val="0"/>
              <w:autoSpaceDN w:val="0"/>
              <w:jc w:val="center"/>
              <w:rPr>
                <w:rFonts w:ascii="宋体" w:hAnsi="宋体" w:cs="宋体"/>
                <w:sz w:val="18"/>
                <w:szCs w:val="18"/>
              </w:rPr>
            </w:pPr>
            <w:r>
              <w:rPr>
                <w:rFonts w:hint="eastAsia" w:ascii="宋体" w:hAnsi="宋体" w:cs="宋体"/>
                <w:sz w:val="18"/>
                <w:szCs w:val="18"/>
              </w:rPr>
              <w:t>少子寿命、碳氧含量</w:t>
            </w:r>
          </w:p>
        </w:tc>
        <w:tc>
          <w:tcPr>
            <w:tcW w:w="3940" w:type="dxa"/>
          </w:tcPr>
          <w:p>
            <w:pPr>
              <w:rPr>
                <w:rFonts w:ascii="宋体" w:hAnsi="宋体" w:cs="宋体"/>
                <w:sz w:val="18"/>
                <w:szCs w:val="18"/>
              </w:rPr>
            </w:pPr>
            <w:r>
              <w:rPr>
                <w:rFonts w:hint="eastAsia" w:ascii="宋体" w:hAnsi="宋体" w:cs="宋体"/>
                <w:sz w:val="18"/>
                <w:szCs w:val="18"/>
              </w:rPr>
              <w:t>P 型单晶硅片少子寿命不低于 50μs，N 型单晶硅片少子寿命不低于 500μs，碳、氧含量分别小于 1ppma 和 14ppma。</w:t>
            </w:r>
          </w:p>
        </w:tc>
        <w:tc>
          <w:tcPr>
            <w:tcW w:w="1300" w:type="dxa"/>
            <w:vMerge w:val="continue"/>
            <w:vAlign w:val="center"/>
          </w:tcPr>
          <w:p>
            <w:pPr>
              <w:widowControl/>
              <w:numPr>
                <w:ilvl w:val="255"/>
                <w:numId w:val="0"/>
              </w:num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vAlign w:val="center"/>
          </w:tcPr>
          <w:p>
            <w:pPr>
              <w:autoSpaceDE w:val="0"/>
              <w:autoSpaceDN w:val="0"/>
              <w:jc w:val="center"/>
              <w:rPr>
                <w:rFonts w:ascii="宋体" w:hAnsi="宋体" w:cs="宋体"/>
                <w:sz w:val="18"/>
                <w:szCs w:val="18"/>
              </w:rPr>
            </w:pPr>
          </w:p>
        </w:tc>
        <w:tc>
          <w:tcPr>
            <w:tcW w:w="1050" w:type="dxa"/>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钙钛矿等其他薄膜材料</w:t>
            </w:r>
          </w:p>
        </w:tc>
        <w:tc>
          <w:tcPr>
            <w:tcW w:w="1322" w:type="dxa"/>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光吸收系数</w:t>
            </w:r>
          </w:p>
        </w:tc>
        <w:tc>
          <w:tcPr>
            <w:tcW w:w="3940" w:type="dxa"/>
            <w:vAlign w:val="center"/>
          </w:tcPr>
          <w:p>
            <w:pPr>
              <w:rPr>
                <w:rFonts w:hint="eastAsia" w:ascii="宋体" w:hAnsi="宋体" w:cs="宋体"/>
                <w:sz w:val="18"/>
                <w:szCs w:val="18"/>
              </w:rPr>
            </w:pPr>
            <w:r>
              <w:rPr>
                <w:rFonts w:hint="eastAsia" w:ascii="宋体" w:hAnsi="宋体" w:cs="宋体"/>
                <w:sz w:val="18"/>
                <w:szCs w:val="18"/>
                <w:lang w:val="en-US" w:eastAsia="zh-CN"/>
              </w:rPr>
              <w:t>企业围绕光吸收系数等说明材料在光伏发电方面的性能。</w:t>
            </w:r>
          </w:p>
        </w:tc>
        <w:tc>
          <w:tcPr>
            <w:tcW w:w="1300" w:type="dxa"/>
            <w:vAlign w:val="center"/>
          </w:tcPr>
          <w:p>
            <w:pPr>
              <w:widowControl/>
              <w:numPr>
                <w:ilvl w:val="255"/>
                <w:numId w:val="0"/>
              </w:numPr>
              <w:autoSpaceDE/>
              <w:autoSpaceDN/>
              <w:jc w:val="center"/>
              <w:rPr>
                <w:rFonts w:hint="eastAsia" w:ascii="宋体" w:hAnsi="宋体" w:eastAsia="宋体" w:cs="宋体"/>
                <w:sz w:val="18"/>
                <w:szCs w:val="18"/>
                <w:highlight w:val="none"/>
                <w:lang w:val="en-US" w:eastAsia="zh-CN"/>
              </w:rPr>
            </w:pPr>
            <w:r>
              <w:rPr>
                <w:rFonts w:hint="eastAsia" w:ascii="宋体" w:hAnsi="宋体" w:cs="宋体"/>
                <w:sz w:val="18"/>
                <w:szCs w:val="18"/>
                <w:lang w:val="en-US" w:eastAsia="zh-CN"/>
              </w:rPr>
              <w:t>/</w:t>
            </w:r>
          </w:p>
        </w:tc>
      </w:tr>
    </w:tbl>
    <w:p>
      <w:pPr>
        <w:autoSpaceDE w:val="0"/>
        <w:autoSpaceDN w:val="0"/>
        <w:spacing w:line="480" w:lineRule="auto"/>
        <w:ind w:firstLine="420" w:firstLineChars="200"/>
        <w:rPr>
          <w:rFonts w:ascii="黑体" w:hAnsi="黑体" w:eastAsia="黑体" w:cs="黑体"/>
          <w:szCs w:val="21"/>
        </w:rPr>
      </w:pPr>
      <w:r>
        <w:rPr>
          <w:rFonts w:ascii="黑体" w:hAnsi="黑体" w:eastAsia="黑体" w:cs="黑体"/>
          <w:szCs w:val="21"/>
        </w:rPr>
        <w:t>b）</w:t>
      </w:r>
      <w:r>
        <w:rPr>
          <w:rFonts w:hint="eastAsia" w:ascii="黑体" w:hAnsi="黑体" w:eastAsia="黑体" w:cs="黑体"/>
          <w:szCs w:val="21"/>
        </w:rPr>
        <w:t>电池</w:t>
      </w:r>
    </w:p>
    <w:p>
      <w:pPr>
        <w:autoSpaceDE w:val="0"/>
        <w:autoSpaceDN w:val="0"/>
        <w:ind w:firstLine="420" w:firstLineChars="200"/>
        <w:rPr>
          <w:szCs w:val="21"/>
        </w:rPr>
      </w:pPr>
      <w:r>
        <w:rPr>
          <w:szCs w:val="21"/>
        </w:rPr>
        <w:t>光伏电池具体</w:t>
      </w:r>
      <w:r>
        <w:rPr>
          <w:rFonts w:hint="eastAsia"/>
          <w:szCs w:val="21"/>
        </w:rPr>
        <w:t>评价内容及评价方法见</w:t>
      </w:r>
      <w:r>
        <w:rPr>
          <w:rFonts w:hint="eastAsia" w:ascii="宋体" w:hAnsi="宋体" w:cs="宋体"/>
          <w:szCs w:val="21"/>
        </w:rPr>
        <w:t>表</w:t>
      </w:r>
      <w:r>
        <w:rPr>
          <w:rFonts w:hint="eastAsia" w:ascii="宋体" w:hAnsi="宋体" w:cs="宋体"/>
          <w:szCs w:val="21"/>
          <w:lang w:val="en-US" w:eastAsia="zh-CN"/>
        </w:rPr>
        <w:t>6</w:t>
      </w:r>
      <w:r>
        <w:rPr>
          <w:rFonts w:hint="eastAsia"/>
          <w:szCs w:val="21"/>
        </w:rPr>
        <w:t>。</w:t>
      </w:r>
    </w:p>
    <w:p>
      <w:pPr>
        <w:numPr>
          <w:ilvl w:val="0"/>
          <w:numId w:val="17"/>
        </w:numPr>
        <w:spacing w:before="156" w:beforeLines="50" w:after="156" w:afterLines="50"/>
        <w:jc w:val="center"/>
        <w:rPr>
          <w:szCs w:val="21"/>
        </w:rPr>
      </w:pPr>
      <w:r>
        <w:rPr>
          <w:rFonts w:hint="eastAsia" w:eastAsia="黑体"/>
        </w:rPr>
        <w:t>电池关键</w:t>
      </w:r>
      <w:r>
        <w:rPr>
          <w:rFonts w:eastAsia="黑体"/>
        </w:rPr>
        <w:t>技术先进性</w:t>
      </w:r>
      <w:r>
        <w:rPr>
          <w:rFonts w:hint="eastAsia" w:eastAsia="黑体"/>
        </w:rPr>
        <w:t>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050"/>
        <w:gridCol w:w="1350"/>
        <w:gridCol w:w="335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05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350"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3355"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871"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restart"/>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050" w:type="dxa"/>
            <w:vAlign w:val="center"/>
          </w:tcPr>
          <w:p>
            <w:pPr>
              <w:jc w:val="center"/>
              <w:rPr>
                <w:rFonts w:ascii="宋体" w:hAnsi="宋体" w:cs="宋体"/>
                <w:sz w:val="18"/>
                <w:szCs w:val="18"/>
              </w:rPr>
            </w:pPr>
            <w:r>
              <w:rPr>
                <w:rFonts w:hint="eastAsia" w:ascii="宋体" w:hAnsi="宋体" w:cs="宋体"/>
                <w:sz w:val="18"/>
                <w:szCs w:val="18"/>
              </w:rPr>
              <w:t>多晶硅电池</w:t>
            </w:r>
          </w:p>
        </w:tc>
        <w:tc>
          <w:tcPr>
            <w:tcW w:w="1350" w:type="dxa"/>
            <w:vAlign w:val="center"/>
          </w:tcPr>
          <w:p>
            <w:pPr>
              <w:autoSpaceDE w:val="0"/>
              <w:autoSpaceDN w:val="0"/>
              <w:jc w:val="center"/>
              <w:rPr>
                <w:rFonts w:ascii="宋体" w:hAnsi="宋体" w:cs="宋体"/>
                <w:sz w:val="18"/>
                <w:szCs w:val="18"/>
              </w:rPr>
            </w:pPr>
            <w:r>
              <w:rPr>
                <w:rFonts w:hint="eastAsia" w:ascii="宋体" w:hAnsi="宋体" w:cs="宋体"/>
                <w:sz w:val="18"/>
                <w:szCs w:val="18"/>
              </w:rPr>
              <w:t>光电转化效率</w:t>
            </w:r>
          </w:p>
        </w:tc>
        <w:tc>
          <w:tcPr>
            <w:tcW w:w="3355" w:type="dxa"/>
            <w:vAlign w:val="center"/>
          </w:tcPr>
          <w:p>
            <w:pPr>
              <w:jc w:val="left"/>
              <w:rPr>
                <w:rFonts w:ascii="宋体" w:hAnsi="宋体" w:cs="宋体"/>
                <w:sz w:val="18"/>
                <w:szCs w:val="18"/>
              </w:rPr>
            </w:pPr>
            <w:r>
              <w:rPr>
                <w:rFonts w:hint="eastAsia" w:ascii="宋体" w:hAnsi="宋体" w:cs="宋体"/>
                <w:sz w:val="18"/>
                <w:szCs w:val="18"/>
              </w:rPr>
              <w:t>双面电池按正面效率计算，平均光电转换效率不低于19%。</w:t>
            </w:r>
          </w:p>
        </w:tc>
        <w:tc>
          <w:tcPr>
            <w:tcW w:w="1871" w:type="dxa"/>
            <w:vMerge w:val="restart"/>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《光伏制造行业技术规范（2021年本）》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pPr>
              <w:autoSpaceDE w:val="0"/>
              <w:autoSpaceDN w:val="0"/>
              <w:jc w:val="center"/>
              <w:rPr>
                <w:rFonts w:ascii="宋体" w:hAnsi="宋体" w:cs="宋体"/>
                <w:sz w:val="18"/>
                <w:szCs w:val="18"/>
              </w:rPr>
            </w:pPr>
          </w:p>
        </w:tc>
        <w:tc>
          <w:tcPr>
            <w:tcW w:w="1050" w:type="dxa"/>
            <w:vAlign w:val="center"/>
          </w:tcPr>
          <w:p>
            <w:pPr>
              <w:jc w:val="center"/>
              <w:rPr>
                <w:rFonts w:ascii="宋体" w:hAnsi="宋体" w:cs="宋体"/>
                <w:sz w:val="18"/>
                <w:szCs w:val="18"/>
              </w:rPr>
            </w:pPr>
            <w:r>
              <w:rPr>
                <w:rFonts w:hint="eastAsia" w:ascii="宋体" w:hAnsi="宋体" w:cs="宋体"/>
                <w:sz w:val="18"/>
                <w:szCs w:val="18"/>
              </w:rPr>
              <w:t>单晶硅电池</w:t>
            </w:r>
          </w:p>
        </w:tc>
        <w:tc>
          <w:tcPr>
            <w:tcW w:w="1350" w:type="dxa"/>
            <w:vAlign w:val="center"/>
          </w:tcPr>
          <w:p>
            <w:pPr>
              <w:autoSpaceDE w:val="0"/>
              <w:autoSpaceDN w:val="0"/>
              <w:jc w:val="center"/>
              <w:rPr>
                <w:rFonts w:ascii="宋体" w:hAnsi="宋体" w:cs="宋体"/>
                <w:sz w:val="18"/>
                <w:szCs w:val="18"/>
              </w:rPr>
            </w:pPr>
            <w:r>
              <w:rPr>
                <w:rFonts w:hint="eastAsia" w:ascii="宋体" w:hAnsi="宋体" w:cs="宋体"/>
                <w:sz w:val="18"/>
                <w:szCs w:val="18"/>
              </w:rPr>
              <w:t>光电转化效率</w:t>
            </w:r>
          </w:p>
        </w:tc>
        <w:tc>
          <w:tcPr>
            <w:tcW w:w="3355" w:type="dxa"/>
            <w:vAlign w:val="center"/>
          </w:tcPr>
          <w:p>
            <w:pPr>
              <w:jc w:val="left"/>
              <w:rPr>
                <w:rFonts w:ascii="宋体" w:hAnsi="宋体" w:cs="宋体"/>
                <w:sz w:val="18"/>
                <w:szCs w:val="18"/>
              </w:rPr>
            </w:pPr>
            <w:r>
              <w:rPr>
                <w:rFonts w:hint="eastAsia" w:ascii="宋体" w:hAnsi="宋体" w:cs="宋体"/>
                <w:sz w:val="18"/>
                <w:szCs w:val="18"/>
              </w:rPr>
              <w:t>双面电池按正面效率计算，平均光电转换效率不低于22.5%。</w:t>
            </w:r>
          </w:p>
        </w:tc>
        <w:tc>
          <w:tcPr>
            <w:tcW w:w="1871" w:type="dxa"/>
            <w:vMerge w:val="continue"/>
            <w:vAlign w:val="center"/>
          </w:tcPr>
          <w:p>
            <w:pPr>
              <w:autoSpaceDE/>
              <w:autoSpaceDN/>
              <w:jc w:val="left"/>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pPr>
              <w:autoSpaceDE w:val="0"/>
              <w:autoSpaceDN w:val="0"/>
              <w:jc w:val="center"/>
              <w:rPr>
                <w:rFonts w:ascii="宋体" w:hAnsi="宋体" w:cs="宋体"/>
                <w:sz w:val="18"/>
                <w:szCs w:val="18"/>
              </w:rPr>
            </w:pPr>
          </w:p>
        </w:tc>
        <w:tc>
          <w:tcPr>
            <w:tcW w:w="1050" w:type="dxa"/>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其他电池</w:t>
            </w:r>
          </w:p>
        </w:tc>
        <w:tc>
          <w:tcPr>
            <w:tcW w:w="1350"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光电转化效率</w:t>
            </w:r>
          </w:p>
        </w:tc>
        <w:tc>
          <w:tcPr>
            <w:tcW w:w="3355" w:type="dxa"/>
            <w:vAlign w:val="center"/>
          </w:tcPr>
          <w:p>
            <w:pPr>
              <w:jc w:val="left"/>
              <w:rPr>
                <w:rFonts w:hint="eastAsia" w:ascii="宋体" w:hAnsi="宋体" w:cs="宋体"/>
                <w:sz w:val="18"/>
                <w:szCs w:val="18"/>
              </w:rPr>
            </w:pPr>
            <w:r>
              <w:rPr>
                <w:rFonts w:hint="eastAsia" w:ascii="宋体" w:hAnsi="宋体" w:cs="宋体"/>
                <w:sz w:val="18"/>
                <w:szCs w:val="18"/>
                <w:lang w:eastAsia="zh-CN"/>
              </w:rPr>
              <w:t>企业围绕</w:t>
            </w:r>
            <w:r>
              <w:rPr>
                <w:rFonts w:hint="eastAsia" w:ascii="宋体" w:hAnsi="宋体" w:cs="宋体"/>
                <w:sz w:val="18"/>
                <w:szCs w:val="18"/>
              </w:rPr>
              <w:t>薄膜组件的平均光电转换效率</w:t>
            </w:r>
            <w:r>
              <w:rPr>
                <w:rFonts w:hint="eastAsia" w:ascii="宋体" w:hAnsi="宋体" w:cs="宋体"/>
                <w:sz w:val="18"/>
                <w:szCs w:val="18"/>
                <w:lang w:eastAsia="zh-CN"/>
              </w:rPr>
              <w:t>说明电池性能</w:t>
            </w:r>
            <w:r>
              <w:rPr>
                <w:rFonts w:hint="eastAsia" w:ascii="宋体" w:hAnsi="宋体" w:cs="宋体"/>
                <w:sz w:val="18"/>
                <w:szCs w:val="18"/>
              </w:rPr>
              <w:t>。</w:t>
            </w:r>
          </w:p>
        </w:tc>
        <w:tc>
          <w:tcPr>
            <w:tcW w:w="1871" w:type="dxa"/>
            <w:vAlign w:val="center"/>
          </w:tcPr>
          <w:p>
            <w:pPr>
              <w:autoSpaceDE/>
              <w:autoSpaceDN/>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r>
    </w:tbl>
    <w:p>
      <w:pPr>
        <w:autoSpaceDE w:val="0"/>
        <w:autoSpaceDN w:val="0"/>
        <w:spacing w:line="480" w:lineRule="auto"/>
        <w:ind w:firstLine="420" w:firstLineChars="200"/>
        <w:rPr>
          <w:rFonts w:ascii="黑体" w:hAnsi="黑体" w:eastAsia="黑体" w:cs="黑体"/>
          <w:szCs w:val="21"/>
        </w:rPr>
      </w:pPr>
      <w:r>
        <w:rPr>
          <w:rFonts w:ascii="黑体" w:hAnsi="黑体" w:eastAsia="黑体" w:cs="黑体"/>
          <w:szCs w:val="21"/>
        </w:rPr>
        <w:t>c）</w:t>
      </w:r>
      <w:r>
        <w:rPr>
          <w:rFonts w:hint="eastAsia" w:ascii="黑体" w:hAnsi="黑体" w:eastAsia="黑体" w:cs="黑体"/>
          <w:szCs w:val="21"/>
        </w:rPr>
        <w:t>组件</w:t>
      </w:r>
    </w:p>
    <w:p>
      <w:pPr>
        <w:autoSpaceDE w:val="0"/>
        <w:autoSpaceDN w:val="0"/>
        <w:ind w:firstLine="420" w:firstLineChars="200"/>
        <w:rPr>
          <w:szCs w:val="21"/>
        </w:rPr>
      </w:pPr>
      <w:r>
        <w:rPr>
          <w:rFonts w:hint="eastAsia"/>
          <w:szCs w:val="21"/>
        </w:rPr>
        <w:t>光伏组件具体评价内容及评价方法见</w:t>
      </w:r>
      <w:r>
        <w:rPr>
          <w:rFonts w:hint="eastAsia" w:ascii="宋体" w:hAnsi="宋体" w:cs="宋体"/>
          <w:szCs w:val="21"/>
        </w:rPr>
        <w:t>表</w:t>
      </w:r>
      <w:r>
        <w:rPr>
          <w:rFonts w:hint="eastAsia" w:ascii="宋体" w:hAnsi="宋体" w:cs="宋体"/>
          <w:szCs w:val="21"/>
          <w:lang w:val="en-US" w:eastAsia="zh-CN"/>
        </w:rPr>
        <w:t>7</w:t>
      </w:r>
      <w:r>
        <w:rPr>
          <w:rFonts w:hint="eastAsia"/>
          <w:szCs w:val="21"/>
        </w:rPr>
        <w:t>。</w:t>
      </w:r>
    </w:p>
    <w:p>
      <w:pPr>
        <w:numPr>
          <w:ilvl w:val="0"/>
          <w:numId w:val="17"/>
        </w:numPr>
        <w:spacing w:before="156" w:beforeLines="50" w:after="156" w:afterLines="50"/>
        <w:jc w:val="center"/>
        <w:rPr>
          <w:szCs w:val="21"/>
        </w:rPr>
      </w:pPr>
      <w:r>
        <w:rPr>
          <w:rFonts w:hint="eastAsia" w:eastAsia="黑体"/>
        </w:rPr>
        <w:t>光伏组件关键</w:t>
      </w:r>
      <w:r>
        <w:rPr>
          <w:rFonts w:eastAsia="黑体"/>
        </w:rPr>
        <w:t>技术先进性</w:t>
      </w:r>
      <w:r>
        <w:rPr>
          <w:rFonts w:hint="eastAsia" w:eastAsia="黑体"/>
        </w:rPr>
        <w:t>评价规则表</w:t>
      </w:r>
    </w:p>
    <w:tbl>
      <w:tblPr>
        <w:tblStyle w:val="35"/>
        <w:tblW w:w="7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38"/>
        <w:gridCol w:w="1377"/>
        <w:gridCol w:w="294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238"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377"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294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227"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Merge w:val="restart"/>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238" w:type="dxa"/>
            <w:vAlign w:val="center"/>
          </w:tcPr>
          <w:p>
            <w:pPr>
              <w:jc w:val="center"/>
              <w:rPr>
                <w:rFonts w:ascii="宋体" w:hAnsi="宋体" w:cs="宋体"/>
                <w:sz w:val="18"/>
                <w:szCs w:val="18"/>
              </w:rPr>
            </w:pPr>
            <w:r>
              <w:rPr>
                <w:rFonts w:hint="eastAsia" w:ascii="宋体" w:hAnsi="宋体" w:cs="宋体"/>
                <w:sz w:val="18"/>
                <w:szCs w:val="18"/>
              </w:rPr>
              <w:t>多晶硅组件</w:t>
            </w:r>
          </w:p>
        </w:tc>
        <w:tc>
          <w:tcPr>
            <w:tcW w:w="1377" w:type="dxa"/>
            <w:vAlign w:val="center"/>
          </w:tcPr>
          <w:p>
            <w:pPr>
              <w:autoSpaceDE w:val="0"/>
              <w:autoSpaceDN w:val="0"/>
              <w:jc w:val="center"/>
              <w:rPr>
                <w:rFonts w:ascii="宋体" w:hAnsi="宋体" w:cs="宋体"/>
                <w:sz w:val="18"/>
                <w:szCs w:val="18"/>
              </w:rPr>
            </w:pPr>
            <w:r>
              <w:rPr>
                <w:rFonts w:hint="eastAsia" w:ascii="宋体" w:hAnsi="宋体" w:cs="宋体"/>
                <w:sz w:val="18"/>
                <w:szCs w:val="18"/>
              </w:rPr>
              <w:t>光电转化效率</w:t>
            </w:r>
          </w:p>
        </w:tc>
        <w:tc>
          <w:tcPr>
            <w:tcW w:w="2942" w:type="dxa"/>
          </w:tcPr>
          <w:p>
            <w:pPr>
              <w:jc w:val="left"/>
              <w:rPr>
                <w:rFonts w:ascii="宋体" w:hAnsi="宋体" w:cs="宋体"/>
                <w:sz w:val="18"/>
                <w:szCs w:val="18"/>
              </w:rPr>
            </w:pPr>
            <w:r>
              <w:rPr>
                <w:rFonts w:hint="eastAsia" w:ascii="宋体" w:hAnsi="宋体" w:cs="宋体"/>
                <w:sz w:val="18"/>
                <w:szCs w:val="18"/>
              </w:rPr>
              <w:t>双面组件按正面效率计算的平均光电转换效率不低于17%</w:t>
            </w:r>
          </w:p>
        </w:tc>
        <w:tc>
          <w:tcPr>
            <w:tcW w:w="1227" w:type="dxa"/>
            <w:vMerge w:val="restart"/>
            <w:vAlign w:val="center"/>
          </w:tcPr>
          <w:p>
            <w:pPr>
              <w:widowControl/>
              <w:numPr>
                <w:ilvl w:val="255"/>
                <w:numId w:val="0"/>
              </w:numPr>
              <w:jc w:val="left"/>
              <w:rPr>
                <w:rFonts w:ascii="宋体" w:hAnsi="宋体" w:cs="宋体"/>
                <w:sz w:val="18"/>
                <w:szCs w:val="18"/>
              </w:rPr>
            </w:pPr>
            <w:r>
              <w:rPr>
                <w:rFonts w:hint="eastAsia" w:ascii="宋体" w:hAnsi="宋体" w:cs="宋体"/>
                <w:sz w:val="18"/>
                <w:szCs w:val="18"/>
              </w:rPr>
              <w:t>《光伏制造行业技术规范（2021年本）》、CQC 3309</w:t>
            </w:r>
          </w:p>
          <w:p>
            <w:pPr>
              <w:widowControl/>
              <w:numPr>
                <w:ilvl w:val="255"/>
                <w:numId w:val="0"/>
              </w:numPr>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autoSpaceDE w:val="0"/>
              <w:autoSpaceDN w:val="0"/>
              <w:jc w:val="center"/>
              <w:rPr>
                <w:rFonts w:ascii="宋体" w:hAnsi="宋体" w:cs="宋体"/>
                <w:sz w:val="18"/>
                <w:szCs w:val="18"/>
              </w:rPr>
            </w:pPr>
          </w:p>
        </w:tc>
        <w:tc>
          <w:tcPr>
            <w:tcW w:w="1238" w:type="dxa"/>
            <w:vAlign w:val="center"/>
          </w:tcPr>
          <w:p>
            <w:pPr>
              <w:jc w:val="center"/>
              <w:rPr>
                <w:rFonts w:ascii="宋体" w:hAnsi="宋体" w:cs="宋体"/>
                <w:sz w:val="18"/>
                <w:szCs w:val="18"/>
              </w:rPr>
            </w:pPr>
            <w:r>
              <w:rPr>
                <w:rFonts w:hint="eastAsia" w:ascii="宋体" w:hAnsi="宋体" w:cs="宋体"/>
                <w:sz w:val="18"/>
                <w:szCs w:val="18"/>
              </w:rPr>
              <w:t>单晶硅组件</w:t>
            </w:r>
          </w:p>
        </w:tc>
        <w:tc>
          <w:tcPr>
            <w:tcW w:w="1377" w:type="dxa"/>
            <w:vAlign w:val="center"/>
          </w:tcPr>
          <w:p>
            <w:pPr>
              <w:autoSpaceDE w:val="0"/>
              <w:autoSpaceDN w:val="0"/>
              <w:jc w:val="center"/>
              <w:rPr>
                <w:rFonts w:ascii="宋体" w:hAnsi="宋体" w:cs="宋体"/>
                <w:sz w:val="18"/>
                <w:szCs w:val="18"/>
              </w:rPr>
            </w:pPr>
            <w:r>
              <w:rPr>
                <w:rFonts w:hint="eastAsia" w:ascii="宋体" w:hAnsi="宋体" w:cs="宋体"/>
                <w:sz w:val="18"/>
                <w:szCs w:val="18"/>
              </w:rPr>
              <w:t>光电转化效率</w:t>
            </w:r>
          </w:p>
        </w:tc>
        <w:tc>
          <w:tcPr>
            <w:tcW w:w="2942" w:type="dxa"/>
          </w:tcPr>
          <w:p>
            <w:pPr>
              <w:rPr>
                <w:rFonts w:ascii="宋体" w:hAnsi="宋体" w:cs="宋体"/>
                <w:sz w:val="18"/>
                <w:szCs w:val="18"/>
              </w:rPr>
            </w:pPr>
            <w:r>
              <w:rPr>
                <w:rFonts w:hint="eastAsia" w:ascii="宋体" w:hAnsi="宋体" w:cs="宋体"/>
                <w:sz w:val="18"/>
                <w:szCs w:val="18"/>
              </w:rPr>
              <w:t>双面组件按正面效率计算的平均光电转换效率不低于19.6%。</w:t>
            </w:r>
          </w:p>
        </w:tc>
        <w:tc>
          <w:tcPr>
            <w:tcW w:w="1227"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autoSpaceDE w:val="0"/>
              <w:autoSpaceDN w:val="0"/>
              <w:jc w:val="center"/>
              <w:rPr>
                <w:rFonts w:ascii="宋体" w:hAnsi="宋体" w:cs="宋体"/>
                <w:sz w:val="18"/>
                <w:szCs w:val="18"/>
              </w:rPr>
            </w:pPr>
          </w:p>
        </w:tc>
        <w:tc>
          <w:tcPr>
            <w:tcW w:w="1238" w:type="dxa"/>
            <w:vAlign w:val="center"/>
          </w:tcPr>
          <w:p>
            <w:pPr>
              <w:jc w:val="center"/>
              <w:rPr>
                <w:rFonts w:ascii="宋体" w:hAnsi="宋体" w:cs="宋体"/>
                <w:sz w:val="18"/>
                <w:szCs w:val="18"/>
              </w:rPr>
            </w:pPr>
            <w:r>
              <w:rPr>
                <w:rFonts w:hint="eastAsia" w:ascii="宋体" w:hAnsi="宋体" w:cs="宋体"/>
                <w:sz w:val="18"/>
                <w:szCs w:val="18"/>
              </w:rPr>
              <w:t>其他组件</w:t>
            </w:r>
          </w:p>
        </w:tc>
        <w:tc>
          <w:tcPr>
            <w:tcW w:w="1377" w:type="dxa"/>
            <w:vAlign w:val="center"/>
          </w:tcPr>
          <w:p>
            <w:pPr>
              <w:autoSpaceDE w:val="0"/>
              <w:autoSpaceDN w:val="0"/>
              <w:jc w:val="center"/>
              <w:rPr>
                <w:rFonts w:ascii="宋体" w:hAnsi="宋体" w:cs="宋体"/>
                <w:sz w:val="18"/>
                <w:szCs w:val="18"/>
              </w:rPr>
            </w:pPr>
            <w:r>
              <w:rPr>
                <w:rFonts w:hint="eastAsia" w:ascii="宋体" w:hAnsi="宋体" w:cs="宋体"/>
                <w:sz w:val="18"/>
                <w:szCs w:val="18"/>
              </w:rPr>
              <w:t>光电转化效率</w:t>
            </w:r>
          </w:p>
        </w:tc>
        <w:tc>
          <w:tcPr>
            <w:tcW w:w="2942" w:type="dxa"/>
          </w:tcPr>
          <w:p>
            <w:pPr>
              <w:rPr>
                <w:rFonts w:ascii="宋体" w:hAnsi="宋体" w:cs="宋体"/>
                <w:sz w:val="18"/>
                <w:szCs w:val="18"/>
              </w:rPr>
            </w:pPr>
            <w:r>
              <w:rPr>
                <w:rFonts w:hint="eastAsia" w:ascii="宋体" w:hAnsi="宋体" w:cs="宋体"/>
                <w:sz w:val="18"/>
                <w:szCs w:val="18"/>
              </w:rPr>
              <w:t>硅基、铜铟镓硒（CIGS）、碲化镉（CdTe）及其他薄膜组件的平均光电转换效率分别不低于 12%、15%、14%、 14%。</w:t>
            </w:r>
          </w:p>
        </w:tc>
        <w:tc>
          <w:tcPr>
            <w:tcW w:w="1227" w:type="dxa"/>
            <w:vMerge w:val="continue"/>
            <w:vAlign w:val="center"/>
          </w:tcPr>
          <w:p>
            <w:pPr>
              <w:autoSpaceDE w:val="0"/>
              <w:autoSpaceDN w:val="0"/>
              <w:jc w:val="center"/>
              <w:rPr>
                <w:rFonts w:ascii="宋体" w:hAnsi="宋体" w:cs="宋体"/>
                <w:sz w:val="18"/>
                <w:szCs w:val="18"/>
              </w:rPr>
            </w:pPr>
          </w:p>
        </w:tc>
      </w:tr>
    </w:tbl>
    <w:p>
      <w:pPr>
        <w:autoSpaceDE w:val="0"/>
        <w:autoSpaceDN w:val="0"/>
        <w:spacing w:line="480" w:lineRule="auto"/>
        <w:ind w:firstLine="420" w:firstLineChars="200"/>
        <w:rPr>
          <w:rFonts w:hint="eastAsia" w:ascii="黑体" w:hAnsi="黑体" w:eastAsia="黑体" w:cs="黑体"/>
          <w:szCs w:val="21"/>
          <w:lang w:eastAsia="zh-CN"/>
        </w:rPr>
      </w:pPr>
      <w:r>
        <w:rPr>
          <w:rFonts w:ascii="黑体" w:hAnsi="黑体" w:eastAsia="黑体" w:cs="黑体"/>
          <w:szCs w:val="21"/>
        </w:rPr>
        <w:t>d）</w:t>
      </w:r>
      <w:r>
        <w:rPr>
          <w:rFonts w:hint="eastAsia" w:ascii="黑体" w:hAnsi="黑体" w:eastAsia="黑体" w:cs="黑体"/>
          <w:szCs w:val="21"/>
          <w:lang w:eastAsia="zh-CN"/>
        </w:rPr>
        <w:t>关键器件</w:t>
      </w:r>
    </w:p>
    <w:p>
      <w:pPr>
        <w:autoSpaceDE w:val="0"/>
        <w:autoSpaceDN w:val="0"/>
        <w:ind w:firstLine="840" w:firstLineChars="400"/>
        <w:rPr>
          <w:szCs w:val="21"/>
        </w:rPr>
      </w:pPr>
      <w:r>
        <w:rPr>
          <w:rFonts w:hint="eastAsia"/>
          <w:szCs w:val="21"/>
        </w:rPr>
        <w:t>对光伏发电影响最关键的元器件为逆变器，其具体评价内容及评价方法见</w:t>
      </w:r>
      <w:r>
        <w:rPr>
          <w:rFonts w:hint="eastAsia" w:ascii="宋体" w:hAnsi="宋体" w:cs="宋体"/>
          <w:szCs w:val="21"/>
        </w:rPr>
        <w:t>表</w:t>
      </w:r>
      <w:r>
        <w:rPr>
          <w:rFonts w:hint="eastAsia" w:ascii="宋体" w:hAnsi="宋体" w:cs="宋体"/>
          <w:szCs w:val="21"/>
          <w:lang w:val="en-US" w:eastAsia="zh-CN"/>
        </w:rPr>
        <w:t>8</w:t>
      </w:r>
      <w:r>
        <w:rPr>
          <w:rFonts w:hint="eastAsia" w:ascii="宋体" w:hAnsi="宋体" w:cs="宋体"/>
          <w:szCs w:val="21"/>
        </w:rPr>
        <w:t>。</w:t>
      </w:r>
    </w:p>
    <w:p>
      <w:pPr>
        <w:numPr>
          <w:ilvl w:val="0"/>
          <w:numId w:val="17"/>
        </w:numPr>
        <w:spacing w:before="156" w:beforeLines="50" w:after="156" w:afterLines="50"/>
        <w:jc w:val="center"/>
        <w:rPr>
          <w:szCs w:val="21"/>
        </w:rPr>
      </w:pPr>
      <w:r>
        <w:rPr>
          <w:rFonts w:hint="eastAsia" w:eastAsia="黑体"/>
        </w:rPr>
        <w:t>逆变器关键</w:t>
      </w:r>
      <w:r>
        <w:rPr>
          <w:rFonts w:eastAsia="黑体"/>
        </w:rPr>
        <w:t>技术先进性</w:t>
      </w:r>
      <w:r>
        <w:rPr>
          <w:rFonts w:hint="eastAsia" w:eastAsia="黑体"/>
        </w:rPr>
        <w:t>评价规则表</w:t>
      </w:r>
    </w:p>
    <w:tbl>
      <w:tblPr>
        <w:tblStyle w:val="3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992"/>
        <w:gridCol w:w="1544"/>
        <w:gridCol w:w="2009"/>
        <w:gridCol w:w="277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99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544"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4788" w:type="dxa"/>
            <w:gridSpan w:val="2"/>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03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restart"/>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992" w:type="dxa"/>
            <w:vAlign w:val="center"/>
          </w:tcPr>
          <w:p>
            <w:pPr>
              <w:jc w:val="center"/>
              <w:rPr>
                <w:rFonts w:ascii="宋体" w:hAnsi="宋体" w:cs="宋体"/>
                <w:sz w:val="18"/>
                <w:szCs w:val="18"/>
              </w:rPr>
            </w:pPr>
            <w:r>
              <w:rPr>
                <w:rFonts w:hint="eastAsia" w:ascii="宋体" w:hAnsi="宋体" w:cs="宋体"/>
                <w:sz w:val="18"/>
                <w:szCs w:val="18"/>
              </w:rPr>
              <w:t>含变压器型的光伏逆变器</w:t>
            </w:r>
          </w:p>
        </w:tc>
        <w:tc>
          <w:tcPr>
            <w:tcW w:w="1544" w:type="dxa"/>
            <w:vAlign w:val="center"/>
          </w:tcPr>
          <w:p>
            <w:pPr>
              <w:autoSpaceDE w:val="0"/>
              <w:autoSpaceDN w:val="0"/>
              <w:jc w:val="center"/>
              <w:rPr>
                <w:rFonts w:ascii="宋体" w:hAnsi="宋体" w:cs="宋体"/>
                <w:sz w:val="18"/>
                <w:szCs w:val="18"/>
              </w:rPr>
            </w:pPr>
            <w:r>
              <w:rPr>
                <w:rFonts w:hint="eastAsia" w:ascii="宋体" w:hAnsi="宋体" w:cs="宋体"/>
                <w:sz w:val="18"/>
                <w:szCs w:val="18"/>
              </w:rPr>
              <w:t>中国加权效率</w:t>
            </w:r>
          </w:p>
        </w:tc>
        <w:tc>
          <w:tcPr>
            <w:tcW w:w="4788" w:type="dxa"/>
            <w:gridSpan w:val="2"/>
          </w:tcPr>
          <w:p>
            <w:pPr>
              <w:rPr>
                <w:rFonts w:ascii="宋体" w:hAnsi="宋体" w:cs="宋体"/>
                <w:sz w:val="18"/>
                <w:szCs w:val="18"/>
              </w:rPr>
            </w:pPr>
            <w:r>
              <w:rPr>
                <w:rFonts w:hint="eastAsia" w:ascii="宋体" w:hAnsi="宋体" w:cs="宋体"/>
                <w:sz w:val="18"/>
                <w:szCs w:val="18"/>
              </w:rPr>
              <w:t>中国加权效率不得低于96.5%，单相二级拓扑结构的光伏逆变器中国加权效率不低于94.5%，微型逆变器中国加权效率不低于95%。</w:t>
            </w:r>
          </w:p>
        </w:tc>
        <w:tc>
          <w:tcPr>
            <w:tcW w:w="1032" w:type="dxa"/>
            <w:vMerge w:val="restart"/>
            <w:vAlign w:val="center"/>
          </w:tcPr>
          <w:p>
            <w:pPr>
              <w:autoSpaceDE w:val="0"/>
              <w:autoSpaceDN w:val="0"/>
              <w:jc w:val="center"/>
              <w:rPr>
                <w:rFonts w:ascii="宋体" w:hAnsi="宋体" w:cs="宋体"/>
                <w:sz w:val="18"/>
                <w:szCs w:val="18"/>
              </w:rPr>
            </w:pPr>
            <w:r>
              <w:rPr>
                <w:rFonts w:hint="eastAsia" w:ascii="宋体" w:hAnsi="宋体" w:cs="宋体"/>
                <w:sz w:val="18"/>
                <w:szCs w:val="18"/>
              </w:rPr>
              <w:t>《光伏制造行业技术规范（2021年本）》、CGC/GF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Align w:val="center"/>
          </w:tcPr>
          <w:p>
            <w:pPr>
              <w:jc w:val="center"/>
              <w:rPr>
                <w:rFonts w:ascii="宋体" w:hAnsi="宋体" w:cs="宋体"/>
                <w:sz w:val="18"/>
                <w:szCs w:val="18"/>
              </w:rPr>
            </w:pPr>
            <w:r>
              <w:rPr>
                <w:rFonts w:hint="eastAsia" w:ascii="宋体" w:hAnsi="宋体" w:cs="宋体"/>
                <w:sz w:val="18"/>
                <w:szCs w:val="18"/>
              </w:rPr>
              <w:t>不含变压器型的光伏逆变器</w:t>
            </w:r>
          </w:p>
        </w:tc>
        <w:tc>
          <w:tcPr>
            <w:tcW w:w="1544" w:type="dxa"/>
            <w:vAlign w:val="center"/>
          </w:tcPr>
          <w:p>
            <w:pPr>
              <w:autoSpaceDE w:val="0"/>
              <w:autoSpaceDN w:val="0"/>
              <w:jc w:val="center"/>
              <w:rPr>
                <w:rFonts w:ascii="宋体" w:hAnsi="宋体" w:cs="宋体"/>
                <w:sz w:val="18"/>
                <w:szCs w:val="18"/>
              </w:rPr>
            </w:pPr>
            <w:r>
              <w:rPr>
                <w:rFonts w:hint="eastAsia" w:ascii="宋体" w:hAnsi="宋体" w:cs="宋体"/>
                <w:sz w:val="18"/>
                <w:szCs w:val="18"/>
              </w:rPr>
              <w:t>中国加权效率</w:t>
            </w:r>
          </w:p>
        </w:tc>
        <w:tc>
          <w:tcPr>
            <w:tcW w:w="4788" w:type="dxa"/>
            <w:gridSpan w:val="2"/>
          </w:tcPr>
          <w:p>
            <w:pPr>
              <w:rPr>
                <w:rFonts w:ascii="宋体" w:hAnsi="宋体" w:cs="宋体"/>
                <w:sz w:val="18"/>
                <w:szCs w:val="18"/>
              </w:rPr>
            </w:pPr>
            <w:r>
              <w:rPr>
                <w:rFonts w:hint="eastAsia" w:ascii="宋体" w:hAnsi="宋体" w:cs="宋体"/>
                <w:sz w:val="18"/>
                <w:szCs w:val="18"/>
              </w:rPr>
              <w:t>中国加权效率不得低于98%，单相二级拓扑结构的光伏逆变器中国加权效率不低于97.3%，微型逆变器中国加权效率不低于95.5%。</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restart"/>
            <w:vAlign w:val="center"/>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三相非隔离型变压器</w:t>
            </w:r>
          </w:p>
        </w:tc>
        <w:tc>
          <w:tcPr>
            <w:tcW w:w="1544" w:type="dxa"/>
            <w:vMerge w:val="restart"/>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最大转换效率、平均加权总效率</w:t>
            </w:r>
          </w:p>
        </w:tc>
        <w:tc>
          <w:tcPr>
            <w:tcW w:w="2009" w:type="dxa"/>
            <w:vAlign w:val="center"/>
          </w:tcPr>
          <w:p>
            <w:pPr>
              <w:autoSpaceDE w:val="0"/>
              <w:autoSpaceDN w:val="0"/>
              <w:jc w:val="center"/>
              <w:rPr>
                <w:rFonts w:hint="default" w:ascii="宋体" w:hAnsi="宋体" w:cs="宋体"/>
                <w:sz w:val="18"/>
                <w:szCs w:val="18"/>
                <w:lang w:val="en-US" w:eastAsia="zh-CN"/>
              </w:rPr>
            </w:pPr>
            <w:r>
              <w:rPr>
                <w:rFonts w:hint="eastAsia" w:ascii="宋体" w:hAnsi="宋体" w:cs="宋体"/>
                <w:sz w:val="18"/>
                <w:szCs w:val="18"/>
                <w:lang w:val="en-US" w:eastAsia="zh-CN"/>
              </w:rPr>
              <w:t>功率P（KW）≤8</w:t>
            </w:r>
          </w:p>
        </w:tc>
        <w:tc>
          <w:tcPr>
            <w:tcW w:w="2779" w:type="dxa"/>
            <w:vAlign w:val="center"/>
          </w:tcPr>
          <w:p>
            <w:pPr>
              <w:jc w:val="left"/>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96.5%；</w:t>
            </w:r>
          </w:p>
          <w:p>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平均加权总效率不得低于96.0%。</w:t>
            </w:r>
          </w:p>
        </w:tc>
        <w:tc>
          <w:tcPr>
            <w:tcW w:w="1032" w:type="dxa"/>
            <w:vMerge w:val="restart"/>
            <w:vAlign w:val="center"/>
          </w:tcPr>
          <w:p>
            <w:pPr>
              <w:autoSpaceDE w:val="0"/>
              <w:autoSpaceDN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NB/T 32004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lang w:eastAsia="zh-CN"/>
              </w:rPr>
            </w:pPr>
          </w:p>
        </w:tc>
        <w:tc>
          <w:tcPr>
            <w:tcW w:w="2009" w:type="dxa"/>
            <w:vAlign w:val="center"/>
          </w:tcPr>
          <w:p>
            <w:pPr>
              <w:autoSpaceDE w:val="0"/>
              <w:autoSpaceDN w:val="0"/>
              <w:jc w:val="center"/>
              <w:rPr>
                <w:rFonts w:hint="default" w:ascii="宋体" w:hAnsi="宋体" w:cs="宋体"/>
                <w:sz w:val="18"/>
                <w:szCs w:val="18"/>
                <w:lang w:val="en-US" w:eastAsia="zh-CN"/>
              </w:rPr>
            </w:pPr>
            <w:r>
              <w:rPr>
                <w:rFonts w:hint="eastAsia" w:ascii="宋体" w:hAnsi="宋体" w:cs="宋体"/>
                <w:sz w:val="18"/>
                <w:szCs w:val="18"/>
                <w:lang w:val="en-US" w:eastAsia="zh-CN"/>
              </w:rPr>
              <w:t>8＜功率P（KW）≤20</w:t>
            </w:r>
          </w:p>
        </w:tc>
        <w:tc>
          <w:tcPr>
            <w:tcW w:w="2779" w:type="dxa"/>
            <w:vAlign w:val="center"/>
          </w:tcPr>
          <w:p>
            <w:pPr>
              <w:jc w:val="left"/>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97.5%；</w:t>
            </w:r>
          </w:p>
          <w:p>
            <w:pPr>
              <w:jc w:val="left"/>
              <w:rPr>
                <w:rFonts w:hint="eastAsia" w:ascii="宋体" w:hAnsi="宋体" w:cs="宋体"/>
                <w:sz w:val="18"/>
                <w:szCs w:val="18"/>
                <w:lang w:eastAsia="zh-CN"/>
              </w:rPr>
            </w:pPr>
            <w:r>
              <w:rPr>
                <w:rFonts w:hint="eastAsia" w:ascii="宋体" w:hAnsi="宋体" w:cs="宋体"/>
                <w:sz w:val="18"/>
                <w:szCs w:val="18"/>
                <w:lang w:val="en-US" w:eastAsia="zh-CN"/>
              </w:rPr>
              <w:t>平均加权总效率不得低于97.0%。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lang w:eastAsia="zh-CN"/>
              </w:rPr>
            </w:pPr>
          </w:p>
        </w:tc>
        <w:tc>
          <w:tcPr>
            <w:tcW w:w="2009" w:type="dxa"/>
            <w:vAlign w:val="center"/>
          </w:tcPr>
          <w:p>
            <w:pPr>
              <w:autoSpaceDE w:val="0"/>
              <w:autoSpaceDN w:val="0"/>
              <w:jc w:val="center"/>
              <w:rPr>
                <w:rFonts w:hint="default" w:ascii="宋体" w:hAnsi="宋体" w:cs="宋体"/>
                <w:sz w:val="18"/>
                <w:szCs w:val="18"/>
                <w:lang w:val="en-US" w:eastAsia="zh-CN"/>
              </w:rPr>
            </w:pPr>
            <w:r>
              <w:rPr>
                <w:rFonts w:hint="eastAsia" w:ascii="宋体" w:hAnsi="宋体" w:cs="宋体"/>
                <w:sz w:val="18"/>
                <w:szCs w:val="18"/>
                <w:lang w:val="en-US" w:eastAsia="zh-CN"/>
              </w:rPr>
              <w:t>功率P（KW）＞20</w:t>
            </w:r>
          </w:p>
        </w:tc>
        <w:tc>
          <w:tcPr>
            <w:tcW w:w="2779" w:type="dxa"/>
            <w:vAlign w:val="center"/>
          </w:tcPr>
          <w:p>
            <w:pPr>
              <w:jc w:val="left"/>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98.5%；</w:t>
            </w:r>
          </w:p>
          <w:p>
            <w:pPr>
              <w:jc w:val="left"/>
              <w:rPr>
                <w:rFonts w:hint="eastAsia" w:ascii="宋体" w:hAnsi="宋体" w:cs="宋体"/>
                <w:sz w:val="18"/>
                <w:szCs w:val="18"/>
                <w:lang w:eastAsia="zh-CN"/>
              </w:rPr>
            </w:pPr>
            <w:r>
              <w:rPr>
                <w:rFonts w:hint="eastAsia" w:ascii="宋体" w:hAnsi="宋体" w:cs="宋体"/>
                <w:sz w:val="18"/>
                <w:szCs w:val="18"/>
                <w:lang w:val="en-US" w:eastAsia="zh-CN"/>
              </w:rPr>
              <w:t>平均加权总效率不得低于98.0%。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restart"/>
            <w:vAlign w:val="center"/>
          </w:tcPr>
          <w:p>
            <w:pPr>
              <w:jc w:val="center"/>
              <w:rPr>
                <w:rFonts w:hint="eastAsia" w:ascii="宋体" w:hAnsi="宋体" w:cs="宋体"/>
                <w:sz w:val="18"/>
                <w:szCs w:val="18"/>
                <w:lang w:eastAsia="zh-CN"/>
              </w:rPr>
            </w:pPr>
            <w:r>
              <w:rPr>
                <w:rFonts w:hint="eastAsia" w:ascii="宋体" w:hAnsi="宋体" w:cs="宋体"/>
                <w:sz w:val="18"/>
                <w:szCs w:val="18"/>
                <w:lang w:eastAsia="zh-CN"/>
              </w:rPr>
              <w:t>三相隔离型变压器</w:t>
            </w: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功率P（KW）≤8</w:t>
            </w:r>
          </w:p>
        </w:tc>
        <w:tc>
          <w:tcPr>
            <w:tcW w:w="2779" w:type="dxa"/>
            <w:vAlign w:val="center"/>
          </w:tcPr>
          <w:p>
            <w:pPr>
              <w:jc w:val="left"/>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94.5%；</w:t>
            </w:r>
          </w:p>
          <w:p>
            <w:pPr>
              <w:jc w:val="left"/>
              <w:rPr>
                <w:rFonts w:hint="eastAsia" w:ascii="宋体" w:hAnsi="宋体" w:cs="宋体"/>
                <w:sz w:val="18"/>
                <w:szCs w:val="18"/>
              </w:rPr>
            </w:pPr>
            <w:r>
              <w:rPr>
                <w:rFonts w:hint="eastAsia" w:ascii="宋体" w:hAnsi="宋体" w:cs="宋体"/>
                <w:sz w:val="18"/>
                <w:szCs w:val="18"/>
                <w:lang w:val="en-US" w:eastAsia="zh-CN"/>
              </w:rPr>
              <w:t>平均加权总效率不得低于94.0%。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lang w:val="en-US" w:eastAsia="zh-CN"/>
              </w:rPr>
            </w:pPr>
            <w:r>
              <w:rPr>
                <w:rFonts w:hint="eastAsia" w:ascii="宋体" w:hAnsi="宋体" w:cs="宋体"/>
                <w:sz w:val="18"/>
                <w:szCs w:val="18"/>
                <w:lang w:val="en-US" w:eastAsia="zh-CN"/>
              </w:rPr>
              <w:t>8＜功率P（KW）≤20</w:t>
            </w:r>
          </w:p>
        </w:tc>
        <w:tc>
          <w:tcPr>
            <w:tcW w:w="2779" w:type="dxa"/>
            <w:vAlign w:val="center"/>
          </w:tcPr>
          <w:p>
            <w:pPr>
              <w:jc w:val="left"/>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95.5%；</w:t>
            </w:r>
          </w:p>
          <w:p>
            <w:pPr>
              <w:jc w:val="left"/>
              <w:rPr>
                <w:rFonts w:hint="eastAsia" w:ascii="宋体" w:hAnsi="宋体" w:cs="宋体"/>
                <w:sz w:val="18"/>
                <w:szCs w:val="18"/>
                <w:lang w:eastAsia="zh-CN"/>
              </w:rPr>
            </w:pPr>
            <w:r>
              <w:rPr>
                <w:rFonts w:hint="eastAsia" w:ascii="宋体" w:hAnsi="宋体" w:cs="宋体"/>
                <w:sz w:val="18"/>
                <w:szCs w:val="18"/>
                <w:lang w:val="en-US" w:eastAsia="zh-CN"/>
              </w:rPr>
              <w:t>平均加权总效率不得低于95.0%。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lang w:val="en-US" w:eastAsia="zh-CN"/>
              </w:rPr>
            </w:pPr>
            <w:r>
              <w:rPr>
                <w:rFonts w:hint="eastAsia" w:ascii="宋体" w:hAnsi="宋体" w:cs="宋体"/>
                <w:sz w:val="18"/>
                <w:szCs w:val="18"/>
                <w:lang w:val="en-US" w:eastAsia="zh-CN"/>
              </w:rPr>
              <w:t>功率P（KW）＞20</w:t>
            </w:r>
          </w:p>
        </w:tc>
        <w:tc>
          <w:tcPr>
            <w:tcW w:w="2779" w:type="dxa"/>
            <w:vAlign w:val="center"/>
          </w:tcPr>
          <w:p>
            <w:pPr>
              <w:jc w:val="left"/>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96.5%；</w:t>
            </w:r>
          </w:p>
          <w:p>
            <w:pPr>
              <w:jc w:val="left"/>
              <w:rPr>
                <w:rFonts w:hint="eastAsia" w:ascii="宋体" w:hAnsi="宋体" w:cs="宋体"/>
                <w:sz w:val="18"/>
                <w:szCs w:val="18"/>
                <w:lang w:eastAsia="zh-CN"/>
              </w:rPr>
            </w:pPr>
            <w:r>
              <w:rPr>
                <w:rFonts w:hint="eastAsia" w:ascii="宋体" w:hAnsi="宋体" w:cs="宋体"/>
                <w:sz w:val="18"/>
                <w:szCs w:val="18"/>
                <w:lang w:val="en-US" w:eastAsia="zh-CN"/>
              </w:rPr>
              <w:t>平均加权总效率不得低于96.0%。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restart"/>
            <w:vAlign w:val="center"/>
          </w:tcPr>
          <w:p>
            <w:pPr>
              <w:jc w:val="center"/>
              <w:rPr>
                <w:rFonts w:hint="eastAsia" w:ascii="宋体" w:hAnsi="宋体" w:cs="宋体"/>
                <w:sz w:val="18"/>
                <w:szCs w:val="18"/>
                <w:lang w:eastAsia="zh-CN"/>
              </w:rPr>
            </w:pPr>
            <w:r>
              <w:rPr>
                <w:rFonts w:hint="eastAsia" w:ascii="宋体" w:hAnsi="宋体" w:cs="宋体"/>
                <w:sz w:val="18"/>
                <w:szCs w:val="18"/>
                <w:lang w:eastAsia="zh-CN"/>
              </w:rPr>
              <w:t>单相非隔离型变压器</w:t>
            </w: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功率P（KW）≤8</w:t>
            </w:r>
          </w:p>
        </w:tc>
        <w:tc>
          <w:tcPr>
            <w:tcW w:w="2779" w:type="dxa"/>
          </w:tcPr>
          <w:p>
            <w:pPr>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96.5%；</w:t>
            </w:r>
          </w:p>
          <w:p>
            <w:pPr>
              <w:rPr>
                <w:rFonts w:hint="eastAsia" w:ascii="宋体" w:hAnsi="宋体" w:cs="宋体"/>
                <w:sz w:val="18"/>
                <w:szCs w:val="18"/>
              </w:rPr>
            </w:pPr>
            <w:r>
              <w:rPr>
                <w:rFonts w:hint="eastAsia" w:ascii="宋体" w:hAnsi="宋体" w:cs="宋体"/>
                <w:sz w:val="18"/>
                <w:szCs w:val="18"/>
                <w:lang w:val="en-US" w:eastAsia="zh-CN"/>
              </w:rPr>
              <w:t>平均加权总效率不得低于96.0%。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8＜功率P（KW）≤20</w:t>
            </w:r>
          </w:p>
        </w:tc>
        <w:tc>
          <w:tcPr>
            <w:tcW w:w="2779" w:type="dxa"/>
          </w:tcPr>
          <w:p>
            <w:pP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功率P（KW）＞20</w:t>
            </w:r>
          </w:p>
        </w:tc>
        <w:tc>
          <w:tcPr>
            <w:tcW w:w="2779" w:type="dxa"/>
          </w:tcPr>
          <w:p>
            <w:pPr>
              <w:rPr>
                <w:rFonts w:hint="eastAsia" w:ascii="宋体" w:hAnsi="宋体" w:cs="宋体"/>
                <w:sz w:val="18"/>
                <w:szCs w:val="18"/>
              </w:rPr>
            </w:pPr>
            <w:r>
              <w:rPr>
                <w:rFonts w:hint="eastAsia" w:ascii="宋体" w:hAnsi="宋体" w:cs="宋体"/>
                <w:sz w:val="18"/>
                <w:szCs w:val="18"/>
                <w:lang w:val="en-US" w:eastAsia="zh-CN"/>
              </w:rPr>
              <w:t>/</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restart"/>
            <w:vAlign w:val="center"/>
          </w:tcPr>
          <w:p>
            <w:pPr>
              <w:jc w:val="center"/>
              <w:rPr>
                <w:rFonts w:hint="eastAsia" w:ascii="宋体" w:hAnsi="宋体" w:cs="宋体"/>
                <w:sz w:val="18"/>
                <w:szCs w:val="18"/>
                <w:lang w:eastAsia="zh-CN"/>
              </w:rPr>
            </w:pPr>
            <w:r>
              <w:rPr>
                <w:rFonts w:hint="eastAsia" w:ascii="宋体" w:hAnsi="宋体" w:cs="宋体"/>
                <w:sz w:val="18"/>
                <w:szCs w:val="18"/>
                <w:lang w:eastAsia="zh-CN"/>
              </w:rPr>
              <w:t>单相隔离型变压器</w:t>
            </w: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功率P（KW）≤8</w:t>
            </w:r>
          </w:p>
        </w:tc>
        <w:tc>
          <w:tcPr>
            <w:tcW w:w="2779" w:type="dxa"/>
          </w:tcPr>
          <w:p>
            <w:pPr>
              <w:autoSpaceDE w:val="0"/>
              <w:autoSpaceDN w:val="0"/>
              <w:jc w:val="center"/>
              <w:rPr>
                <w:rFonts w:hint="eastAsia" w:ascii="宋体" w:hAnsi="宋体" w:cs="宋体"/>
                <w:sz w:val="18"/>
                <w:szCs w:val="18"/>
                <w:lang w:val="en-US" w:eastAsia="zh-CN"/>
              </w:rPr>
            </w:pPr>
            <w:r>
              <w:rPr>
                <w:rFonts w:hint="eastAsia" w:ascii="宋体" w:hAnsi="宋体" w:cs="宋体"/>
                <w:sz w:val="18"/>
                <w:szCs w:val="18"/>
                <w:lang w:eastAsia="zh-CN"/>
              </w:rPr>
              <w:t>最大转换效率不得低于</w:t>
            </w:r>
            <w:r>
              <w:rPr>
                <w:rFonts w:hint="eastAsia" w:ascii="宋体" w:hAnsi="宋体" w:cs="宋体"/>
                <w:sz w:val="18"/>
                <w:szCs w:val="18"/>
                <w:lang w:val="en-US" w:eastAsia="zh-CN"/>
              </w:rPr>
              <w:t>94.5%；</w:t>
            </w:r>
          </w:p>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平均加权总效率不得低于94.0%。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8＜功率P（KW）≤20</w:t>
            </w:r>
          </w:p>
        </w:tc>
        <w:tc>
          <w:tcPr>
            <w:tcW w:w="2779" w:type="dxa"/>
            <w:vAlign w:val="top"/>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Merge w:val="continue"/>
            <w:vAlign w:val="center"/>
          </w:tcPr>
          <w:p>
            <w:pPr>
              <w:jc w:val="center"/>
              <w:rPr>
                <w:rFonts w:hint="eastAsia" w:ascii="宋体" w:hAnsi="宋体" w:cs="宋体"/>
                <w:sz w:val="18"/>
                <w:szCs w:val="18"/>
                <w:lang w:eastAsia="zh-CN"/>
              </w:rPr>
            </w:pPr>
          </w:p>
        </w:tc>
        <w:tc>
          <w:tcPr>
            <w:tcW w:w="1544" w:type="dxa"/>
            <w:vMerge w:val="continue"/>
            <w:vAlign w:val="center"/>
          </w:tcPr>
          <w:p>
            <w:pPr>
              <w:autoSpaceDE w:val="0"/>
              <w:autoSpaceDN w:val="0"/>
              <w:jc w:val="center"/>
              <w:rPr>
                <w:rFonts w:hint="eastAsia" w:ascii="宋体" w:hAnsi="宋体" w:cs="宋体"/>
                <w:sz w:val="18"/>
                <w:szCs w:val="18"/>
              </w:rPr>
            </w:pPr>
          </w:p>
        </w:tc>
        <w:tc>
          <w:tcPr>
            <w:tcW w:w="2009" w:type="dxa"/>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功率P（KW）＞20</w:t>
            </w:r>
          </w:p>
        </w:tc>
        <w:tc>
          <w:tcPr>
            <w:tcW w:w="2779" w:type="dxa"/>
            <w:vAlign w:val="top"/>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Align w:val="center"/>
          </w:tcPr>
          <w:p>
            <w:pPr>
              <w:jc w:val="center"/>
              <w:rPr>
                <w:rFonts w:hint="eastAsia" w:ascii="宋体" w:hAnsi="宋体" w:cs="宋体"/>
                <w:sz w:val="18"/>
                <w:szCs w:val="18"/>
                <w:lang w:eastAsia="zh-CN"/>
              </w:rPr>
            </w:pPr>
            <w:r>
              <w:rPr>
                <w:rFonts w:hint="eastAsia" w:ascii="宋体" w:hAnsi="宋体" w:cs="宋体"/>
                <w:sz w:val="18"/>
                <w:szCs w:val="18"/>
                <w:lang w:eastAsia="zh-CN"/>
              </w:rPr>
              <w:t>高频离网型变压器</w:t>
            </w:r>
          </w:p>
        </w:tc>
        <w:tc>
          <w:tcPr>
            <w:tcW w:w="1544" w:type="dxa"/>
            <w:vMerge w:val="restart"/>
            <w:vAlign w:val="center"/>
          </w:tcPr>
          <w:p>
            <w:pPr>
              <w:autoSpaceDE w:val="0"/>
              <w:autoSpaceDN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最大转换效率</w:t>
            </w:r>
          </w:p>
        </w:tc>
        <w:tc>
          <w:tcPr>
            <w:tcW w:w="4788" w:type="dxa"/>
            <w:gridSpan w:val="2"/>
            <w:vAlign w:val="center"/>
          </w:tcPr>
          <w:p>
            <w:pPr>
              <w:autoSpaceDE w:val="0"/>
              <w:autoSpaceDN w:val="0"/>
              <w:jc w:val="left"/>
              <w:rPr>
                <w:rFonts w:hint="eastAsia" w:ascii="宋体" w:hAnsi="宋体" w:cs="宋体"/>
                <w:sz w:val="18"/>
                <w:szCs w:val="18"/>
                <w:lang w:val="en-US" w:eastAsia="zh-CN"/>
              </w:rPr>
            </w:pPr>
            <w:r>
              <w:rPr>
                <w:rFonts w:hint="eastAsia" w:ascii="宋体" w:hAnsi="宋体" w:cs="宋体"/>
                <w:sz w:val="18"/>
                <w:szCs w:val="18"/>
                <w:lang w:val="en-US" w:eastAsia="zh-CN"/>
              </w:rPr>
              <w:t>最大转换效率不得低于90.0%。</w:t>
            </w:r>
          </w:p>
        </w:tc>
        <w:tc>
          <w:tcPr>
            <w:tcW w:w="1032" w:type="dxa"/>
            <w:vMerge w:val="restart"/>
            <w:vAlign w:val="center"/>
          </w:tcPr>
          <w:p>
            <w:pPr>
              <w:autoSpaceDE w:val="0"/>
              <w:autoSpaceDN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Align w:val="center"/>
          </w:tcPr>
          <w:p>
            <w:pPr>
              <w:jc w:val="center"/>
              <w:rPr>
                <w:rFonts w:hint="eastAsia" w:ascii="宋体" w:hAnsi="宋体" w:cs="宋体"/>
                <w:sz w:val="18"/>
                <w:szCs w:val="18"/>
                <w:lang w:eastAsia="zh-CN"/>
              </w:rPr>
            </w:pPr>
            <w:r>
              <w:rPr>
                <w:rFonts w:hint="eastAsia" w:ascii="宋体" w:hAnsi="宋体" w:cs="宋体"/>
                <w:sz w:val="18"/>
                <w:szCs w:val="18"/>
                <w:lang w:eastAsia="zh-CN"/>
              </w:rPr>
              <w:t>工频离网型变压器</w:t>
            </w:r>
          </w:p>
        </w:tc>
        <w:tc>
          <w:tcPr>
            <w:tcW w:w="1544" w:type="dxa"/>
            <w:vMerge w:val="continue"/>
            <w:vAlign w:val="center"/>
          </w:tcPr>
          <w:p>
            <w:pPr>
              <w:autoSpaceDE w:val="0"/>
              <w:autoSpaceDN w:val="0"/>
              <w:jc w:val="center"/>
              <w:rPr>
                <w:rFonts w:hint="eastAsia" w:ascii="宋体" w:hAnsi="宋体" w:cs="宋体"/>
                <w:sz w:val="18"/>
                <w:szCs w:val="18"/>
              </w:rPr>
            </w:pPr>
          </w:p>
        </w:tc>
        <w:tc>
          <w:tcPr>
            <w:tcW w:w="4788" w:type="dxa"/>
            <w:gridSpan w:val="2"/>
            <w:vAlign w:val="center"/>
          </w:tcPr>
          <w:p>
            <w:pPr>
              <w:autoSpaceDE w:val="0"/>
              <w:autoSpaceDN w:val="0"/>
              <w:jc w:val="left"/>
              <w:rPr>
                <w:rFonts w:hint="eastAsia" w:ascii="宋体" w:hAnsi="宋体" w:cs="宋体"/>
                <w:sz w:val="18"/>
                <w:szCs w:val="18"/>
                <w:lang w:val="en-US" w:eastAsia="zh-CN"/>
              </w:rPr>
            </w:pPr>
            <w:r>
              <w:rPr>
                <w:rFonts w:hint="eastAsia" w:ascii="宋体" w:hAnsi="宋体" w:cs="宋体"/>
                <w:sz w:val="18"/>
                <w:szCs w:val="18"/>
                <w:lang w:val="en-US" w:eastAsia="zh-CN"/>
              </w:rPr>
              <w:t>最大转换效率不得低于85.0%。</w:t>
            </w:r>
          </w:p>
        </w:tc>
        <w:tc>
          <w:tcPr>
            <w:tcW w:w="1032" w:type="dxa"/>
            <w:vMerge w:val="continue"/>
            <w:vAlign w:val="center"/>
          </w:tcPr>
          <w:p>
            <w:pPr>
              <w:autoSpaceDE w:val="0"/>
              <w:autoSpaceDN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vAlign w:val="center"/>
          </w:tcPr>
          <w:p>
            <w:pPr>
              <w:autoSpaceDE w:val="0"/>
              <w:autoSpaceDN w:val="0"/>
              <w:jc w:val="center"/>
              <w:rPr>
                <w:rFonts w:ascii="宋体" w:hAnsi="宋体" w:cs="宋体"/>
                <w:sz w:val="18"/>
                <w:szCs w:val="18"/>
              </w:rPr>
            </w:pPr>
          </w:p>
        </w:tc>
        <w:tc>
          <w:tcPr>
            <w:tcW w:w="992" w:type="dxa"/>
            <w:vAlign w:val="center"/>
          </w:tcPr>
          <w:p>
            <w:pPr>
              <w:jc w:val="center"/>
              <w:rPr>
                <w:rFonts w:hint="eastAsia" w:ascii="宋体" w:hAnsi="宋体" w:cs="宋体"/>
                <w:sz w:val="18"/>
                <w:szCs w:val="18"/>
                <w:lang w:eastAsia="zh-CN"/>
              </w:rPr>
            </w:pPr>
            <w:r>
              <w:rPr>
                <w:rFonts w:hint="eastAsia" w:ascii="宋体" w:hAnsi="宋体" w:cs="宋体"/>
                <w:sz w:val="18"/>
                <w:szCs w:val="18"/>
                <w:lang w:eastAsia="zh-CN"/>
              </w:rPr>
              <w:t>其他</w:t>
            </w:r>
          </w:p>
        </w:tc>
        <w:tc>
          <w:tcPr>
            <w:tcW w:w="1544" w:type="dxa"/>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最大转换效率</w:t>
            </w:r>
          </w:p>
        </w:tc>
        <w:tc>
          <w:tcPr>
            <w:tcW w:w="4788" w:type="dxa"/>
            <w:gridSpan w:val="2"/>
            <w:vAlign w:val="center"/>
          </w:tcPr>
          <w:p>
            <w:pPr>
              <w:rPr>
                <w:rFonts w:hint="eastAsia" w:ascii="宋体" w:hAnsi="宋体" w:cs="宋体"/>
                <w:sz w:val="18"/>
                <w:szCs w:val="18"/>
                <w:lang w:val="en-US" w:eastAsia="zh-CN"/>
              </w:rPr>
            </w:pPr>
            <w:r>
              <w:rPr>
                <w:rFonts w:hint="eastAsia" w:ascii="宋体" w:hAnsi="宋体" w:cs="宋体"/>
                <w:sz w:val="18"/>
                <w:szCs w:val="18"/>
                <w:lang w:val="en-US" w:eastAsia="zh-CN"/>
              </w:rPr>
              <w:t>企业围绕最大转换效率等指标出具书面说明。</w:t>
            </w:r>
          </w:p>
        </w:tc>
        <w:tc>
          <w:tcPr>
            <w:tcW w:w="1032" w:type="dxa"/>
            <w:vMerge w:val="continue"/>
            <w:vAlign w:val="center"/>
          </w:tcPr>
          <w:p>
            <w:pPr>
              <w:autoSpaceDE w:val="0"/>
              <w:autoSpaceDN w:val="0"/>
              <w:jc w:val="center"/>
              <w:rPr>
                <w:rFonts w:ascii="宋体" w:hAnsi="宋体" w:cs="宋体"/>
                <w:sz w:val="18"/>
                <w:szCs w:val="18"/>
              </w:rPr>
            </w:pP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lang w:val="en-US" w:eastAsia="zh-CN"/>
        </w:rPr>
        <w:t>e）</w:t>
      </w:r>
      <w:r>
        <w:rPr>
          <w:rFonts w:hint="eastAsia" w:ascii="黑体" w:hAnsi="黑体" w:eastAsia="黑体" w:cs="黑体"/>
          <w:szCs w:val="21"/>
        </w:rPr>
        <w:t>集热器</w:t>
      </w:r>
    </w:p>
    <w:p>
      <w:pPr>
        <w:autoSpaceDE w:val="0"/>
        <w:autoSpaceDN w:val="0"/>
        <w:ind w:firstLine="420" w:firstLineChars="200"/>
        <w:rPr>
          <w:szCs w:val="21"/>
        </w:rPr>
      </w:pPr>
      <w:r>
        <w:rPr>
          <w:rFonts w:hint="eastAsia"/>
          <w:szCs w:val="21"/>
        </w:rPr>
        <w:t>集热器具体评价内容及评价方法</w:t>
      </w:r>
      <w:r>
        <w:rPr>
          <w:rFonts w:hint="eastAsia" w:ascii="宋体" w:hAnsi="宋体" w:cs="宋体"/>
          <w:szCs w:val="21"/>
        </w:rPr>
        <w:t>见表</w:t>
      </w:r>
      <w:r>
        <w:rPr>
          <w:rFonts w:hint="eastAsia" w:ascii="宋体" w:hAnsi="宋体" w:cs="宋体"/>
          <w:szCs w:val="21"/>
          <w:lang w:val="en-US" w:eastAsia="zh-CN"/>
        </w:rPr>
        <w:t>9</w:t>
      </w:r>
      <w:r>
        <w:rPr>
          <w:rFonts w:hint="eastAsia"/>
          <w:szCs w:val="21"/>
        </w:rPr>
        <w:t>。</w:t>
      </w:r>
    </w:p>
    <w:p>
      <w:pPr>
        <w:numPr>
          <w:ilvl w:val="0"/>
          <w:numId w:val="17"/>
        </w:numPr>
        <w:spacing w:before="156" w:beforeLines="50" w:after="156" w:afterLines="50"/>
        <w:jc w:val="center"/>
        <w:rPr>
          <w:szCs w:val="21"/>
        </w:rPr>
      </w:pPr>
      <w:r>
        <w:rPr>
          <w:rFonts w:hint="eastAsia" w:eastAsia="黑体"/>
        </w:rPr>
        <w:t>集热器关键</w:t>
      </w:r>
      <w:r>
        <w:rPr>
          <w:rFonts w:eastAsia="黑体"/>
        </w:rPr>
        <w:t>技术先进性</w:t>
      </w:r>
      <w:r>
        <w:rPr>
          <w:rFonts w:hint="eastAsia" w:eastAsia="黑体"/>
        </w:rPr>
        <w:t>评价规则表</w:t>
      </w:r>
    </w:p>
    <w:tbl>
      <w:tblPr>
        <w:tblStyle w:val="3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284"/>
        <w:gridCol w:w="1514"/>
        <w:gridCol w:w="370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284"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514"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3704"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115"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284" w:type="dxa"/>
            <w:vAlign w:val="center"/>
          </w:tcPr>
          <w:p>
            <w:pPr>
              <w:jc w:val="center"/>
              <w:rPr>
                <w:rFonts w:ascii="宋体" w:hAnsi="宋体" w:cs="宋体"/>
                <w:sz w:val="18"/>
                <w:szCs w:val="18"/>
              </w:rPr>
            </w:pPr>
            <w:r>
              <w:rPr>
                <w:rFonts w:hint="eastAsia" w:ascii="宋体" w:hAnsi="宋体" w:cs="宋体"/>
                <w:sz w:val="18"/>
                <w:szCs w:val="18"/>
              </w:rPr>
              <w:t>真空管型太阳能集热器</w:t>
            </w:r>
          </w:p>
        </w:tc>
        <w:tc>
          <w:tcPr>
            <w:tcW w:w="1514" w:type="dxa"/>
            <w:vAlign w:val="center"/>
          </w:tcPr>
          <w:p>
            <w:pPr>
              <w:autoSpaceDE w:val="0"/>
              <w:autoSpaceDN w:val="0"/>
              <w:jc w:val="center"/>
              <w:rPr>
                <w:rFonts w:ascii="宋体" w:hAnsi="宋体" w:cs="宋体"/>
                <w:sz w:val="18"/>
                <w:szCs w:val="18"/>
              </w:rPr>
            </w:pPr>
            <w:r>
              <w:rPr>
                <w:rFonts w:hint="eastAsia" w:ascii="宋体" w:hAnsi="宋体" w:cs="宋体"/>
                <w:sz w:val="18"/>
                <w:szCs w:val="18"/>
              </w:rPr>
              <w:t>峰值效率</w:t>
            </w:r>
          </w:p>
        </w:tc>
        <w:tc>
          <w:tcPr>
            <w:tcW w:w="3704" w:type="dxa"/>
          </w:tcPr>
          <w:p>
            <w:pPr>
              <w:rPr>
                <w:rFonts w:ascii="宋体" w:hAnsi="宋体" w:cs="宋体"/>
                <w:sz w:val="18"/>
                <w:szCs w:val="18"/>
              </w:rPr>
            </w:pPr>
            <w:r>
              <w:rPr>
                <w:rFonts w:hint="eastAsia" w:ascii="宋体" w:hAnsi="宋体" w:cs="宋体"/>
                <w:sz w:val="18"/>
                <w:szCs w:val="18"/>
              </w:rPr>
              <w:t>真空管型太阳能集热器峰值效率按照GB/T 17581执行，即基于采光面积和平均温度：不带反射器的集热器峰值效率不应低于0.68，带反射器的集热器峰值效率不应低于0.60。</w:t>
            </w:r>
          </w:p>
        </w:tc>
        <w:tc>
          <w:tcPr>
            <w:tcW w:w="1115" w:type="dxa"/>
            <w:vAlign w:val="center"/>
          </w:tcPr>
          <w:p>
            <w:pPr>
              <w:autoSpaceDE w:val="0"/>
              <w:autoSpaceDN w:val="0"/>
              <w:jc w:val="center"/>
              <w:rPr>
                <w:rFonts w:ascii="宋体" w:hAnsi="宋体" w:cs="宋体"/>
                <w:sz w:val="18"/>
                <w:szCs w:val="18"/>
              </w:rPr>
            </w:pPr>
            <w:r>
              <w:rPr>
                <w:rFonts w:hint="eastAsia" w:ascii="宋体" w:hAnsi="宋体" w:cs="宋体"/>
                <w:sz w:val="18"/>
                <w:szCs w:val="18"/>
              </w:rPr>
              <w:t>GB/T 17581、GB/T 4271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autoSpaceDE w:val="0"/>
              <w:autoSpaceDN w:val="0"/>
              <w:jc w:val="center"/>
              <w:rPr>
                <w:rFonts w:ascii="宋体" w:hAnsi="宋体" w:cs="宋体"/>
                <w:sz w:val="18"/>
                <w:szCs w:val="18"/>
              </w:rPr>
            </w:pPr>
          </w:p>
        </w:tc>
        <w:tc>
          <w:tcPr>
            <w:tcW w:w="1284" w:type="dxa"/>
            <w:vAlign w:val="center"/>
          </w:tcPr>
          <w:p>
            <w:pPr>
              <w:jc w:val="center"/>
              <w:rPr>
                <w:rFonts w:ascii="宋体" w:hAnsi="宋体" w:cs="宋体"/>
                <w:sz w:val="18"/>
                <w:szCs w:val="18"/>
              </w:rPr>
            </w:pPr>
            <w:r>
              <w:rPr>
                <w:rFonts w:hint="eastAsia" w:ascii="宋体" w:hAnsi="宋体" w:cs="宋体"/>
                <w:sz w:val="18"/>
                <w:szCs w:val="18"/>
                <w:lang w:eastAsia="zh-CN"/>
              </w:rPr>
              <w:t>高性能平板型</w:t>
            </w:r>
            <w:r>
              <w:rPr>
                <w:rFonts w:hint="eastAsia" w:ascii="宋体" w:hAnsi="宋体" w:cs="宋体"/>
                <w:sz w:val="18"/>
                <w:szCs w:val="18"/>
              </w:rPr>
              <w:t>太阳能集热器</w:t>
            </w:r>
          </w:p>
        </w:tc>
        <w:tc>
          <w:tcPr>
            <w:tcW w:w="1514" w:type="dxa"/>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热性能、效率等级</w:t>
            </w:r>
          </w:p>
        </w:tc>
        <w:tc>
          <w:tcPr>
            <w:tcW w:w="3704" w:type="dxa"/>
          </w:tcPr>
          <w:p>
            <w:pPr>
              <w:rPr>
                <w:rFonts w:ascii="宋体" w:hAnsi="宋体" w:cs="宋体"/>
                <w:sz w:val="18"/>
                <w:szCs w:val="18"/>
              </w:rPr>
            </w:pPr>
            <w:r>
              <w:rPr>
                <w:rFonts w:hint="eastAsia" w:ascii="宋体" w:hAnsi="宋体" w:cs="宋体"/>
                <w:sz w:val="18"/>
                <w:szCs w:val="18"/>
                <w:lang w:eastAsia="zh-CN"/>
              </w:rPr>
              <w:t>瞬时效率截距η</w:t>
            </w:r>
            <w:r>
              <w:rPr>
                <w:rFonts w:hint="eastAsia" w:ascii="宋体" w:hAnsi="宋体" w:cs="宋体"/>
                <w:sz w:val="18"/>
                <w:szCs w:val="18"/>
                <w:vertAlign w:val="subscript"/>
                <w:lang w:val="en-US" w:eastAsia="zh-CN"/>
              </w:rPr>
              <w:t>0，a</w:t>
            </w:r>
            <w:r>
              <w:rPr>
                <w:rFonts w:hint="eastAsia" w:ascii="宋体" w:hAnsi="宋体" w:cs="宋体"/>
                <w:sz w:val="18"/>
                <w:szCs w:val="18"/>
                <w:vertAlign w:val="baseline"/>
                <w:lang w:val="en-US" w:eastAsia="zh-CN"/>
              </w:rPr>
              <w:t>应≥0.80；总热损系数U应≤4.0W/（m</w:t>
            </w:r>
            <w:r>
              <w:rPr>
                <w:rFonts w:hint="eastAsia" w:ascii="宋体" w:hAnsi="宋体" w:cs="宋体"/>
                <w:sz w:val="18"/>
                <w:szCs w:val="18"/>
                <w:vertAlign w:val="superscript"/>
                <w:lang w:val="en-US" w:eastAsia="zh-CN"/>
              </w:rPr>
              <w:t>2</w:t>
            </w:r>
            <w:r>
              <w:rPr>
                <w:rFonts w:hint="eastAsia" w:ascii="宋体" w:hAnsi="宋体" w:cs="宋体"/>
                <w:sz w:val="18"/>
                <w:szCs w:val="18"/>
                <w:vertAlign w:val="baseline"/>
                <w:lang w:val="en-US" w:eastAsia="zh-CN"/>
              </w:rPr>
              <w:t>▪</w:t>
            </w:r>
            <w:r>
              <w:rPr>
                <w:rFonts w:hint="eastAsia" w:ascii="宋体" w:hAnsi="宋体" w:cs="宋体"/>
                <w:sz w:val="16"/>
                <w:szCs w:val="16"/>
                <w:vertAlign w:val="baseline"/>
                <w:lang w:val="en-US" w:eastAsia="zh-CN"/>
              </w:rPr>
              <w:t>℃</w:t>
            </w:r>
            <w:r>
              <w:rPr>
                <w:rFonts w:hint="eastAsia" w:ascii="宋体" w:hAnsi="宋体" w:cs="宋体"/>
                <w:sz w:val="18"/>
                <w:szCs w:val="18"/>
                <w:vertAlign w:val="baseline"/>
                <w:lang w:val="en-US" w:eastAsia="zh-CN"/>
              </w:rPr>
              <w:t>）；效率等级系数≥0.28.</w:t>
            </w:r>
          </w:p>
        </w:tc>
        <w:tc>
          <w:tcPr>
            <w:tcW w:w="1115" w:type="dxa"/>
            <w:vAlign w:val="center"/>
          </w:tcPr>
          <w:p>
            <w:pPr>
              <w:autoSpaceDE w:val="0"/>
              <w:autoSpaceDN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T/CCMSA 50213</w:t>
            </w:r>
          </w:p>
        </w:tc>
      </w:tr>
    </w:tbl>
    <w:p>
      <w:pPr>
        <w:keepNext w:val="0"/>
        <w:keepLines w:val="0"/>
        <w:pageBreakBefore w:val="0"/>
        <w:widowControl w:val="0"/>
        <w:kinsoku/>
        <w:wordWrap/>
        <w:overflowPunct/>
        <w:topLinePunct w:val="0"/>
        <w:autoSpaceDE w:val="0"/>
        <w:autoSpaceDN w:val="0"/>
        <w:bidi w:val="0"/>
        <w:adjustRightInd/>
        <w:snapToGrid/>
        <w:spacing w:line="480" w:lineRule="auto"/>
        <w:ind w:firstLine="420" w:firstLineChars="200"/>
        <w:textAlignment w:val="auto"/>
        <w:rPr>
          <w:rFonts w:ascii="黑体" w:hAnsi="黑体" w:eastAsia="黑体" w:cs="黑体"/>
          <w:szCs w:val="21"/>
        </w:rPr>
      </w:pPr>
      <w:r>
        <w:rPr>
          <w:rFonts w:hint="eastAsia" w:ascii="黑体" w:hAnsi="黑体" w:eastAsia="黑体" w:cs="黑体"/>
          <w:szCs w:val="21"/>
          <w:lang w:val="en-US" w:eastAsia="zh-CN"/>
        </w:rPr>
        <w:t>f）</w:t>
      </w:r>
      <w:r>
        <w:rPr>
          <w:rFonts w:hint="eastAsia" w:ascii="黑体" w:hAnsi="黑体" w:eastAsia="黑体" w:cs="黑体"/>
          <w:szCs w:val="21"/>
        </w:rPr>
        <w:t>集热管</w:t>
      </w:r>
    </w:p>
    <w:p>
      <w:pPr>
        <w:autoSpaceDE w:val="0"/>
        <w:autoSpaceDN w:val="0"/>
        <w:ind w:firstLine="420" w:firstLineChars="200"/>
        <w:rPr>
          <w:szCs w:val="21"/>
        </w:rPr>
      </w:pPr>
      <w:r>
        <w:rPr>
          <w:rFonts w:hint="eastAsia"/>
          <w:szCs w:val="21"/>
        </w:rPr>
        <w:t>集热管具体评价内容及评价方法见</w:t>
      </w:r>
      <w:r>
        <w:rPr>
          <w:rFonts w:hint="eastAsia" w:ascii="宋体" w:hAnsi="宋体" w:cs="宋体"/>
          <w:szCs w:val="21"/>
        </w:rPr>
        <w:t>表</w:t>
      </w:r>
      <w:r>
        <w:rPr>
          <w:rFonts w:hint="eastAsia" w:ascii="宋体" w:hAnsi="宋体" w:cs="宋体"/>
          <w:szCs w:val="21"/>
          <w:lang w:val="en-US" w:eastAsia="zh-CN"/>
        </w:rPr>
        <w:t>10</w:t>
      </w:r>
      <w:r>
        <w:rPr>
          <w:rFonts w:hint="eastAsia"/>
          <w:szCs w:val="21"/>
        </w:rPr>
        <w:t>。</w:t>
      </w:r>
    </w:p>
    <w:p>
      <w:pPr>
        <w:numPr>
          <w:ilvl w:val="0"/>
          <w:numId w:val="17"/>
        </w:numPr>
        <w:spacing w:before="156" w:beforeLines="50" w:after="156" w:afterLines="50"/>
        <w:jc w:val="center"/>
        <w:rPr>
          <w:szCs w:val="21"/>
        </w:rPr>
      </w:pPr>
      <w:r>
        <w:rPr>
          <w:rFonts w:hint="eastAsia" w:eastAsia="黑体"/>
        </w:rPr>
        <w:t>集热管关键</w:t>
      </w:r>
      <w:r>
        <w:rPr>
          <w:rFonts w:eastAsia="黑体"/>
        </w:rPr>
        <w:t>技术先进性</w:t>
      </w:r>
      <w:r>
        <w:rPr>
          <w:rFonts w:hint="eastAsia" w:eastAsia="黑体"/>
        </w:rPr>
        <w:t>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313"/>
        <w:gridCol w:w="1962"/>
        <w:gridCol w:w="328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313"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962"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3288"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118"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313" w:type="dxa"/>
            <w:vAlign w:val="center"/>
          </w:tcPr>
          <w:p>
            <w:pPr>
              <w:autoSpaceDE w:val="0"/>
              <w:autoSpaceDN w:val="0"/>
              <w:jc w:val="center"/>
              <w:rPr>
                <w:rFonts w:ascii="宋体" w:hAnsi="宋体" w:cs="宋体"/>
                <w:sz w:val="18"/>
                <w:szCs w:val="18"/>
              </w:rPr>
            </w:pPr>
            <w:r>
              <w:rPr>
                <w:rFonts w:hint="eastAsia" w:ascii="宋体" w:hAnsi="宋体" w:cs="宋体"/>
                <w:sz w:val="18"/>
                <w:szCs w:val="18"/>
              </w:rPr>
              <w:t>全玻璃真空太阳能集热管</w:t>
            </w:r>
          </w:p>
        </w:tc>
        <w:tc>
          <w:tcPr>
            <w:tcW w:w="1962" w:type="dxa"/>
            <w:vAlign w:val="center"/>
          </w:tcPr>
          <w:p>
            <w:pPr>
              <w:autoSpaceDE w:val="0"/>
              <w:autoSpaceDN w:val="0"/>
              <w:jc w:val="center"/>
              <w:rPr>
                <w:rFonts w:ascii="宋体" w:hAnsi="宋体" w:cs="宋体"/>
                <w:sz w:val="18"/>
                <w:szCs w:val="18"/>
              </w:rPr>
            </w:pPr>
            <w:r>
              <w:rPr>
                <w:rFonts w:hint="eastAsia" w:ascii="宋体" w:hAnsi="宋体" w:cs="宋体"/>
                <w:sz w:val="18"/>
                <w:szCs w:val="18"/>
              </w:rPr>
              <w:t>吸收涂层的太阳吸收比、</w:t>
            </w:r>
            <w:r>
              <w:rPr>
                <w:rFonts w:hint="eastAsia" w:ascii="宋体" w:hAnsi="宋体" w:cs="宋体"/>
                <w:sz w:val="18"/>
                <w:szCs w:val="18"/>
                <w:lang w:eastAsia="zh-CN"/>
              </w:rPr>
              <w:t>玻璃管太阳透射比</w:t>
            </w:r>
          </w:p>
        </w:tc>
        <w:tc>
          <w:tcPr>
            <w:tcW w:w="3288" w:type="dxa"/>
            <w:vAlign w:val="center"/>
          </w:tcPr>
          <w:p>
            <w:pPr>
              <w:autoSpaceDE w:val="0"/>
              <w:autoSpaceDN w:val="0"/>
              <w:rPr>
                <w:rFonts w:ascii="宋体" w:hAnsi="宋体" w:cs="宋体"/>
                <w:sz w:val="18"/>
                <w:szCs w:val="18"/>
              </w:rPr>
            </w:pPr>
            <w:r>
              <w:rPr>
                <w:rFonts w:hint="eastAsia" w:ascii="宋体" w:hAnsi="宋体" w:cs="宋体"/>
                <w:sz w:val="18"/>
                <w:szCs w:val="21"/>
              </w:rPr>
              <w:t>太阳选择性吸收涂层的太阳吸收比a≥0.8</w:t>
            </w:r>
            <w:r>
              <w:rPr>
                <w:rFonts w:hint="eastAsia" w:ascii="宋体" w:hAnsi="宋体" w:cs="宋体"/>
                <w:sz w:val="18"/>
                <w:szCs w:val="21"/>
                <w:lang w:val="en-US" w:eastAsia="zh-CN"/>
              </w:rPr>
              <w:t>8</w:t>
            </w:r>
            <w:r>
              <w:rPr>
                <w:rFonts w:hint="eastAsia" w:ascii="宋体" w:hAnsi="宋体" w:cs="宋体"/>
                <w:sz w:val="18"/>
                <w:szCs w:val="21"/>
              </w:rPr>
              <w:t>(AM1.5)</w:t>
            </w:r>
            <w:r>
              <w:rPr>
                <w:rFonts w:hint="eastAsia" w:ascii="宋体" w:hAnsi="宋体" w:cs="宋体"/>
                <w:sz w:val="18"/>
                <w:szCs w:val="21"/>
                <w:lang w:val="en-US" w:eastAsia="zh-CN"/>
              </w:rPr>
              <w:t>；</w:t>
            </w:r>
            <w:r>
              <w:rPr>
                <w:rFonts w:hint="eastAsia" w:ascii="宋体" w:hAnsi="宋体" w:cs="宋体"/>
                <w:sz w:val="18"/>
                <w:szCs w:val="21"/>
              </w:rPr>
              <w:t>玻璃管太阳透射比t≥0.89</w:t>
            </w:r>
            <w:r>
              <w:rPr>
                <w:rFonts w:hint="eastAsia" w:ascii="宋体" w:hAnsi="宋体" w:cs="宋体"/>
                <w:sz w:val="18"/>
                <w:szCs w:val="21"/>
                <w:lang w:eastAsia="zh-CN"/>
              </w:rPr>
              <w:t>（</w:t>
            </w:r>
            <w:r>
              <w:rPr>
                <w:rFonts w:hint="eastAsia" w:ascii="宋体" w:hAnsi="宋体" w:cs="宋体"/>
                <w:sz w:val="18"/>
                <w:szCs w:val="21"/>
                <w:lang w:val="en-US" w:eastAsia="zh-CN"/>
              </w:rPr>
              <w:t>AM1.5</w:t>
            </w:r>
            <w:r>
              <w:rPr>
                <w:rFonts w:hint="eastAsia" w:ascii="宋体" w:hAnsi="宋体" w:cs="宋体"/>
                <w:sz w:val="18"/>
                <w:szCs w:val="21"/>
                <w:lang w:eastAsia="zh-CN"/>
              </w:rPr>
              <w:t>）</w:t>
            </w:r>
            <w:r>
              <w:rPr>
                <w:rFonts w:hint="eastAsia" w:ascii="宋体" w:hAnsi="宋体" w:cs="宋体"/>
                <w:sz w:val="18"/>
                <w:szCs w:val="21"/>
                <w:lang w:val="en-US" w:eastAsia="zh-CN"/>
              </w:rPr>
              <w:t>。</w:t>
            </w:r>
          </w:p>
        </w:tc>
        <w:tc>
          <w:tcPr>
            <w:tcW w:w="1118" w:type="dxa"/>
            <w:vAlign w:val="center"/>
          </w:tcPr>
          <w:p>
            <w:pPr>
              <w:autoSpaceDE w:val="0"/>
              <w:autoSpaceDN w:val="0"/>
              <w:jc w:val="center"/>
              <w:rPr>
                <w:rFonts w:hint="default" w:ascii="宋体" w:hAnsi="宋体" w:eastAsia="宋体" w:cs="宋体"/>
                <w:sz w:val="18"/>
                <w:szCs w:val="18"/>
                <w:lang w:val="en-US" w:eastAsia="zh-CN"/>
              </w:rPr>
            </w:pPr>
            <w:r>
              <w:rPr>
                <w:rFonts w:hint="eastAsia" w:ascii="宋体" w:hAnsi="宋体" w:cs="宋体"/>
                <w:sz w:val="18"/>
                <w:szCs w:val="18"/>
              </w:rPr>
              <w:t xml:space="preserve">GB/T </w:t>
            </w:r>
            <w:r>
              <w:rPr>
                <w:rFonts w:hint="eastAsia" w:ascii="宋体" w:hAnsi="宋体" w:cs="宋体"/>
                <w:sz w:val="18"/>
                <w:szCs w:val="18"/>
                <w:lang w:val="en-US" w:eastAsia="zh-CN"/>
              </w:rPr>
              <w:t>26975</w:t>
            </w:r>
          </w:p>
        </w:tc>
      </w:tr>
    </w:tbl>
    <w:p>
      <w:pPr>
        <w:pStyle w:val="58"/>
        <w:spacing w:before="156" w:after="156"/>
      </w:pPr>
      <w:r>
        <w:rPr>
          <w:rFonts w:hint="eastAsia"/>
        </w:rPr>
        <w:t>太阳能生产装备</w:t>
      </w:r>
    </w:p>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a</w:t>
      </w:r>
      <w:r>
        <w:rPr>
          <w:rFonts w:ascii="黑体" w:hAnsi="黑体" w:eastAsia="黑体" w:cs="黑体"/>
          <w:szCs w:val="21"/>
        </w:rPr>
        <w:t>）光伏制造装备</w:t>
      </w:r>
      <w:r>
        <w:rPr>
          <w:rFonts w:hint="eastAsia" w:ascii="黑体" w:hAnsi="黑体" w:eastAsia="黑体" w:cs="黑体"/>
          <w:szCs w:val="21"/>
        </w:rPr>
        <w:t>制造</w:t>
      </w:r>
    </w:p>
    <w:p>
      <w:pPr>
        <w:autoSpaceDE w:val="0"/>
        <w:autoSpaceDN w:val="0"/>
        <w:ind w:firstLine="420" w:firstLineChars="200"/>
        <w:rPr>
          <w:szCs w:val="21"/>
        </w:rPr>
      </w:pPr>
      <w:r>
        <w:rPr>
          <w:rFonts w:hint="eastAsia"/>
          <w:szCs w:val="21"/>
        </w:rPr>
        <w:t>光伏制造装备制造具体评价内容及评价方法见</w:t>
      </w:r>
      <w:r>
        <w:rPr>
          <w:rFonts w:hint="eastAsia" w:ascii="宋体" w:hAnsi="宋体" w:cs="宋体"/>
          <w:szCs w:val="21"/>
        </w:rPr>
        <w:t>表1</w:t>
      </w:r>
      <w:r>
        <w:rPr>
          <w:rFonts w:hint="eastAsia" w:ascii="宋体" w:hAnsi="宋体" w:cs="宋体"/>
          <w:szCs w:val="21"/>
          <w:lang w:val="en-US" w:eastAsia="zh-CN"/>
        </w:rPr>
        <w:t>1</w:t>
      </w:r>
      <w:r>
        <w:rPr>
          <w:rFonts w:hint="eastAsia" w:ascii="宋体" w:hAnsi="宋体" w:cs="宋体"/>
          <w:szCs w:val="21"/>
        </w:rPr>
        <w:t>。</w:t>
      </w:r>
    </w:p>
    <w:p>
      <w:pPr>
        <w:numPr>
          <w:ilvl w:val="0"/>
          <w:numId w:val="17"/>
        </w:numPr>
        <w:spacing w:before="156" w:beforeLines="50" w:after="156" w:afterLines="50"/>
        <w:jc w:val="center"/>
        <w:rPr>
          <w:szCs w:val="21"/>
        </w:rPr>
      </w:pPr>
      <w:r>
        <w:rPr>
          <w:rFonts w:hint="eastAsia" w:eastAsia="黑体"/>
        </w:rPr>
        <w:t>光伏制造装备制造关键</w:t>
      </w:r>
      <w:r>
        <w:rPr>
          <w:rFonts w:eastAsia="黑体"/>
        </w:rPr>
        <w:t>技术先进性</w:t>
      </w:r>
      <w:r>
        <w:rPr>
          <w:rFonts w:hint="eastAsia" w:eastAsia="黑体"/>
        </w:rPr>
        <w:t>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364"/>
        <w:gridCol w:w="1653"/>
        <w:gridCol w:w="287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364"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653"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287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999"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364" w:type="dxa"/>
            <w:vAlign w:val="center"/>
          </w:tcPr>
          <w:p>
            <w:pPr>
              <w:autoSpaceDE w:val="0"/>
              <w:autoSpaceDN w:val="0"/>
              <w:jc w:val="center"/>
              <w:rPr>
                <w:rFonts w:ascii="宋体" w:hAnsi="宋体" w:cs="宋体"/>
                <w:sz w:val="18"/>
                <w:szCs w:val="18"/>
              </w:rPr>
            </w:pPr>
            <w:r>
              <w:rPr>
                <w:rFonts w:hint="eastAsia" w:ascii="宋体" w:hAnsi="宋体" w:cs="宋体"/>
                <w:sz w:val="18"/>
                <w:szCs w:val="18"/>
              </w:rPr>
              <w:t>光伏制造装备</w:t>
            </w:r>
          </w:p>
        </w:tc>
        <w:tc>
          <w:tcPr>
            <w:tcW w:w="1653" w:type="dxa"/>
            <w:vAlign w:val="center"/>
          </w:tcPr>
          <w:p>
            <w:pPr>
              <w:autoSpaceDE w:val="0"/>
              <w:autoSpaceDN w:val="0"/>
              <w:jc w:val="center"/>
              <w:rPr>
                <w:rFonts w:ascii="宋体" w:hAnsi="宋体" w:cs="宋体"/>
                <w:sz w:val="18"/>
                <w:szCs w:val="18"/>
              </w:rPr>
            </w:pPr>
            <w:r>
              <w:rPr>
                <w:rFonts w:hint="eastAsia" w:ascii="宋体" w:hAnsi="宋体" w:cs="宋体"/>
                <w:sz w:val="18"/>
                <w:szCs w:val="18"/>
              </w:rPr>
              <w:t>转换效率、产能</w:t>
            </w:r>
          </w:p>
        </w:tc>
        <w:tc>
          <w:tcPr>
            <w:tcW w:w="2870" w:type="dxa"/>
            <w:vAlign w:val="center"/>
          </w:tcPr>
          <w:p>
            <w:pPr>
              <w:autoSpaceDE w:val="0"/>
              <w:autoSpaceDN w:val="0"/>
              <w:rPr>
                <w:rFonts w:ascii="宋体" w:hAnsi="宋体" w:cs="宋体"/>
                <w:sz w:val="18"/>
                <w:szCs w:val="18"/>
              </w:rPr>
            </w:pPr>
            <w:r>
              <w:rPr>
                <w:rFonts w:hint="eastAsia" w:ascii="宋体" w:hAnsi="宋体" w:cs="宋体"/>
                <w:sz w:val="18"/>
                <w:szCs w:val="18"/>
              </w:rPr>
              <w:t>装备具体性能及主要亮点进行由企事业单位出具书面说明</w:t>
            </w:r>
          </w:p>
        </w:tc>
        <w:tc>
          <w:tcPr>
            <w:tcW w:w="999" w:type="dxa"/>
            <w:vAlign w:val="center"/>
          </w:tcPr>
          <w:p>
            <w:pPr>
              <w:autoSpaceDE w:val="0"/>
              <w:autoSpaceDN w:val="0"/>
              <w:jc w:val="center"/>
              <w:rPr>
                <w:rFonts w:ascii="宋体" w:hAnsi="宋体" w:cs="宋体"/>
                <w:sz w:val="18"/>
                <w:szCs w:val="18"/>
              </w:rPr>
            </w:pPr>
            <w:r>
              <w:rPr>
                <w:rFonts w:hint="eastAsia" w:ascii="宋体" w:hAnsi="宋体" w:cs="宋体"/>
                <w:sz w:val="18"/>
                <w:szCs w:val="18"/>
              </w:rPr>
              <w:t>/</w:t>
            </w: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b</w:t>
      </w:r>
      <w:r>
        <w:rPr>
          <w:rFonts w:ascii="黑体" w:hAnsi="黑体" w:eastAsia="黑体" w:cs="黑体"/>
          <w:szCs w:val="21"/>
        </w:rPr>
        <w:t>）</w:t>
      </w:r>
      <w:r>
        <w:rPr>
          <w:rFonts w:hint="eastAsia" w:ascii="黑体" w:hAnsi="黑体" w:eastAsia="黑体" w:cs="黑体"/>
          <w:szCs w:val="21"/>
        </w:rPr>
        <w:t>热发电装备制造</w:t>
      </w:r>
    </w:p>
    <w:p>
      <w:pPr>
        <w:autoSpaceDE w:val="0"/>
        <w:autoSpaceDN w:val="0"/>
        <w:ind w:firstLine="420" w:firstLineChars="200"/>
        <w:rPr>
          <w:szCs w:val="21"/>
        </w:rPr>
      </w:pPr>
      <w:r>
        <w:rPr>
          <w:rFonts w:hint="eastAsia"/>
          <w:szCs w:val="21"/>
        </w:rPr>
        <w:t>热发电装备制造具体评价内容及评价方法</w:t>
      </w:r>
      <w:r>
        <w:rPr>
          <w:rFonts w:hint="eastAsia" w:ascii="宋体" w:hAnsi="宋体" w:cs="宋体"/>
          <w:szCs w:val="21"/>
        </w:rPr>
        <w:t>见表1</w:t>
      </w:r>
      <w:r>
        <w:rPr>
          <w:rFonts w:hint="eastAsia" w:ascii="宋体" w:hAnsi="宋体" w:cs="宋体"/>
          <w:szCs w:val="21"/>
          <w:lang w:val="en-US" w:eastAsia="zh-CN"/>
        </w:rPr>
        <w:t>2</w:t>
      </w:r>
      <w:r>
        <w:rPr>
          <w:rFonts w:hint="eastAsia"/>
          <w:szCs w:val="21"/>
        </w:rPr>
        <w:t>。</w:t>
      </w:r>
    </w:p>
    <w:p>
      <w:pPr>
        <w:numPr>
          <w:ilvl w:val="0"/>
          <w:numId w:val="17"/>
        </w:numPr>
        <w:spacing w:before="156" w:beforeLines="50" w:after="156" w:afterLines="50"/>
        <w:jc w:val="center"/>
        <w:rPr>
          <w:szCs w:val="21"/>
        </w:rPr>
      </w:pPr>
      <w:r>
        <w:rPr>
          <w:rFonts w:hint="eastAsia" w:eastAsia="黑体"/>
        </w:rPr>
        <w:t>热发电装备制造关键</w:t>
      </w:r>
      <w:r>
        <w:rPr>
          <w:rFonts w:eastAsia="黑体"/>
        </w:rPr>
        <w:t>技术先进性</w:t>
      </w:r>
      <w:r>
        <w:rPr>
          <w:rFonts w:hint="eastAsia" w:eastAsia="黑体"/>
        </w:rPr>
        <w:t>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183"/>
        <w:gridCol w:w="1418"/>
        <w:gridCol w:w="26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183"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418"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2693"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评价维度</w:t>
            </w:r>
          </w:p>
        </w:tc>
        <w:tc>
          <w:tcPr>
            <w:tcW w:w="1134"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autoSpaceDE w:val="0"/>
              <w:autoSpaceDN w:val="0"/>
              <w:jc w:val="center"/>
              <w:rPr>
                <w:rFonts w:ascii="宋体" w:hAnsi="宋体" w:cs="宋体"/>
                <w:sz w:val="18"/>
                <w:szCs w:val="18"/>
              </w:rPr>
            </w:pPr>
            <w:r>
              <w:rPr>
                <w:rFonts w:hint="eastAsia" w:ascii="宋体" w:hAnsi="宋体" w:cs="宋体"/>
                <w:sz w:val="18"/>
                <w:szCs w:val="18"/>
              </w:rPr>
              <w:t>生产制造</w:t>
            </w:r>
          </w:p>
        </w:tc>
        <w:tc>
          <w:tcPr>
            <w:tcW w:w="1183" w:type="dxa"/>
            <w:vAlign w:val="center"/>
          </w:tcPr>
          <w:p>
            <w:pPr>
              <w:autoSpaceDE w:val="0"/>
              <w:autoSpaceDN w:val="0"/>
              <w:jc w:val="center"/>
              <w:rPr>
                <w:rFonts w:ascii="宋体" w:hAnsi="宋体" w:cs="宋体"/>
                <w:sz w:val="18"/>
                <w:szCs w:val="18"/>
              </w:rPr>
            </w:pPr>
            <w:r>
              <w:rPr>
                <w:rFonts w:hint="eastAsia" w:ascii="宋体" w:hAnsi="宋体" w:cs="宋体"/>
                <w:sz w:val="18"/>
                <w:szCs w:val="18"/>
              </w:rPr>
              <w:t>热发电装备</w:t>
            </w:r>
          </w:p>
        </w:tc>
        <w:tc>
          <w:tcPr>
            <w:tcW w:w="1418" w:type="dxa"/>
            <w:vAlign w:val="center"/>
          </w:tcPr>
          <w:p>
            <w:pPr>
              <w:autoSpaceDE w:val="0"/>
              <w:autoSpaceDN w:val="0"/>
              <w:jc w:val="center"/>
              <w:rPr>
                <w:rFonts w:ascii="宋体" w:hAnsi="宋体" w:cs="宋体"/>
                <w:sz w:val="18"/>
                <w:szCs w:val="18"/>
              </w:rPr>
            </w:pPr>
            <w:r>
              <w:rPr>
                <w:rFonts w:hint="eastAsia" w:ascii="宋体" w:hAnsi="宋体" w:cs="宋体"/>
                <w:sz w:val="18"/>
                <w:szCs w:val="18"/>
              </w:rPr>
              <w:t>热发电效率</w:t>
            </w:r>
          </w:p>
        </w:tc>
        <w:tc>
          <w:tcPr>
            <w:tcW w:w="2693" w:type="dxa"/>
            <w:vAlign w:val="center"/>
          </w:tcPr>
          <w:p>
            <w:pPr>
              <w:autoSpaceDE w:val="0"/>
              <w:autoSpaceDN w:val="0"/>
              <w:rPr>
                <w:rFonts w:ascii="宋体" w:hAnsi="宋体" w:cs="宋体"/>
                <w:sz w:val="18"/>
                <w:szCs w:val="18"/>
              </w:rPr>
            </w:pPr>
            <w:r>
              <w:rPr>
                <w:rFonts w:hint="eastAsia" w:ascii="宋体" w:hAnsi="宋体" w:cs="宋体"/>
                <w:sz w:val="18"/>
                <w:szCs w:val="18"/>
              </w:rPr>
              <w:t>装备具体性能及主要亮点进行由企事业单位出具书面说明</w:t>
            </w:r>
          </w:p>
        </w:tc>
        <w:tc>
          <w:tcPr>
            <w:tcW w:w="1134" w:type="dxa"/>
            <w:vAlign w:val="center"/>
          </w:tcPr>
          <w:p>
            <w:pPr>
              <w:autoSpaceDE w:val="0"/>
              <w:autoSpaceDN w:val="0"/>
              <w:jc w:val="center"/>
              <w:rPr>
                <w:rFonts w:ascii="宋体" w:hAnsi="宋体" w:cs="宋体"/>
                <w:sz w:val="18"/>
                <w:szCs w:val="18"/>
              </w:rPr>
            </w:pPr>
            <w:r>
              <w:rPr>
                <w:rFonts w:hint="eastAsia" w:ascii="宋体" w:hAnsi="宋体" w:cs="宋体"/>
                <w:sz w:val="18"/>
                <w:szCs w:val="18"/>
              </w:rPr>
              <w:t>/</w:t>
            </w:r>
          </w:p>
        </w:tc>
      </w:tr>
    </w:tbl>
    <w:p>
      <w:pPr>
        <w:pStyle w:val="58"/>
        <w:spacing w:before="156" w:after="156"/>
        <w:rPr>
          <w:rFonts w:hAnsi="黑体" w:cs="黑体"/>
          <w:kern w:val="2"/>
        </w:rPr>
      </w:pPr>
      <w:r>
        <w:rPr>
          <w:rFonts w:hint="eastAsia" w:hAnsi="黑体" w:cs="黑体"/>
          <w:kern w:val="2"/>
        </w:rPr>
        <w:t>太阳能利用设施建设和运营</w:t>
      </w:r>
    </w:p>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a</w:t>
      </w:r>
      <w:r>
        <w:rPr>
          <w:rFonts w:ascii="黑体" w:hAnsi="黑体" w:eastAsia="黑体" w:cs="黑体"/>
          <w:szCs w:val="21"/>
        </w:rPr>
        <w:t>）</w:t>
      </w:r>
      <w:r>
        <w:rPr>
          <w:rFonts w:hint="eastAsia" w:ascii="黑体" w:hAnsi="黑体" w:eastAsia="黑体" w:cs="黑体"/>
          <w:szCs w:val="21"/>
        </w:rPr>
        <w:t>光伏电站</w:t>
      </w:r>
    </w:p>
    <w:p>
      <w:pPr>
        <w:autoSpaceDE w:val="0"/>
        <w:autoSpaceDN w:val="0"/>
        <w:ind w:firstLine="420" w:firstLineChars="200"/>
        <w:rPr>
          <w:szCs w:val="21"/>
        </w:rPr>
      </w:pPr>
      <w:r>
        <w:rPr>
          <w:rFonts w:hint="eastAsia"/>
          <w:szCs w:val="21"/>
        </w:rPr>
        <w:t>光伏电站具体评价内容及评价方法见</w:t>
      </w:r>
      <w:r>
        <w:rPr>
          <w:rFonts w:hint="eastAsia" w:ascii="宋体" w:hAnsi="宋体" w:cs="宋体"/>
          <w:szCs w:val="21"/>
        </w:rPr>
        <w:t>表1</w:t>
      </w:r>
      <w:r>
        <w:rPr>
          <w:rFonts w:hint="eastAsia" w:ascii="宋体" w:hAnsi="宋体" w:cs="宋体"/>
          <w:szCs w:val="21"/>
          <w:lang w:val="en-US" w:eastAsia="zh-CN"/>
        </w:rPr>
        <w:t>3</w:t>
      </w:r>
      <w:r>
        <w:rPr>
          <w:rFonts w:hint="eastAsia"/>
          <w:szCs w:val="21"/>
        </w:rPr>
        <w:t>。</w:t>
      </w:r>
    </w:p>
    <w:p>
      <w:pPr>
        <w:numPr>
          <w:ilvl w:val="0"/>
          <w:numId w:val="17"/>
        </w:numPr>
        <w:spacing w:before="156" w:beforeLines="50" w:after="156" w:afterLines="50"/>
        <w:jc w:val="center"/>
        <w:rPr>
          <w:szCs w:val="21"/>
        </w:rPr>
      </w:pPr>
      <w:r>
        <w:rPr>
          <w:rFonts w:hint="eastAsia" w:eastAsia="黑体"/>
        </w:rPr>
        <w:t xml:space="preserve"> 光伏电站关键</w:t>
      </w:r>
      <w:r>
        <w:rPr>
          <w:rFonts w:eastAsia="黑体"/>
        </w:rPr>
        <w:t>技术先进性</w:t>
      </w:r>
      <w:r>
        <w:rPr>
          <w:rFonts w:hint="eastAsia" w:eastAsia="黑体"/>
        </w:rPr>
        <w:t>评价规则表</w:t>
      </w:r>
    </w:p>
    <w:tbl>
      <w:tblPr>
        <w:tblStyle w:val="3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35"/>
        <w:gridCol w:w="915"/>
        <w:gridCol w:w="466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735"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915"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4664" w:type="dxa"/>
            <w:vAlign w:val="center"/>
          </w:tcPr>
          <w:p>
            <w:pPr>
              <w:autoSpaceDE w:val="0"/>
              <w:autoSpaceDN w:val="0"/>
              <w:jc w:val="center"/>
              <w:rPr>
                <w:rFonts w:ascii="宋体" w:hAnsi="宋体" w:cs="宋体"/>
                <w:b/>
                <w:sz w:val="18"/>
                <w:szCs w:val="18"/>
              </w:rPr>
            </w:pPr>
            <w:r>
              <w:rPr>
                <w:rFonts w:hint="eastAsia" w:ascii="宋体" w:hAnsi="宋体" w:cs="宋体"/>
                <w:b/>
                <w:sz w:val="18"/>
                <w:szCs w:val="18"/>
              </w:rPr>
              <w:t>评价维度</w:t>
            </w:r>
          </w:p>
        </w:tc>
        <w:tc>
          <w:tcPr>
            <w:tcW w:w="1275" w:type="dxa"/>
            <w:vAlign w:val="center"/>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735" w:type="dxa"/>
            <w:vAlign w:val="center"/>
          </w:tcPr>
          <w:p>
            <w:pPr>
              <w:autoSpaceDE w:val="0"/>
              <w:autoSpaceDN w:val="0"/>
              <w:jc w:val="center"/>
              <w:rPr>
                <w:rFonts w:ascii="宋体" w:hAnsi="宋体" w:cs="宋体"/>
                <w:sz w:val="18"/>
                <w:szCs w:val="18"/>
              </w:rPr>
            </w:pPr>
            <w:r>
              <w:rPr>
                <w:rFonts w:hint="eastAsia" w:ascii="宋体" w:hAnsi="宋体" w:cs="宋体"/>
                <w:sz w:val="18"/>
                <w:szCs w:val="18"/>
              </w:rPr>
              <w:t>光伏电站</w:t>
            </w:r>
          </w:p>
        </w:tc>
        <w:tc>
          <w:tcPr>
            <w:tcW w:w="915" w:type="dxa"/>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rPr>
              <w:t>系统能效</w:t>
            </w:r>
          </w:p>
        </w:tc>
        <w:tc>
          <w:tcPr>
            <w:tcW w:w="4664" w:type="dxa"/>
            <w:vAlign w:val="center"/>
          </w:tcPr>
          <w:p>
            <w:pPr>
              <w:autoSpaceDE w:val="0"/>
              <w:autoSpaceDN w:val="0"/>
              <w:rPr>
                <w:rFonts w:hint="eastAsia" w:ascii="宋体" w:hAnsi="宋体" w:eastAsia="宋体" w:cs="宋体"/>
                <w:sz w:val="18"/>
                <w:szCs w:val="18"/>
                <w:lang w:eastAsia="zh-CN"/>
              </w:rPr>
            </w:pPr>
            <w:r>
              <w:rPr>
                <w:rFonts w:ascii="宋体" w:hAnsi="宋体" w:cs="宋体"/>
                <w:sz w:val="18"/>
                <w:szCs w:val="18"/>
              </w:rPr>
              <w:t>企事业单位</w:t>
            </w:r>
            <w:r>
              <w:rPr>
                <w:rFonts w:hint="eastAsia" w:ascii="宋体" w:hAnsi="宋体" w:cs="宋体"/>
                <w:sz w:val="18"/>
                <w:szCs w:val="18"/>
              </w:rPr>
              <w:t>围绕系统能效出具书面说明</w:t>
            </w:r>
            <w:r>
              <w:rPr>
                <w:rFonts w:hint="eastAsia" w:ascii="宋体" w:hAnsi="宋体" w:cs="宋体"/>
                <w:sz w:val="18"/>
                <w:szCs w:val="18"/>
                <w:lang w:eastAsia="zh-CN"/>
              </w:rPr>
              <w:t>。其中，太阳能光伏发电设施选用的部件产品需满足如下限定条件：（1）多晶硅电池和单晶硅电池的最低光电转换效率分别不低于19%和21%；（2）多晶硅电池组件和单晶硅电池组件的最低光电转换效率分别不低于17%和17.8%；（3）硅基、CIGS、CdTe及其他薄膜电池组件的最低光电转换效率分别不低于12%、14%、14%、12%；（4）多晶硅电池组件和单晶硅电池组件衰减率首年分别不高于2.5%和3%，后续每年不高于0.7%，25年内不高于20%；薄膜电池组件衰减率首年不高于5%，后续每年不高于0.4%，25年内不高于15%。</w:t>
            </w:r>
          </w:p>
        </w:tc>
        <w:tc>
          <w:tcPr>
            <w:tcW w:w="1275" w:type="dxa"/>
            <w:vAlign w:val="center"/>
          </w:tcPr>
          <w:p>
            <w:pPr>
              <w:autoSpaceDE w:val="0"/>
              <w:autoSpaceDN w:val="0"/>
              <w:jc w:val="center"/>
              <w:rPr>
                <w:rFonts w:ascii="宋体" w:hAnsi="宋体" w:cs="宋体"/>
                <w:sz w:val="18"/>
                <w:szCs w:val="18"/>
              </w:rPr>
            </w:pPr>
            <w:r>
              <w:rPr>
                <w:rFonts w:hint="eastAsia" w:ascii="宋体" w:hAnsi="宋体" w:cs="宋体"/>
                <w:sz w:val="18"/>
                <w:szCs w:val="18"/>
              </w:rPr>
              <w:t>GB/T 39857</w:t>
            </w: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b</w:t>
      </w:r>
      <w:r>
        <w:rPr>
          <w:rFonts w:ascii="黑体" w:hAnsi="黑体" w:eastAsia="黑体" w:cs="黑体"/>
          <w:szCs w:val="21"/>
        </w:rPr>
        <w:t>）</w:t>
      </w:r>
      <w:r>
        <w:rPr>
          <w:rFonts w:hint="eastAsia" w:ascii="黑体" w:hAnsi="黑体" w:eastAsia="黑体" w:cs="黑体"/>
          <w:szCs w:val="21"/>
        </w:rPr>
        <w:t>家用太阳能系统</w:t>
      </w:r>
    </w:p>
    <w:p>
      <w:pPr>
        <w:autoSpaceDE w:val="0"/>
        <w:autoSpaceDN w:val="0"/>
        <w:ind w:firstLine="420" w:firstLineChars="200"/>
        <w:rPr>
          <w:szCs w:val="21"/>
        </w:rPr>
      </w:pPr>
      <w:r>
        <w:rPr>
          <w:rFonts w:hint="eastAsia"/>
          <w:szCs w:val="21"/>
        </w:rPr>
        <w:t>家用太阳能系统具体评价内容及评价方法见</w:t>
      </w:r>
      <w:r>
        <w:rPr>
          <w:rFonts w:hint="eastAsia" w:ascii="宋体" w:hAnsi="宋体" w:cs="宋体"/>
          <w:szCs w:val="21"/>
        </w:rPr>
        <w:t>表1</w:t>
      </w:r>
      <w:r>
        <w:rPr>
          <w:rFonts w:hint="eastAsia" w:ascii="宋体" w:hAnsi="宋体" w:cs="宋体"/>
          <w:szCs w:val="21"/>
          <w:lang w:val="en-US" w:eastAsia="zh-CN"/>
        </w:rPr>
        <w:t>4</w:t>
      </w:r>
      <w:r>
        <w:rPr>
          <w:rFonts w:hint="eastAsia" w:ascii="宋体" w:hAnsi="宋体" w:cs="宋体"/>
          <w:szCs w:val="21"/>
        </w:rPr>
        <w:t>。</w:t>
      </w:r>
    </w:p>
    <w:p>
      <w:pPr>
        <w:numPr>
          <w:ilvl w:val="0"/>
          <w:numId w:val="17"/>
        </w:numPr>
        <w:spacing w:before="156" w:beforeLines="50" w:after="156" w:afterLines="50"/>
        <w:jc w:val="center"/>
        <w:rPr>
          <w:szCs w:val="21"/>
        </w:rPr>
      </w:pPr>
      <w:r>
        <w:rPr>
          <w:rFonts w:hint="eastAsia" w:eastAsia="黑体"/>
        </w:rPr>
        <w:t>家用太阳能系统关键</w:t>
      </w:r>
      <w:r>
        <w:rPr>
          <w:rFonts w:eastAsia="黑体"/>
        </w:rPr>
        <w:t>技术先进性</w:t>
      </w:r>
      <w:r>
        <w:rPr>
          <w:rFonts w:hint="eastAsia" w:eastAsia="黑体"/>
        </w:rPr>
        <w:t>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92"/>
        <w:gridCol w:w="1392"/>
        <w:gridCol w:w="298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49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392"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2985" w:type="dxa"/>
          </w:tcPr>
          <w:p>
            <w:pPr>
              <w:autoSpaceDE w:val="0"/>
              <w:autoSpaceDN w:val="0"/>
              <w:jc w:val="center"/>
              <w:rPr>
                <w:rFonts w:ascii="宋体" w:hAnsi="宋体" w:cs="宋体"/>
                <w:b/>
                <w:sz w:val="18"/>
                <w:szCs w:val="18"/>
              </w:rPr>
            </w:pPr>
            <w:r>
              <w:rPr>
                <w:rFonts w:hint="eastAsia" w:ascii="宋体" w:hAnsi="宋体" w:cs="宋体"/>
                <w:b/>
                <w:sz w:val="18"/>
                <w:szCs w:val="18"/>
              </w:rPr>
              <w:t>评价维度</w:t>
            </w:r>
          </w:p>
        </w:tc>
        <w:tc>
          <w:tcPr>
            <w:tcW w:w="1268"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492" w:type="dxa"/>
            <w:vAlign w:val="center"/>
          </w:tcPr>
          <w:p>
            <w:pPr>
              <w:autoSpaceDE w:val="0"/>
              <w:autoSpaceDN w:val="0"/>
              <w:jc w:val="center"/>
              <w:rPr>
                <w:rFonts w:ascii="宋体" w:hAnsi="宋体" w:cs="宋体"/>
                <w:sz w:val="18"/>
                <w:szCs w:val="18"/>
              </w:rPr>
            </w:pPr>
            <w:r>
              <w:rPr>
                <w:rFonts w:hint="eastAsia" w:ascii="宋体" w:hAnsi="宋体" w:cs="宋体"/>
                <w:sz w:val="18"/>
                <w:szCs w:val="18"/>
              </w:rPr>
              <w:t>家用太阳能系统</w:t>
            </w:r>
          </w:p>
        </w:tc>
        <w:tc>
          <w:tcPr>
            <w:tcW w:w="1392" w:type="dxa"/>
            <w:vAlign w:val="center"/>
          </w:tcPr>
          <w:p>
            <w:pPr>
              <w:autoSpaceDE w:val="0"/>
              <w:autoSpaceDN w:val="0"/>
              <w:jc w:val="center"/>
              <w:rPr>
                <w:rFonts w:ascii="宋体" w:hAnsi="宋体" w:cs="宋体"/>
                <w:sz w:val="18"/>
                <w:szCs w:val="18"/>
              </w:rPr>
            </w:pPr>
            <w:r>
              <w:rPr>
                <w:rFonts w:hint="eastAsia" w:ascii="宋体" w:hAnsi="宋体" w:cs="宋体"/>
                <w:sz w:val="18"/>
                <w:szCs w:val="18"/>
              </w:rPr>
              <w:t>能效</w:t>
            </w:r>
          </w:p>
        </w:tc>
        <w:tc>
          <w:tcPr>
            <w:tcW w:w="2985" w:type="dxa"/>
            <w:vAlign w:val="center"/>
          </w:tcPr>
          <w:p>
            <w:pPr>
              <w:autoSpaceDE w:val="0"/>
              <w:autoSpaceDN w:val="0"/>
              <w:jc w:val="center"/>
              <w:rPr>
                <w:rFonts w:ascii="宋体" w:hAnsi="宋体" w:cs="宋体"/>
                <w:sz w:val="18"/>
                <w:szCs w:val="18"/>
              </w:rPr>
            </w:pPr>
            <w:r>
              <w:rPr>
                <w:rFonts w:ascii="宋体" w:hAnsi="宋体" w:cs="宋体"/>
                <w:sz w:val="18"/>
                <w:szCs w:val="18"/>
              </w:rPr>
              <w:t>企事业单位</w:t>
            </w:r>
            <w:r>
              <w:rPr>
                <w:rFonts w:hint="eastAsia" w:ascii="宋体" w:hAnsi="宋体" w:cs="宋体"/>
                <w:sz w:val="18"/>
                <w:szCs w:val="18"/>
              </w:rPr>
              <w:t>围绕能效出具书面说明</w:t>
            </w:r>
          </w:p>
        </w:tc>
        <w:tc>
          <w:tcPr>
            <w:tcW w:w="1268" w:type="dxa"/>
            <w:vAlign w:val="center"/>
          </w:tcPr>
          <w:p>
            <w:pPr>
              <w:autoSpaceDE w:val="0"/>
              <w:autoSpaceDN w:val="0"/>
              <w:jc w:val="center"/>
              <w:rPr>
                <w:rFonts w:ascii="宋体" w:hAnsi="宋体" w:cs="宋体"/>
                <w:sz w:val="18"/>
                <w:szCs w:val="18"/>
              </w:rPr>
            </w:pPr>
            <w:r>
              <w:rPr>
                <w:rFonts w:hint="eastAsia" w:ascii="宋体" w:hAnsi="宋体" w:cs="宋体"/>
                <w:sz w:val="18"/>
                <w:szCs w:val="18"/>
              </w:rPr>
              <w:t>GB 26969</w:t>
            </w:r>
          </w:p>
        </w:tc>
      </w:tr>
    </w:tbl>
    <w:p>
      <w:pPr>
        <w:autoSpaceDE w:val="0"/>
        <w:autoSpaceDN w:val="0"/>
        <w:spacing w:line="480" w:lineRule="auto"/>
        <w:ind w:firstLine="420" w:firstLineChars="200"/>
        <w:rPr>
          <w:rFonts w:ascii="黑体" w:hAnsi="黑体" w:eastAsia="黑体" w:cs="黑体"/>
          <w:szCs w:val="21"/>
        </w:rPr>
      </w:pPr>
      <w:r>
        <w:rPr>
          <w:rFonts w:hint="eastAsia" w:ascii="黑体" w:hAnsi="黑体" w:eastAsia="黑体" w:cs="黑体"/>
          <w:szCs w:val="21"/>
        </w:rPr>
        <w:t>c</w:t>
      </w:r>
      <w:r>
        <w:rPr>
          <w:rFonts w:ascii="黑体" w:hAnsi="黑体" w:eastAsia="黑体" w:cs="黑体"/>
          <w:szCs w:val="21"/>
        </w:rPr>
        <w:t>）民用建筑太阳能热水系统</w:t>
      </w:r>
    </w:p>
    <w:p>
      <w:pPr>
        <w:autoSpaceDE w:val="0"/>
        <w:autoSpaceDN w:val="0"/>
        <w:ind w:firstLine="420" w:firstLineChars="200"/>
        <w:rPr>
          <w:szCs w:val="21"/>
        </w:rPr>
      </w:pPr>
      <w:r>
        <w:rPr>
          <w:rFonts w:hint="eastAsia"/>
          <w:szCs w:val="21"/>
        </w:rPr>
        <w:t>民用建筑太阳能热水系统具体评价内容及评价方法见</w:t>
      </w:r>
      <w:r>
        <w:rPr>
          <w:rFonts w:hint="eastAsia" w:ascii="宋体" w:hAnsi="宋体" w:cs="宋体"/>
          <w:szCs w:val="21"/>
        </w:rPr>
        <w:t>表1</w:t>
      </w:r>
      <w:r>
        <w:rPr>
          <w:rFonts w:hint="eastAsia" w:ascii="宋体" w:hAnsi="宋体" w:cs="宋体"/>
          <w:szCs w:val="21"/>
          <w:lang w:val="en-US" w:eastAsia="zh-CN"/>
        </w:rPr>
        <w:t>5</w:t>
      </w:r>
      <w:r>
        <w:rPr>
          <w:rFonts w:hint="eastAsia"/>
          <w:szCs w:val="21"/>
        </w:rPr>
        <w:t>。</w:t>
      </w:r>
    </w:p>
    <w:p>
      <w:pPr>
        <w:numPr>
          <w:ilvl w:val="0"/>
          <w:numId w:val="17"/>
        </w:numPr>
        <w:spacing w:before="156" w:beforeLines="50" w:after="156" w:afterLines="50"/>
        <w:jc w:val="center"/>
        <w:rPr>
          <w:szCs w:val="21"/>
        </w:rPr>
      </w:pPr>
      <w:r>
        <w:rPr>
          <w:rFonts w:hint="eastAsia" w:eastAsia="黑体"/>
        </w:rPr>
        <w:t>民用建筑太阳能热水系统核心技术先进水平评价规则表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502"/>
        <w:gridCol w:w="1524"/>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Pr>
          <w:p>
            <w:pPr>
              <w:autoSpaceDE w:val="0"/>
              <w:autoSpaceDN w:val="0"/>
              <w:jc w:val="center"/>
              <w:rPr>
                <w:rFonts w:ascii="宋体" w:hAnsi="宋体" w:cs="宋体"/>
                <w:b/>
                <w:bCs/>
                <w:sz w:val="18"/>
                <w:szCs w:val="18"/>
              </w:rPr>
            </w:pPr>
            <w:r>
              <w:rPr>
                <w:rFonts w:hint="eastAsia" w:ascii="宋体" w:hAnsi="宋体" w:cs="宋体"/>
                <w:b/>
                <w:bCs/>
                <w:sz w:val="18"/>
                <w:szCs w:val="18"/>
              </w:rPr>
              <w:t>评价环节</w:t>
            </w:r>
          </w:p>
        </w:tc>
        <w:tc>
          <w:tcPr>
            <w:tcW w:w="1502" w:type="dxa"/>
          </w:tcPr>
          <w:p>
            <w:pPr>
              <w:autoSpaceDE w:val="0"/>
              <w:autoSpaceDN w:val="0"/>
              <w:jc w:val="center"/>
              <w:rPr>
                <w:rFonts w:ascii="宋体" w:hAnsi="宋体" w:cs="宋体"/>
                <w:b/>
                <w:bCs/>
                <w:sz w:val="18"/>
                <w:szCs w:val="18"/>
              </w:rPr>
            </w:pPr>
            <w:r>
              <w:rPr>
                <w:rFonts w:hint="eastAsia" w:ascii="宋体" w:hAnsi="宋体" w:cs="宋体"/>
                <w:b/>
                <w:bCs/>
                <w:sz w:val="18"/>
                <w:szCs w:val="18"/>
              </w:rPr>
              <w:t>评价对象</w:t>
            </w:r>
          </w:p>
        </w:tc>
        <w:tc>
          <w:tcPr>
            <w:tcW w:w="1524" w:type="dxa"/>
          </w:tcPr>
          <w:p>
            <w:pPr>
              <w:autoSpaceDE w:val="0"/>
              <w:autoSpaceDN w:val="0"/>
              <w:jc w:val="center"/>
              <w:rPr>
                <w:rFonts w:ascii="宋体" w:hAnsi="宋体" w:cs="宋体"/>
                <w:b/>
                <w:bCs/>
                <w:sz w:val="18"/>
                <w:szCs w:val="18"/>
              </w:rPr>
            </w:pPr>
            <w:r>
              <w:rPr>
                <w:rFonts w:hint="eastAsia" w:ascii="宋体" w:hAnsi="宋体" w:cs="宋体"/>
                <w:b/>
                <w:bCs/>
                <w:sz w:val="18"/>
                <w:szCs w:val="18"/>
              </w:rPr>
              <w:t>核心评价指标</w:t>
            </w:r>
          </w:p>
        </w:tc>
        <w:tc>
          <w:tcPr>
            <w:tcW w:w="2693" w:type="dxa"/>
          </w:tcPr>
          <w:p>
            <w:pPr>
              <w:autoSpaceDE w:val="0"/>
              <w:autoSpaceDN w:val="0"/>
              <w:jc w:val="center"/>
              <w:rPr>
                <w:rFonts w:ascii="宋体" w:hAnsi="宋体" w:cs="宋体"/>
                <w:b/>
                <w:bCs/>
                <w:sz w:val="18"/>
                <w:szCs w:val="18"/>
                <w:highlight w:val="yellow"/>
              </w:rPr>
            </w:pPr>
            <w:r>
              <w:rPr>
                <w:rFonts w:hint="eastAsia" w:ascii="宋体" w:hAnsi="宋体" w:cs="宋体"/>
                <w:b/>
                <w:sz w:val="18"/>
                <w:szCs w:val="18"/>
              </w:rPr>
              <w:t>评价维度</w:t>
            </w:r>
          </w:p>
        </w:tc>
        <w:tc>
          <w:tcPr>
            <w:tcW w:w="1276" w:type="dxa"/>
          </w:tcPr>
          <w:p>
            <w:pPr>
              <w:autoSpaceDE w:val="0"/>
              <w:autoSpaceDN w:val="0"/>
              <w:jc w:val="center"/>
              <w:rPr>
                <w:rFonts w:ascii="宋体" w:hAnsi="宋体" w:cs="宋体"/>
                <w:b/>
                <w:bCs/>
                <w:sz w:val="18"/>
                <w:szCs w:val="18"/>
              </w:rPr>
            </w:pPr>
            <w:r>
              <w:rPr>
                <w:rFonts w:hint="eastAsia" w:ascii="宋体" w:hAnsi="宋体" w:cs="宋体"/>
                <w:b/>
                <w:bCs/>
                <w:sz w:val="18"/>
                <w:szCs w:val="1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autoSpaceDE w:val="0"/>
              <w:autoSpaceDN w:val="0"/>
              <w:jc w:val="center"/>
              <w:rPr>
                <w:rFonts w:ascii="宋体" w:hAnsi="宋体" w:cs="宋体"/>
                <w:sz w:val="18"/>
                <w:szCs w:val="18"/>
              </w:rPr>
            </w:pPr>
            <w:r>
              <w:rPr>
                <w:rFonts w:hint="eastAsia" w:ascii="宋体" w:hAnsi="宋体" w:cs="宋体"/>
                <w:sz w:val="18"/>
                <w:szCs w:val="18"/>
              </w:rPr>
              <w:t>建设运营</w:t>
            </w:r>
          </w:p>
        </w:tc>
        <w:tc>
          <w:tcPr>
            <w:tcW w:w="1502" w:type="dxa"/>
            <w:vAlign w:val="center"/>
          </w:tcPr>
          <w:p>
            <w:pPr>
              <w:autoSpaceDE w:val="0"/>
              <w:autoSpaceDN w:val="0"/>
              <w:jc w:val="center"/>
              <w:rPr>
                <w:rFonts w:ascii="宋体" w:hAnsi="宋体" w:cs="宋体"/>
                <w:sz w:val="18"/>
                <w:szCs w:val="18"/>
              </w:rPr>
            </w:pPr>
            <w:r>
              <w:rPr>
                <w:rFonts w:hint="eastAsia" w:ascii="宋体" w:hAnsi="宋体" w:cs="宋体"/>
                <w:sz w:val="18"/>
                <w:szCs w:val="18"/>
              </w:rPr>
              <w:t>民用建筑太阳能热水系统</w:t>
            </w:r>
          </w:p>
        </w:tc>
        <w:tc>
          <w:tcPr>
            <w:tcW w:w="1524" w:type="dxa"/>
            <w:vAlign w:val="center"/>
          </w:tcPr>
          <w:p>
            <w:pPr>
              <w:autoSpaceDE w:val="0"/>
              <w:autoSpaceDN w:val="0"/>
              <w:jc w:val="center"/>
              <w:rPr>
                <w:rFonts w:ascii="宋体" w:hAnsi="宋体" w:cs="宋体"/>
                <w:sz w:val="18"/>
                <w:szCs w:val="18"/>
              </w:rPr>
            </w:pPr>
            <w:r>
              <w:rPr>
                <w:rFonts w:hint="eastAsia" w:ascii="宋体" w:hAnsi="宋体" w:cs="宋体"/>
                <w:sz w:val="18"/>
                <w:szCs w:val="18"/>
              </w:rPr>
              <w:t>GB/T 50604中规定的星级评价参考指标</w:t>
            </w:r>
          </w:p>
        </w:tc>
        <w:tc>
          <w:tcPr>
            <w:tcW w:w="2693" w:type="dxa"/>
            <w:vAlign w:val="center"/>
          </w:tcPr>
          <w:p>
            <w:pPr>
              <w:autoSpaceDE w:val="0"/>
              <w:autoSpaceDN w:val="0"/>
              <w:jc w:val="center"/>
              <w:rPr>
                <w:rFonts w:ascii="宋体" w:hAnsi="宋体" w:cs="宋体"/>
                <w:sz w:val="18"/>
                <w:szCs w:val="18"/>
                <w:highlight w:val="yellow"/>
              </w:rPr>
            </w:pPr>
            <w:r>
              <w:rPr>
                <w:rFonts w:hint="eastAsia" w:ascii="宋体" w:hAnsi="宋体" w:cs="宋体"/>
                <w:sz w:val="18"/>
                <w:szCs w:val="18"/>
              </w:rPr>
              <w:t>企事业单位围绕GB/T 50604中规定的星级评价出具书面说明</w:t>
            </w:r>
          </w:p>
        </w:tc>
        <w:tc>
          <w:tcPr>
            <w:tcW w:w="1276" w:type="dxa"/>
            <w:vAlign w:val="center"/>
          </w:tcPr>
          <w:p>
            <w:pPr>
              <w:autoSpaceDE w:val="0"/>
              <w:autoSpaceDN w:val="0"/>
              <w:jc w:val="center"/>
              <w:rPr>
                <w:rFonts w:ascii="宋体" w:hAnsi="宋体" w:cs="宋体"/>
                <w:sz w:val="18"/>
                <w:szCs w:val="18"/>
              </w:rPr>
            </w:pPr>
            <w:r>
              <w:rPr>
                <w:rFonts w:hint="eastAsia" w:ascii="宋体" w:hAnsi="宋体" w:cs="宋体"/>
                <w:sz w:val="18"/>
                <w:szCs w:val="18"/>
              </w:rPr>
              <w:t>GB/T 50604</w:t>
            </w:r>
          </w:p>
        </w:tc>
      </w:tr>
    </w:tbl>
    <w:p>
      <w:pPr>
        <w:pStyle w:val="53"/>
        <w:numPr>
          <w:ilvl w:val="3"/>
          <w:numId w:val="2"/>
        </w:numPr>
        <w:spacing w:before="156" w:after="156"/>
        <w:rPr>
          <w:rFonts w:ascii="Times New Roman"/>
          <w:highlight w:val="yellow"/>
        </w:rPr>
      </w:pPr>
      <w:r>
        <w:rPr>
          <w:rFonts w:ascii="Times New Roman"/>
        </w:rPr>
        <w:t>环境效益</w:t>
      </w:r>
    </w:p>
    <w:p>
      <w:pPr>
        <w:pStyle w:val="57"/>
        <w:spacing w:before="156" w:after="156"/>
        <w:rPr>
          <w:rFonts w:ascii="Times New Roman"/>
        </w:rPr>
      </w:pPr>
      <w:r>
        <w:rPr>
          <w:rFonts w:hint="eastAsia" w:ascii="Times New Roman"/>
          <w:lang w:eastAsia="zh-CN"/>
        </w:rPr>
        <w:t>评价原则</w:t>
      </w:r>
    </w:p>
    <w:p>
      <w:pPr>
        <w:pStyle w:val="24"/>
        <w:rPr>
          <w:rFonts w:hAnsi="宋体" w:cs="宋体"/>
        </w:rPr>
      </w:pPr>
      <w:r>
        <w:rPr>
          <w:rFonts w:hint="eastAsia" w:hAnsi="宋体" w:cs="宋体"/>
          <w:lang w:eastAsia="zh-CN"/>
        </w:rPr>
        <w:t>太阳能产业从降碳效益、</w:t>
      </w:r>
      <w:r>
        <w:rPr>
          <w:rFonts w:hint="eastAsia" w:ascii="宋体" w:hAnsi="宋体" w:eastAsia="宋体" w:cs="宋体"/>
          <w:sz w:val="21"/>
          <w:highlight w:val="none"/>
          <w:lang w:val="en-US" w:eastAsia="zh-CN" w:bidi="ar-SA"/>
        </w:rPr>
        <w:t>减污效益、其他效益进行评估，以绿色业务领域相关产品或服务应用前为基准线，按年度评估其应用后带来的有利影响增量或不利影响减量</w:t>
      </w:r>
      <w:r>
        <w:rPr>
          <w:rFonts w:hint="eastAsia" w:hAnsi="宋体" w:cs="宋体"/>
        </w:rPr>
        <w:t>。具体评分规则见表1</w:t>
      </w:r>
      <w:r>
        <w:rPr>
          <w:rFonts w:hint="eastAsia" w:hAnsi="宋体" w:cs="宋体"/>
          <w:lang w:val="en-US" w:eastAsia="zh-CN"/>
        </w:rPr>
        <w:t>6</w:t>
      </w:r>
      <w:r>
        <w:rPr>
          <w:rFonts w:hint="eastAsia" w:hAnsi="宋体" w:cs="宋体"/>
        </w:rPr>
        <w:t>。</w:t>
      </w:r>
    </w:p>
    <w:p>
      <w:pPr>
        <w:pStyle w:val="128"/>
        <w:rPr>
          <w:rFonts w:ascii="Times New Roman"/>
        </w:rPr>
      </w:pPr>
      <w:r>
        <w:rPr>
          <w:rFonts w:hint="eastAsia" w:ascii="Times New Roman"/>
          <w:lang w:eastAsia="zh-CN"/>
        </w:rPr>
        <w:t>太阳能领域各行业实质性贡献评价指标</w:t>
      </w:r>
    </w:p>
    <w:tbl>
      <w:tblPr>
        <w:tblStyle w:val="34"/>
        <w:tblW w:w="6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1325"/>
        <w:gridCol w:w="138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8" w:space="0"/>
              <w:left w:val="single" w:color="auto" w:sz="8" w:space="0"/>
              <w:bottom w:val="single" w:color="auto" w:sz="8" w:space="0"/>
              <w:right w:val="single" w:color="auto" w:sz="4" w:space="0"/>
            </w:tcBorders>
            <w:vAlign w:val="center"/>
          </w:tcPr>
          <w:p>
            <w:pPr>
              <w:autoSpaceDE w:val="0"/>
              <w:autoSpaceDN w:val="0"/>
              <w:ind w:firstLine="0" w:firstLineChars="0"/>
              <w:jc w:val="center"/>
              <w:rPr>
                <w:rFonts w:ascii="Times New Roman" w:hAnsi="Times New Roman" w:eastAsia="宋体" w:cs="Times New Roman"/>
                <w:b/>
                <w:bCs/>
                <w:sz w:val="18"/>
                <w:szCs w:val="16"/>
                <w:highlight w:val="none"/>
                <w:lang w:val="en-US" w:eastAsia="zh-CN" w:bidi="ar-SA"/>
              </w:rPr>
            </w:pPr>
            <w:r>
              <w:rPr>
                <w:rFonts w:hint="eastAsia" w:ascii="Times New Roman" w:hAnsi="Times New Roman" w:eastAsia="宋体" w:cs="Times New Roman"/>
                <w:b/>
                <w:bCs/>
                <w:sz w:val="18"/>
                <w:szCs w:val="16"/>
                <w:highlight w:val="none"/>
                <w:lang w:val="en-US" w:eastAsia="zh-CN" w:bidi="ar-SA"/>
              </w:rPr>
              <w:t>环境效益</w:t>
            </w:r>
            <w:r>
              <w:rPr>
                <w:rFonts w:ascii="Times New Roman" w:hAnsi="Times New Roman" w:eastAsia="宋体" w:cs="Times New Roman"/>
                <w:b/>
                <w:bCs/>
                <w:sz w:val="18"/>
                <w:szCs w:val="16"/>
                <w:highlight w:val="none"/>
                <w:lang w:val="en-US" w:eastAsia="zh-CN" w:bidi="ar-SA"/>
              </w:rPr>
              <w:t>水平</w:t>
            </w:r>
          </w:p>
        </w:tc>
        <w:tc>
          <w:tcPr>
            <w:tcW w:w="1325" w:type="dxa"/>
            <w:tcBorders>
              <w:top w:val="single" w:color="auto" w:sz="8" w:space="0"/>
              <w:left w:val="single" w:color="auto" w:sz="4" w:space="0"/>
              <w:bottom w:val="single" w:color="auto" w:sz="8" w:space="0"/>
              <w:right w:val="single" w:color="auto" w:sz="8" w:space="0"/>
            </w:tcBorders>
            <w:vAlign w:val="center"/>
          </w:tcPr>
          <w:p>
            <w:pPr>
              <w:autoSpaceDE w:val="0"/>
              <w:autoSpaceDN w:val="0"/>
              <w:ind w:firstLine="0" w:firstLineChars="0"/>
              <w:jc w:val="center"/>
              <w:rPr>
                <w:rFonts w:hint="default" w:ascii="Times New Roman" w:hAnsi="Times New Roman" w:eastAsia="宋体" w:cs="Times New Roman"/>
                <w:b/>
                <w:bCs/>
                <w:sz w:val="18"/>
                <w:szCs w:val="16"/>
                <w:highlight w:val="none"/>
                <w:lang w:val="en-US" w:eastAsia="zh-CN" w:bidi="ar-SA"/>
              </w:rPr>
            </w:pPr>
            <w:r>
              <w:rPr>
                <w:rFonts w:hint="eastAsia" w:ascii="Times New Roman" w:hAnsi="Times New Roman" w:eastAsia="宋体" w:cs="Times New Roman"/>
                <w:b/>
                <w:bCs/>
                <w:sz w:val="18"/>
                <w:szCs w:val="16"/>
                <w:highlight w:val="none"/>
                <w:lang w:val="en-US" w:eastAsia="zh-CN" w:bidi="ar-SA"/>
              </w:rPr>
              <w:t>降碳效益（分）</w:t>
            </w:r>
          </w:p>
        </w:tc>
        <w:tc>
          <w:tcPr>
            <w:tcW w:w="1387" w:type="dxa"/>
            <w:tcBorders>
              <w:top w:val="single" w:color="auto" w:sz="8" w:space="0"/>
              <w:left w:val="single" w:color="auto" w:sz="4" w:space="0"/>
              <w:bottom w:val="single" w:color="auto" w:sz="8" w:space="0"/>
              <w:right w:val="single" w:color="auto" w:sz="8" w:space="0"/>
            </w:tcBorders>
            <w:vAlign w:val="center"/>
          </w:tcPr>
          <w:p>
            <w:pPr>
              <w:autoSpaceDE w:val="0"/>
              <w:autoSpaceDN w:val="0"/>
              <w:ind w:firstLine="0" w:firstLineChars="0"/>
              <w:jc w:val="center"/>
              <w:rPr>
                <w:rFonts w:hint="eastAsia" w:ascii="Times New Roman" w:hAnsi="Times New Roman" w:eastAsia="宋体" w:cs="Times New Roman"/>
                <w:b/>
                <w:bCs/>
                <w:sz w:val="18"/>
                <w:szCs w:val="16"/>
                <w:highlight w:val="none"/>
                <w:lang w:val="en-US" w:eastAsia="zh-CN" w:bidi="ar-SA"/>
              </w:rPr>
            </w:pPr>
            <w:r>
              <w:rPr>
                <w:rFonts w:hint="eastAsia" w:ascii="Times New Roman" w:hAnsi="Times New Roman" w:eastAsia="宋体" w:cs="Times New Roman"/>
                <w:b/>
                <w:bCs/>
                <w:sz w:val="18"/>
                <w:szCs w:val="16"/>
                <w:highlight w:val="none"/>
                <w:lang w:val="en-US" w:eastAsia="zh-CN" w:bidi="ar-SA"/>
              </w:rPr>
              <w:t>减污效益（分）</w:t>
            </w:r>
          </w:p>
        </w:tc>
        <w:tc>
          <w:tcPr>
            <w:tcW w:w="1097" w:type="dxa"/>
            <w:tcBorders>
              <w:top w:val="single" w:color="auto" w:sz="8" w:space="0"/>
              <w:left w:val="single" w:color="auto" w:sz="4" w:space="0"/>
              <w:right w:val="single" w:color="auto" w:sz="8" w:space="0"/>
            </w:tcBorders>
            <w:vAlign w:val="center"/>
          </w:tcPr>
          <w:p>
            <w:pPr>
              <w:autoSpaceDE w:val="0"/>
              <w:autoSpaceDN w:val="0"/>
              <w:ind w:firstLine="0" w:firstLineChars="0"/>
              <w:jc w:val="center"/>
              <w:rPr>
                <w:rFonts w:hint="eastAsia" w:ascii="Times New Roman" w:hAnsi="Times New Roman" w:eastAsia="宋体" w:cs="Times New Roman"/>
                <w:b/>
                <w:bCs/>
                <w:sz w:val="18"/>
                <w:szCs w:val="16"/>
                <w:highlight w:val="none"/>
                <w:lang w:val="en-US" w:eastAsia="zh-CN" w:bidi="ar-SA"/>
              </w:rPr>
            </w:pPr>
            <w:r>
              <w:rPr>
                <w:rFonts w:hint="eastAsia" w:ascii="Times New Roman" w:hAnsi="Times New Roman" w:eastAsia="宋体" w:cs="Times New Roman"/>
                <w:b/>
                <w:bCs/>
                <w:sz w:val="18"/>
                <w:szCs w:val="16"/>
                <w:highlight w:val="none"/>
                <w:lang w:val="en-US" w:eastAsia="zh-CN" w:bidi="ar-SA"/>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4" w:space="0"/>
              <w:right w:val="single" w:color="auto" w:sz="4" w:space="0"/>
            </w:tcBorders>
          </w:tcPr>
          <w:p>
            <w:pPr>
              <w:autoSpaceDE w:val="0"/>
              <w:autoSpaceDN w:val="0"/>
              <w:ind w:firstLine="0" w:firstLineChars="0"/>
              <w:jc w:val="center"/>
              <w:rPr>
                <w:rFonts w:ascii="宋体" w:hAnsi="宋体" w:eastAsia="宋体" w:cs="宋体"/>
                <w:sz w:val="18"/>
                <w:szCs w:val="16"/>
                <w:highlight w:val="none"/>
                <w:lang w:val="en-US" w:eastAsia="zh-CN" w:bidi="ar-SA"/>
              </w:rPr>
            </w:pPr>
            <w:r>
              <w:rPr>
                <w:rFonts w:hint="eastAsia" w:ascii="Times New Roman" w:hAnsi="Times New Roman" w:eastAsia="宋体" w:cs="Times New Roman"/>
                <w:b w:val="0"/>
                <w:bCs w:val="0"/>
                <w:sz w:val="18"/>
                <w:szCs w:val="16"/>
                <w:highlight w:val="none"/>
                <w:lang w:val="en-US" w:eastAsia="zh-CN" w:bidi="ar-SA"/>
              </w:rPr>
              <w:t>涉及环境效益种类较多，产生实际环境效益贡献量较高。</w:t>
            </w:r>
          </w:p>
        </w:tc>
        <w:tc>
          <w:tcPr>
            <w:tcW w:w="1325" w:type="dxa"/>
            <w:tcBorders>
              <w:top w:val="single" w:color="auto" w:sz="4" w:space="0"/>
              <w:left w:val="single" w:color="auto" w:sz="4" w:space="0"/>
              <w:bottom w:val="single" w:color="auto" w:sz="4" w:space="0"/>
              <w:right w:val="single" w:color="auto" w:sz="8" w:space="0"/>
            </w:tcBorders>
            <w:vAlign w:val="center"/>
          </w:tcPr>
          <w:p>
            <w:pPr>
              <w:autoSpaceDE w:val="0"/>
              <w:autoSpaceDN w:val="0"/>
              <w:ind w:firstLine="0" w:firstLineChars="0"/>
              <w:jc w:val="center"/>
              <w:rPr>
                <w:rFonts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7</w:t>
            </w: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12</w:t>
            </w:r>
            <w:r>
              <w:rPr>
                <w:rFonts w:hint="eastAsia" w:ascii="宋体" w:hAnsi="宋体" w:eastAsia="宋体" w:cs="宋体"/>
                <w:sz w:val="18"/>
                <w:szCs w:val="16"/>
                <w:highlight w:val="none"/>
                <w:lang w:val="en-US" w:eastAsia="zh-CN" w:bidi="ar-SA"/>
              </w:rPr>
              <w:t>]</w:t>
            </w:r>
          </w:p>
        </w:tc>
        <w:tc>
          <w:tcPr>
            <w:tcW w:w="1387" w:type="dxa"/>
            <w:tcBorders>
              <w:top w:val="single" w:color="auto" w:sz="4" w:space="0"/>
              <w:left w:val="single" w:color="auto" w:sz="4" w:space="0"/>
              <w:bottom w:val="single" w:color="auto" w:sz="4"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2</w:t>
            </w: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4</w:t>
            </w:r>
            <w:r>
              <w:rPr>
                <w:rFonts w:hint="eastAsia" w:ascii="宋体" w:hAnsi="宋体" w:eastAsia="宋体" w:cs="宋体"/>
                <w:sz w:val="18"/>
                <w:szCs w:val="16"/>
                <w:highlight w:val="none"/>
                <w:lang w:val="en-US" w:eastAsia="zh-CN" w:bidi="ar-SA"/>
              </w:rPr>
              <w:t>]</w:t>
            </w:r>
          </w:p>
        </w:tc>
        <w:tc>
          <w:tcPr>
            <w:tcW w:w="1097" w:type="dxa"/>
            <w:vMerge w:val="restart"/>
            <w:tcBorders>
              <w:top w:val="single" w:color="auto" w:sz="4" w:space="0"/>
              <w:left w:val="single" w:color="auto" w:sz="4"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该项得分为</w:t>
            </w:r>
            <w:r>
              <w:rPr>
                <w:rFonts w:hint="eastAsia" w:ascii="宋体" w:hAnsi="宋体" w:cs="宋体"/>
                <w:sz w:val="18"/>
                <w:szCs w:val="16"/>
                <w:highlight w:val="none"/>
                <w:lang w:val="en-US" w:eastAsia="zh-CN" w:bidi="ar-SA"/>
              </w:rPr>
              <w:t>三</w:t>
            </w:r>
            <w:r>
              <w:rPr>
                <w:rFonts w:hint="eastAsia" w:ascii="宋体" w:hAnsi="宋体" w:eastAsia="宋体" w:cs="宋体"/>
                <w:sz w:val="18"/>
                <w:szCs w:val="16"/>
                <w:highlight w:val="none"/>
                <w:lang w:val="en-US" w:eastAsia="zh-CN" w:bidi="ar-SA"/>
              </w:rPr>
              <w:t>项指标累计得分。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4" w:space="0"/>
              <w:right w:val="single" w:color="auto" w:sz="4" w:space="0"/>
            </w:tcBorders>
          </w:tcPr>
          <w:p>
            <w:pPr>
              <w:autoSpaceDE w:val="0"/>
              <w:autoSpaceDN w:val="0"/>
              <w:ind w:firstLine="0" w:firstLineChars="0"/>
              <w:jc w:val="center"/>
              <w:rPr>
                <w:rFonts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涉及环境效益种类一般，产生实际环境效益贡献量一般。</w:t>
            </w:r>
          </w:p>
        </w:tc>
        <w:tc>
          <w:tcPr>
            <w:tcW w:w="1325" w:type="dxa"/>
            <w:tcBorders>
              <w:top w:val="single" w:color="auto" w:sz="4" w:space="0"/>
              <w:left w:val="single" w:color="auto" w:sz="4" w:space="0"/>
              <w:bottom w:val="single" w:color="auto" w:sz="4" w:space="0"/>
              <w:right w:val="single" w:color="auto" w:sz="8" w:space="0"/>
            </w:tcBorders>
            <w:vAlign w:val="center"/>
          </w:tcPr>
          <w:p>
            <w:pPr>
              <w:autoSpaceDE w:val="0"/>
              <w:autoSpaceDN w:val="0"/>
              <w:ind w:firstLine="0" w:firstLineChars="0"/>
              <w:jc w:val="center"/>
              <w:rPr>
                <w:rFonts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4</w:t>
            </w: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7</w:t>
            </w:r>
            <w:r>
              <w:rPr>
                <w:rFonts w:hint="eastAsia" w:ascii="宋体" w:hAnsi="宋体" w:eastAsia="宋体" w:cs="宋体"/>
                <w:sz w:val="18"/>
                <w:szCs w:val="16"/>
                <w:highlight w:val="none"/>
                <w:lang w:val="en-US" w:eastAsia="zh-CN" w:bidi="ar-SA"/>
              </w:rPr>
              <w:t>]</w:t>
            </w:r>
          </w:p>
        </w:tc>
        <w:tc>
          <w:tcPr>
            <w:tcW w:w="1387" w:type="dxa"/>
            <w:tcBorders>
              <w:top w:val="single" w:color="auto" w:sz="4" w:space="0"/>
              <w:left w:val="single" w:color="auto" w:sz="4" w:space="0"/>
              <w:bottom w:val="single" w:color="auto" w:sz="4"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1</w:t>
            </w:r>
            <w:r>
              <w:rPr>
                <w:rFonts w:hint="eastAsia" w:ascii="宋体" w:hAnsi="宋体" w:eastAsia="宋体" w:cs="宋体"/>
                <w:sz w:val="18"/>
                <w:szCs w:val="16"/>
                <w:highlight w:val="none"/>
                <w:lang w:val="en-US" w:eastAsia="zh-CN" w:bidi="ar-SA"/>
              </w:rPr>
              <w:t>,</w:t>
            </w:r>
            <w:r>
              <w:rPr>
                <w:rFonts w:hint="eastAsia" w:ascii="宋体" w:hAnsi="宋体" w:cs="宋体"/>
                <w:sz w:val="18"/>
                <w:szCs w:val="16"/>
                <w:highlight w:val="none"/>
                <w:lang w:val="en-US" w:eastAsia="zh-CN" w:bidi="ar-SA"/>
              </w:rPr>
              <w:t>2</w:t>
            </w:r>
            <w:r>
              <w:rPr>
                <w:rFonts w:hint="eastAsia" w:ascii="宋体" w:hAnsi="宋体" w:eastAsia="宋体" w:cs="宋体"/>
                <w:sz w:val="18"/>
                <w:szCs w:val="16"/>
                <w:highlight w:val="none"/>
                <w:lang w:val="en-US" w:eastAsia="zh-CN" w:bidi="ar-SA"/>
              </w:rPr>
              <w:t>]</w:t>
            </w:r>
          </w:p>
        </w:tc>
        <w:tc>
          <w:tcPr>
            <w:tcW w:w="1097" w:type="dxa"/>
            <w:vMerge w:val="continue"/>
            <w:tcBorders>
              <w:left w:val="single" w:color="auto" w:sz="4"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4" w:space="0"/>
              <w:right w:val="single" w:color="auto" w:sz="4" w:space="0"/>
            </w:tcBorders>
          </w:tcPr>
          <w:p>
            <w:pPr>
              <w:autoSpaceDE w:val="0"/>
              <w:autoSpaceDN w:val="0"/>
              <w:ind w:firstLine="0" w:firstLineChars="0"/>
              <w:jc w:val="center"/>
              <w:rPr>
                <w:rFonts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涉及环境效益种类较少，产生实际环境效益贡献量较少。</w:t>
            </w:r>
          </w:p>
        </w:tc>
        <w:tc>
          <w:tcPr>
            <w:tcW w:w="1325" w:type="dxa"/>
            <w:tcBorders>
              <w:top w:val="single" w:color="auto" w:sz="4" w:space="0"/>
              <w:left w:val="single" w:color="auto" w:sz="4" w:space="0"/>
              <w:bottom w:val="single" w:color="auto" w:sz="4" w:space="0"/>
              <w:right w:val="single" w:color="auto" w:sz="8" w:space="0"/>
            </w:tcBorders>
            <w:vAlign w:val="center"/>
          </w:tcPr>
          <w:p>
            <w:pPr>
              <w:autoSpaceDE w:val="0"/>
              <w:autoSpaceDN w:val="0"/>
              <w:ind w:firstLine="0" w:firstLineChars="0"/>
              <w:jc w:val="center"/>
              <w:rPr>
                <w:rFonts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(0,</w:t>
            </w:r>
            <w:r>
              <w:rPr>
                <w:rFonts w:hint="eastAsia" w:ascii="宋体" w:hAnsi="宋体" w:cs="宋体"/>
                <w:sz w:val="18"/>
                <w:szCs w:val="16"/>
                <w:highlight w:val="none"/>
                <w:lang w:val="en-US" w:eastAsia="zh-CN" w:bidi="ar-SA"/>
              </w:rPr>
              <w:t>4</w:t>
            </w:r>
            <w:r>
              <w:rPr>
                <w:rFonts w:hint="eastAsia" w:ascii="宋体" w:hAnsi="宋体" w:eastAsia="宋体" w:cs="宋体"/>
                <w:sz w:val="18"/>
                <w:szCs w:val="16"/>
                <w:highlight w:val="none"/>
                <w:lang w:val="en-US" w:eastAsia="zh-CN" w:bidi="ar-SA"/>
              </w:rPr>
              <w:t>]</w:t>
            </w:r>
          </w:p>
        </w:tc>
        <w:tc>
          <w:tcPr>
            <w:tcW w:w="1387" w:type="dxa"/>
            <w:tcBorders>
              <w:top w:val="single" w:color="auto" w:sz="4" w:space="0"/>
              <w:left w:val="single" w:color="auto" w:sz="4" w:space="0"/>
              <w:bottom w:val="single" w:color="auto" w:sz="4"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(0,</w:t>
            </w:r>
            <w:r>
              <w:rPr>
                <w:rFonts w:hint="eastAsia" w:ascii="宋体" w:hAnsi="宋体" w:cs="宋体"/>
                <w:sz w:val="18"/>
                <w:szCs w:val="16"/>
                <w:highlight w:val="none"/>
                <w:lang w:val="en-US" w:eastAsia="zh-CN" w:bidi="ar-SA"/>
              </w:rPr>
              <w:t>1</w:t>
            </w:r>
            <w:r>
              <w:rPr>
                <w:rFonts w:hint="eastAsia" w:ascii="宋体" w:hAnsi="宋体" w:eastAsia="宋体" w:cs="宋体"/>
                <w:sz w:val="18"/>
                <w:szCs w:val="16"/>
                <w:highlight w:val="none"/>
                <w:lang w:val="en-US" w:eastAsia="zh-CN" w:bidi="ar-SA"/>
              </w:rPr>
              <w:t>]</w:t>
            </w:r>
          </w:p>
        </w:tc>
        <w:tc>
          <w:tcPr>
            <w:tcW w:w="1097" w:type="dxa"/>
            <w:vMerge w:val="continue"/>
            <w:tcBorders>
              <w:left w:val="single" w:color="auto" w:sz="4"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8" w:space="0"/>
              <w:bottom w:val="single" w:color="auto" w:sz="8" w:space="0"/>
              <w:right w:val="single" w:color="auto" w:sz="4" w:space="0"/>
            </w:tcBorders>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未产生实际环境效益。</w:t>
            </w:r>
          </w:p>
        </w:tc>
        <w:tc>
          <w:tcPr>
            <w:tcW w:w="1325" w:type="dxa"/>
            <w:tcBorders>
              <w:top w:val="single" w:color="auto" w:sz="4" w:space="0"/>
              <w:left w:val="single" w:color="auto" w:sz="4" w:space="0"/>
              <w:bottom w:val="single" w:color="auto" w:sz="8"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0</w:t>
            </w:r>
          </w:p>
        </w:tc>
        <w:tc>
          <w:tcPr>
            <w:tcW w:w="1387" w:type="dxa"/>
            <w:tcBorders>
              <w:top w:val="single" w:color="auto" w:sz="4" w:space="0"/>
              <w:left w:val="single" w:color="auto" w:sz="4" w:space="0"/>
              <w:bottom w:val="single" w:color="auto" w:sz="8"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r>
              <w:rPr>
                <w:rFonts w:hint="eastAsia" w:ascii="宋体" w:hAnsi="宋体" w:eastAsia="宋体" w:cs="宋体"/>
                <w:sz w:val="18"/>
                <w:szCs w:val="16"/>
                <w:highlight w:val="none"/>
                <w:lang w:val="en-US" w:eastAsia="zh-CN" w:bidi="ar-SA"/>
              </w:rPr>
              <w:t>0</w:t>
            </w:r>
          </w:p>
        </w:tc>
        <w:tc>
          <w:tcPr>
            <w:tcW w:w="1097" w:type="dxa"/>
            <w:vMerge w:val="continue"/>
            <w:tcBorders>
              <w:left w:val="single" w:color="auto" w:sz="4" w:space="0"/>
              <w:bottom w:val="single" w:color="auto" w:sz="8" w:space="0"/>
              <w:right w:val="single" w:color="auto" w:sz="8" w:space="0"/>
            </w:tcBorders>
            <w:vAlign w:val="center"/>
          </w:tcPr>
          <w:p>
            <w:pPr>
              <w:autoSpaceDE w:val="0"/>
              <w:autoSpaceDN w:val="0"/>
              <w:ind w:firstLine="0" w:firstLineChars="0"/>
              <w:jc w:val="center"/>
              <w:rPr>
                <w:rFonts w:hint="eastAsia" w:ascii="宋体" w:hAnsi="宋体" w:eastAsia="宋体" w:cs="宋体"/>
                <w:sz w:val="18"/>
                <w:szCs w:val="16"/>
                <w:highlight w:val="none"/>
                <w:lang w:val="en-US" w:eastAsia="zh-CN" w:bidi="ar-SA"/>
              </w:rPr>
            </w:pPr>
          </w:p>
        </w:tc>
      </w:tr>
    </w:tbl>
    <w:p>
      <w:pPr>
        <w:pStyle w:val="57"/>
        <w:spacing w:before="0" w:after="0"/>
        <w:rPr>
          <w:rFonts w:ascii="Times New Roman"/>
        </w:rPr>
      </w:pPr>
      <w:r>
        <w:rPr>
          <w:rFonts w:hint="eastAsia"/>
          <w:lang w:val="en-US" w:eastAsia="zh-CN"/>
        </w:rPr>
        <w:t>降碳效益</w:t>
      </w:r>
    </w:p>
    <w:p>
      <w:pPr>
        <w:pStyle w:val="58"/>
        <w:tabs>
          <w:tab w:val="center" w:pos="4201"/>
          <w:tab w:val="right" w:leader="dot" w:pos="9298"/>
        </w:tabs>
        <w:rPr>
          <w:rFonts w:hint="default" w:hAnsi="宋体" w:cs="宋体"/>
          <w:lang w:val="en-US" w:eastAsia="zh-CN"/>
        </w:rPr>
      </w:pPr>
      <w:r>
        <w:rPr>
          <w:rFonts w:hint="eastAsia" w:hAnsi="宋体" w:cs="宋体"/>
          <w:lang w:val="en-US" w:eastAsia="zh-CN"/>
        </w:rPr>
        <w:t>替代化石能源量</w:t>
      </w:r>
    </w:p>
    <w:p>
      <w:pPr>
        <w:pStyle w:val="24"/>
        <w:rPr>
          <w:rFonts w:hint="eastAsia" w:hAnsi="宋体" w:cs="宋体"/>
          <w:lang w:val="en-US" w:eastAsia="zh-CN"/>
        </w:rPr>
      </w:pPr>
      <w:r>
        <w:rPr>
          <w:rFonts w:hint="eastAsia" w:hAnsi="宋体" w:cs="宋体"/>
          <w:lang w:val="en-US" w:eastAsia="zh-CN"/>
        </w:rPr>
        <w:t>指提供的绿色业务领域相关产品或服务，在采购方应用过程中，</w:t>
      </w:r>
      <w:r>
        <w:rPr>
          <w:rFonts w:hint="eastAsia" w:hAnsi="宋体" w:cs="宋体"/>
          <w:highlight w:val="none"/>
          <w:lang w:val="en-US" w:eastAsia="zh-CN"/>
        </w:rPr>
        <w:t>间接减少的化石能源消耗量</w:t>
      </w:r>
      <w:r>
        <w:rPr>
          <w:rFonts w:hint="eastAsia" w:hAnsi="宋体" w:cs="宋体"/>
          <w:lang w:val="en-US" w:eastAsia="zh-CN"/>
        </w:rPr>
        <w:t>。计算公式如下：</w:t>
      </w:r>
    </w:p>
    <w:p>
      <w:pPr>
        <w:pStyle w:val="129"/>
        <w:rPr>
          <w:rFonts w:hAnsi="宋体" w:cs="宋体"/>
        </w:rPr>
      </w:pPr>
      <m:oMathPara>
        <m:oMath>
          <m:r>
            <m:rPr/>
            <w:rPr>
              <w:rFonts w:hint="default" w:ascii="Cambria Math" w:hAnsi="Cambria Math" w:cs="宋体"/>
              <w:lang w:val="en-US" w:eastAsia="zh-CN"/>
            </w:rPr>
            <m:t>E</m:t>
          </m:r>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C</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r>
          <m:rPr/>
          <w:rPr>
            <w:rFonts w:hint="eastAsia" w:ascii="Cambria Math" w:hAnsi="Cambria Math" w:cs="宋体"/>
            <w:lang w:val="en-US" w:eastAsia="zh-CN"/>
          </w:rPr>
          <m:t>E</m:t>
        </m:r>
      </m:oMath>
      <w:r>
        <w:rPr>
          <w:rFonts w:hint="eastAsia" w:hAnsi="宋体" w:cs="宋体"/>
        </w:rPr>
        <w:t>——</w:t>
      </w:r>
      <w:r>
        <w:rPr>
          <w:rFonts w:hint="eastAsia" w:hAnsi="宋体" w:cs="宋体"/>
          <w:lang w:val="en-US" w:eastAsia="zh-CN"/>
        </w:rPr>
        <w:t>替代化石能源总量，吨标煤/年</w:t>
      </w:r>
      <w:r>
        <w:rPr>
          <w:rFonts w:hint="eastAsia" w:hAnsi="宋体" w:cs="宋体"/>
        </w:rPr>
        <w:t>；</w:t>
      </w:r>
    </w:p>
    <w:p>
      <w:pPr>
        <w:pStyle w:val="129"/>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lang w:val="en-US" w:eastAsia="zh-CN"/>
              </w:rPr>
              <m:t>C</m:t>
            </m:r>
            <m:ctrlPr>
              <w:rPr>
                <w:rFonts w:hint="eastAsia" w:ascii="Cambria Math" w:hAnsi="Cambria Math" w:cs="宋体"/>
                <w:i/>
              </w:rPr>
            </m:ctrlPr>
          </m:e>
          <m:sub>
            <m:r>
              <m:rPr/>
              <w:rPr>
                <w:rFonts w:hint="eastAsia" w:ascii="Cambria Math" w:hAnsi="Cambria Math" w:cs="宋体"/>
                <w:lang w:val="en-US" w:eastAsia="zh-CN"/>
              </w:rPr>
              <m:t>0</m:t>
            </m:r>
            <m:ctrlPr>
              <w:rPr>
                <w:rFonts w:hint="eastAsia" w:ascii="Cambria Math" w:hAnsi="Cambria Math" w:cs="宋体"/>
                <w:i/>
              </w:rPr>
            </m:ctrlPr>
          </m:sub>
        </m:sSub>
      </m:oMath>
      <w:r>
        <w:rPr>
          <w:rFonts w:hint="eastAsia" w:hAnsi="宋体" w:cs="宋体"/>
        </w:rPr>
        <w:t>——</w:t>
      </w:r>
      <w:r>
        <w:rPr>
          <w:rFonts w:hint="eastAsia" w:hAnsi="宋体" w:cs="宋体"/>
          <w:lang w:val="en-US" w:eastAsia="zh-CN"/>
        </w:rPr>
        <w:t>绿色业务领域相关产品或服务应用前化石能源消耗量，吨标煤/年</w:t>
      </w:r>
      <w:r>
        <w:rPr>
          <w:rFonts w:hint="eastAsia" w:hAnsi="宋体" w:cs="宋体"/>
        </w:rPr>
        <w:t>；</w:t>
      </w:r>
    </w:p>
    <w:p>
      <w:pPr>
        <w:pStyle w:val="129"/>
        <w:ind w:firstLine="420" w:firstLineChars="200"/>
        <w:rPr>
          <w:rFonts w:hint="eastAsia" w:hAnsi="Cambria Math" w:cs="宋体"/>
          <w:i w:val="0"/>
        </w:rPr>
      </w:pPr>
      <m:oMath>
        <m:sSub>
          <m:sSubPr>
            <m:ctrlPr>
              <w:rPr>
                <w:rFonts w:hint="eastAsia" w:ascii="Cambria Math" w:hAnsi="Cambria Math" w:cs="宋体"/>
                <w:i w:val="0"/>
              </w:rPr>
            </m:ctrlPr>
          </m:sSubPr>
          <m:e>
            <m:r>
              <m:rPr>
                <m:sty m:val="p"/>
              </m:rPr>
              <w:rPr>
                <w:rFonts w:hint="eastAsia" w:ascii="Cambria Math" w:hAnsi="Cambria Math" w:cs="宋体"/>
                <w:lang w:val="en-US" w:eastAsia="zh-CN"/>
              </w:rPr>
              <m:t>C</m:t>
            </m:r>
            <m:ctrlPr>
              <w:rPr>
                <w:rFonts w:hint="eastAsia" w:ascii="Cambria Math" w:hAnsi="Cambria Math" w:cs="宋体"/>
                <w:i w:val="0"/>
              </w:rPr>
            </m:ctrlPr>
          </m:e>
          <m:sub>
            <m:r>
              <m:rPr>
                <m:sty m:val="p"/>
              </m:rPr>
              <w:rPr>
                <w:rFonts w:hint="default" w:ascii="Cambria Math" w:hAnsi="Cambria Math" w:cs="宋体"/>
                <w:lang w:val="en-US" w:eastAsia="zh-CN"/>
              </w:rPr>
              <m:t>1</m:t>
            </m:r>
            <m:ctrlPr>
              <w:rPr>
                <w:rFonts w:hint="eastAsia" w:ascii="Cambria Math" w:hAnsi="Cambria Math" w:cs="宋体"/>
                <w:i w:val="0"/>
              </w:rPr>
            </m:ctrlPr>
          </m:sub>
        </m:sSub>
      </m:oMath>
      <w:r>
        <w:rPr>
          <w:rFonts w:hint="eastAsia" w:hAnsi="Cambria Math" w:cs="宋体"/>
          <w:i w:val="0"/>
        </w:rPr>
        <w:t>——</w:t>
      </w:r>
      <w:r>
        <w:rPr>
          <w:rFonts w:hint="eastAsia" w:hAnsi="Cambria Math" w:cs="宋体"/>
          <w:i w:val="0"/>
          <w:lang w:val="en-US" w:eastAsia="zh-CN"/>
        </w:rPr>
        <w:t>绿色业务领域相关产品或服务应用后</w:t>
      </w:r>
      <w:r>
        <w:rPr>
          <w:rFonts w:hint="eastAsia" w:hAnsi="宋体" w:cs="宋体"/>
          <w:lang w:val="en-US" w:eastAsia="zh-CN"/>
        </w:rPr>
        <w:t>化石能源消耗量</w:t>
      </w:r>
      <w:r>
        <w:rPr>
          <w:rFonts w:hint="eastAsia" w:hAnsi="Cambria Math" w:cs="宋体"/>
          <w:i w:val="0"/>
          <w:lang w:val="en-US" w:eastAsia="zh-CN"/>
        </w:rPr>
        <w:t>，吨标煤/年</w:t>
      </w:r>
      <w:r>
        <w:rPr>
          <w:rFonts w:hint="eastAsia" w:hAnsi="Cambria Math" w:cs="宋体"/>
          <w:i w:val="0"/>
        </w:rPr>
        <w:t>；</w:t>
      </w:r>
    </w:p>
    <w:p>
      <w:pPr>
        <w:pStyle w:val="129"/>
        <w:ind w:firstLine="420" w:firstLineChars="200"/>
        <w:rPr>
          <w:rFonts w:hint="eastAsia"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w:t>
      </w:r>
      <w:r>
        <w:rPr>
          <w:rFonts w:hint="eastAsia" w:hAnsi="宋体" w:cs="宋体"/>
          <w:highlight w:val="none"/>
        </w:rPr>
        <w:t>第i</w:t>
      </w:r>
      <w:r>
        <w:rPr>
          <w:rFonts w:hint="eastAsia" w:hAnsi="宋体" w:cs="宋体"/>
          <w:highlight w:val="none"/>
          <w:lang w:val="en-US" w:eastAsia="zh-CN"/>
        </w:rPr>
        <w:t>类产品数量或年发电量</w:t>
      </w:r>
      <w:r>
        <w:rPr>
          <w:rFonts w:hint="eastAsia" w:hAnsi="宋体" w:cs="宋体"/>
          <w:highlight w:val="none"/>
        </w:rPr>
        <w:t>。</w:t>
      </w:r>
    </w:p>
    <w:p>
      <w:pPr>
        <w:pStyle w:val="58"/>
        <w:tabs>
          <w:tab w:val="center" w:pos="4201"/>
          <w:tab w:val="right" w:leader="dot" w:pos="9298"/>
        </w:tabs>
        <w:rPr>
          <w:rFonts w:hint="eastAsia" w:hAnsi="宋体" w:cs="宋体"/>
          <w:lang w:val="en-US" w:eastAsia="zh-CN"/>
        </w:rPr>
      </w:pPr>
      <w:r>
        <w:rPr>
          <w:rFonts w:hint="eastAsia" w:hAnsi="宋体" w:cs="宋体"/>
          <w:lang w:val="en-US" w:eastAsia="zh-CN"/>
        </w:rPr>
        <w:t>碳减排量</w:t>
      </w:r>
    </w:p>
    <w:p>
      <w:pPr>
        <w:pStyle w:val="24"/>
        <w:rPr>
          <w:rFonts w:hint="default" w:hAnsi="宋体" w:cs="宋体"/>
          <w:lang w:val="en-US" w:eastAsia="zh-CN"/>
        </w:rPr>
      </w:pPr>
      <w:r>
        <w:rPr>
          <w:rFonts w:hint="eastAsia" w:hAnsi="宋体" w:cs="宋体"/>
          <w:lang w:val="en-US" w:eastAsia="zh-CN"/>
        </w:rPr>
        <w:t>指提供的绿色业务领域相关产品或服务，在采购方应用过程中，因替代化石能源消耗产生的温室气体减排量，折算产生的二氧化碳当量排放减少量。计算公式如下：</w:t>
      </w:r>
    </w:p>
    <w:p>
      <w:pPr>
        <w:pStyle w:val="129"/>
        <w:rPr>
          <w:rFonts w:hAnsi="宋体" w:cs="宋体"/>
        </w:rPr>
      </w:pPr>
      <m:oMathPara>
        <m:oMath>
          <m:sSub>
            <m:sSubPr>
              <m:ctrlPr>
                <w:rPr>
                  <w:rFonts w:hint="eastAsia" w:ascii="Cambria Math" w:hAnsi="Cambria Math" w:cs="宋体"/>
                  <w:i/>
                </w:rPr>
              </m:ctrlPr>
            </m:sSubPr>
            <m:e>
              <m:r>
                <m:rPr/>
                <w:rPr>
                  <w:rFonts w:hint="default" w:ascii="Cambria Math" w:hAnsi="Cambria Math" w:cs="宋体"/>
                  <w:lang w:val="en-US" w:eastAsia="zh-CN"/>
                </w:rPr>
                <m:t>Q</m:t>
              </m:r>
              <m:ctrlPr>
                <w:rPr>
                  <w:rFonts w:hint="eastAsia" w:ascii="Cambria Math" w:hAnsi="Cambria Math" w:cs="宋体"/>
                  <w:i/>
                </w:rPr>
              </m:ctrlPr>
            </m:e>
            <m:sub>
              <m:sSub>
                <m:sSubPr>
                  <m:ctrlPr>
                    <w:rPr>
                      <w:rFonts w:hint="eastAsia" w:ascii="Cambria Math" w:hAnsi="Cambria Math" w:cs="宋体"/>
                      <w:i/>
                    </w:rPr>
                  </m:ctrlPr>
                </m:sSubPr>
                <m:e>
                  <m:r>
                    <m:rPr/>
                    <w:rPr>
                      <w:rFonts w:hint="default" w:ascii="Cambria Math" w:hAnsi="Cambria Math" w:cs="宋体"/>
                      <w:lang w:val="en-US" w:eastAsia="zh-CN"/>
                    </w:rPr>
                    <m:t>CO</m:t>
                  </m:r>
                  <m:ctrlPr>
                    <w:rPr>
                      <w:rFonts w:hint="eastAsia" w:ascii="Cambria Math" w:hAnsi="Cambria Math" w:cs="宋体"/>
                      <w:i/>
                    </w:rPr>
                  </m:ctrlPr>
                </m:e>
                <m:sub>
                  <m:r>
                    <m:rPr/>
                    <w:rPr>
                      <w:rFonts w:hint="default" w:ascii="Cambria Math" w:hAnsi="Cambria Math" w:cs="宋体"/>
                      <w:lang w:val="en-US" w:eastAsia="zh-CN"/>
                    </w:rPr>
                    <m:t>2</m:t>
                  </m:r>
                  <m:ctrlPr>
                    <w:rPr>
                      <w:rFonts w:hint="eastAsia" w:ascii="Cambria Math" w:hAnsi="Cambria Math" w:cs="宋体"/>
                      <w:i/>
                    </w:rPr>
                  </m:ctrlPr>
                </m:sub>
              </m:sSub>
              <m:r>
                <m:rPr/>
                <w:rPr>
                  <w:rFonts w:hint="default" w:ascii="Cambria Math" w:hAnsi="Cambria Math" w:cs="宋体"/>
                  <w:lang w:val="en-US" w:eastAsia="zh-CN"/>
                </w:rPr>
                <m:t>e</m:t>
              </m:r>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E</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sSub>
          <m:sSubPr>
            <m:ctrlPr>
              <w:rPr>
                <w:rFonts w:hint="eastAsia" w:ascii="Cambria Math" w:hAnsi="Cambria Math" w:cs="宋体"/>
                <w:i/>
                <w:lang w:val="en-US" w:eastAsia="zh-CN"/>
              </w:rPr>
            </m:ctrlPr>
          </m:sSubPr>
          <m:e>
            <m:r>
              <m:rPr/>
              <w:rPr>
                <w:rFonts w:hint="eastAsia" w:ascii="Cambria Math" w:hAnsi="Cambria Math" w:cs="宋体"/>
                <w:lang w:val="en-US" w:eastAsia="zh-CN"/>
              </w:rPr>
              <m:t>Q</m:t>
            </m:r>
            <m:ctrlPr>
              <w:rPr>
                <w:rFonts w:hint="eastAsia" w:ascii="Cambria Math" w:hAnsi="Cambria Math" w:cs="宋体"/>
                <w:i/>
                <w:lang w:val="en-US" w:eastAsia="zh-CN"/>
              </w:rPr>
            </m:ctrlPr>
          </m:e>
          <m:sub>
            <m:sSub>
              <m:sSubPr>
                <m:ctrlPr>
                  <w:rPr>
                    <w:rFonts w:hint="eastAsia" w:ascii="Cambria Math" w:hAnsi="Cambria Math" w:cs="宋体"/>
                    <w:i/>
                    <w:lang w:val="en-US" w:eastAsia="zh-CN"/>
                  </w:rPr>
                </m:ctrlPr>
              </m:sSubPr>
              <m:e>
                <m:r>
                  <m:rPr/>
                  <w:rPr>
                    <w:rFonts w:hint="eastAsia" w:ascii="Cambria Math" w:hAnsi="Cambria Math" w:cs="宋体"/>
                    <w:lang w:val="en-US" w:eastAsia="zh-CN"/>
                  </w:rPr>
                  <m:t>CO</m:t>
                </m:r>
                <m:ctrlPr>
                  <w:rPr>
                    <w:rFonts w:hint="eastAsia" w:ascii="Cambria Math" w:hAnsi="Cambria Math" w:cs="宋体"/>
                    <w:i/>
                    <w:lang w:val="en-US" w:eastAsia="zh-CN"/>
                  </w:rPr>
                </m:ctrlPr>
              </m:e>
              <m:sub>
                <m:r>
                  <m:rPr/>
                  <w:rPr>
                    <w:rFonts w:hint="eastAsia" w:ascii="Cambria Math" w:hAnsi="Cambria Math" w:cs="宋体"/>
                    <w:lang w:val="en-US" w:eastAsia="zh-CN"/>
                  </w:rPr>
                  <m:t>2</m:t>
                </m:r>
                <m:ctrlPr>
                  <w:rPr>
                    <w:rFonts w:hint="eastAsia" w:ascii="Cambria Math" w:hAnsi="Cambria Math" w:cs="宋体"/>
                    <w:i/>
                    <w:lang w:val="en-US" w:eastAsia="zh-CN"/>
                  </w:rPr>
                </m:ctrlPr>
              </m:sub>
            </m:sSub>
            <m:r>
              <m:rPr/>
              <w:rPr>
                <w:rFonts w:hint="eastAsia" w:ascii="Cambria Math" w:hAnsi="Cambria Math" w:cs="宋体"/>
                <w:lang w:val="en-US" w:eastAsia="zh-CN"/>
              </w:rPr>
              <m:t>e</m:t>
            </m:r>
            <m:ctrlPr>
              <w:rPr>
                <w:rFonts w:hint="eastAsia" w:ascii="Cambria Math" w:hAnsi="Cambria Math" w:cs="宋体"/>
                <w:i/>
                <w:lang w:val="en-US" w:eastAsia="zh-CN"/>
              </w:rPr>
            </m:ctrlPr>
          </m:sub>
        </m:sSub>
      </m:oMath>
      <w:r>
        <w:rPr>
          <w:rFonts w:hint="eastAsia" w:hAnsi="宋体" w:cs="宋体"/>
        </w:rPr>
        <w:t>——</w:t>
      </w:r>
      <w:r>
        <w:rPr>
          <w:rFonts w:hint="eastAsia" w:hAnsi="宋体" w:cs="宋体"/>
          <w:lang w:val="en-US" w:eastAsia="zh-CN"/>
        </w:rPr>
        <w:t>碳减排总量，吨标煤/年</w:t>
      </w:r>
      <w:r>
        <w:rPr>
          <w:rFonts w:hint="eastAsia" w:hAnsi="宋体" w:cs="宋体"/>
        </w:rPr>
        <w:t>；</w:t>
      </w:r>
    </w:p>
    <w:p>
      <w:pPr>
        <w:pStyle w:val="129"/>
        <w:ind w:firstLine="420" w:firstLineChars="200"/>
        <w:rPr>
          <w:rFonts w:hAnsi="宋体" w:cs="宋体"/>
          <w:highlight w:val="none"/>
        </w:rPr>
      </w:pPr>
      <m:oMath>
        <m:sSub>
          <m:sSubPr>
            <m:ctrlPr>
              <w:rPr>
                <w:rFonts w:hint="eastAsia" w:ascii="Cambria Math" w:hAnsi="Cambria Math" w:cs="宋体"/>
                <w:i/>
              </w:rPr>
            </m:ctrlPr>
          </m:sSubPr>
          <m:e>
            <m:r>
              <m:rPr/>
              <w:rPr>
                <w:rFonts w:hint="default" w:ascii="Cambria Math" w:hAnsi="Cambria Math" w:cs="宋体"/>
                <w:lang w:val="en-US" w:eastAsia="zh-CN"/>
              </w:rPr>
              <m:t>E</m:t>
            </m:r>
            <m:ctrlPr>
              <w:rPr>
                <w:rFonts w:hint="eastAsia" w:ascii="Cambria Math" w:hAnsi="Cambria Math" w:cs="宋体"/>
                <w:i/>
              </w:rPr>
            </m:ctrlPr>
          </m:e>
          <m:sub>
            <m:r>
              <m:rPr/>
              <w:rPr>
                <w:rFonts w:hint="eastAsia" w:ascii="Cambria Math" w:hAnsi="Cambria Math" w:cs="宋体"/>
                <w:lang w:val="en-US" w:eastAsia="zh-CN"/>
              </w:rPr>
              <m:t>0</m:t>
            </m:r>
            <m:ctrlPr>
              <w:rPr>
                <w:rFonts w:hint="eastAsia" w:ascii="Cambria Math" w:hAnsi="Cambria Math" w:cs="宋体"/>
                <w:i/>
              </w:rPr>
            </m:ctrlPr>
          </m:sub>
        </m:sSub>
      </m:oMath>
      <w:r>
        <w:rPr>
          <w:rFonts w:hint="eastAsia" w:hAnsi="宋体" w:cs="宋体"/>
        </w:rPr>
        <w:t>——</w:t>
      </w:r>
      <w:r>
        <w:rPr>
          <w:rFonts w:hint="eastAsia" w:hAnsi="宋体" w:cs="宋体"/>
          <w:highlight w:val="none"/>
          <w:lang w:val="en-US" w:eastAsia="zh-CN"/>
        </w:rPr>
        <w:t>产品或服务替代化石能源消耗前碳排放水平，吨二氧化碳当量/年</w:t>
      </w:r>
      <w:r>
        <w:rPr>
          <w:rFonts w:hint="eastAsia" w:hAnsi="宋体" w:cs="宋体"/>
          <w:highlight w:val="none"/>
        </w:rPr>
        <w:t>；</w:t>
      </w:r>
    </w:p>
    <w:p>
      <w:pPr>
        <w:pStyle w:val="129"/>
        <w:ind w:firstLine="420" w:firstLineChars="200"/>
        <w:rPr>
          <w:rFonts w:hint="eastAsia" w:hAnsi="Cambria Math" w:cs="宋体"/>
          <w:i w:val="0"/>
          <w:highlight w:val="none"/>
        </w:rPr>
      </w:pPr>
      <m:oMath>
        <m:sSub>
          <m:sSubPr>
            <m:ctrlPr>
              <w:rPr>
                <w:rFonts w:hint="eastAsia" w:ascii="Cambria Math" w:hAnsi="Cambria Math" w:cs="宋体"/>
                <w:i w:val="0"/>
                <w:highlight w:val="none"/>
              </w:rPr>
            </m:ctrlPr>
          </m:sSubPr>
          <m:e>
            <m:r>
              <m:rPr/>
              <w:rPr>
                <w:rFonts w:hint="default" w:ascii="Cambria Math" w:hAnsi="Cambria Math" w:cs="宋体"/>
                <w:highlight w:val="none"/>
                <w:lang w:val="en-US" w:eastAsia="zh-CN"/>
              </w:rPr>
              <m:t>E</m:t>
            </m:r>
            <m:ctrlPr>
              <w:rPr>
                <w:rFonts w:hint="eastAsia" w:ascii="Cambria Math" w:hAnsi="Cambria Math" w:cs="宋体"/>
                <w:i w:val="0"/>
                <w:highlight w:val="none"/>
              </w:rPr>
            </m:ctrlPr>
          </m:e>
          <m:sub>
            <m:r>
              <m:rPr>
                <m:sty m:val="p"/>
              </m:rPr>
              <w:rPr>
                <w:rFonts w:hint="default" w:ascii="Cambria Math" w:hAnsi="Cambria Math" w:cs="宋体"/>
                <w:highlight w:val="none"/>
                <w:lang w:val="en-US" w:eastAsia="zh-CN"/>
              </w:rPr>
              <m:t>1</m:t>
            </m:r>
            <m:ctrlPr>
              <w:rPr>
                <w:rFonts w:hint="eastAsia" w:ascii="Cambria Math" w:hAnsi="Cambria Math" w:cs="宋体"/>
                <w:i w:val="0"/>
                <w:highlight w:val="none"/>
              </w:rPr>
            </m:ctrlPr>
          </m:sub>
        </m:sSub>
      </m:oMath>
      <w:r>
        <w:rPr>
          <w:rFonts w:hint="eastAsia" w:hAnsi="Cambria Math" w:cs="宋体"/>
          <w:i w:val="0"/>
          <w:highlight w:val="none"/>
        </w:rPr>
        <w:t>——</w:t>
      </w:r>
      <w:r>
        <w:rPr>
          <w:rFonts w:hint="eastAsia" w:hAnsi="宋体" w:cs="宋体"/>
          <w:highlight w:val="none"/>
          <w:lang w:val="en-US" w:eastAsia="zh-CN"/>
        </w:rPr>
        <w:t>产品或服务替代化石能源前</w:t>
      </w:r>
      <w:r>
        <w:rPr>
          <w:rFonts w:hint="eastAsia" w:hAnsi="Cambria Math" w:cs="宋体"/>
          <w:i w:val="0"/>
          <w:highlight w:val="none"/>
          <w:lang w:val="en-US" w:eastAsia="zh-CN"/>
        </w:rPr>
        <w:t>碳排放水平，吨二氧化碳当量/年</w:t>
      </w:r>
      <w:r>
        <w:rPr>
          <w:rFonts w:hint="eastAsia" w:hAnsi="Cambria Math" w:cs="宋体"/>
          <w:i w:val="0"/>
          <w:highlight w:val="none"/>
        </w:rPr>
        <w:t>；</w:t>
      </w:r>
    </w:p>
    <w:p>
      <w:pPr>
        <w:pStyle w:val="24"/>
        <w:rPr>
          <w:rFonts w:hint="default" w:hAnsi="宋体" w:cs="宋体"/>
          <w:highlight w:val="none"/>
          <w:lang w:val="en-US" w:eastAsia="zh-CN"/>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w:t>
      </w:r>
      <w:r>
        <w:rPr>
          <w:rFonts w:hint="eastAsia" w:hAnsi="宋体" w:cs="宋体"/>
          <w:highlight w:val="none"/>
          <w:lang w:val="en-US" w:eastAsia="zh-CN"/>
        </w:rPr>
        <w:t>类产品数量或年发电量</w:t>
      </w:r>
      <w:r>
        <w:rPr>
          <w:rFonts w:hint="default" w:hAnsi="宋体" w:cs="宋体"/>
          <w:highlight w:val="none"/>
          <w:lang w:val="en-US" w:eastAsia="zh-CN"/>
        </w:rPr>
        <w:t>。</w:t>
      </w:r>
    </w:p>
    <w:p>
      <w:pPr>
        <w:pStyle w:val="57"/>
        <w:tabs>
          <w:tab w:val="left" w:pos="489"/>
        </w:tabs>
        <w:spacing w:before="156" w:after="156"/>
        <w:rPr>
          <w:rFonts w:ascii="Times New Roman"/>
        </w:rPr>
      </w:pPr>
      <w:r>
        <w:rPr>
          <w:rFonts w:hint="eastAsia" w:ascii="Times New Roman"/>
          <w:lang w:val="en-US" w:eastAsia="zh-CN"/>
        </w:rPr>
        <w:t>减污效益</w:t>
      </w:r>
    </w:p>
    <w:p>
      <w:pPr>
        <w:pStyle w:val="58"/>
        <w:tabs>
          <w:tab w:val="center" w:pos="4201"/>
          <w:tab w:val="right" w:leader="dot" w:pos="9298"/>
        </w:tabs>
        <w:ind w:left="0" w:firstLine="0"/>
        <w:rPr>
          <w:rFonts w:hint="default" w:hAnsi="宋体" w:cs="宋体"/>
          <w:lang w:val="en-US" w:eastAsia="zh-CN"/>
        </w:rPr>
      </w:pPr>
      <w:r>
        <w:rPr>
          <w:rFonts w:hint="eastAsia"/>
          <w:lang w:val="en-US" w:eastAsia="zh-CN"/>
        </w:rPr>
        <w:t>二氧化硫削减量</w:t>
      </w:r>
    </w:p>
    <w:p>
      <w:pPr>
        <w:pStyle w:val="24"/>
        <w:rPr>
          <w:rFonts w:hint="default" w:hAnsi="宋体" w:cs="宋体"/>
          <w:lang w:val="en-US" w:eastAsia="zh-CN"/>
        </w:rPr>
      </w:pPr>
      <w:r>
        <w:rPr>
          <w:rFonts w:hint="eastAsia" w:hAnsi="宋体" w:cs="宋体"/>
          <w:lang w:val="en-US" w:eastAsia="zh-CN"/>
        </w:rPr>
        <w:t>指提供的绿色业务领域相关产品或服务，在采购方应用过程中，因替代化石能源消耗，折算产生的二氧化硫减少量。计算公式如下：</w:t>
      </w:r>
    </w:p>
    <w:p>
      <w:pPr>
        <w:pStyle w:val="129"/>
        <w:rPr>
          <w:rFonts w:hAnsi="宋体" w:cs="宋体"/>
        </w:rPr>
      </w:pPr>
      <m:oMathPara>
        <m:oMath>
          <m:sSub>
            <m:sSubPr>
              <m:ctrlPr>
                <w:rPr>
                  <w:rFonts w:hint="eastAsia" w:ascii="Cambria Math" w:hAnsi="Cambria Math" w:cs="宋体"/>
                  <w:i/>
                </w:rPr>
              </m:ctrlPr>
            </m:sSubPr>
            <m:e>
              <m:r>
                <m:rPr/>
                <w:rPr>
                  <w:rFonts w:hint="default" w:ascii="Cambria Math" w:hAnsi="Cambria Math" w:cs="宋体"/>
                  <w:lang w:val="en-US" w:eastAsia="zh-CN"/>
                </w:rPr>
                <m:t>M</m:t>
              </m:r>
              <m:ctrlPr>
                <w:rPr>
                  <w:rFonts w:hint="eastAsia" w:ascii="Cambria Math" w:hAnsi="Cambria Math" w:cs="宋体"/>
                  <w:i/>
                </w:rPr>
              </m:ctrlPr>
            </m:e>
            <m:sub>
              <m:sSub>
                <m:sSubPr>
                  <m:ctrlPr>
                    <w:rPr>
                      <w:rFonts w:hint="eastAsia" w:ascii="Cambria Math" w:hAnsi="Cambria Math" w:cs="宋体"/>
                      <w:i/>
                    </w:rPr>
                  </m:ctrlPr>
                </m:sSubPr>
                <m:e>
                  <m:r>
                    <m:rPr/>
                    <w:rPr>
                      <w:rFonts w:hint="default" w:ascii="Cambria Math" w:hAnsi="Cambria Math" w:cs="宋体"/>
                      <w:lang w:val="en-US" w:eastAsia="zh-CN"/>
                    </w:rPr>
                    <m:t>SO</m:t>
                  </m:r>
                  <m:ctrlPr>
                    <w:rPr>
                      <w:rFonts w:hint="eastAsia" w:ascii="Cambria Math" w:hAnsi="Cambria Math" w:cs="宋体"/>
                      <w:i/>
                    </w:rPr>
                  </m:ctrlPr>
                </m:e>
                <m:sub>
                  <m:r>
                    <m:rPr/>
                    <w:rPr>
                      <w:rFonts w:hint="default" w:ascii="Cambria Math" w:hAnsi="Cambria Math" w:cs="宋体"/>
                      <w:lang w:val="en-US" w:eastAsia="zh-CN"/>
                    </w:rPr>
                    <m:t>2</m:t>
                  </m:r>
                  <m:ctrlPr>
                    <w:rPr>
                      <w:rFonts w:hint="eastAsia" w:ascii="Cambria Math" w:hAnsi="Cambria Math" w:cs="宋体"/>
                      <w:i/>
                    </w:rPr>
                  </m:ctrlPr>
                </m:sub>
              </m:sSub>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E</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highlight w:val="none"/>
        </w:rPr>
      </w:pPr>
      <m:oMath>
        <m:sSub>
          <m:sSubPr>
            <m:ctrlPr>
              <w:rPr>
                <w:rFonts w:hint="eastAsia" w:ascii="Cambria Math" w:hAnsi="Cambria Math" w:cs="宋体"/>
                <w:i/>
                <w:lang w:val="en-US" w:eastAsia="zh-CN"/>
              </w:rPr>
            </m:ctrlPr>
          </m:sSubPr>
          <m:e>
            <m:r>
              <m:rPr/>
              <w:rPr>
                <w:rFonts w:hint="default" w:ascii="Cambria Math" w:hAnsi="Cambria Math" w:cs="宋体"/>
                <w:lang w:val="en-US" w:eastAsia="zh-CN"/>
              </w:rPr>
              <m:t>M</m:t>
            </m:r>
            <m:ctrlPr>
              <w:rPr>
                <w:rFonts w:hint="eastAsia" w:ascii="Cambria Math" w:hAnsi="Cambria Math" w:cs="宋体"/>
                <w:i/>
                <w:lang w:val="en-US" w:eastAsia="zh-CN"/>
              </w:rPr>
            </m:ctrlPr>
          </m:e>
          <m:sub>
            <m:sSub>
              <m:sSubPr>
                <m:ctrlPr>
                  <w:rPr>
                    <w:rFonts w:hint="eastAsia" w:ascii="Cambria Math" w:hAnsi="Cambria Math" w:cs="宋体"/>
                    <w:i/>
                    <w:lang w:val="en-US" w:eastAsia="zh-CN"/>
                  </w:rPr>
                </m:ctrlPr>
              </m:sSubPr>
              <m:e>
                <m:r>
                  <m:rPr/>
                  <w:rPr>
                    <w:rFonts w:hint="default" w:ascii="Cambria Math" w:hAnsi="Cambria Math" w:cs="宋体"/>
                    <w:lang w:val="en-US" w:eastAsia="zh-CN"/>
                  </w:rPr>
                  <m:t>S</m:t>
                </m:r>
                <m:r>
                  <m:rPr/>
                  <w:rPr>
                    <w:rFonts w:hint="eastAsia" w:ascii="Cambria Math" w:hAnsi="Cambria Math" w:cs="宋体"/>
                    <w:lang w:val="en-US" w:eastAsia="zh-CN"/>
                  </w:rPr>
                  <m:t>O</m:t>
                </m:r>
                <m:ctrlPr>
                  <w:rPr>
                    <w:rFonts w:hint="eastAsia" w:ascii="Cambria Math" w:hAnsi="Cambria Math" w:cs="宋体"/>
                    <w:i/>
                    <w:lang w:val="en-US" w:eastAsia="zh-CN"/>
                  </w:rPr>
                </m:ctrlPr>
              </m:e>
              <m:sub>
                <m:r>
                  <m:rPr/>
                  <w:rPr>
                    <w:rFonts w:hint="eastAsia" w:ascii="Cambria Math" w:hAnsi="Cambria Math" w:cs="宋体"/>
                    <w:lang w:val="en-US" w:eastAsia="zh-CN"/>
                  </w:rPr>
                  <m:t>2</m:t>
                </m:r>
                <m:ctrlPr>
                  <w:rPr>
                    <w:rFonts w:hint="eastAsia" w:ascii="Cambria Math" w:hAnsi="Cambria Math" w:cs="宋体"/>
                    <w:i/>
                    <w:lang w:val="en-US" w:eastAsia="zh-CN"/>
                  </w:rPr>
                </m:ctrlPr>
              </m:sub>
            </m:sSub>
            <m:ctrlPr>
              <w:rPr>
                <w:rFonts w:hint="eastAsia" w:ascii="Cambria Math" w:hAnsi="Cambria Math" w:cs="宋体"/>
                <w:i/>
                <w:lang w:val="en-US" w:eastAsia="zh-CN"/>
              </w:rPr>
            </m:ctrlPr>
          </m:sub>
        </m:sSub>
      </m:oMath>
      <w:r>
        <w:rPr>
          <w:rFonts w:hint="eastAsia" w:hAnsi="宋体" w:cs="宋体"/>
        </w:rPr>
        <w:t>—</w:t>
      </w:r>
      <w:r>
        <w:rPr>
          <w:rFonts w:hint="eastAsia" w:hAnsi="宋体" w:cs="宋体"/>
          <w:highlight w:val="none"/>
        </w:rPr>
        <w:t>—</w:t>
      </w:r>
      <w:r>
        <w:rPr>
          <w:rFonts w:hint="eastAsia" w:hAnsi="宋体" w:cs="宋体"/>
          <w:highlight w:val="none"/>
          <w:lang w:val="en-US" w:eastAsia="zh-CN"/>
        </w:rPr>
        <w:t>二氧化硫削减总量，吨/年</w:t>
      </w:r>
      <w:r>
        <w:rPr>
          <w:rFonts w:hint="eastAsia" w:hAnsi="宋体" w:cs="宋体"/>
          <w:highlight w:val="none"/>
        </w:rPr>
        <w:t>；</w:t>
      </w:r>
    </w:p>
    <w:p>
      <w:pPr>
        <w:pStyle w:val="129"/>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default" w:ascii="Cambria Math" w:hAnsi="Cambria Math" w:cs="宋体"/>
                <w:highlight w:val="none"/>
                <w:lang w:val="en-US" w:eastAsia="zh-CN"/>
              </w:rPr>
              <m:t>E</m:t>
            </m:r>
            <m:ctrlPr>
              <w:rPr>
                <w:rFonts w:hint="eastAsia" w:ascii="Cambria Math" w:hAnsi="Cambria Math" w:cs="宋体"/>
                <w:i/>
                <w:highlight w:val="none"/>
              </w:rPr>
            </m:ctrlPr>
          </m:e>
          <m:sub>
            <m:r>
              <m:rPr/>
              <w:rPr>
                <w:rFonts w:hint="eastAsia" w:ascii="Cambria Math" w:hAnsi="Cambria Math" w:cs="宋体"/>
                <w:highlight w:val="none"/>
                <w:lang w:val="en-US" w:eastAsia="zh-CN"/>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产品或服务替代化石能源消耗折算前二氧化硫排放水平，吨/年</w:t>
      </w:r>
      <w:r>
        <w:rPr>
          <w:rFonts w:hint="eastAsia" w:hAnsi="宋体" w:cs="宋体"/>
          <w:highlight w:val="none"/>
        </w:rPr>
        <w:t>；</w:t>
      </w:r>
    </w:p>
    <w:p>
      <w:pPr>
        <w:pStyle w:val="129"/>
        <w:ind w:firstLine="420" w:firstLineChars="200"/>
        <w:rPr>
          <w:rFonts w:hint="eastAsia" w:hAnsi="Cambria Math" w:cs="宋体"/>
          <w:i w:val="0"/>
          <w:highlight w:val="none"/>
        </w:rPr>
      </w:pPr>
      <m:oMath>
        <m:sSub>
          <m:sSubPr>
            <m:ctrlPr>
              <w:rPr>
                <w:rFonts w:hint="eastAsia" w:ascii="Cambria Math" w:hAnsi="Cambria Math" w:cs="宋体"/>
                <w:i w:val="0"/>
                <w:highlight w:val="none"/>
              </w:rPr>
            </m:ctrlPr>
          </m:sSubPr>
          <m:e>
            <m:r>
              <m:rPr/>
              <w:rPr>
                <w:rFonts w:hint="default" w:ascii="Cambria Math" w:hAnsi="Cambria Math" w:cs="宋体"/>
                <w:highlight w:val="none"/>
                <w:lang w:val="en-US" w:eastAsia="zh-CN"/>
              </w:rPr>
              <m:t>E</m:t>
            </m:r>
            <m:ctrlPr>
              <w:rPr>
                <w:rFonts w:hint="eastAsia" w:ascii="Cambria Math" w:hAnsi="Cambria Math" w:cs="宋体"/>
                <w:i w:val="0"/>
                <w:highlight w:val="none"/>
              </w:rPr>
            </m:ctrlPr>
          </m:e>
          <m:sub>
            <m:r>
              <m:rPr>
                <m:sty m:val="p"/>
              </m:rPr>
              <w:rPr>
                <w:rFonts w:hint="default" w:ascii="Cambria Math" w:hAnsi="Cambria Math" w:cs="宋体"/>
                <w:highlight w:val="none"/>
                <w:lang w:val="en-US" w:eastAsia="zh-CN"/>
              </w:rPr>
              <m:t>1</m:t>
            </m:r>
            <m:ctrlPr>
              <w:rPr>
                <w:rFonts w:hint="eastAsia" w:ascii="Cambria Math" w:hAnsi="Cambria Math" w:cs="宋体"/>
                <w:i w:val="0"/>
                <w:highlight w:val="none"/>
              </w:rPr>
            </m:ctrlPr>
          </m:sub>
        </m:sSub>
      </m:oMath>
      <w:r>
        <w:rPr>
          <w:rFonts w:hint="eastAsia" w:hAnsi="Cambria Math" w:cs="宋体"/>
          <w:i w:val="0"/>
          <w:highlight w:val="none"/>
        </w:rPr>
        <w:t>——</w:t>
      </w:r>
      <w:r>
        <w:rPr>
          <w:rFonts w:hint="eastAsia" w:hAnsi="宋体" w:cs="宋体"/>
          <w:highlight w:val="none"/>
          <w:lang w:val="en-US" w:eastAsia="zh-CN"/>
        </w:rPr>
        <w:t>产品或服务替代化石能源消耗</w:t>
      </w:r>
      <w:r>
        <w:rPr>
          <w:rFonts w:hint="eastAsia" w:hAnsi="Cambria Math" w:cs="宋体"/>
          <w:i w:val="0"/>
          <w:highlight w:val="none"/>
          <w:lang w:val="en-US" w:eastAsia="zh-CN"/>
        </w:rPr>
        <w:t>折算后二氧化硫排放水平，吨/年</w:t>
      </w:r>
      <w:r>
        <w:rPr>
          <w:rFonts w:hint="eastAsia" w:hAnsi="Cambria Math" w:cs="宋体"/>
          <w:i w:val="0"/>
          <w:highlight w:val="none"/>
        </w:rPr>
        <w:t>；</w:t>
      </w:r>
    </w:p>
    <w:p>
      <w:pPr>
        <w:pStyle w:val="129"/>
        <w:ind w:firstLine="420" w:firstLineChars="200"/>
        <w:rPr>
          <w:rFonts w:hint="eastAsia"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w:t>
      </w:r>
      <w:r>
        <w:rPr>
          <w:rFonts w:hint="eastAsia" w:hAnsi="宋体" w:cs="宋体"/>
          <w:highlight w:val="none"/>
          <w:lang w:val="en-US" w:eastAsia="zh-CN"/>
        </w:rPr>
        <w:t>类产品数量或年发电量</w:t>
      </w:r>
      <w:r>
        <w:rPr>
          <w:rFonts w:hint="default" w:hAnsi="宋体" w:cs="宋体"/>
          <w:highlight w:val="none"/>
          <w:lang w:val="en-US" w:eastAsia="zh-CN"/>
        </w:rPr>
        <w:t>。</w:t>
      </w:r>
    </w:p>
    <w:p>
      <w:pPr>
        <w:pStyle w:val="58"/>
        <w:tabs>
          <w:tab w:val="center" w:pos="4201"/>
          <w:tab w:val="right" w:leader="dot" w:pos="9298"/>
        </w:tabs>
        <w:ind w:left="0" w:firstLine="0"/>
        <w:rPr>
          <w:rFonts w:hint="default" w:hAnsi="宋体" w:cs="宋体"/>
          <w:lang w:val="en-US" w:eastAsia="zh-CN"/>
        </w:rPr>
      </w:pPr>
      <w:r>
        <w:rPr>
          <w:rFonts w:hint="eastAsia"/>
          <w:lang w:val="en-US" w:eastAsia="zh-CN"/>
        </w:rPr>
        <w:t>氮氧化物削减量</w:t>
      </w:r>
    </w:p>
    <w:p>
      <w:pPr>
        <w:pStyle w:val="24"/>
        <w:rPr>
          <w:rFonts w:hint="default" w:hAnsi="宋体" w:cs="宋体"/>
          <w:lang w:val="en-US" w:eastAsia="zh-CN"/>
        </w:rPr>
      </w:pPr>
      <w:r>
        <w:rPr>
          <w:rFonts w:hint="eastAsia" w:hAnsi="宋体" w:cs="宋体"/>
          <w:lang w:val="en-US" w:eastAsia="zh-CN"/>
        </w:rPr>
        <w:t>指提供的绿色业务领域相关产品或服务，在采购方应用过程中，因替代化石能源消耗，折算产生的氮氧化物减少量。计算公式如下：</w:t>
      </w:r>
    </w:p>
    <w:p>
      <w:pPr>
        <w:pStyle w:val="129"/>
        <w:rPr>
          <w:rFonts w:hAnsi="宋体" w:cs="宋体"/>
        </w:rPr>
      </w:pPr>
      <m:oMathPara>
        <m:oMath>
          <m:sSub>
            <m:sSubPr>
              <m:ctrlPr>
                <w:rPr>
                  <w:rFonts w:hint="eastAsia" w:ascii="Cambria Math" w:hAnsi="Cambria Math" w:cs="宋体"/>
                  <w:i/>
                </w:rPr>
              </m:ctrlPr>
            </m:sSubPr>
            <m:e>
              <m:r>
                <m:rPr/>
                <w:rPr>
                  <w:rFonts w:hint="default" w:ascii="Cambria Math" w:hAnsi="Cambria Math" w:cs="宋体"/>
                  <w:lang w:val="en-US" w:eastAsia="zh-CN"/>
                </w:rPr>
                <m:t>M</m:t>
              </m:r>
              <m:ctrlPr>
                <w:rPr>
                  <w:rFonts w:hint="eastAsia" w:ascii="Cambria Math" w:hAnsi="Cambria Math" w:cs="宋体"/>
                  <w:i/>
                </w:rPr>
              </m:ctrlPr>
            </m:e>
            <m:sub>
              <m:sSub>
                <m:sSubPr>
                  <m:ctrlPr>
                    <w:rPr>
                      <w:rFonts w:hint="eastAsia" w:ascii="Cambria Math" w:hAnsi="Cambria Math" w:cs="宋体"/>
                      <w:i/>
                    </w:rPr>
                  </m:ctrlPr>
                </m:sSubPr>
                <m:e>
                  <m:r>
                    <m:rPr/>
                    <w:rPr>
                      <w:rFonts w:hint="default" w:ascii="Cambria Math" w:hAnsi="Cambria Math" w:cs="宋体"/>
                      <w:lang w:val="en-US" w:eastAsia="zh-CN"/>
                    </w:rPr>
                    <m:t>NO</m:t>
                  </m:r>
                  <m:ctrlPr>
                    <w:rPr>
                      <w:rFonts w:hint="eastAsia" w:ascii="Cambria Math" w:hAnsi="Cambria Math" w:cs="宋体"/>
                      <w:i/>
                    </w:rPr>
                  </m:ctrlPr>
                </m:e>
                <m:sub>
                  <m:r>
                    <m:rPr/>
                    <w:rPr>
                      <w:rFonts w:hint="default" w:ascii="Cambria Math" w:hAnsi="Cambria Math" w:cs="宋体"/>
                      <w:lang w:val="en-US" w:eastAsia="zh-CN"/>
                    </w:rPr>
                    <m:t>x</m:t>
                  </m:r>
                  <m:ctrlPr>
                    <w:rPr>
                      <w:rFonts w:hint="eastAsia" w:ascii="Cambria Math" w:hAnsi="Cambria Math" w:cs="宋体"/>
                      <w:i/>
                    </w:rPr>
                  </m:ctrlPr>
                </m:sub>
              </m:sSub>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E</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sSub>
          <m:sSubPr>
            <m:ctrlPr>
              <w:rPr>
                <w:rFonts w:hint="eastAsia" w:ascii="Cambria Math" w:hAnsi="Cambria Math" w:cs="宋体"/>
                <w:i/>
                <w:lang w:val="en-US" w:eastAsia="zh-CN"/>
              </w:rPr>
            </m:ctrlPr>
          </m:sSubPr>
          <m:e>
            <m:r>
              <m:rPr/>
              <w:rPr>
                <w:rFonts w:hint="default" w:ascii="Cambria Math" w:hAnsi="Cambria Math" w:cs="宋体"/>
                <w:lang w:val="en-US" w:eastAsia="zh-CN"/>
              </w:rPr>
              <m:t>M</m:t>
            </m:r>
            <m:ctrlPr>
              <w:rPr>
                <w:rFonts w:hint="eastAsia" w:ascii="Cambria Math" w:hAnsi="Cambria Math" w:cs="宋体"/>
                <w:i/>
                <w:lang w:val="en-US" w:eastAsia="zh-CN"/>
              </w:rPr>
            </m:ctrlPr>
          </m:e>
          <m:sub>
            <m:sSub>
              <m:sSubPr>
                <m:ctrlPr>
                  <w:rPr>
                    <w:rFonts w:hint="eastAsia" w:ascii="Cambria Math" w:hAnsi="Cambria Math" w:cs="宋体"/>
                    <w:i/>
                    <w:lang w:val="en-US" w:eastAsia="zh-CN"/>
                  </w:rPr>
                </m:ctrlPr>
              </m:sSubPr>
              <m:e>
                <m:r>
                  <m:rPr/>
                  <w:rPr>
                    <w:rFonts w:hint="default" w:ascii="Cambria Math" w:hAnsi="Cambria Math" w:cs="宋体"/>
                    <w:lang w:val="en-US" w:eastAsia="zh-CN"/>
                  </w:rPr>
                  <m:t>N</m:t>
                </m:r>
                <m:r>
                  <m:rPr/>
                  <w:rPr>
                    <w:rFonts w:hint="eastAsia" w:ascii="Cambria Math" w:hAnsi="Cambria Math" w:cs="宋体"/>
                    <w:lang w:val="en-US" w:eastAsia="zh-CN"/>
                  </w:rPr>
                  <m:t>O</m:t>
                </m:r>
                <m:ctrlPr>
                  <w:rPr>
                    <w:rFonts w:hint="eastAsia" w:ascii="Cambria Math" w:hAnsi="Cambria Math" w:cs="宋体"/>
                    <w:i/>
                    <w:lang w:val="en-US" w:eastAsia="zh-CN"/>
                  </w:rPr>
                </m:ctrlPr>
              </m:e>
              <m:sub>
                <m:r>
                  <m:rPr/>
                  <w:rPr>
                    <w:rFonts w:hint="default" w:ascii="Cambria Math" w:hAnsi="Cambria Math" w:cs="宋体"/>
                    <w:lang w:val="en-US" w:eastAsia="zh-CN"/>
                  </w:rPr>
                  <m:t>x</m:t>
                </m:r>
                <m:ctrlPr>
                  <w:rPr>
                    <w:rFonts w:hint="eastAsia" w:ascii="Cambria Math" w:hAnsi="Cambria Math" w:cs="宋体"/>
                    <w:i/>
                    <w:lang w:val="en-US" w:eastAsia="zh-CN"/>
                  </w:rPr>
                </m:ctrlPr>
              </m:sub>
            </m:sSub>
            <m:ctrlPr>
              <w:rPr>
                <w:rFonts w:hint="eastAsia" w:ascii="Cambria Math" w:hAnsi="Cambria Math" w:cs="宋体"/>
                <w:i/>
                <w:lang w:val="en-US" w:eastAsia="zh-CN"/>
              </w:rPr>
            </m:ctrlPr>
          </m:sub>
        </m:sSub>
      </m:oMath>
      <w:r>
        <w:rPr>
          <w:rFonts w:hint="eastAsia" w:hAnsi="宋体" w:cs="宋体"/>
        </w:rPr>
        <w:t>——</w:t>
      </w:r>
      <w:r>
        <w:rPr>
          <w:rFonts w:hint="eastAsia" w:hAnsi="宋体" w:cs="宋体"/>
          <w:lang w:val="en-US" w:eastAsia="zh-CN"/>
        </w:rPr>
        <w:t>氮氧化物削减总量，吨/年</w:t>
      </w:r>
      <w:r>
        <w:rPr>
          <w:rFonts w:hint="eastAsia" w:hAnsi="宋体" w:cs="宋体"/>
        </w:rPr>
        <w:t>；</w:t>
      </w:r>
    </w:p>
    <w:p>
      <w:pPr>
        <w:pStyle w:val="129"/>
        <w:ind w:firstLine="420" w:firstLineChars="200"/>
        <w:rPr>
          <w:rFonts w:hAnsi="宋体" w:cs="宋体"/>
          <w:highlight w:val="none"/>
        </w:rPr>
      </w:pPr>
      <m:oMath>
        <m:sSub>
          <m:sSubPr>
            <m:ctrlPr>
              <w:rPr>
                <w:rFonts w:hint="eastAsia" w:ascii="Cambria Math" w:hAnsi="Cambria Math" w:cs="宋体"/>
                <w:i/>
              </w:rPr>
            </m:ctrlPr>
          </m:sSubPr>
          <m:e>
            <m:r>
              <m:rPr/>
              <w:rPr>
                <w:rFonts w:hint="default" w:ascii="Cambria Math" w:hAnsi="Cambria Math" w:cs="宋体"/>
                <w:lang w:val="en-US" w:eastAsia="zh-CN"/>
              </w:rPr>
              <m:t>E</m:t>
            </m:r>
            <m:ctrlPr>
              <w:rPr>
                <w:rFonts w:hint="eastAsia" w:ascii="Cambria Math" w:hAnsi="Cambria Math" w:cs="宋体"/>
                <w:i/>
              </w:rPr>
            </m:ctrlPr>
          </m:e>
          <m:sub>
            <m:r>
              <m:rPr/>
              <w:rPr>
                <w:rFonts w:hint="eastAsia" w:ascii="Cambria Math" w:hAnsi="Cambria Math" w:cs="宋体"/>
                <w:lang w:val="en-US" w:eastAsia="zh-CN"/>
              </w:rPr>
              <m:t>0</m:t>
            </m:r>
            <m:ctrlPr>
              <w:rPr>
                <w:rFonts w:hint="eastAsia" w:ascii="Cambria Math" w:hAnsi="Cambria Math" w:cs="宋体"/>
                <w:i/>
              </w:rPr>
            </m:ctrlPr>
          </m:sub>
        </m:sSub>
      </m:oMath>
      <w:r>
        <w:rPr>
          <w:rFonts w:hint="eastAsia" w:hAnsi="宋体" w:cs="宋体"/>
        </w:rPr>
        <w:t>——</w:t>
      </w:r>
      <w:r>
        <w:rPr>
          <w:rFonts w:hint="eastAsia" w:hAnsi="宋体" w:cs="宋体"/>
          <w:highlight w:val="none"/>
          <w:lang w:val="en-US" w:eastAsia="zh-CN"/>
        </w:rPr>
        <w:t>产品或服务替代化石能源消耗前氮氧化物排放水平，吨/年</w:t>
      </w:r>
      <w:r>
        <w:rPr>
          <w:rFonts w:hint="eastAsia" w:hAnsi="宋体" w:cs="宋体"/>
          <w:highlight w:val="none"/>
        </w:rPr>
        <w:t>；</w:t>
      </w:r>
    </w:p>
    <w:p>
      <w:pPr>
        <w:pStyle w:val="129"/>
        <w:ind w:firstLine="420" w:firstLineChars="200"/>
        <w:rPr>
          <w:rFonts w:hint="eastAsia" w:hAnsi="Cambria Math" w:cs="宋体"/>
          <w:i w:val="0"/>
          <w:highlight w:val="none"/>
        </w:rPr>
      </w:pPr>
      <m:oMath>
        <m:sSub>
          <m:sSubPr>
            <m:ctrlPr>
              <w:rPr>
                <w:rFonts w:hint="eastAsia" w:ascii="Cambria Math" w:hAnsi="Cambria Math" w:cs="宋体"/>
                <w:i w:val="0"/>
                <w:highlight w:val="none"/>
              </w:rPr>
            </m:ctrlPr>
          </m:sSubPr>
          <m:e>
            <m:r>
              <m:rPr/>
              <w:rPr>
                <w:rFonts w:hint="default" w:ascii="Cambria Math" w:hAnsi="Cambria Math" w:cs="宋体"/>
                <w:highlight w:val="none"/>
                <w:lang w:val="en-US" w:eastAsia="zh-CN"/>
              </w:rPr>
              <m:t>E</m:t>
            </m:r>
            <m:ctrlPr>
              <w:rPr>
                <w:rFonts w:hint="eastAsia" w:ascii="Cambria Math" w:hAnsi="Cambria Math" w:cs="宋体"/>
                <w:i w:val="0"/>
                <w:highlight w:val="none"/>
              </w:rPr>
            </m:ctrlPr>
          </m:e>
          <m:sub>
            <m:r>
              <m:rPr>
                <m:sty m:val="p"/>
              </m:rPr>
              <w:rPr>
                <w:rFonts w:hint="default" w:ascii="Cambria Math" w:hAnsi="Cambria Math" w:cs="宋体"/>
                <w:highlight w:val="none"/>
                <w:lang w:val="en-US" w:eastAsia="zh-CN"/>
              </w:rPr>
              <m:t>1</m:t>
            </m:r>
            <m:ctrlPr>
              <w:rPr>
                <w:rFonts w:hint="eastAsia" w:ascii="Cambria Math" w:hAnsi="Cambria Math" w:cs="宋体"/>
                <w:i w:val="0"/>
                <w:highlight w:val="none"/>
              </w:rPr>
            </m:ctrlPr>
          </m:sub>
        </m:sSub>
      </m:oMath>
      <w:r>
        <w:rPr>
          <w:rFonts w:hint="eastAsia" w:hAnsi="Cambria Math" w:cs="宋体"/>
          <w:i w:val="0"/>
          <w:highlight w:val="none"/>
        </w:rPr>
        <w:t>——</w:t>
      </w:r>
      <w:r>
        <w:rPr>
          <w:rFonts w:hint="eastAsia" w:hAnsi="宋体" w:cs="宋体"/>
          <w:highlight w:val="none"/>
          <w:lang w:val="en-US" w:eastAsia="zh-CN"/>
        </w:rPr>
        <w:t>产品或服务替代化石能源消耗后</w:t>
      </w:r>
      <w:r>
        <w:rPr>
          <w:rFonts w:hint="eastAsia" w:hAnsi="Cambria Math" w:cs="宋体"/>
          <w:i w:val="0"/>
          <w:highlight w:val="none"/>
          <w:lang w:val="en-US" w:eastAsia="zh-CN"/>
        </w:rPr>
        <w:t>氮氧化物排放水平，吨/年</w:t>
      </w:r>
      <w:r>
        <w:rPr>
          <w:rFonts w:hint="eastAsia" w:hAnsi="Cambria Math" w:cs="宋体"/>
          <w:i w:val="0"/>
          <w:highlight w:val="none"/>
        </w:rPr>
        <w:t>；</w:t>
      </w:r>
    </w:p>
    <w:p>
      <w:pPr>
        <w:pStyle w:val="129"/>
        <w:ind w:firstLine="420" w:firstLineChars="200"/>
        <w:rPr>
          <w:rFonts w:hint="eastAsia"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w:t>
      </w:r>
      <w:r>
        <w:rPr>
          <w:rFonts w:hint="eastAsia" w:hAnsi="宋体" w:cs="宋体"/>
          <w:highlight w:val="none"/>
          <w:lang w:val="en-US" w:eastAsia="zh-CN"/>
        </w:rPr>
        <w:t>类产品数量或年发电量</w:t>
      </w:r>
      <w:r>
        <w:rPr>
          <w:rFonts w:hint="default" w:hAnsi="宋体" w:cs="宋体"/>
          <w:highlight w:val="none"/>
          <w:lang w:val="en-US" w:eastAsia="zh-CN"/>
        </w:rPr>
        <w:t>。</w:t>
      </w:r>
    </w:p>
    <w:p>
      <w:pPr>
        <w:pStyle w:val="58"/>
        <w:tabs>
          <w:tab w:val="center" w:pos="4201"/>
          <w:tab w:val="right" w:leader="dot" w:pos="9298"/>
        </w:tabs>
        <w:ind w:left="0" w:firstLine="0"/>
        <w:rPr>
          <w:rFonts w:hint="default" w:hAnsi="宋体" w:cs="宋体"/>
          <w:lang w:val="en-US" w:eastAsia="zh-CN"/>
        </w:rPr>
      </w:pPr>
      <w:r>
        <w:rPr>
          <w:rFonts w:hint="eastAsia"/>
          <w:lang w:val="en-US" w:eastAsia="zh-CN"/>
        </w:rPr>
        <w:t>颗粒物减排量</w:t>
      </w:r>
    </w:p>
    <w:p>
      <w:pPr>
        <w:pStyle w:val="24"/>
        <w:rPr>
          <w:rFonts w:hint="default" w:hAnsi="宋体" w:cs="宋体"/>
          <w:lang w:val="en-US" w:eastAsia="zh-CN"/>
        </w:rPr>
      </w:pPr>
      <w:r>
        <w:rPr>
          <w:rFonts w:hint="eastAsia" w:hAnsi="宋体" w:cs="宋体"/>
          <w:lang w:val="en-US" w:eastAsia="zh-CN"/>
        </w:rPr>
        <w:t>指提供的绿色业务领域相关产品或服务，在采购方应用过程中，因替代化石能源消耗，折算产生的颗粒物减少量。计算公式如下：</w:t>
      </w:r>
    </w:p>
    <w:p>
      <w:pPr>
        <w:pStyle w:val="129"/>
        <w:rPr>
          <w:rFonts w:hAnsi="宋体" w:cs="宋体"/>
        </w:rPr>
      </w:pPr>
      <m:oMathPara>
        <m:oMath>
          <m:sSub>
            <m:sSubPr>
              <m:ctrlPr>
                <w:rPr>
                  <w:rFonts w:hint="eastAsia" w:ascii="Cambria Math" w:hAnsi="Cambria Math" w:cs="宋体"/>
                  <w:i/>
                </w:rPr>
              </m:ctrlPr>
            </m:sSubPr>
            <m:e>
              <m:r>
                <m:rPr/>
                <w:rPr>
                  <w:rFonts w:hint="default" w:ascii="Cambria Math" w:hAnsi="Cambria Math" w:cs="宋体"/>
                  <w:lang w:val="en-US" w:eastAsia="zh-CN"/>
                </w:rPr>
                <m:t>M</m:t>
              </m:r>
              <m:ctrlPr>
                <w:rPr>
                  <w:rFonts w:hint="eastAsia" w:ascii="Cambria Math" w:hAnsi="Cambria Math" w:cs="宋体"/>
                  <w:i/>
                </w:rPr>
              </m:ctrlPr>
            </m:e>
            <m:sub>
              <m:r>
                <m:rPr/>
                <w:rPr>
                  <w:rFonts w:hint="default" w:ascii="Cambria Math" w:hAnsi="Cambria Math" w:cs="宋体"/>
                  <w:lang w:val="en-US" w:eastAsia="zh-CN"/>
                </w:rPr>
                <m:t>pm</m:t>
              </m:r>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E</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29"/>
        <w:ind w:firstLine="420" w:firstLineChars="200"/>
        <w:rPr>
          <w:rFonts w:hAnsi="宋体" w:cs="宋体"/>
        </w:rPr>
      </w:pPr>
      <w:r>
        <w:rPr>
          <w:rFonts w:hint="eastAsia" w:hAnsi="宋体" w:cs="宋体"/>
        </w:rPr>
        <w:t>式中：</w:t>
      </w:r>
    </w:p>
    <w:p>
      <w:pPr>
        <w:pStyle w:val="129"/>
        <w:ind w:firstLine="420" w:firstLineChars="200"/>
        <w:rPr>
          <w:rFonts w:hAnsi="宋体" w:cs="宋体"/>
        </w:rPr>
      </w:pPr>
      <m:oMath>
        <m:sSub>
          <m:sSubPr>
            <m:ctrlPr>
              <w:rPr>
                <w:rFonts w:hint="eastAsia" w:ascii="Cambria Math" w:hAnsi="Cambria Math" w:cs="宋体"/>
                <w:i/>
                <w:lang w:val="en-US" w:eastAsia="zh-CN"/>
              </w:rPr>
            </m:ctrlPr>
          </m:sSubPr>
          <m:e>
            <m:r>
              <m:rPr/>
              <w:rPr>
                <w:rFonts w:hint="default" w:ascii="Cambria Math" w:hAnsi="Cambria Math" w:cs="宋体"/>
                <w:lang w:val="en-US" w:eastAsia="zh-CN"/>
              </w:rPr>
              <m:t>M</m:t>
            </m:r>
            <m:ctrlPr>
              <w:rPr>
                <w:rFonts w:hint="eastAsia" w:ascii="Cambria Math" w:hAnsi="Cambria Math" w:cs="宋体"/>
                <w:i/>
                <w:lang w:val="en-US" w:eastAsia="zh-CN"/>
              </w:rPr>
            </m:ctrlPr>
          </m:e>
          <m:sub>
            <m:r>
              <m:rPr/>
              <w:rPr>
                <w:rFonts w:hint="default" w:ascii="Cambria Math" w:hAnsi="Cambria Math" w:cs="宋体"/>
                <w:lang w:val="en-US" w:eastAsia="zh-CN"/>
              </w:rPr>
              <m:t>pm</m:t>
            </m:r>
            <m:ctrlPr>
              <w:rPr>
                <w:rFonts w:hint="eastAsia" w:ascii="Cambria Math" w:hAnsi="Cambria Math" w:cs="宋体"/>
                <w:i/>
                <w:lang w:val="en-US" w:eastAsia="zh-CN"/>
              </w:rPr>
            </m:ctrlPr>
          </m:sub>
        </m:sSub>
      </m:oMath>
      <w:r>
        <w:rPr>
          <w:rFonts w:hint="eastAsia" w:hAnsi="宋体" w:cs="宋体"/>
        </w:rPr>
        <w:t>——</w:t>
      </w:r>
      <w:r>
        <w:rPr>
          <w:rFonts w:hint="eastAsia" w:hAnsi="宋体" w:cs="宋体"/>
          <w:lang w:val="en-US" w:eastAsia="zh-CN"/>
        </w:rPr>
        <w:t>颗粒物减排总量，吨/年</w:t>
      </w:r>
      <w:r>
        <w:rPr>
          <w:rFonts w:hint="eastAsia" w:hAnsi="宋体" w:cs="宋体"/>
        </w:rPr>
        <w:t>；</w:t>
      </w:r>
    </w:p>
    <w:p>
      <w:pPr>
        <w:pStyle w:val="129"/>
        <w:ind w:firstLine="420" w:firstLineChars="200"/>
        <w:rPr>
          <w:rFonts w:hAnsi="宋体" w:cs="宋体"/>
          <w:highlight w:val="none"/>
        </w:rPr>
      </w:pPr>
      <m:oMath>
        <m:sSub>
          <m:sSubPr>
            <m:ctrlPr>
              <w:rPr>
                <w:rFonts w:hint="eastAsia" w:ascii="Cambria Math" w:hAnsi="Cambria Math" w:cs="宋体"/>
                <w:i/>
              </w:rPr>
            </m:ctrlPr>
          </m:sSubPr>
          <m:e>
            <m:r>
              <m:rPr/>
              <w:rPr>
                <w:rFonts w:hint="default" w:ascii="Cambria Math" w:hAnsi="Cambria Math" w:cs="宋体"/>
                <w:lang w:val="en-US" w:eastAsia="zh-CN"/>
              </w:rPr>
              <m:t>E</m:t>
            </m:r>
            <m:ctrlPr>
              <w:rPr>
                <w:rFonts w:hint="eastAsia" w:ascii="Cambria Math" w:hAnsi="Cambria Math" w:cs="宋体"/>
                <w:i/>
              </w:rPr>
            </m:ctrlPr>
          </m:e>
          <m:sub>
            <m:r>
              <m:rPr/>
              <w:rPr>
                <w:rFonts w:hint="eastAsia" w:ascii="Cambria Math" w:hAnsi="Cambria Math" w:cs="宋体"/>
                <w:lang w:val="en-US" w:eastAsia="zh-CN"/>
              </w:rPr>
              <m:t>0</m:t>
            </m:r>
            <m:ctrlPr>
              <w:rPr>
                <w:rFonts w:hint="eastAsia" w:ascii="Cambria Math" w:hAnsi="Cambria Math" w:cs="宋体"/>
                <w:i/>
              </w:rPr>
            </m:ctrlPr>
          </m:sub>
        </m:sSub>
      </m:oMath>
      <w:r>
        <w:rPr>
          <w:rFonts w:hint="eastAsia" w:hAnsi="宋体" w:cs="宋体"/>
        </w:rPr>
        <w:t>——</w:t>
      </w:r>
      <w:r>
        <w:rPr>
          <w:rFonts w:hint="eastAsia" w:hAnsi="宋体" w:cs="宋体"/>
          <w:highlight w:val="none"/>
          <w:lang w:val="en-US" w:eastAsia="zh-CN"/>
        </w:rPr>
        <w:t>产品或服务替代化石能源消耗前颗粒物排放水平，吨/年</w:t>
      </w:r>
      <w:r>
        <w:rPr>
          <w:rFonts w:hint="eastAsia" w:hAnsi="宋体" w:cs="宋体"/>
          <w:highlight w:val="none"/>
        </w:rPr>
        <w:t>；</w:t>
      </w:r>
    </w:p>
    <w:p>
      <w:pPr>
        <w:pStyle w:val="129"/>
        <w:ind w:firstLine="420" w:firstLineChars="200"/>
        <w:rPr>
          <w:rFonts w:hint="eastAsia" w:hAnsi="Cambria Math" w:cs="宋体"/>
          <w:i w:val="0"/>
          <w:highlight w:val="none"/>
        </w:rPr>
      </w:pPr>
      <m:oMath>
        <m:sSub>
          <m:sSubPr>
            <m:ctrlPr>
              <w:rPr>
                <w:rFonts w:hint="eastAsia" w:ascii="Cambria Math" w:hAnsi="Cambria Math" w:cs="宋体"/>
                <w:i w:val="0"/>
                <w:highlight w:val="none"/>
              </w:rPr>
            </m:ctrlPr>
          </m:sSubPr>
          <m:e>
            <m:r>
              <m:rPr/>
              <w:rPr>
                <w:rFonts w:hint="default" w:ascii="Cambria Math" w:hAnsi="Cambria Math" w:cs="宋体"/>
                <w:highlight w:val="none"/>
                <w:lang w:val="en-US" w:eastAsia="zh-CN"/>
              </w:rPr>
              <m:t>E</m:t>
            </m:r>
            <m:ctrlPr>
              <w:rPr>
                <w:rFonts w:hint="eastAsia" w:ascii="Cambria Math" w:hAnsi="Cambria Math" w:cs="宋体"/>
                <w:i w:val="0"/>
                <w:highlight w:val="none"/>
              </w:rPr>
            </m:ctrlPr>
          </m:e>
          <m:sub>
            <m:r>
              <m:rPr>
                <m:sty m:val="p"/>
              </m:rPr>
              <w:rPr>
                <w:rFonts w:hint="default" w:ascii="Cambria Math" w:hAnsi="Cambria Math" w:cs="宋体"/>
                <w:highlight w:val="none"/>
                <w:lang w:val="en-US" w:eastAsia="zh-CN"/>
              </w:rPr>
              <m:t>1</m:t>
            </m:r>
            <m:ctrlPr>
              <w:rPr>
                <w:rFonts w:hint="eastAsia" w:ascii="Cambria Math" w:hAnsi="Cambria Math" w:cs="宋体"/>
                <w:i w:val="0"/>
                <w:highlight w:val="none"/>
              </w:rPr>
            </m:ctrlPr>
          </m:sub>
        </m:sSub>
      </m:oMath>
      <w:r>
        <w:rPr>
          <w:rFonts w:hint="eastAsia" w:hAnsi="Cambria Math" w:cs="宋体"/>
          <w:i w:val="0"/>
          <w:highlight w:val="none"/>
        </w:rPr>
        <w:t>——</w:t>
      </w:r>
      <w:r>
        <w:rPr>
          <w:rFonts w:hint="eastAsia" w:hAnsi="宋体" w:cs="宋体"/>
          <w:highlight w:val="none"/>
          <w:lang w:val="en-US" w:eastAsia="zh-CN"/>
        </w:rPr>
        <w:t>产品或服务替代化石能源消耗后</w:t>
      </w:r>
      <w:r>
        <w:rPr>
          <w:rFonts w:hint="eastAsia" w:hAnsi="Cambria Math" w:cs="宋体"/>
          <w:i w:val="0"/>
          <w:highlight w:val="none"/>
          <w:lang w:val="en-US" w:eastAsia="zh-CN"/>
        </w:rPr>
        <w:t>颗粒物排放水平，吨/年</w:t>
      </w:r>
      <w:r>
        <w:rPr>
          <w:rFonts w:hint="eastAsia" w:hAnsi="Cambria Math" w:cs="宋体"/>
          <w:i w:val="0"/>
          <w:highlight w:val="none"/>
        </w:rPr>
        <w:t>；</w:t>
      </w:r>
    </w:p>
    <w:p>
      <w:pPr>
        <w:pStyle w:val="129"/>
        <w:ind w:firstLine="420" w:firstLineChars="200"/>
        <w:rPr>
          <w:rFonts w:hint="default" w:hAnsi="宋体" w:cs="宋体"/>
          <w:highlight w:val="none"/>
          <w:lang w:val="en-US" w:eastAsia="zh-CN"/>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w:t>
      </w:r>
      <w:r>
        <w:rPr>
          <w:rFonts w:hint="eastAsia" w:hAnsi="宋体" w:cs="宋体"/>
          <w:highlight w:val="none"/>
          <w:lang w:val="en-US" w:eastAsia="zh-CN"/>
        </w:rPr>
        <w:t>类产品数量或年发电量</w:t>
      </w:r>
      <w:r>
        <w:rPr>
          <w:rFonts w:hint="default" w:hAnsi="宋体" w:cs="宋体"/>
          <w:highlight w:val="none"/>
          <w:lang w:val="en-US" w:eastAsia="zh-CN"/>
        </w:rPr>
        <w:t>。</w:t>
      </w:r>
    </w:p>
    <w:p>
      <w:pPr>
        <w:pStyle w:val="48"/>
        <w:spacing w:before="156" w:after="156"/>
        <w:rPr>
          <w:rFonts w:ascii="Times New Roman"/>
        </w:rPr>
      </w:pPr>
      <w:r>
        <w:rPr>
          <w:rFonts w:ascii="Times New Roman"/>
        </w:rPr>
        <w:t>业务表现</w:t>
      </w:r>
    </w:p>
    <w:p>
      <w:pPr>
        <w:pStyle w:val="53"/>
        <w:numPr>
          <w:ilvl w:val="3"/>
          <w:numId w:val="2"/>
        </w:numPr>
        <w:spacing w:before="156" w:after="156"/>
        <w:rPr>
          <w:rFonts w:ascii="Times New Roman"/>
          <w:highlight w:val="yellow"/>
        </w:rPr>
      </w:pPr>
      <w:r>
        <w:rPr>
          <w:rFonts w:ascii="Times New Roman"/>
        </w:rPr>
        <w:t>发展能力</w:t>
      </w:r>
    </w:p>
    <w:p>
      <w:pPr>
        <w:pStyle w:val="57"/>
        <w:spacing w:before="156" w:after="156"/>
        <w:rPr>
          <w:rFonts w:ascii="Times New Roman"/>
        </w:rPr>
      </w:pPr>
      <w:r>
        <w:rPr>
          <w:rFonts w:ascii="Times New Roman"/>
        </w:rPr>
        <w:t>团队技术实力</w:t>
      </w:r>
    </w:p>
    <w:p>
      <w:pPr>
        <w:pStyle w:val="24"/>
        <w:rPr>
          <w:rFonts w:hAnsi="宋体" w:cs="宋体"/>
        </w:rPr>
      </w:pPr>
      <w:r>
        <w:rPr>
          <w:rFonts w:hint="eastAsia" w:hAnsi="宋体" w:cs="宋体"/>
        </w:rPr>
        <w:t>团队技术实力从专业覆盖面、学历职称、相关工作年限等方面进行综合评价。具体评分规则见表1</w:t>
      </w:r>
      <w:r>
        <w:rPr>
          <w:rFonts w:hint="eastAsia" w:hAnsi="宋体" w:cs="宋体"/>
          <w:lang w:val="en-US" w:eastAsia="zh-CN"/>
        </w:rPr>
        <w:t>7</w:t>
      </w:r>
      <w:r>
        <w:rPr>
          <w:rFonts w:hint="eastAsia" w:hAnsi="宋体" w:cs="宋体"/>
        </w:rPr>
        <w:t>。</w:t>
      </w:r>
    </w:p>
    <w:p>
      <w:pPr>
        <w:pStyle w:val="128"/>
        <w:rPr>
          <w:rFonts w:ascii="Times New Roman"/>
        </w:rPr>
      </w:pPr>
      <w:r>
        <w:rPr>
          <w:rFonts w:ascii="Times New Roman"/>
        </w:rPr>
        <w:t>团队技术实力评分规则表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1050"/>
        <w:gridCol w:w="95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tcBorders>
              <w:top w:val="single" w:color="auto" w:sz="8" w:space="0"/>
              <w:left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团队技术实力</w:t>
            </w:r>
          </w:p>
        </w:tc>
        <w:tc>
          <w:tcPr>
            <w:tcW w:w="1050" w:type="dxa"/>
            <w:tcBorders>
              <w:top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950" w:type="dxa"/>
            <w:tcBorders>
              <w:top w:val="single" w:color="auto" w:sz="8" w:space="0"/>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287" w:type="dxa"/>
            <w:tcBorders>
              <w:top w:val="single" w:color="auto" w:sz="8" w:space="0"/>
              <w:bottom w:val="single" w:color="auto" w:sz="8" w:space="0"/>
              <w:right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tcBorders>
              <w:top w:val="single" w:color="auto" w:sz="8" w:space="0"/>
              <w:left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人员配置合理，涵盖所需专业，研发部门中30%以上科研人员从事相关工作达3年或以上年限，至少配备一名高级职称或博士技术人员。</w:t>
            </w:r>
          </w:p>
        </w:tc>
        <w:tc>
          <w:tcPr>
            <w:tcW w:w="1050" w:type="dxa"/>
            <w:tcBorders>
              <w:top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4</w:t>
            </w:r>
          </w:p>
        </w:tc>
        <w:tc>
          <w:tcPr>
            <w:tcW w:w="950" w:type="dxa"/>
            <w:tcBorders>
              <w:top w:val="single" w:color="auto" w:sz="8" w:space="0"/>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6</w:t>
            </w:r>
          </w:p>
        </w:tc>
        <w:tc>
          <w:tcPr>
            <w:tcW w:w="2287" w:type="dxa"/>
            <w:vMerge w:val="restart"/>
            <w:tcBorders>
              <w:top w:val="single" w:color="auto" w:sz="8" w:space="0"/>
              <w:right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每增加一名从事相关技术领域的高级职称或博士技术人员，加0.5分。</w:t>
            </w:r>
          </w:p>
          <w:p>
            <w:pPr>
              <w:pStyle w:val="24"/>
              <w:ind w:firstLine="0" w:firstLineChars="0"/>
              <w:rPr>
                <w:rFonts w:hAnsi="宋体" w:cs="宋体"/>
                <w:sz w:val="18"/>
                <w:szCs w:val="18"/>
              </w:rPr>
            </w:pPr>
            <w:r>
              <w:rPr>
                <w:rFonts w:hint="eastAsia" w:hAnsi="宋体" w:cs="宋体"/>
                <w:sz w:val="18"/>
                <w:szCs w:val="18"/>
              </w:rPr>
              <w:t>每增加5%从事相关工作达3年或以上年限的团队人员，加0.5分。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8" w:type="dxa"/>
            <w:tcBorders>
              <w:left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人员配置基本合理，涵盖所需专业，研发部门中20%以上科研人员从事相关工作达3年或以上年限，至少配备一名高级职称或博士技术人员。</w:t>
            </w:r>
          </w:p>
        </w:tc>
        <w:tc>
          <w:tcPr>
            <w:tcW w:w="1050" w:type="dxa"/>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2</w:t>
            </w:r>
          </w:p>
        </w:tc>
        <w:tc>
          <w:tcPr>
            <w:tcW w:w="950" w:type="dxa"/>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4</w:t>
            </w:r>
          </w:p>
        </w:tc>
        <w:tc>
          <w:tcPr>
            <w:tcW w:w="2287" w:type="dxa"/>
            <w:vMerge w:val="continue"/>
            <w:tcBorders>
              <w:right w:val="single" w:color="auto" w:sz="8" w:space="0"/>
            </w:tcBorders>
            <w:vAlign w:val="center"/>
          </w:tcPr>
          <w:p>
            <w:pPr>
              <w:pStyle w:val="24"/>
              <w:ind w:firstLine="0" w:firstLineChars="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tcBorders>
              <w:left w:val="single" w:color="auto" w:sz="8" w:space="0"/>
              <w:bottom w:val="single" w:color="auto" w:sz="8" w:space="0"/>
            </w:tcBorders>
            <w:vAlign w:val="center"/>
          </w:tcPr>
          <w:p>
            <w:pPr>
              <w:pStyle w:val="24"/>
              <w:ind w:firstLine="0" w:firstLineChars="0"/>
              <w:rPr>
                <w:rFonts w:hAnsi="宋体" w:cs="宋体"/>
                <w:sz w:val="18"/>
                <w:szCs w:val="18"/>
              </w:rPr>
            </w:pPr>
            <w:r>
              <w:rPr>
                <w:rFonts w:hint="eastAsia" w:hAnsi="宋体" w:cs="宋体"/>
                <w:sz w:val="18"/>
                <w:szCs w:val="18"/>
              </w:rPr>
              <w:t>人员配置未完全覆盖所需专业，团队实力一般。</w:t>
            </w:r>
          </w:p>
        </w:tc>
        <w:tc>
          <w:tcPr>
            <w:tcW w:w="1050" w:type="dxa"/>
            <w:tcBorders>
              <w:bottom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950" w:type="dxa"/>
            <w:tcBorders>
              <w:bottom w:val="single" w:color="auto" w:sz="8" w:space="0"/>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2</w:t>
            </w:r>
          </w:p>
        </w:tc>
        <w:tc>
          <w:tcPr>
            <w:tcW w:w="2287" w:type="dxa"/>
            <w:vMerge w:val="continue"/>
            <w:tcBorders>
              <w:bottom w:val="single" w:color="auto" w:sz="8" w:space="0"/>
              <w:right w:val="single" w:color="auto" w:sz="8" w:space="0"/>
            </w:tcBorders>
            <w:vAlign w:val="center"/>
          </w:tcPr>
          <w:p>
            <w:pPr>
              <w:pStyle w:val="24"/>
              <w:ind w:firstLine="0" w:firstLineChars="0"/>
              <w:rPr>
                <w:rFonts w:hAnsi="宋体" w:cs="宋体"/>
                <w:sz w:val="18"/>
                <w:szCs w:val="18"/>
              </w:rPr>
            </w:pPr>
          </w:p>
        </w:tc>
      </w:tr>
    </w:tbl>
    <w:p>
      <w:pPr>
        <w:pStyle w:val="66"/>
        <w:ind w:left="780" w:leftChars="200" w:hanging="360" w:hangingChars="200"/>
        <w:rPr>
          <w:rFonts w:ascii="Times New Roman"/>
        </w:rPr>
      </w:pPr>
      <w:r>
        <w:rPr>
          <w:rFonts w:hint="eastAsia" w:hAnsi="宋体" w:cs="宋体"/>
        </w:rPr>
        <w:t>科研人员是指直接从事</w:t>
      </w:r>
      <w:r>
        <w:rPr>
          <w:rFonts w:hint="eastAsia" w:hAnsi="宋体" w:cs="宋体"/>
          <w:lang w:eastAsia="zh-CN"/>
        </w:rPr>
        <w:t>绿色低碳产业</w:t>
      </w:r>
      <w:r>
        <w:rPr>
          <w:rFonts w:hint="eastAsia" w:hAnsi="宋体" w:cs="宋体"/>
        </w:rPr>
        <w:t>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57"/>
        <w:spacing w:before="156" w:after="156"/>
        <w:rPr>
          <w:rFonts w:ascii="Times New Roman"/>
        </w:rPr>
      </w:pPr>
      <w:r>
        <w:rPr>
          <w:rFonts w:ascii="Times New Roman"/>
        </w:rPr>
        <w:t>研发投入</w:t>
      </w:r>
    </w:p>
    <w:p>
      <w:pPr>
        <w:pStyle w:val="24"/>
        <w:rPr>
          <w:rFonts w:hAnsi="宋体" w:cs="宋体"/>
          <w:sz w:val="18"/>
          <w:szCs w:val="18"/>
        </w:rPr>
      </w:pPr>
      <w:r>
        <w:rPr>
          <w:rFonts w:hint="eastAsia" w:hAnsi="宋体" w:cs="宋体"/>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w:t>
      </w:r>
      <w:r>
        <w:rPr>
          <w:rFonts w:hint="eastAsia" w:hAnsi="宋体" w:cs="宋体"/>
          <w:lang w:val="en-US" w:eastAsia="zh-CN"/>
        </w:rPr>
        <w:t>8</w:t>
      </w:r>
      <w:r>
        <w:rPr>
          <w:rFonts w:hint="eastAsia" w:hAnsi="宋体" w:cs="宋体"/>
        </w:rPr>
        <w:t>。</w:t>
      </w:r>
    </w:p>
    <w:p>
      <w:pPr>
        <w:pStyle w:val="128"/>
        <w:rPr>
          <w:rFonts w:ascii="Times New Roman"/>
        </w:rPr>
      </w:pPr>
      <w:r>
        <w:rPr>
          <w:rFonts w:ascii="Times New Roman"/>
        </w:rPr>
        <w:t>研发投入评分规则表</w:t>
      </w:r>
    </w:p>
    <w:tbl>
      <w:tblPr>
        <w:tblStyle w:val="34"/>
        <w:tblW w:w="81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1236"/>
        <w:gridCol w:w="1077"/>
        <w:gridCol w:w="2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绿色业务领域研发投入占比</w:t>
            </w:r>
          </w:p>
        </w:tc>
        <w:tc>
          <w:tcPr>
            <w:tcW w:w="1236"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077"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651"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最近一年销售收入小于5000万元（含）的企事业单位，比例不低于5%。</w:t>
            </w:r>
          </w:p>
        </w:tc>
        <w:tc>
          <w:tcPr>
            <w:tcW w:w="1236" w:type="dxa"/>
            <w:vMerge w:val="restart"/>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4</w:t>
            </w:r>
          </w:p>
        </w:tc>
        <w:tc>
          <w:tcPr>
            <w:tcW w:w="1077" w:type="dxa"/>
            <w:vMerge w:val="restart"/>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7</w:t>
            </w:r>
          </w:p>
        </w:tc>
        <w:tc>
          <w:tcPr>
            <w:tcW w:w="2651"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最近一年销售收入在5000万元至2亿元（含）的企事业单位，比例不低于4%。</w:t>
            </w:r>
          </w:p>
        </w:tc>
        <w:tc>
          <w:tcPr>
            <w:tcW w:w="1236" w:type="dxa"/>
            <w:vMerge w:val="continue"/>
            <w:tcBorders>
              <w:tl2br w:val="nil"/>
              <w:tr2bl w:val="nil"/>
            </w:tcBorders>
            <w:vAlign w:val="center"/>
          </w:tcPr>
          <w:p>
            <w:pPr>
              <w:pStyle w:val="24"/>
              <w:ind w:firstLine="0" w:firstLineChars="0"/>
              <w:jc w:val="center"/>
              <w:rPr>
                <w:rFonts w:hAnsi="宋体" w:cs="宋体"/>
                <w:sz w:val="18"/>
                <w:szCs w:val="18"/>
              </w:rPr>
            </w:pPr>
          </w:p>
        </w:tc>
        <w:tc>
          <w:tcPr>
            <w:tcW w:w="1077" w:type="dxa"/>
            <w:vMerge w:val="continue"/>
            <w:tcBorders>
              <w:tl2br w:val="nil"/>
              <w:tr2bl w:val="nil"/>
            </w:tcBorders>
            <w:vAlign w:val="center"/>
          </w:tcPr>
          <w:p>
            <w:pPr>
              <w:pStyle w:val="24"/>
              <w:ind w:firstLine="0" w:firstLineChars="0"/>
              <w:jc w:val="center"/>
              <w:rPr>
                <w:rFonts w:hAnsi="宋体" w:cs="宋体"/>
                <w:sz w:val="18"/>
                <w:szCs w:val="18"/>
              </w:rPr>
            </w:pPr>
          </w:p>
        </w:tc>
        <w:tc>
          <w:tcPr>
            <w:tcW w:w="2651" w:type="dxa"/>
            <w:vMerge w:val="continue"/>
            <w:tcBorders>
              <w:tl2br w:val="nil"/>
              <w:tr2bl w:val="nil"/>
            </w:tcBorders>
            <w:vAlign w:val="center"/>
          </w:tcPr>
          <w:p>
            <w:pPr>
              <w:pStyle w:val="24"/>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最近一年销售收入在2亿元以上的企事业单位，比例不低于3%。</w:t>
            </w:r>
          </w:p>
        </w:tc>
        <w:tc>
          <w:tcPr>
            <w:tcW w:w="1236" w:type="dxa"/>
            <w:vMerge w:val="continue"/>
            <w:tcBorders>
              <w:tl2br w:val="nil"/>
              <w:tr2bl w:val="nil"/>
            </w:tcBorders>
            <w:vAlign w:val="center"/>
          </w:tcPr>
          <w:p>
            <w:pPr>
              <w:pStyle w:val="24"/>
              <w:ind w:firstLine="0" w:firstLineChars="0"/>
              <w:jc w:val="center"/>
              <w:rPr>
                <w:rFonts w:hAnsi="宋体" w:cs="宋体"/>
                <w:sz w:val="18"/>
                <w:szCs w:val="18"/>
              </w:rPr>
            </w:pPr>
          </w:p>
        </w:tc>
        <w:tc>
          <w:tcPr>
            <w:tcW w:w="1077" w:type="dxa"/>
            <w:vMerge w:val="continue"/>
            <w:tcBorders>
              <w:tl2br w:val="nil"/>
              <w:tr2bl w:val="nil"/>
            </w:tcBorders>
            <w:vAlign w:val="center"/>
          </w:tcPr>
          <w:p>
            <w:pPr>
              <w:pStyle w:val="24"/>
              <w:ind w:firstLine="0" w:firstLineChars="0"/>
              <w:jc w:val="center"/>
              <w:rPr>
                <w:rFonts w:hAnsi="宋体" w:cs="宋体"/>
                <w:sz w:val="18"/>
                <w:szCs w:val="18"/>
              </w:rPr>
            </w:pPr>
          </w:p>
        </w:tc>
        <w:tc>
          <w:tcPr>
            <w:tcW w:w="2651" w:type="dxa"/>
            <w:vMerge w:val="continue"/>
            <w:tcBorders>
              <w:tl2br w:val="nil"/>
              <w:tr2bl w:val="nil"/>
            </w:tcBorders>
            <w:vAlign w:val="center"/>
          </w:tcPr>
          <w:p>
            <w:pPr>
              <w:pStyle w:val="24"/>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上述项均不满足。</w:t>
            </w:r>
          </w:p>
        </w:tc>
        <w:tc>
          <w:tcPr>
            <w:tcW w:w="1236"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077"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3</w:t>
            </w:r>
          </w:p>
        </w:tc>
        <w:tc>
          <w:tcPr>
            <w:tcW w:w="2651"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66"/>
        <w:ind w:left="780" w:leftChars="200" w:hanging="360" w:hangingChars="200"/>
        <w:rPr>
          <w:rFonts w:ascii="Times New Roman"/>
        </w:rPr>
      </w:pPr>
      <w:r>
        <w:rPr>
          <w:rFonts w:hint="eastAsia" w:ascii="Times New Roman"/>
        </w:rPr>
        <w:t>研发</w:t>
      </w:r>
      <w:r>
        <w:rPr>
          <w:rFonts w:ascii="Times New Roman"/>
        </w:rPr>
        <w:t>开发费用包含研发人员人工费用、直接投入费用、折旧费用与长期待摊费用、无形资产摊销费用、设计费用、装备调试费用与试验费用、委托外部研究开发费用等。</w:t>
      </w:r>
    </w:p>
    <w:p>
      <w:pPr>
        <w:pStyle w:val="57"/>
        <w:spacing w:before="156" w:after="156"/>
        <w:rPr>
          <w:rFonts w:ascii="Times New Roman"/>
        </w:rPr>
      </w:pPr>
      <w:r>
        <w:rPr>
          <w:rFonts w:hint="eastAsia" w:ascii="Times New Roman"/>
          <w:lang w:eastAsia="zh-CN"/>
        </w:rPr>
        <w:t>业务增长率</w:t>
      </w:r>
    </w:p>
    <w:p>
      <w:pPr>
        <w:pStyle w:val="24"/>
        <w:rPr>
          <w:rFonts w:ascii="Times New Roman"/>
        </w:rPr>
      </w:pPr>
      <w:r>
        <w:rPr>
          <w:rFonts w:hint="eastAsia" w:ascii="宋体" w:hAnsi="宋体" w:eastAsia="宋体" w:cs="宋体"/>
          <w:sz w:val="21"/>
          <w:highlight w:val="none"/>
          <w:lang w:val="en-US" w:eastAsia="zh-CN" w:bidi="ar-SA"/>
        </w:rPr>
        <w:t>指当年主营业务收入增长额与上年主营业务收入总额比值，采用近三年平均值进行评估（实际经营期不满三年的，按实际经营时间计算）</w:t>
      </w:r>
      <w:r>
        <w:rPr>
          <w:rFonts w:hint="eastAsia" w:hAnsi="宋体" w:cs="宋体"/>
        </w:rPr>
        <w:t>。具体评分规则见表</w:t>
      </w:r>
      <w:r>
        <w:rPr>
          <w:rFonts w:hint="eastAsia" w:hAnsi="宋体" w:cs="宋体"/>
          <w:lang w:val="en-US" w:eastAsia="zh-CN"/>
        </w:rPr>
        <w:t>19</w:t>
      </w:r>
      <w:r>
        <w:rPr>
          <w:rFonts w:hint="eastAsia" w:hAnsi="宋体" w:cs="宋体"/>
        </w:rPr>
        <w:t>。</w:t>
      </w:r>
    </w:p>
    <w:p>
      <w:pPr>
        <w:pStyle w:val="128"/>
        <w:rPr>
          <w:rFonts w:ascii="Times New Roman"/>
        </w:rPr>
      </w:pPr>
      <w:r>
        <w:rPr>
          <w:rFonts w:hint="eastAsia" w:ascii="Times New Roman" w:hAnsi="Times New Roman" w:eastAsia="黑体" w:cs="Times New Roman"/>
          <w:sz w:val="21"/>
          <w:highlight w:val="none"/>
          <w:lang w:val="en-US" w:eastAsia="zh-CN" w:bidi="ar-SA"/>
        </w:rPr>
        <w:t>业务增长率</w:t>
      </w:r>
      <w:r>
        <w:rPr>
          <w:rFonts w:ascii="Times New Roman" w:hAnsi="Times New Roman" w:eastAsia="黑体" w:cs="Times New Roman"/>
          <w:sz w:val="21"/>
          <w:highlight w:val="none"/>
          <w:lang w:val="en-US" w:eastAsia="zh-CN" w:bidi="ar-SA"/>
        </w:rPr>
        <w:t>评分规则表</w:t>
      </w:r>
    </w:p>
    <w:tbl>
      <w:tblPr>
        <w:tblStyle w:val="34"/>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业务增长率</w:t>
            </w:r>
            <w:r>
              <w:rPr>
                <w:rFonts w:hint="eastAsia" w:ascii="Times New Roman" w:hAnsi="Times New Roman" w:eastAsia="宋体" w:cs="Times New Roman"/>
                <w:b/>
                <w:bCs/>
                <w:sz w:val="18"/>
                <w:szCs w:val="18"/>
                <w:highlight w:val="none"/>
                <w:lang w:val="en-US" w:eastAsia="zh-CN" w:bidi="ar-SA"/>
              </w:rPr>
              <w:t>（%）</w:t>
            </w:r>
          </w:p>
        </w:tc>
        <w:tc>
          <w:tcPr>
            <w:tcW w:w="1559"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op w:val="single" w:color="auto" w:sz="8" w:space="0"/>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≥10%</w:t>
            </w:r>
          </w:p>
        </w:tc>
        <w:tc>
          <w:tcPr>
            <w:tcW w:w="1559" w:type="dxa"/>
            <w:tcBorders>
              <w:top w:val="single" w:color="auto" w:sz="8" w:space="0"/>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[5%,10%)</w:t>
            </w:r>
          </w:p>
        </w:tc>
        <w:tc>
          <w:tcPr>
            <w:tcW w:w="1559"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[0,5%)</w:t>
            </w:r>
          </w:p>
        </w:tc>
        <w:tc>
          <w:tcPr>
            <w:tcW w:w="1559"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303"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c>
          <w:tcPr>
            <w:tcW w:w="1559"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53"/>
        <w:numPr>
          <w:ilvl w:val="3"/>
          <w:numId w:val="2"/>
        </w:numPr>
        <w:spacing w:before="156" w:after="156"/>
        <w:rPr>
          <w:rFonts w:ascii="Times New Roman"/>
        </w:rPr>
      </w:pPr>
      <w:r>
        <w:rPr>
          <w:rFonts w:ascii="Times New Roman"/>
        </w:rPr>
        <w:t>市场影响</w:t>
      </w:r>
    </w:p>
    <w:p>
      <w:pPr>
        <w:pStyle w:val="57"/>
        <w:spacing w:before="156" w:after="156"/>
        <w:rPr>
          <w:rFonts w:ascii="Times New Roman"/>
        </w:rPr>
      </w:pPr>
      <w:r>
        <w:rPr>
          <w:rFonts w:ascii="Times New Roman"/>
        </w:rPr>
        <w:t>市场竞争力</w:t>
      </w:r>
    </w:p>
    <w:p>
      <w:pPr>
        <w:pStyle w:val="24"/>
        <w:rPr>
          <w:rFonts w:ascii="Times New Roman"/>
        </w:rPr>
      </w:pPr>
      <w:r>
        <w:rPr>
          <w:rFonts w:hint="eastAsia" w:hAnsi="宋体" w:cs="宋体"/>
        </w:rPr>
        <w:t>市场竞争力从提供的绿色业务领域相关产品或服务的市场占有</w:t>
      </w:r>
      <w:r>
        <w:rPr>
          <w:rFonts w:hint="eastAsia" w:hAnsi="宋体" w:cs="宋体"/>
          <w:lang w:eastAsia="zh-CN"/>
        </w:rPr>
        <w:t>率</w:t>
      </w:r>
      <w:r>
        <w:rPr>
          <w:rFonts w:hint="eastAsia" w:hAnsi="宋体" w:cs="宋体"/>
        </w:rPr>
        <w:t>，以及稳定提供相关产品或服务的年限进行综合评价。具体评分规则见表2</w:t>
      </w:r>
      <w:r>
        <w:rPr>
          <w:rFonts w:hint="eastAsia" w:hAnsi="宋体" w:cs="宋体"/>
          <w:lang w:val="en-US" w:eastAsia="zh-CN"/>
        </w:rPr>
        <w:t>0</w:t>
      </w:r>
      <w:r>
        <w:rPr>
          <w:rFonts w:hint="eastAsia" w:hAnsi="宋体" w:cs="宋体"/>
        </w:rPr>
        <w:t>。</w:t>
      </w:r>
    </w:p>
    <w:p>
      <w:pPr>
        <w:pStyle w:val="128"/>
        <w:rPr>
          <w:rFonts w:ascii="Times New Roman"/>
        </w:rPr>
      </w:pPr>
      <w:r>
        <w:rPr>
          <w:rFonts w:ascii="Times New Roman"/>
        </w:rPr>
        <w:t>市场竞争力评分规则表</w:t>
      </w:r>
    </w:p>
    <w:tbl>
      <w:tblPr>
        <w:tblStyle w:val="34"/>
        <w:tblW w:w="70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083"/>
        <w:gridCol w:w="1400"/>
        <w:gridCol w:w="1067"/>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40" w:type="dxa"/>
            <w:tcBorders>
              <w:bottom w:val="single" w:color="auto" w:sz="8" w:space="0"/>
            </w:tcBorders>
            <w:vAlign w:val="center"/>
          </w:tcPr>
          <w:p>
            <w:pPr>
              <w:pStyle w:val="24"/>
              <w:adjustRightInd w:val="0"/>
              <w:ind w:firstLine="0" w:firstLineChars="0"/>
              <w:jc w:val="center"/>
              <w:rPr>
                <w:rFonts w:hint="eastAsia" w:ascii="Times New Roman" w:eastAsia="宋体"/>
                <w:b/>
                <w:bCs/>
                <w:sz w:val="18"/>
                <w:szCs w:val="18"/>
                <w:lang w:eastAsia="zh-CN"/>
              </w:rPr>
            </w:pPr>
            <w:r>
              <w:rPr>
                <w:rFonts w:ascii="Times New Roman"/>
                <w:b/>
                <w:bCs/>
                <w:sz w:val="18"/>
                <w:szCs w:val="18"/>
              </w:rPr>
              <w:t>市场占有</w:t>
            </w:r>
            <w:r>
              <w:rPr>
                <w:rFonts w:hint="eastAsia" w:ascii="Times New Roman"/>
                <w:b/>
                <w:bCs/>
                <w:sz w:val="18"/>
                <w:szCs w:val="18"/>
                <w:lang w:eastAsia="zh-CN"/>
              </w:rPr>
              <w:t>率</w:t>
            </w:r>
          </w:p>
        </w:tc>
        <w:tc>
          <w:tcPr>
            <w:tcW w:w="1083"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400"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稳定提供产品或服务年限</w:t>
            </w:r>
          </w:p>
        </w:tc>
        <w:tc>
          <w:tcPr>
            <w:tcW w:w="1067"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92" w:type="dxa"/>
            <w:tcBorders>
              <w:bottom w:val="single" w:color="auto" w:sz="8" w:space="0"/>
            </w:tcBorders>
            <w:vAlign w:val="center"/>
          </w:tcPr>
          <w:p>
            <w:pPr>
              <w:pStyle w:val="24"/>
              <w:adjustRightInd w:val="0"/>
              <w:ind w:firstLine="0" w:firstLineChars="0"/>
              <w:jc w:val="center"/>
              <w:rPr>
                <w:rFonts w:ascii="Times New Roman"/>
                <w:b/>
                <w:bCs/>
                <w:sz w:val="18"/>
                <w:szCs w:val="18"/>
              </w:rPr>
            </w:pPr>
            <w:r>
              <w:rPr>
                <w:rFonts w:ascii="Times New Roman"/>
                <w:b/>
                <w:bCs/>
                <w:sz w:val="18"/>
                <w:szCs w:val="18"/>
              </w:rPr>
              <w:t>分值</w:t>
            </w:r>
          </w:p>
          <w:p>
            <w:pPr>
              <w:pStyle w:val="24"/>
              <w:adjustRightInd w:val="0"/>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40" w:type="dxa"/>
            <w:tcBorders>
              <w:top w:val="single" w:color="auto" w:sz="8" w:space="0"/>
              <w:tl2br w:val="nil"/>
              <w:tr2bl w:val="nil"/>
            </w:tcBorders>
            <w:vAlign w:val="center"/>
          </w:tcPr>
          <w:p>
            <w:pPr>
              <w:pStyle w:val="24"/>
              <w:adjustRightInd w:val="0"/>
              <w:ind w:firstLine="0" w:firstLineChars="0"/>
              <w:rPr>
                <w:rFonts w:hAnsi="宋体" w:cs="宋体"/>
                <w:sz w:val="18"/>
                <w:szCs w:val="18"/>
              </w:rPr>
            </w:pPr>
            <w:r>
              <w:rPr>
                <w:rFonts w:hint="eastAsia" w:hAnsi="宋体" w:cs="宋体"/>
                <w:sz w:val="18"/>
                <w:szCs w:val="18"/>
                <w:highlight w:val="none"/>
                <w:lang w:val="en-US" w:eastAsia="zh-CN"/>
              </w:rPr>
              <w:t>行业内市场占有率处于较高水平。</w:t>
            </w:r>
          </w:p>
        </w:tc>
        <w:tc>
          <w:tcPr>
            <w:tcW w:w="1083"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(4,6]</w:t>
            </w:r>
          </w:p>
        </w:tc>
        <w:tc>
          <w:tcPr>
            <w:tcW w:w="1400"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＞10</w:t>
            </w:r>
          </w:p>
        </w:tc>
        <w:tc>
          <w:tcPr>
            <w:tcW w:w="1067" w:type="dxa"/>
            <w:tcBorders>
              <w:top w:val="single" w:color="auto" w:sz="8" w:space="0"/>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3</w:t>
            </w:r>
          </w:p>
        </w:tc>
        <w:tc>
          <w:tcPr>
            <w:tcW w:w="1692" w:type="dxa"/>
            <w:vMerge w:val="restart"/>
            <w:tcBorders>
              <w:top w:val="single" w:color="auto" w:sz="8" w:space="0"/>
              <w:tl2br w:val="nil"/>
              <w:tr2bl w:val="nil"/>
            </w:tcBorders>
            <w:vAlign w:val="center"/>
          </w:tcPr>
          <w:p>
            <w:pPr>
              <w:pStyle w:val="24"/>
              <w:adjustRightInd w:val="0"/>
              <w:ind w:firstLine="0" w:firstLineChars="0"/>
              <w:rPr>
                <w:rFonts w:hAnsi="宋体" w:cs="宋体"/>
                <w:sz w:val="18"/>
                <w:szCs w:val="18"/>
              </w:rPr>
            </w:pPr>
            <w:r>
              <w:rPr>
                <w:rFonts w:hint="eastAsia" w:hAnsi="宋体" w:cs="宋体"/>
                <w:sz w:val="18"/>
                <w:szCs w:val="18"/>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40" w:type="dxa"/>
            <w:tcBorders>
              <w:tl2br w:val="nil"/>
              <w:tr2bl w:val="nil"/>
            </w:tcBorders>
            <w:vAlign w:val="center"/>
          </w:tcPr>
          <w:p>
            <w:pPr>
              <w:pStyle w:val="24"/>
              <w:adjustRightInd w:val="0"/>
              <w:ind w:firstLine="0" w:firstLineChars="0"/>
              <w:rPr>
                <w:rFonts w:hAnsi="宋体" w:cs="宋体"/>
                <w:sz w:val="18"/>
                <w:szCs w:val="18"/>
              </w:rPr>
            </w:pPr>
            <w:r>
              <w:rPr>
                <w:rFonts w:hint="eastAsia" w:hAnsi="宋体" w:cs="宋体"/>
                <w:sz w:val="18"/>
                <w:szCs w:val="18"/>
                <w:highlight w:val="none"/>
                <w:lang w:val="en-US" w:eastAsia="zh-CN"/>
              </w:rPr>
              <w:t>行业内市场占有率处于中等水平。</w:t>
            </w:r>
          </w:p>
        </w:tc>
        <w:tc>
          <w:tcPr>
            <w:tcW w:w="1083"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(2,4]</w:t>
            </w:r>
          </w:p>
        </w:tc>
        <w:tc>
          <w:tcPr>
            <w:tcW w:w="140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(5,10]</w:t>
            </w:r>
          </w:p>
        </w:tc>
        <w:tc>
          <w:tcPr>
            <w:tcW w:w="1067"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2</w:t>
            </w:r>
          </w:p>
        </w:tc>
        <w:tc>
          <w:tcPr>
            <w:tcW w:w="1692" w:type="dxa"/>
            <w:vMerge w:val="continue"/>
            <w:tcBorders>
              <w:tl2br w:val="nil"/>
              <w:tr2bl w:val="nil"/>
            </w:tcBorders>
            <w:vAlign w:val="center"/>
          </w:tcPr>
          <w:p>
            <w:pPr>
              <w:pStyle w:val="24"/>
              <w:adjustRightInd w:val="0"/>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40" w:type="dxa"/>
            <w:tcBorders>
              <w:tl2br w:val="nil"/>
              <w:tr2bl w:val="nil"/>
            </w:tcBorders>
            <w:vAlign w:val="center"/>
          </w:tcPr>
          <w:p>
            <w:pPr>
              <w:pStyle w:val="24"/>
              <w:adjustRightInd w:val="0"/>
              <w:ind w:firstLine="0" w:firstLineChars="0"/>
              <w:rPr>
                <w:rFonts w:hAnsi="宋体" w:cs="宋体"/>
                <w:sz w:val="18"/>
                <w:szCs w:val="18"/>
              </w:rPr>
            </w:pPr>
            <w:r>
              <w:rPr>
                <w:rFonts w:hint="eastAsia" w:hAnsi="宋体" w:cs="宋体"/>
                <w:sz w:val="18"/>
                <w:szCs w:val="18"/>
                <w:highlight w:val="none"/>
                <w:lang w:val="en-US" w:eastAsia="zh-CN"/>
              </w:rPr>
              <w:t>行业内市场占有率处于一般水平。</w:t>
            </w:r>
          </w:p>
        </w:tc>
        <w:tc>
          <w:tcPr>
            <w:tcW w:w="1083"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[0,2]</w:t>
            </w:r>
          </w:p>
        </w:tc>
        <w:tc>
          <w:tcPr>
            <w:tcW w:w="1400"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(2,5]</w:t>
            </w:r>
          </w:p>
        </w:tc>
        <w:tc>
          <w:tcPr>
            <w:tcW w:w="1067" w:type="dxa"/>
            <w:tcBorders>
              <w:tl2br w:val="nil"/>
              <w:tr2bl w:val="nil"/>
            </w:tcBorders>
            <w:vAlign w:val="center"/>
          </w:tcPr>
          <w:p>
            <w:pPr>
              <w:pStyle w:val="24"/>
              <w:adjustRightInd w:val="0"/>
              <w:ind w:firstLine="0" w:firstLineChars="0"/>
              <w:jc w:val="center"/>
              <w:rPr>
                <w:rFonts w:hAnsi="宋体" w:cs="宋体"/>
                <w:sz w:val="18"/>
                <w:szCs w:val="18"/>
              </w:rPr>
            </w:pPr>
            <w:r>
              <w:rPr>
                <w:rFonts w:hint="eastAsia" w:hAnsi="宋体" w:cs="宋体"/>
                <w:sz w:val="18"/>
                <w:szCs w:val="18"/>
              </w:rPr>
              <w:t>1</w:t>
            </w:r>
          </w:p>
        </w:tc>
        <w:tc>
          <w:tcPr>
            <w:tcW w:w="1692" w:type="dxa"/>
            <w:vMerge w:val="continue"/>
            <w:tcBorders>
              <w:tl2br w:val="nil"/>
              <w:tr2bl w:val="nil"/>
            </w:tcBorders>
            <w:vAlign w:val="center"/>
          </w:tcPr>
          <w:p>
            <w:pPr>
              <w:pStyle w:val="24"/>
              <w:adjustRightInd w:val="0"/>
              <w:ind w:firstLine="0" w:firstLineChars="0"/>
              <w:rPr>
                <w:rFonts w:hAnsi="宋体" w:cs="宋体"/>
                <w:sz w:val="18"/>
                <w:szCs w:val="18"/>
              </w:rPr>
            </w:pPr>
          </w:p>
        </w:tc>
      </w:tr>
    </w:tbl>
    <w:p>
      <w:pPr>
        <w:pStyle w:val="57"/>
        <w:spacing w:before="156" w:after="156"/>
        <w:rPr>
          <w:rFonts w:ascii="Times New Roman"/>
        </w:rPr>
      </w:pPr>
      <w:r>
        <w:rPr>
          <w:rFonts w:ascii="Times New Roman"/>
        </w:rPr>
        <w:t>产业影响力</w:t>
      </w:r>
    </w:p>
    <w:p>
      <w:pPr>
        <w:pStyle w:val="24"/>
        <w:rPr>
          <w:rFonts w:ascii="Times New Roman"/>
        </w:rPr>
      </w:pPr>
      <w:r>
        <w:rPr>
          <w:rFonts w:hint="eastAsia" w:hAnsi="宋体" w:cs="宋体"/>
        </w:rPr>
        <w:t>产业影响力从提供的绿色业务领域相关产品或服务，引领</w:t>
      </w:r>
      <w:r>
        <w:rPr>
          <w:rFonts w:hint="eastAsia" w:hAnsi="宋体" w:cs="宋体"/>
          <w:lang w:eastAsia="zh-CN"/>
        </w:rPr>
        <w:t>绿色低碳产业</w:t>
      </w:r>
      <w:r>
        <w:rPr>
          <w:rFonts w:hint="eastAsia" w:hAnsi="宋体" w:cs="宋体"/>
        </w:rPr>
        <w:t>技术创新或市场发展的影响能力进行评价，如在产业链关键环节及领域取得“补短板”“</w:t>
      </w:r>
      <w:r>
        <w:rPr>
          <w:rFonts w:hint="eastAsia" w:hAnsi="宋体" w:cs="宋体"/>
          <w:highlight w:val="none"/>
        </w:rPr>
        <w:t>锻长</w:t>
      </w:r>
      <w:r>
        <w:rPr>
          <w:rFonts w:hint="eastAsia" w:hAnsi="宋体" w:cs="宋体"/>
          <w:highlight w:val="none"/>
          <w:lang w:eastAsia="zh-CN"/>
        </w:rPr>
        <w:t>链</w:t>
      </w:r>
      <w:r>
        <w:rPr>
          <w:rFonts w:hint="eastAsia" w:hAnsi="宋体" w:cs="宋体"/>
        </w:rPr>
        <w:t>”“填空白”的实际技术突破，或有助于新产业、新业态、新商业模式的培育壮大等。</w:t>
      </w:r>
      <w:r>
        <w:rPr>
          <w:rFonts w:hint="eastAsia" w:hAnsi="宋体" w:cs="宋体"/>
          <w:lang w:eastAsia="zh-CN"/>
        </w:rPr>
        <w:t>新业态主要包括光伏</w:t>
      </w:r>
      <w:r>
        <w:rPr>
          <w:rFonts w:hint="eastAsia" w:hAnsi="宋体" w:cs="宋体"/>
          <w:lang w:val="en-US" w:eastAsia="zh-CN"/>
        </w:rPr>
        <w:t>+</w:t>
      </w:r>
      <w:r>
        <w:rPr>
          <w:rFonts w:hint="eastAsia" w:hAnsi="宋体" w:cs="宋体"/>
          <w:lang w:eastAsia="zh-CN"/>
        </w:rPr>
        <w:t>储能融合，光伏在交通及农业等领域的应用。</w:t>
      </w:r>
      <w:r>
        <w:rPr>
          <w:rFonts w:hint="eastAsia" w:hAnsi="宋体" w:cs="宋体"/>
        </w:rPr>
        <w:t>具体评分规则见表2</w:t>
      </w:r>
      <w:r>
        <w:rPr>
          <w:rFonts w:hint="eastAsia" w:hAnsi="宋体" w:cs="宋体"/>
          <w:lang w:val="en-US" w:eastAsia="zh-CN"/>
        </w:rPr>
        <w:t>1</w:t>
      </w:r>
      <w:r>
        <w:rPr>
          <w:rFonts w:hint="eastAsia" w:hAnsi="宋体" w:cs="宋体"/>
        </w:rPr>
        <w:t>。</w:t>
      </w:r>
    </w:p>
    <w:p>
      <w:pPr>
        <w:pStyle w:val="128"/>
        <w:rPr>
          <w:rFonts w:ascii="Times New Roman"/>
        </w:rPr>
      </w:pPr>
      <w:r>
        <w:rPr>
          <w:rFonts w:ascii="Times New Roman"/>
        </w:rPr>
        <w:t>产业影响力评分规则表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top w:val="single" w:color="auto" w:sz="8" w:space="0"/>
              <w:left w:val="single" w:color="auto" w:sz="8" w:space="0"/>
              <w:bottom w:val="single" w:color="auto" w:sz="8" w:space="0"/>
            </w:tcBorders>
          </w:tcPr>
          <w:p>
            <w:pPr>
              <w:pStyle w:val="24"/>
              <w:ind w:firstLine="0" w:firstLineChars="0"/>
              <w:jc w:val="center"/>
              <w:rPr>
                <w:rFonts w:ascii="Times New Roman"/>
                <w:b/>
                <w:bCs/>
                <w:sz w:val="18"/>
                <w:szCs w:val="18"/>
              </w:rPr>
            </w:pPr>
            <w:r>
              <w:rPr>
                <w:rFonts w:ascii="Times New Roman"/>
                <w:b/>
                <w:bCs/>
                <w:sz w:val="18"/>
                <w:szCs w:val="18"/>
              </w:rPr>
              <w:t>产业影响力水平</w:t>
            </w:r>
          </w:p>
        </w:tc>
        <w:tc>
          <w:tcPr>
            <w:tcW w:w="1582" w:type="dxa"/>
            <w:tcBorders>
              <w:top w:val="single" w:color="auto" w:sz="8" w:space="0"/>
              <w:bottom w:val="single" w:color="auto" w:sz="8" w:space="0"/>
              <w:right w:val="single" w:color="auto" w:sz="8" w:space="0"/>
            </w:tcBorders>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top w:val="single" w:color="auto" w:sz="8" w:space="0"/>
              <w:left w:val="single" w:color="auto" w:sz="8" w:space="0"/>
            </w:tcBorders>
          </w:tcPr>
          <w:p>
            <w:pPr>
              <w:pStyle w:val="24"/>
              <w:ind w:firstLine="0" w:firstLineChars="0"/>
              <w:rPr>
                <w:rFonts w:hAnsi="宋体" w:cs="宋体"/>
                <w:sz w:val="18"/>
                <w:szCs w:val="18"/>
              </w:rPr>
            </w:pPr>
            <w:r>
              <w:rPr>
                <w:rFonts w:hint="eastAsia" w:hAnsi="宋体" w:cs="宋体"/>
                <w:sz w:val="18"/>
                <w:szCs w:val="18"/>
              </w:rPr>
              <w:t>具有显著的引领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582" w:type="dxa"/>
            <w:tcBorders>
              <w:top w:val="single" w:color="auto" w:sz="8" w:space="0"/>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(4,</w:t>
            </w:r>
            <w:r>
              <w:rPr>
                <w:rFonts w:hint="eastAsia" w:hAnsi="宋体" w:cs="宋体"/>
                <w:sz w:val="18"/>
                <w:szCs w:val="18"/>
                <w:lang w:val="en-US" w:eastAsia="zh-CN"/>
              </w:rPr>
              <w:t>7</w:t>
            </w:r>
            <w:r>
              <w:rPr>
                <w:rFonts w:hint="eastAsia"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left w:val="single" w:color="auto" w:sz="8" w:space="0"/>
            </w:tcBorders>
          </w:tcPr>
          <w:p>
            <w:pPr>
              <w:pStyle w:val="24"/>
              <w:ind w:firstLine="0" w:firstLineChars="0"/>
              <w:rPr>
                <w:rFonts w:hAnsi="宋体" w:cs="宋体"/>
                <w:sz w:val="18"/>
                <w:szCs w:val="18"/>
              </w:rPr>
            </w:pPr>
            <w:r>
              <w:rPr>
                <w:rFonts w:hint="eastAsia" w:hAnsi="宋体" w:cs="宋体"/>
                <w:sz w:val="18"/>
                <w:szCs w:val="18"/>
              </w:rPr>
              <w:t>具有较强的引领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582" w:type="dxa"/>
            <w:tcBorders>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left w:val="single" w:color="auto" w:sz="8" w:space="0"/>
            </w:tcBorders>
          </w:tcPr>
          <w:p>
            <w:pPr>
              <w:pStyle w:val="24"/>
              <w:ind w:firstLine="0" w:firstLineChars="0"/>
              <w:rPr>
                <w:rFonts w:hAnsi="宋体" w:cs="宋体"/>
                <w:sz w:val="18"/>
                <w:szCs w:val="18"/>
              </w:rPr>
            </w:pPr>
            <w:r>
              <w:rPr>
                <w:rFonts w:hint="eastAsia" w:hAnsi="宋体" w:cs="宋体"/>
                <w:sz w:val="18"/>
                <w:szCs w:val="18"/>
              </w:rPr>
              <w:t>具有一定的引领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582" w:type="dxa"/>
            <w:tcBorders>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0" w:type="dxa"/>
            <w:tcBorders>
              <w:left w:val="single" w:color="auto" w:sz="8" w:space="0"/>
              <w:bottom w:val="single" w:color="auto" w:sz="8" w:space="0"/>
            </w:tcBorders>
          </w:tcPr>
          <w:p>
            <w:pPr>
              <w:pStyle w:val="24"/>
              <w:ind w:firstLine="0" w:firstLineChars="0"/>
              <w:rPr>
                <w:rFonts w:hAnsi="宋体" w:cs="宋体"/>
                <w:sz w:val="18"/>
                <w:szCs w:val="18"/>
              </w:rPr>
            </w:pPr>
            <w:r>
              <w:rPr>
                <w:rFonts w:hint="eastAsia" w:hAnsi="宋体" w:cs="宋体"/>
                <w:sz w:val="18"/>
                <w:szCs w:val="18"/>
              </w:rPr>
              <w:t>未产生明显产业影响力。</w:t>
            </w:r>
          </w:p>
        </w:tc>
        <w:tc>
          <w:tcPr>
            <w:tcW w:w="1582" w:type="dxa"/>
            <w:tcBorders>
              <w:bottom w:val="single" w:color="auto" w:sz="8" w:space="0"/>
              <w:right w:val="single" w:color="auto" w:sz="8" w:space="0"/>
            </w:tcBorders>
            <w:vAlign w:val="center"/>
          </w:tcPr>
          <w:p>
            <w:pPr>
              <w:pStyle w:val="24"/>
              <w:ind w:firstLine="0" w:firstLineChars="0"/>
              <w:jc w:val="center"/>
              <w:rPr>
                <w:rFonts w:hAnsi="宋体" w:cs="宋体"/>
                <w:sz w:val="18"/>
                <w:szCs w:val="18"/>
              </w:rPr>
            </w:pPr>
            <w:r>
              <w:rPr>
                <w:rFonts w:hint="eastAsia" w:hAnsi="宋体" w:cs="宋体"/>
                <w:sz w:val="18"/>
                <w:szCs w:val="18"/>
              </w:rPr>
              <w:t>0</w:t>
            </w:r>
          </w:p>
        </w:tc>
      </w:tr>
    </w:tbl>
    <w:p>
      <w:pPr>
        <w:pStyle w:val="66"/>
        <w:spacing w:before="156" w:after="156"/>
        <w:ind w:left="780" w:leftChars="200" w:hanging="360" w:hangingChars="200"/>
        <w:rPr>
          <w:rFonts w:ascii="Times New Roman"/>
        </w:rPr>
      </w:pPr>
      <w:r>
        <w:rPr>
          <w:rFonts w:hint="eastAsia" w:hAnsi="宋体" w:cs="宋体"/>
        </w:rPr>
        <w:t>a）</w:t>
      </w:r>
      <w:r>
        <w:rPr>
          <w:rFonts w:hint="eastAsia" w:ascii="宋体" w:hAnsi="宋体" w:eastAsia="宋体" w:cs="宋体"/>
          <w:b w:val="0"/>
          <w:bCs w:val="0"/>
          <w:i w:val="0"/>
          <w:iCs w:val="0"/>
          <w:caps w:val="0"/>
          <w:color w:val="auto"/>
          <w:spacing w:val="0"/>
          <w:sz w:val="18"/>
          <w:szCs w:val="18"/>
          <w:shd w:val="clear" w:fill="auto"/>
        </w:rPr>
        <w:t>光储融合</w:t>
      </w:r>
      <w:r>
        <w:rPr>
          <w:rFonts w:hint="eastAsia" w:ascii="宋体" w:hAnsi="宋体" w:cs="宋体"/>
          <w:b w:val="0"/>
          <w:bCs w:val="0"/>
          <w:i w:val="0"/>
          <w:iCs w:val="0"/>
          <w:caps w:val="0"/>
          <w:color w:val="auto"/>
          <w:spacing w:val="0"/>
          <w:sz w:val="18"/>
          <w:szCs w:val="18"/>
          <w:shd w:val="clear" w:fill="auto"/>
          <w:lang w:eastAsia="zh-CN"/>
        </w:rPr>
        <w:t>：</w:t>
      </w:r>
      <w:r>
        <w:rPr>
          <w:rFonts w:hint="eastAsia" w:ascii="宋体" w:hAnsi="宋体" w:eastAsia="宋体" w:cs="宋体"/>
          <w:b w:val="0"/>
          <w:bCs w:val="0"/>
          <w:i w:val="0"/>
          <w:iCs w:val="0"/>
          <w:caps w:val="0"/>
          <w:color w:val="auto"/>
          <w:spacing w:val="0"/>
          <w:sz w:val="18"/>
          <w:szCs w:val="18"/>
          <w:shd w:val="clear" w:fill="auto"/>
        </w:rPr>
        <w:t>应用新型储能技术及产品提升光伏发电稳定性、电网友好性和消纳能力，包括多能互补、光伏制氢、光伏直流系统、自发自储自用等方向</w:t>
      </w:r>
      <w:r>
        <w:rPr>
          <w:rFonts w:hint="eastAsia" w:ascii="宋体" w:hAnsi="宋体" w:eastAsia="宋体" w:cs="宋体"/>
          <w:b w:val="0"/>
          <w:bCs w:val="0"/>
          <w:i w:val="0"/>
          <w:iCs w:val="0"/>
          <w:caps w:val="0"/>
          <w:spacing w:val="0"/>
          <w:sz w:val="18"/>
          <w:szCs w:val="18"/>
          <w:shd w:val="clear"/>
          <w:lang w:eastAsia="zh-CN"/>
        </w:rPr>
        <w:t>；</w:t>
      </w:r>
      <w:r>
        <w:rPr>
          <w:rFonts w:hint="eastAsia" w:ascii="宋体" w:hAnsi="宋体" w:eastAsia="宋体" w:cs="宋体"/>
          <w:szCs w:val="18"/>
          <w:lang w:val="en-US" w:eastAsia="zh-CN"/>
        </w:rPr>
        <w:t>b</w:t>
      </w:r>
      <w:r>
        <w:rPr>
          <w:rFonts w:hint="eastAsia" w:ascii="宋体" w:hAnsi="宋体" w:eastAsia="宋体" w:cs="宋体"/>
          <w:szCs w:val="18"/>
        </w:rPr>
        <w:t>）</w:t>
      </w:r>
      <w:r>
        <w:rPr>
          <w:rFonts w:hint="eastAsia" w:ascii="宋体" w:hAnsi="宋体" w:eastAsia="宋体" w:cs="宋体"/>
          <w:szCs w:val="18"/>
          <w:lang w:eastAsia="zh-CN"/>
        </w:rPr>
        <w:t>交通应用：</w:t>
      </w:r>
      <w:r>
        <w:rPr>
          <w:rFonts w:hint="eastAsia" w:ascii="宋体" w:hAnsi="宋体" w:eastAsia="宋体" w:cs="宋体"/>
          <w:b w:val="0"/>
          <w:bCs w:val="0"/>
          <w:i w:val="0"/>
          <w:iCs w:val="0"/>
          <w:caps w:val="0"/>
          <w:color w:val="auto"/>
          <w:spacing w:val="0"/>
          <w:sz w:val="18"/>
          <w:szCs w:val="18"/>
          <w:shd w:val="clear" w:fill="auto"/>
        </w:rPr>
        <w:t>包括在高速公路和国省道服务区（停车场）、加油站、货运场站等场景采用智能光伏，实现充电桩、周边设施等应用</w:t>
      </w:r>
      <w:r>
        <w:rPr>
          <w:rFonts w:hint="eastAsia" w:ascii="宋体" w:hAnsi="宋体" w:eastAsia="宋体" w:cs="宋体"/>
          <w:b w:val="0"/>
          <w:bCs w:val="0"/>
          <w:i w:val="0"/>
          <w:iCs w:val="0"/>
          <w:caps w:val="0"/>
          <w:spacing w:val="0"/>
          <w:sz w:val="18"/>
          <w:szCs w:val="18"/>
          <w:shd w:val="clear"/>
          <w:lang w:eastAsia="zh-CN"/>
        </w:rPr>
        <w:t>；</w:t>
      </w:r>
      <w:r>
        <w:rPr>
          <w:rFonts w:hint="eastAsia" w:ascii="宋体" w:hAnsi="宋体" w:eastAsia="宋体" w:cs="宋体"/>
          <w:b w:val="0"/>
          <w:bCs w:val="0"/>
          <w:i w:val="0"/>
          <w:iCs w:val="0"/>
          <w:caps w:val="0"/>
          <w:spacing w:val="0"/>
          <w:sz w:val="18"/>
          <w:szCs w:val="18"/>
          <w:shd w:val="clear"/>
          <w:lang w:val="en-US" w:eastAsia="zh-CN"/>
        </w:rPr>
        <w:t>c)农业应用：</w:t>
      </w:r>
      <w:r>
        <w:rPr>
          <w:rFonts w:hint="eastAsia" w:ascii="宋体" w:hAnsi="宋体" w:eastAsia="宋体" w:cs="宋体"/>
          <w:b w:val="0"/>
          <w:bCs w:val="0"/>
          <w:i w:val="0"/>
          <w:iCs w:val="0"/>
          <w:caps w:val="0"/>
          <w:color w:val="auto"/>
          <w:spacing w:val="0"/>
          <w:sz w:val="18"/>
          <w:szCs w:val="18"/>
          <w:shd w:val="clear" w:fill="auto"/>
        </w:rPr>
        <w:t>包括在设施农业、规模化种养、渔业养殖、农产品初加工等生产场景发展农光互补、生光互补、渔光互补等生态复合模式，建立“光伏+农业”互补分布式有效供应机制。</w:t>
      </w:r>
    </w:p>
    <w:p>
      <w:pPr>
        <w:pStyle w:val="57"/>
        <w:spacing w:before="156" w:after="156"/>
        <w:rPr>
          <w:rFonts w:ascii="Times New Roman"/>
        </w:rPr>
      </w:pPr>
      <w:r>
        <w:rPr>
          <w:rFonts w:ascii="Times New Roman"/>
        </w:rPr>
        <w:t>行业资质荣誉</w:t>
      </w:r>
    </w:p>
    <w:p>
      <w:pPr>
        <w:pStyle w:val="24"/>
        <w:rPr>
          <w:rFonts w:ascii="Times New Roman"/>
        </w:rPr>
      </w:pPr>
      <w:r>
        <w:rPr>
          <w:rFonts w:hint="eastAsia" w:hAnsi="宋体" w:cs="宋体"/>
        </w:rPr>
        <w:t>行业资质荣誉从提供的绿色业务领域相关产品或服务，获得的国家级、省部级、市级或区级奖项、资质、荣誉、认定或证书的情况进行评价</w:t>
      </w:r>
      <w:r>
        <w:rPr>
          <w:rFonts w:hint="eastAsia" w:hAnsi="宋体" w:cs="宋体"/>
          <w:lang w:eastAsia="zh-CN"/>
        </w:rPr>
        <w:t>，</w:t>
      </w:r>
      <w:r>
        <w:rPr>
          <w:rFonts w:hint="eastAsia" w:hAnsi="宋体" w:cs="宋体"/>
          <w:lang w:val="en-US" w:eastAsia="zh-CN"/>
        </w:rPr>
        <w:t>国家级行业协会颁发的相关资质、荣誉、认定或证书视为省部级</w:t>
      </w:r>
      <w:r>
        <w:rPr>
          <w:rFonts w:hint="eastAsia" w:hAnsi="宋体" w:cs="宋体"/>
        </w:rPr>
        <w:t>。具体评分规则见表2</w:t>
      </w:r>
      <w:r>
        <w:rPr>
          <w:rFonts w:hint="eastAsia" w:hAnsi="宋体" w:cs="宋体"/>
          <w:lang w:val="en-US" w:eastAsia="zh-CN"/>
        </w:rPr>
        <w:t>2</w:t>
      </w:r>
      <w:r>
        <w:rPr>
          <w:rFonts w:hint="eastAsia" w:hAnsi="宋体" w:cs="宋体"/>
        </w:rPr>
        <w:t>。</w:t>
      </w:r>
    </w:p>
    <w:p>
      <w:pPr>
        <w:pStyle w:val="128"/>
        <w:rPr>
          <w:rFonts w:ascii="Times New Roman"/>
        </w:rPr>
      </w:pPr>
      <w:r>
        <w:rPr>
          <w:rFonts w:ascii="Times New Roman"/>
        </w:rPr>
        <w:t>行业资质荣誉评分规则表</w:t>
      </w:r>
    </w:p>
    <w:tbl>
      <w:tblPr>
        <w:tblStyle w:val="34"/>
        <w:tblW w:w="76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952"/>
        <w:gridCol w:w="1005"/>
        <w:gridCol w:w="3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09"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行业资质荣誉</w:t>
            </w:r>
          </w:p>
        </w:tc>
        <w:tc>
          <w:tcPr>
            <w:tcW w:w="95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005"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3318"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09"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获得1项国家级奖项、资质、荣誉、认定或证书。</w:t>
            </w:r>
          </w:p>
        </w:tc>
        <w:tc>
          <w:tcPr>
            <w:tcW w:w="952" w:type="dxa"/>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3</w:t>
            </w:r>
          </w:p>
        </w:tc>
        <w:tc>
          <w:tcPr>
            <w:tcW w:w="1005" w:type="dxa"/>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4</w:t>
            </w:r>
          </w:p>
        </w:tc>
        <w:tc>
          <w:tcPr>
            <w:tcW w:w="3318"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优质中小企业相应基础分值加1分。</w:t>
            </w:r>
          </w:p>
          <w:p>
            <w:pPr>
              <w:pStyle w:val="24"/>
              <w:ind w:firstLine="0" w:firstLineChars="0"/>
              <w:rPr>
                <w:rFonts w:hAnsi="宋体" w:cs="宋体"/>
                <w:sz w:val="18"/>
                <w:szCs w:val="18"/>
              </w:rPr>
            </w:pPr>
            <w:r>
              <w:rPr>
                <w:rFonts w:hint="eastAsia" w:hAnsi="宋体" w:cs="宋体"/>
                <w:sz w:val="18"/>
                <w:szCs w:val="18"/>
              </w:rPr>
              <w:t>每多一项国家级、省部级、市级、区级资质荣誉，分别加1分、0.5分、0.3分、0.2分。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09"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获得1项省部级奖项、资质、荣誉、认定或证书。</w:t>
            </w:r>
          </w:p>
        </w:tc>
        <w:tc>
          <w:tcPr>
            <w:tcW w:w="95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2</w:t>
            </w:r>
          </w:p>
        </w:tc>
        <w:tc>
          <w:tcPr>
            <w:tcW w:w="1005" w:type="dxa"/>
            <w:tcBorders>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3</w:t>
            </w:r>
          </w:p>
        </w:tc>
        <w:tc>
          <w:tcPr>
            <w:tcW w:w="3318"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09"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获得1项市级奖项、资质、荣誉、认定或证书。</w:t>
            </w:r>
          </w:p>
        </w:tc>
        <w:tc>
          <w:tcPr>
            <w:tcW w:w="95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05" w:type="dxa"/>
            <w:tcBorders>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2</w:t>
            </w:r>
          </w:p>
        </w:tc>
        <w:tc>
          <w:tcPr>
            <w:tcW w:w="3318"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409"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未获得行业资质荣誉奖项。</w:t>
            </w:r>
          </w:p>
        </w:tc>
        <w:tc>
          <w:tcPr>
            <w:tcW w:w="95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00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3318"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66"/>
        <w:ind w:left="780" w:leftChars="200" w:hanging="360" w:hangingChars="200"/>
        <w:rPr>
          <w:rFonts w:ascii="Times New Roman"/>
        </w:rPr>
      </w:pPr>
      <w:r>
        <w:rPr>
          <w:rFonts w:hint="eastAsia" w:hAnsi="宋体" w:cs="宋体"/>
        </w:rPr>
        <w:t>优质中小企业是指在产品、技术、管理、模式等方面创新能力强、专注细分市场、成长性好的中小企业，由创新型中小企业、专精特新中小企业和专精特新“小巨人”企业三个层次组成。</w:t>
      </w:r>
    </w:p>
    <w:p>
      <w:pPr>
        <w:pStyle w:val="48"/>
        <w:spacing w:before="156" w:after="156"/>
        <w:rPr>
          <w:rFonts w:ascii="Times New Roman"/>
        </w:rPr>
      </w:pPr>
      <w:r>
        <w:rPr>
          <w:rFonts w:ascii="Times New Roman"/>
        </w:rPr>
        <w:t>环境表现</w:t>
      </w:r>
    </w:p>
    <w:p>
      <w:pPr>
        <w:pStyle w:val="53"/>
        <w:numPr>
          <w:ilvl w:val="3"/>
          <w:numId w:val="2"/>
        </w:numPr>
        <w:spacing w:before="156" w:after="156"/>
        <w:rPr>
          <w:rFonts w:ascii="Times New Roman"/>
        </w:rPr>
      </w:pPr>
      <w:r>
        <w:rPr>
          <w:rFonts w:ascii="Times New Roman"/>
        </w:rPr>
        <w:t>设备材料</w:t>
      </w:r>
    </w:p>
    <w:p>
      <w:pPr>
        <w:pStyle w:val="24"/>
        <w:rPr>
          <w:rFonts w:hint="eastAsia" w:ascii="Times New Roman" w:eastAsia="宋体"/>
          <w:lang w:eastAsia="zh-CN"/>
        </w:rPr>
      </w:pPr>
      <w:r>
        <w:rPr>
          <w:rFonts w:hint="eastAsia" w:hAnsi="宋体" w:cs="宋体"/>
        </w:rPr>
        <w:t>设备材料从企事业单位自身生产运营过程中，采用工艺、设备及原材料的绿色化水平进行评价。推荐优先选用列入国家节能、环保相关技术推荐目录的工艺技术和装备设备，推荐参照</w:t>
      </w:r>
      <w:r>
        <w:rPr>
          <w:rFonts w:hint="eastAsia" w:hAnsi="宋体" w:cs="宋体"/>
          <w:lang w:eastAsia="zh-CN"/>
        </w:rPr>
        <w:t>《</w:t>
      </w:r>
      <w:r>
        <w:rPr>
          <w:rFonts w:hint="eastAsia" w:hAnsi="宋体" w:cs="宋体"/>
        </w:rPr>
        <w:t>首台（套）重大技术装备推广应用指导目录</w:t>
      </w:r>
      <w:r>
        <w:rPr>
          <w:rFonts w:hint="eastAsia" w:hAnsi="宋体" w:cs="宋体"/>
          <w:lang w:eastAsia="zh-CN"/>
        </w:rPr>
        <w:t>》、</w:t>
      </w:r>
      <w:r>
        <w:rPr>
          <w:rFonts w:hint="eastAsia" w:ascii="宋体" w:hAnsi="宋体" w:eastAsia="宋体" w:cs="宋体"/>
          <w:b w:val="0"/>
          <w:bCs w:val="0"/>
          <w:i w:val="0"/>
          <w:iCs w:val="0"/>
          <w:caps w:val="0"/>
          <w:spacing w:val="0"/>
          <w:sz w:val="21"/>
          <w:szCs w:val="20"/>
        </w:rPr>
        <w:t>《广东省节能技术、设备（产品）推荐目录》</w:t>
      </w:r>
      <w:r>
        <w:rPr>
          <w:rFonts w:hint="eastAsia" w:hAnsi="宋体" w:cs="宋体"/>
          <w:b w:val="0"/>
          <w:bCs w:val="0"/>
          <w:i w:val="0"/>
          <w:iCs w:val="0"/>
          <w:caps w:val="0"/>
          <w:spacing w:val="0"/>
          <w:sz w:val="21"/>
          <w:szCs w:val="20"/>
          <w:lang w:eastAsia="zh-CN"/>
        </w:rPr>
        <w:t>、</w:t>
      </w:r>
      <w:r>
        <w:rPr>
          <w:rFonts w:hint="eastAsia" w:ascii="宋体" w:hAnsi="宋体" w:eastAsia="宋体" w:cs="宋体"/>
          <w:b w:val="0"/>
          <w:bCs w:val="0"/>
          <w:i w:val="0"/>
          <w:iCs w:val="0"/>
          <w:caps w:val="0"/>
          <w:spacing w:val="0"/>
          <w:sz w:val="21"/>
          <w:szCs w:val="20"/>
        </w:rPr>
        <w:t>《国家重点节能低碳技术推广目录》</w:t>
      </w:r>
      <w:r>
        <w:rPr>
          <w:rFonts w:hint="eastAsia" w:hAnsi="宋体" w:cs="宋体"/>
        </w:rPr>
        <w:t>《国家鼓励的有毒有害原料（产品）替代品目录》实现有毒有害原材料替代</w:t>
      </w:r>
      <w:r>
        <w:rPr>
          <w:rFonts w:hint="eastAsia" w:ascii="宋体" w:hAnsi="宋体" w:eastAsia="宋体" w:cs="宋体"/>
          <w:b w:val="0"/>
          <w:bCs w:val="0"/>
          <w:i w:val="0"/>
          <w:iCs w:val="0"/>
          <w:caps w:val="0"/>
          <w:spacing w:val="0"/>
          <w:sz w:val="21"/>
          <w:szCs w:val="20"/>
        </w:rPr>
        <w:t>及其他相关目录中的节能技术、生产工艺和用能设备</w:t>
      </w:r>
      <w:r>
        <w:rPr>
          <w:rFonts w:hint="eastAsia" w:hAnsi="宋体" w:cs="宋体"/>
        </w:rPr>
        <w:t>。具体评分规则见表2</w:t>
      </w:r>
      <w:r>
        <w:rPr>
          <w:rFonts w:hint="eastAsia" w:hAnsi="宋体" w:cs="宋体"/>
          <w:lang w:val="en-US" w:eastAsia="zh-CN"/>
        </w:rPr>
        <w:t>3</w:t>
      </w:r>
      <w:r>
        <w:rPr>
          <w:rFonts w:hint="eastAsia" w:hAnsi="宋体" w:cs="宋体"/>
        </w:rPr>
        <w:t>。</w:t>
      </w:r>
    </w:p>
    <w:p>
      <w:pPr>
        <w:pStyle w:val="128"/>
        <w:rPr>
          <w:rFonts w:ascii="Times New Roman"/>
        </w:rPr>
      </w:pPr>
      <w:r>
        <w:rPr>
          <w:rFonts w:ascii="Times New Roman"/>
        </w:rPr>
        <w:t>工艺设备材料评分规则表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971"/>
        <w:gridCol w:w="1650"/>
        <w:gridCol w:w="1064"/>
        <w:gridCol w:w="11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设备绿色化水平</w:t>
            </w:r>
          </w:p>
        </w:tc>
        <w:tc>
          <w:tcPr>
            <w:tcW w:w="971"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50"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材料绿色化水平</w:t>
            </w:r>
          </w:p>
        </w:tc>
        <w:tc>
          <w:tcPr>
            <w:tcW w:w="1064"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158"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推荐目录采购比例超过50%。</w:t>
            </w:r>
          </w:p>
        </w:tc>
        <w:tc>
          <w:tcPr>
            <w:tcW w:w="971" w:type="dxa"/>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1</w:t>
            </w:r>
          </w:p>
        </w:tc>
        <w:tc>
          <w:tcPr>
            <w:tcW w:w="1650"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全面实施无毒无害原材料替代。</w:t>
            </w:r>
          </w:p>
        </w:tc>
        <w:tc>
          <w:tcPr>
            <w:tcW w:w="1064"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158"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该项得分为</w:t>
            </w:r>
            <w:r>
              <w:rPr>
                <w:rFonts w:hint="eastAsia" w:hAnsi="宋体" w:cs="宋体"/>
                <w:sz w:val="18"/>
                <w:szCs w:val="18"/>
                <w:lang w:eastAsia="zh-CN"/>
              </w:rPr>
              <w:t>两</w:t>
            </w:r>
            <w:r>
              <w:rPr>
                <w:rFonts w:hint="eastAsia" w:hAnsi="宋体" w:cs="宋体"/>
                <w:sz w:val="18"/>
                <w:szCs w:val="18"/>
              </w:rPr>
              <w:t>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推荐目录采购比例超过30%。</w:t>
            </w:r>
          </w:p>
        </w:tc>
        <w:tc>
          <w:tcPr>
            <w:tcW w:w="971" w:type="dxa"/>
            <w:tcBorders>
              <w:tl2br w:val="nil"/>
              <w:tr2bl w:val="nil"/>
            </w:tcBorders>
            <w:vAlign w:val="center"/>
          </w:tcPr>
          <w:p>
            <w:pPr>
              <w:pStyle w:val="24"/>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0.5</w:t>
            </w:r>
          </w:p>
        </w:tc>
        <w:tc>
          <w:tcPr>
            <w:tcW w:w="165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部分实施无毒无害原材料替代。</w:t>
            </w:r>
          </w:p>
        </w:tc>
        <w:tc>
          <w:tcPr>
            <w:tcW w:w="1064"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0.5</w:t>
            </w:r>
          </w:p>
        </w:tc>
        <w:tc>
          <w:tcPr>
            <w:tcW w:w="1158" w:type="dxa"/>
            <w:vMerge w:val="continue"/>
            <w:tcBorders>
              <w:tl2br w:val="nil"/>
              <w:tr2bl w:val="nil"/>
            </w:tcBorders>
            <w:vAlign w:val="center"/>
          </w:tcPr>
          <w:p>
            <w:pPr>
              <w:pStyle w:val="24"/>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4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推荐目录采购比例未超过30%。</w:t>
            </w:r>
          </w:p>
        </w:tc>
        <w:tc>
          <w:tcPr>
            <w:tcW w:w="971"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650"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未实施无毒无害原材料替代。</w:t>
            </w:r>
          </w:p>
        </w:tc>
        <w:tc>
          <w:tcPr>
            <w:tcW w:w="1064"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c>
          <w:tcPr>
            <w:tcW w:w="1158" w:type="dxa"/>
            <w:vMerge w:val="continue"/>
            <w:tcBorders>
              <w:tl2br w:val="nil"/>
              <w:tr2bl w:val="nil"/>
            </w:tcBorders>
            <w:vAlign w:val="center"/>
          </w:tcPr>
          <w:p>
            <w:pPr>
              <w:pStyle w:val="24"/>
              <w:ind w:firstLine="0" w:firstLineChars="0"/>
              <w:rPr>
                <w:rFonts w:hAnsi="宋体" w:cs="宋体"/>
                <w:sz w:val="18"/>
                <w:szCs w:val="18"/>
              </w:rPr>
            </w:pPr>
          </w:p>
        </w:tc>
      </w:tr>
    </w:tbl>
    <w:p>
      <w:pPr>
        <w:pStyle w:val="53"/>
        <w:numPr>
          <w:ilvl w:val="3"/>
          <w:numId w:val="2"/>
        </w:numPr>
        <w:spacing w:before="156" w:after="156"/>
        <w:rPr>
          <w:rFonts w:ascii="Times New Roman"/>
        </w:rPr>
      </w:pPr>
      <w:r>
        <w:rPr>
          <w:rFonts w:ascii="Times New Roman"/>
        </w:rPr>
        <w:t>能源资源利用</w:t>
      </w:r>
    </w:p>
    <w:p>
      <w:pPr>
        <w:pStyle w:val="57"/>
        <w:spacing w:before="156" w:after="156"/>
        <w:rPr>
          <w:highlight w:val="none"/>
        </w:rPr>
      </w:pPr>
      <w:r>
        <w:rPr>
          <w:rFonts w:hint="eastAsia"/>
          <w:highlight w:val="none"/>
          <w:lang w:eastAsia="zh-CN"/>
        </w:rPr>
        <w:t>能耗</w:t>
      </w:r>
    </w:p>
    <w:p>
      <w:pPr>
        <w:pStyle w:val="58"/>
        <w:keepNext w:val="0"/>
        <w:keepLines w:val="0"/>
        <w:pageBreakBefore w:val="0"/>
        <w:widowControl/>
        <w:numPr>
          <w:ilvl w:val="-1"/>
          <w:numId w:val="0"/>
        </w:numPr>
        <w:kinsoku/>
        <w:wordWrap/>
        <w:overflowPunct/>
        <w:topLinePunct w:val="0"/>
        <w:autoSpaceDE/>
        <w:autoSpaceDN/>
        <w:bidi w:val="0"/>
        <w:adjustRightInd/>
        <w:snapToGrid/>
        <w:spacing w:before="156" w:beforeLines="50" w:after="156" w:afterLines="50"/>
        <w:ind w:left="0" w:firstLine="420" w:firstLineChars="200"/>
        <w:textAlignment w:val="auto"/>
        <w:outlineLvl w:val="9"/>
        <w:rPr>
          <w:rFonts w:hint="eastAsia" w:ascii="宋体" w:hAnsi="宋体" w:eastAsia="宋体" w:cs="宋体"/>
          <w:sz w:val="21"/>
          <w:highlight w:val="none"/>
          <w:lang w:val="en-US" w:eastAsia="zh-CN" w:bidi="ar-SA"/>
        </w:rPr>
      </w:pPr>
      <w:bookmarkStart w:id="128" w:name="_GoBack"/>
      <w:r>
        <w:rPr>
          <w:rFonts w:hint="eastAsia" w:ascii="宋体" w:hAnsi="宋体" w:eastAsia="宋体" w:cs="宋体"/>
          <w:sz w:val="21"/>
          <w:highlight w:val="none"/>
          <w:lang w:val="en-US" w:eastAsia="zh-CN" w:bidi="ar-SA"/>
        </w:rPr>
        <w:t>能耗是指从企事业单位自身生产运营过程，对能源消耗量大小进行评价的指标。具体评分规则见表24-表25。</w:t>
      </w:r>
    </w:p>
    <w:bookmarkEnd w:id="128"/>
    <w:p>
      <w:pPr>
        <w:numPr>
          <w:ilvl w:val="0"/>
          <w:numId w:val="17"/>
        </w:numPr>
        <w:spacing w:before="156" w:beforeLines="50" w:after="156" w:afterLines="50"/>
        <w:ind w:left="0" w:firstLine="0"/>
        <w:jc w:val="center"/>
        <w:rPr>
          <w:rFonts w:hint="eastAsia"/>
          <w:lang w:val="en-US" w:eastAsia="zh-CN"/>
        </w:rPr>
      </w:pPr>
      <w:r>
        <w:rPr>
          <w:rFonts w:hint="eastAsia" w:eastAsia="黑体" w:cs="Times New Roman"/>
          <w:sz w:val="21"/>
          <w:highlight w:val="none"/>
          <w:lang w:val="en-US" w:eastAsia="zh-CN" w:bidi="ar-SA"/>
        </w:rPr>
        <w:t>生产制造类能耗</w:t>
      </w:r>
      <w:r>
        <w:rPr>
          <w:rFonts w:ascii="Times New Roman" w:hAnsi="Times New Roman" w:eastAsia="黑体" w:cs="Times New Roman"/>
          <w:sz w:val="21"/>
          <w:highlight w:val="none"/>
          <w:lang w:val="en-US" w:eastAsia="zh-CN" w:bidi="ar-SA"/>
        </w:rPr>
        <w:t>评分规则表</w:t>
      </w:r>
    </w:p>
    <w:tbl>
      <w:tblPr>
        <w:tblStyle w:val="35"/>
        <w:tblW w:w="90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56"/>
        <w:gridCol w:w="967"/>
        <w:gridCol w:w="1029"/>
        <w:gridCol w:w="1221"/>
        <w:gridCol w:w="1150"/>
        <w:gridCol w:w="1294"/>
        <w:gridCol w:w="968"/>
        <w:gridCol w:w="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1" w:type="dxa"/>
            <w:tcBorders>
              <w:bottom w:val="single" w:color="auto" w:sz="8" w:space="0"/>
            </w:tcBorders>
            <w:vAlign w:val="center"/>
          </w:tcPr>
          <w:p>
            <w:pPr>
              <w:pStyle w:val="58"/>
              <w:numPr>
                <w:ilvl w:val="-1"/>
                <w:numId w:val="0"/>
              </w:numPr>
              <w:spacing w:before="156" w:beforeLines="50" w:after="156" w:afterLines="50"/>
              <w:jc w:val="center"/>
              <w:outlineLvl w:val="4"/>
              <w:rPr>
                <w:rFonts w:hint="default"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类别</w:t>
            </w:r>
          </w:p>
        </w:tc>
        <w:tc>
          <w:tcPr>
            <w:tcW w:w="956" w:type="dxa"/>
            <w:tcBorders>
              <w:bottom w:val="single" w:color="auto" w:sz="8" w:space="0"/>
            </w:tcBorders>
            <w:vAlign w:val="center"/>
          </w:tcPr>
          <w:p>
            <w:pPr>
              <w:pStyle w:val="58"/>
              <w:numPr>
                <w:ilvl w:val="-1"/>
                <w:numId w:val="0"/>
              </w:numPr>
              <w:spacing w:before="0" w:beforeLines="0" w:after="0" w:afterLines="0"/>
              <w:jc w:val="center"/>
              <w:outlineLvl w:val="4"/>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多晶硅(</w:t>
            </w:r>
            <w:r>
              <w:rPr>
                <w:rFonts w:hint="eastAsia" w:ascii="宋体" w:hAnsi="宋体" w:eastAsia="宋体" w:cs="宋体"/>
                <w:b/>
                <w:bCs/>
                <w:sz w:val="18"/>
                <w:szCs w:val="18"/>
                <w:lang w:val="en-US" w:eastAsia="zh-CN"/>
              </w:rPr>
              <w:t>KWh</w:t>
            </w:r>
            <w:r>
              <w:rPr>
                <w:rFonts w:hint="eastAsia" w:ascii="宋体" w:hAnsi="宋体" w:eastAsia="宋体" w:cs="宋体"/>
                <w:b/>
                <w:bCs/>
                <w:sz w:val="18"/>
                <w:szCs w:val="18"/>
                <w:highlight w:val="none"/>
                <w:vertAlign w:val="baseline"/>
                <w:lang w:val="en-US" w:eastAsia="zh-CN"/>
              </w:rPr>
              <w:t>/Kg)</w:t>
            </w:r>
          </w:p>
        </w:tc>
        <w:tc>
          <w:tcPr>
            <w:tcW w:w="967" w:type="dxa"/>
            <w:tcBorders>
              <w:bottom w:val="single" w:color="auto" w:sz="8" w:space="0"/>
            </w:tcBorders>
            <w:vAlign w:val="center"/>
          </w:tcPr>
          <w:p>
            <w:pPr>
              <w:pStyle w:val="58"/>
              <w:numPr>
                <w:ilvl w:val="-1"/>
                <w:numId w:val="0"/>
              </w:numPr>
              <w:spacing w:before="0" w:beforeLines="0" w:after="0" w:afterLines="0"/>
              <w:jc w:val="center"/>
              <w:outlineLvl w:val="4"/>
              <w:rPr>
                <w:rFonts w:hint="eastAsia" w:ascii="宋体" w:hAnsi="宋体" w:eastAsia="宋体" w:cs="宋体"/>
                <w:b/>
                <w:bCs/>
                <w:sz w:val="18"/>
                <w:szCs w:val="18"/>
                <w:highlight w:val="none"/>
                <w:vertAlign w:val="baseline"/>
              </w:rPr>
            </w:pPr>
            <w:r>
              <w:rPr>
                <w:rFonts w:hint="eastAsia" w:ascii="宋体" w:hAnsi="宋体" w:eastAsia="宋体" w:cs="宋体"/>
                <w:b/>
                <w:bCs/>
                <w:sz w:val="18"/>
                <w:szCs w:val="18"/>
                <w:highlight w:val="none"/>
                <w:vertAlign w:val="baseline"/>
                <w:lang w:val="en-US" w:eastAsia="zh-CN"/>
              </w:rPr>
              <w:t>多晶硅片(</w:t>
            </w:r>
            <w:r>
              <w:rPr>
                <w:rFonts w:hint="eastAsia" w:ascii="宋体" w:hAnsi="宋体" w:eastAsia="宋体" w:cs="宋体"/>
                <w:b/>
                <w:bCs/>
                <w:sz w:val="18"/>
                <w:szCs w:val="18"/>
                <w:lang w:val="en-US" w:eastAsia="zh-CN"/>
              </w:rPr>
              <w:t>KWh</w:t>
            </w:r>
            <w:r>
              <w:rPr>
                <w:rFonts w:hint="eastAsia" w:ascii="宋体" w:hAnsi="宋体" w:eastAsia="宋体" w:cs="宋体"/>
                <w:b/>
                <w:bCs/>
                <w:sz w:val="18"/>
                <w:szCs w:val="18"/>
                <w:highlight w:val="none"/>
                <w:vertAlign w:val="baseline"/>
                <w:lang w:val="en-US" w:eastAsia="zh-CN"/>
              </w:rPr>
              <w:t>/Kg)</w:t>
            </w:r>
          </w:p>
        </w:tc>
        <w:tc>
          <w:tcPr>
            <w:tcW w:w="1029" w:type="dxa"/>
            <w:tcBorders>
              <w:bottom w:val="single" w:color="auto" w:sz="8" w:space="0"/>
            </w:tcBorders>
            <w:vAlign w:val="center"/>
          </w:tcPr>
          <w:p>
            <w:pPr>
              <w:pStyle w:val="58"/>
              <w:numPr>
                <w:ilvl w:val="-1"/>
                <w:numId w:val="0"/>
              </w:numPr>
              <w:spacing w:before="0" w:beforeLines="0" w:after="0" w:afterLines="0"/>
              <w:jc w:val="center"/>
              <w:outlineLvl w:val="4"/>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单晶硅片(</w:t>
            </w:r>
            <w:r>
              <w:rPr>
                <w:rFonts w:hint="eastAsia" w:ascii="宋体" w:hAnsi="宋体" w:eastAsia="宋体" w:cs="宋体"/>
                <w:b/>
                <w:bCs/>
                <w:sz w:val="18"/>
                <w:szCs w:val="18"/>
                <w:lang w:val="en-US" w:eastAsia="zh-CN"/>
              </w:rPr>
              <w:t>KWh</w:t>
            </w:r>
            <w:r>
              <w:rPr>
                <w:rFonts w:hint="eastAsia" w:ascii="宋体" w:hAnsi="宋体" w:eastAsia="宋体" w:cs="宋体"/>
                <w:b/>
                <w:bCs/>
                <w:sz w:val="18"/>
                <w:szCs w:val="18"/>
                <w:highlight w:val="none"/>
                <w:vertAlign w:val="baseline"/>
                <w:lang w:val="en-US" w:eastAsia="zh-CN"/>
              </w:rPr>
              <w:t>/Kg)</w:t>
            </w:r>
          </w:p>
        </w:tc>
        <w:tc>
          <w:tcPr>
            <w:tcW w:w="1221" w:type="dxa"/>
            <w:tcBorders>
              <w:bottom w:val="single" w:color="auto" w:sz="8" w:space="0"/>
            </w:tcBorders>
            <w:vAlign w:val="center"/>
          </w:tcPr>
          <w:p>
            <w:pPr>
              <w:pStyle w:val="58"/>
              <w:numPr>
                <w:ilvl w:val="-1"/>
                <w:numId w:val="0"/>
              </w:numPr>
              <w:spacing w:before="0" w:beforeLines="0" w:after="0" w:afterLines="0"/>
              <w:jc w:val="center"/>
              <w:outlineLvl w:val="4"/>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晶硅电池(</w:t>
            </w:r>
            <w:r>
              <w:rPr>
                <w:rFonts w:hint="eastAsia" w:ascii="宋体" w:hAnsi="宋体" w:eastAsia="宋体" w:cs="宋体"/>
                <w:b/>
                <w:bCs/>
                <w:sz w:val="18"/>
                <w:szCs w:val="18"/>
                <w:lang w:val="en-US" w:eastAsia="zh-CN"/>
              </w:rPr>
              <w:t>KWh</w:t>
            </w:r>
            <w:r>
              <w:rPr>
                <w:rFonts w:hint="eastAsia" w:ascii="宋体" w:hAnsi="宋体" w:eastAsia="宋体" w:cs="宋体"/>
                <w:b/>
                <w:bCs/>
                <w:sz w:val="18"/>
                <w:szCs w:val="18"/>
                <w:highlight w:val="none"/>
                <w:vertAlign w:val="baseline"/>
                <w:lang w:val="en-US" w:eastAsia="zh-CN"/>
              </w:rPr>
              <w:t>/Kg)</w:t>
            </w:r>
          </w:p>
        </w:tc>
        <w:tc>
          <w:tcPr>
            <w:tcW w:w="1150" w:type="dxa"/>
            <w:tcBorders>
              <w:bottom w:val="single" w:color="auto" w:sz="8" w:space="0"/>
            </w:tcBorders>
            <w:vAlign w:val="center"/>
          </w:tcPr>
          <w:p>
            <w:pPr>
              <w:pStyle w:val="58"/>
              <w:numPr>
                <w:ilvl w:val="-1"/>
                <w:numId w:val="0"/>
              </w:numPr>
              <w:spacing w:before="0" w:beforeLines="0" w:after="0" w:afterLines="0"/>
              <w:jc w:val="center"/>
              <w:outlineLvl w:val="4"/>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晶硅组件(</w:t>
            </w:r>
            <w:r>
              <w:rPr>
                <w:rFonts w:hint="eastAsia" w:ascii="宋体" w:hAnsi="宋体" w:eastAsia="宋体" w:cs="宋体"/>
                <w:b/>
                <w:bCs/>
                <w:sz w:val="18"/>
                <w:szCs w:val="18"/>
                <w:lang w:val="en-US" w:eastAsia="zh-CN"/>
              </w:rPr>
              <w:t>KWh/MWp</w:t>
            </w:r>
            <w:r>
              <w:rPr>
                <w:rFonts w:hint="eastAsia" w:ascii="宋体" w:hAnsi="宋体" w:eastAsia="宋体" w:cs="宋体"/>
                <w:b/>
                <w:bCs/>
                <w:sz w:val="18"/>
                <w:szCs w:val="18"/>
                <w:highlight w:val="none"/>
                <w:vertAlign w:val="baseline"/>
                <w:lang w:val="en-US" w:eastAsia="zh-CN"/>
              </w:rPr>
              <w:t>)</w:t>
            </w:r>
          </w:p>
        </w:tc>
        <w:tc>
          <w:tcPr>
            <w:tcW w:w="1294" w:type="dxa"/>
            <w:tcBorders>
              <w:bottom w:val="single" w:color="auto" w:sz="8" w:space="0"/>
            </w:tcBorders>
            <w:vAlign w:val="center"/>
          </w:tcPr>
          <w:p>
            <w:pPr>
              <w:pStyle w:val="58"/>
              <w:numPr>
                <w:ilvl w:val="5"/>
                <w:numId w:val="0"/>
              </w:numPr>
              <w:spacing w:before="0" w:beforeLines="0" w:after="0" w:afterLines="0"/>
              <w:jc w:val="center"/>
              <w:outlineLvl w:val="4"/>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lang w:val="en-US" w:eastAsia="zh-CN"/>
              </w:rPr>
              <w:t>薄膜组件(KWh/MWp)</w:t>
            </w:r>
          </w:p>
        </w:tc>
        <w:tc>
          <w:tcPr>
            <w:tcW w:w="968" w:type="dxa"/>
            <w:tcBorders>
              <w:bottom w:val="single" w:color="auto" w:sz="8" w:space="0"/>
            </w:tcBorders>
            <w:vAlign w:val="center"/>
          </w:tcPr>
          <w:p>
            <w:pPr>
              <w:pStyle w:val="24"/>
              <w:spacing w:beforeLines="0" w:afterLines="0"/>
              <w:ind w:firstLine="0" w:firstLineChars="0"/>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其他</w:t>
            </w:r>
          </w:p>
        </w:tc>
        <w:tc>
          <w:tcPr>
            <w:tcW w:w="765" w:type="dxa"/>
            <w:tcBorders>
              <w:bottom w:val="single" w:color="auto" w:sz="8" w:space="0"/>
            </w:tcBorders>
            <w:vAlign w:val="center"/>
          </w:tcPr>
          <w:p>
            <w:pPr>
              <w:pStyle w:val="24"/>
              <w:spacing w:beforeLines="0" w:afterLines="0"/>
              <w:ind w:firstLine="0" w:firstLineChars="0"/>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lang w:val="en-US" w:eastAsia="zh-CN" w:bidi="ar-SA"/>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1" w:type="dxa"/>
            <w:vMerge w:val="restart"/>
            <w:tcBorders>
              <w:top w:val="single" w:color="auto" w:sz="8" w:space="0"/>
              <w:tl2br w:val="nil"/>
              <w:tr2bl w:val="nil"/>
            </w:tcBorders>
            <w:vAlign w:val="center"/>
          </w:tcPr>
          <w:p>
            <w:pPr>
              <w:pStyle w:val="58"/>
              <w:numPr>
                <w:ilvl w:val="-1"/>
                <w:numId w:val="0"/>
              </w:numPr>
              <w:spacing w:before="156" w:beforeLines="50" w:after="156" w:afterLines="50"/>
              <w:jc w:val="center"/>
              <w:outlineLvl w:val="4"/>
              <w:rPr>
                <w:rFonts w:hint="default"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电耗水平</w:t>
            </w:r>
          </w:p>
        </w:tc>
        <w:tc>
          <w:tcPr>
            <w:tcW w:w="956" w:type="dxa"/>
            <w:tcBorders>
              <w:top w:val="single" w:color="auto" w:sz="8" w:space="0"/>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r>
              <w:rPr>
                <w:rFonts w:hint="eastAsia" w:ascii="宋体" w:hAnsi="宋体" w:eastAsia="宋体" w:cs="宋体"/>
                <w:sz w:val="18"/>
                <w:szCs w:val="18"/>
                <w:highlight w:val="none"/>
                <w:lang w:val="en-US" w:eastAsia="zh-CN" w:bidi="ar-SA"/>
              </w:rPr>
              <w:t>＜65</w:t>
            </w:r>
          </w:p>
        </w:tc>
        <w:tc>
          <w:tcPr>
            <w:tcW w:w="967" w:type="dxa"/>
            <w:tcBorders>
              <w:top w:val="single" w:color="auto" w:sz="8" w:space="0"/>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25</w:t>
            </w:r>
          </w:p>
        </w:tc>
        <w:tc>
          <w:tcPr>
            <w:tcW w:w="1029" w:type="dxa"/>
            <w:tcBorders>
              <w:top w:val="single" w:color="auto" w:sz="8" w:space="0"/>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10</w:t>
            </w:r>
          </w:p>
        </w:tc>
        <w:tc>
          <w:tcPr>
            <w:tcW w:w="1221" w:type="dxa"/>
            <w:tcBorders>
              <w:top w:val="single" w:color="auto" w:sz="8" w:space="0"/>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5万</w:t>
            </w:r>
          </w:p>
        </w:tc>
        <w:tc>
          <w:tcPr>
            <w:tcW w:w="1150" w:type="dxa"/>
            <w:tcBorders>
              <w:top w:val="single" w:color="auto" w:sz="8" w:space="0"/>
              <w:tl2br w:val="nil"/>
              <w:tr2bl w:val="nil"/>
            </w:tcBorders>
            <w:vAlign w:val="center"/>
          </w:tcPr>
          <w:p>
            <w:pPr>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bidi="ar-SA"/>
              </w:rPr>
              <w:t>＜</w:t>
            </w:r>
            <w:r>
              <w:rPr>
                <w:rFonts w:hint="eastAsia" w:ascii="宋体" w:hAnsi="宋体" w:eastAsia="宋体" w:cs="宋体"/>
                <w:kern w:val="0"/>
                <w:sz w:val="18"/>
                <w:szCs w:val="18"/>
                <w:highlight w:val="none"/>
                <w:lang w:val="en-US" w:eastAsia="zh-CN" w:bidi="ar-SA"/>
              </w:rPr>
              <w:t>2</w:t>
            </w:r>
            <w:r>
              <w:rPr>
                <w:rFonts w:hint="eastAsia" w:ascii="宋体" w:hAnsi="宋体" w:eastAsia="宋体" w:cs="宋体"/>
                <w:color w:val="000000"/>
                <w:kern w:val="0"/>
                <w:sz w:val="18"/>
                <w:szCs w:val="18"/>
                <w:highlight w:val="none"/>
                <w:lang w:val="en-US" w:eastAsia="zh-CN" w:bidi="ar-SA"/>
              </w:rPr>
              <w:t>万</w:t>
            </w:r>
          </w:p>
        </w:tc>
        <w:tc>
          <w:tcPr>
            <w:tcW w:w="1294" w:type="dxa"/>
            <w:tcBorders>
              <w:top w:val="single" w:color="auto" w:sz="8" w:space="0"/>
              <w:tl2br w:val="nil"/>
              <w:tr2bl w:val="nil"/>
            </w:tcBorders>
            <w:vAlign w:val="center"/>
          </w:tcPr>
          <w:p>
            <w:pPr>
              <w:spacing w:beforeLines="0" w:afterLine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eastAsia="宋体" w:cs="宋体"/>
                <w:kern w:val="0"/>
                <w:sz w:val="18"/>
                <w:szCs w:val="18"/>
                <w:highlight w:val="none"/>
                <w:lang w:val="en-US" w:eastAsia="zh-CN" w:bidi="ar-SA"/>
              </w:rPr>
              <w:t>15万</w:t>
            </w:r>
          </w:p>
        </w:tc>
        <w:tc>
          <w:tcPr>
            <w:tcW w:w="968" w:type="dxa"/>
            <w:vMerge w:val="restart"/>
            <w:tcBorders>
              <w:top w:val="single" w:color="auto" w:sz="8" w:space="0"/>
              <w:tl2br w:val="nil"/>
              <w:tr2bl w:val="nil"/>
            </w:tcBorders>
            <w:vAlign w:val="center"/>
          </w:tcPr>
          <w:p>
            <w:pPr>
              <w:spacing w:beforeLines="0" w:afterLine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出具产品能耗书面说明，专家给予打分。</w:t>
            </w:r>
          </w:p>
        </w:tc>
        <w:tc>
          <w:tcPr>
            <w:tcW w:w="765" w:type="dxa"/>
            <w:tcBorders>
              <w:top w:val="single" w:color="auto" w:sz="8" w:space="0"/>
              <w:tl2br w:val="nil"/>
              <w:tr2bl w:val="nil"/>
            </w:tcBorders>
            <w:vAlign w:val="center"/>
          </w:tcPr>
          <w:p>
            <w:pPr>
              <w:spacing w:beforeLines="0" w:afterLine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1" w:type="dxa"/>
            <w:vMerge w:val="continue"/>
            <w:tcBorders>
              <w:tl2br w:val="nil"/>
              <w:tr2bl w:val="nil"/>
            </w:tcBorders>
          </w:tcPr>
          <w:p>
            <w:pPr>
              <w:pStyle w:val="58"/>
              <w:numPr>
                <w:ilvl w:val="-1"/>
                <w:numId w:val="0"/>
              </w:numPr>
              <w:spacing w:before="156" w:beforeLines="50" w:after="156" w:afterLines="50"/>
              <w:outlineLvl w:val="4"/>
              <w:rPr>
                <w:rFonts w:hint="eastAsia" w:ascii="宋体" w:hAnsi="宋体" w:eastAsia="宋体" w:cs="宋体"/>
                <w:sz w:val="18"/>
                <w:szCs w:val="18"/>
                <w:highlight w:val="none"/>
                <w:vertAlign w:val="baseline"/>
                <w:lang w:eastAsia="zh-CN"/>
              </w:rPr>
            </w:pPr>
          </w:p>
        </w:tc>
        <w:tc>
          <w:tcPr>
            <w:tcW w:w="956"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eastAsia="zh-CN"/>
              </w:rPr>
            </w:pPr>
            <w:r>
              <w:rPr>
                <w:rFonts w:hint="eastAsia" w:ascii="宋体" w:hAnsi="宋体" w:eastAsia="宋体" w:cs="宋体"/>
                <w:sz w:val="18"/>
                <w:szCs w:val="18"/>
                <w:highlight w:val="none"/>
                <w:vertAlign w:val="baseline"/>
                <w:lang w:val="en-US" w:eastAsia="zh-CN"/>
              </w:rPr>
              <w:t>[65，70）</w:t>
            </w:r>
          </w:p>
        </w:tc>
        <w:tc>
          <w:tcPr>
            <w:tcW w:w="967"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r>
              <w:rPr>
                <w:rFonts w:hint="eastAsia" w:ascii="宋体" w:hAnsi="宋体" w:eastAsia="宋体" w:cs="宋体"/>
                <w:sz w:val="18"/>
                <w:szCs w:val="18"/>
                <w:highlight w:val="none"/>
                <w:vertAlign w:val="baseline"/>
                <w:lang w:val="en-US" w:eastAsia="zh-CN"/>
              </w:rPr>
              <w:t>[15，20)</w:t>
            </w:r>
          </w:p>
        </w:tc>
        <w:tc>
          <w:tcPr>
            <w:tcW w:w="1029"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r>
              <w:rPr>
                <w:rFonts w:hint="eastAsia" w:ascii="宋体" w:hAnsi="宋体" w:eastAsia="宋体" w:cs="宋体"/>
                <w:sz w:val="18"/>
                <w:szCs w:val="18"/>
                <w:highlight w:val="none"/>
                <w:vertAlign w:val="baseline"/>
                <w:lang w:val="en-US" w:eastAsia="zh-CN"/>
              </w:rPr>
              <w:t>[10，15)</w:t>
            </w:r>
          </w:p>
        </w:tc>
        <w:tc>
          <w:tcPr>
            <w:tcW w:w="1221"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r>
              <w:rPr>
                <w:rFonts w:hint="eastAsia" w:ascii="宋体" w:hAnsi="宋体" w:eastAsia="宋体" w:cs="宋体"/>
                <w:sz w:val="18"/>
                <w:szCs w:val="18"/>
                <w:highlight w:val="none"/>
                <w:vertAlign w:val="baseline"/>
                <w:lang w:val="en-US" w:eastAsia="zh-CN"/>
              </w:rPr>
              <w:t>[5万，8万)</w:t>
            </w:r>
          </w:p>
        </w:tc>
        <w:tc>
          <w:tcPr>
            <w:tcW w:w="1150"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r>
              <w:rPr>
                <w:rFonts w:hint="eastAsia" w:ascii="宋体" w:hAnsi="宋体" w:eastAsia="宋体" w:cs="宋体"/>
                <w:sz w:val="18"/>
                <w:szCs w:val="18"/>
                <w:highlight w:val="none"/>
                <w:vertAlign w:val="baseline"/>
                <w:lang w:val="en-US" w:eastAsia="zh-CN"/>
              </w:rPr>
              <w:t>[2万，4万)</w:t>
            </w:r>
          </w:p>
        </w:tc>
        <w:tc>
          <w:tcPr>
            <w:tcW w:w="1294"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r>
              <w:rPr>
                <w:rFonts w:hint="eastAsia" w:ascii="宋体" w:hAnsi="宋体" w:eastAsia="宋体" w:cs="宋体"/>
                <w:sz w:val="18"/>
                <w:szCs w:val="18"/>
                <w:highlight w:val="none"/>
                <w:vertAlign w:val="baseline"/>
                <w:lang w:val="en-US" w:eastAsia="zh-CN"/>
              </w:rPr>
              <w:t>[15</w:t>
            </w:r>
            <w:r>
              <w:rPr>
                <w:rFonts w:hint="eastAsia" w:ascii="宋体" w:hAnsi="宋体" w:eastAsia="宋体" w:cs="宋体"/>
                <w:color w:val="000000"/>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，50</w:t>
            </w:r>
            <w:r>
              <w:rPr>
                <w:rFonts w:hint="eastAsia" w:ascii="宋体" w:hAnsi="宋体" w:eastAsia="宋体" w:cs="宋体"/>
                <w:color w:val="000000"/>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w:t>
            </w:r>
          </w:p>
        </w:tc>
        <w:tc>
          <w:tcPr>
            <w:tcW w:w="968" w:type="dxa"/>
            <w:vMerge w:val="continue"/>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p>
        </w:tc>
        <w:tc>
          <w:tcPr>
            <w:tcW w:w="765"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1" w:type="dxa"/>
            <w:vMerge w:val="continue"/>
            <w:tcBorders>
              <w:tl2br w:val="nil"/>
              <w:tr2bl w:val="nil"/>
            </w:tcBorders>
          </w:tcPr>
          <w:p>
            <w:pPr>
              <w:pStyle w:val="58"/>
              <w:numPr>
                <w:ilvl w:val="-1"/>
                <w:numId w:val="0"/>
              </w:numPr>
              <w:spacing w:before="156" w:beforeLines="50" w:after="156" w:afterLines="50"/>
              <w:outlineLvl w:val="4"/>
              <w:rPr>
                <w:rFonts w:hint="eastAsia" w:ascii="宋体" w:hAnsi="宋体" w:eastAsia="宋体" w:cs="宋体"/>
                <w:sz w:val="18"/>
                <w:szCs w:val="18"/>
                <w:highlight w:val="none"/>
                <w:vertAlign w:val="baseline"/>
                <w:lang w:eastAsia="zh-CN"/>
              </w:rPr>
            </w:pPr>
          </w:p>
        </w:tc>
        <w:tc>
          <w:tcPr>
            <w:tcW w:w="956"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[70，75）</w:t>
            </w:r>
          </w:p>
        </w:tc>
        <w:tc>
          <w:tcPr>
            <w:tcW w:w="967"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[20，25)</w:t>
            </w:r>
          </w:p>
        </w:tc>
        <w:tc>
          <w:tcPr>
            <w:tcW w:w="1029"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[15，20)</w:t>
            </w:r>
          </w:p>
        </w:tc>
        <w:tc>
          <w:tcPr>
            <w:tcW w:w="1221"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[8万，10万)</w:t>
            </w:r>
          </w:p>
        </w:tc>
        <w:tc>
          <w:tcPr>
            <w:tcW w:w="1150"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[4万，9万)</w:t>
            </w:r>
          </w:p>
        </w:tc>
        <w:tc>
          <w:tcPr>
            <w:tcW w:w="1294"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[50</w:t>
            </w:r>
            <w:r>
              <w:rPr>
                <w:rFonts w:hint="eastAsia" w:ascii="宋体" w:hAnsi="宋体" w:eastAsia="宋体" w:cs="宋体"/>
                <w:color w:val="000000"/>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，55</w:t>
            </w:r>
            <w:r>
              <w:rPr>
                <w:rFonts w:hint="eastAsia" w:ascii="宋体" w:hAnsi="宋体" w:eastAsia="宋体" w:cs="宋体"/>
                <w:color w:val="000000"/>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w:t>
            </w:r>
          </w:p>
        </w:tc>
        <w:tc>
          <w:tcPr>
            <w:tcW w:w="968" w:type="dxa"/>
            <w:vMerge w:val="continue"/>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rPr>
            </w:pPr>
          </w:p>
        </w:tc>
        <w:tc>
          <w:tcPr>
            <w:tcW w:w="765" w:type="dxa"/>
            <w:tcBorders>
              <w:tl2br w:val="nil"/>
              <w:tr2bl w:val="nil"/>
            </w:tcBorders>
            <w:vAlign w:val="center"/>
          </w:tcPr>
          <w:p>
            <w:pPr>
              <w:pStyle w:val="58"/>
              <w:numPr>
                <w:ilvl w:val="-1"/>
                <w:numId w:val="0"/>
              </w:numPr>
              <w:spacing w:before="0" w:beforeLines="0" w:after="0" w:afterLines="0"/>
              <w:jc w:val="center"/>
              <w:outlineLvl w:val="4"/>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r>
    </w:tbl>
    <w:p>
      <w:pPr>
        <w:numPr>
          <w:ilvl w:val="0"/>
          <w:numId w:val="17"/>
        </w:numPr>
        <w:spacing w:before="156" w:beforeLines="50" w:after="156" w:afterLines="50"/>
        <w:ind w:left="0" w:firstLine="0"/>
        <w:jc w:val="center"/>
        <w:rPr>
          <w:rFonts w:ascii="Times New Roman" w:hAnsi="Times New Roman" w:eastAsia="黑体" w:cs="Times New Roman"/>
          <w:sz w:val="21"/>
          <w:highlight w:val="none"/>
          <w:lang w:val="en-US" w:eastAsia="zh-CN" w:bidi="ar-SA"/>
        </w:rPr>
      </w:pPr>
      <w:r>
        <w:rPr>
          <w:rFonts w:hint="eastAsia" w:eastAsia="黑体" w:cs="Times New Roman"/>
          <w:sz w:val="21"/>
          <w:highlight w:val="none"/>
          <w:lang w:val="en-US" w:eastAsia="zh-CN" w:bidi="ar-SA"/>
        </w:rPr>
        <w:t>建设运营类能耗</w:t>
      </w:r>
      <w:r>
        <w:rPr>
          <w:rFonts w:ascii="Times New Roman" w:hAnsi="Times New Roman" w:eastAsia="黑体" w:cs="Times New Roman"/>
          <w:sz w:val="21"/>
          <w:highlight w:val="none"/>
          <w:lang w:val="en-US" w:eastAsia="zh-CN" w:bidi="ar-SA"/>
        </w:rPr>
        <w:t>评分规则表</w:t>
      </w:r>
    </w:p>
    <w:tbl>
      <w:tblPr>
        <w:tblStyle w:val="34"/>
        <w:tblW w:w="55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19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hint="eastAsia" w:cs="Times New Roman"/>
                <w:b/>
                <w:bCs/>
                <w:sz w:val="18"/>
                <w:szCs w:val="18"/>
                <w:highlight w:val="none"/>
                <w:lang w:val="en-US" w:eastAsia="zh-CN" w:bidi="ar-SA"/>
              </w:rPr>
              <w:t>系统损耗（%）</w:t>
            </w:r>
          </w:p>
        </w:tc>
        <w:tc>
          <w:tcPr>
            <w:tcW w:w="1950"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Borders>
              <w:top w:val="single" w:color="auto" w:sz="8" w:space="0"/>
              <w:tl2br w:val="nil"/>
              <w:tr2bl w:val="nil"/>
            </w:tcBorders>
            <w:vAlign w:val="center"/>
          </w:tcPr>
          <w:p>
            <w:pPr>
              <w:autoSpaceDE w:val="0"/>
              <w:autoSpaceDN w:val="0"/>
              <w:ind w:firstLine="0" w:firstLineChars="0"/>
              <w:jc w:val="center"/>
              <w:rPr>
                <w:rFonts w:hint="default"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＜15%</w:t>
            </w:r>
          </w:p>
        </w:tc>
        <w:tc>
          <w:tcPr>
            <w:tcW w:w="1950" w:type="dxa"/>
            <w:tcBorders>
              <w:top w:val="single" w:color="auto" w:sz="8" w:space="0"/>
              <w:tl2br w:val="nil"/>
              <w:tr2bl w:val="nil"/>
            </w:tcBorders>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Times New Roman" w:eastAsia="宋体"/>
                <w:sz w:val="18"/>
                <w:szCs w:val="18"/>
                <w:highlight w:val="none"/>
                <w:vertAlign w:val="baseline"/>
                <w:lang w:val="en-US" w:eastAsia="zh-CN"/>
              </w:rPr>
              <w:t>[15</w:t>
            </w:r>
            <w:r>
              <w:rPr>
                <w:rFonts w:hint="eastAsia" w:ascii="宋体" w:hAnsi="宋体" w:cs="宋体"/>
                <w:sz w:val="18"/>
                <w:szCs w:val="18"/>
                <w:highlight w:val="none"/>
                <w:lang w:val="en-US" w:eastAsia="zh-CN" w:bidi="ar-SA"/>
              </w:rPr>
              <w:t>%</w:t>
            </w:r>
            <w:r>
              <w:rPr>
                <w:rFonts w:hint="eastAsia" w:ascii="Times New Roman" w:eastAsia="宋体"/>
                <w:sz w:val="18"/>
                <w:szCs w:val="18"/>
                <w:highlight w:val="none"/>
                <w:vertAlign w:val="baseline"/>
                <w:lang w:val="en-US" w:eastAsia="zh-CN"/>
              </w:rPr>
              <w:t>，20</w:t>
            </w:r>
            <w:r>
              <w:rPr>
                <w:rFonts w:hint="eastAsia" w:ascii="宋体" w:hAnsi="宋体" w:cs="宋体"/>
                <w:sz w:val="18"/>
                <w:szCs w:val="18"/>
                <w:highlight w:val="none"/>
                <w:lang w:val="en-US" w:eastAsia="zh-CN" w:bidi="ar-SA"/>
              </w:rPr>
              <w:t>%</w:t>
            </w:r>
            <w:r>
              <w:rPr>
                <w:rFonts w:hint="eastAsia" w:ascii="Times New Roman" w:eastAsia="宋体"/>
                <w:sz w:val="18"/>
                <w:szCs w:val="18"/>
                <w:highlight w:val="none"/>
                <w:vertAlign w:val="baseline"/>
                <w:lang w:val="en-US" w:eastAsia="zh-CN"/>
              </w:rPr>
              <w:t>)</w:t>
            </w:r>
          </w:p>
        </w:tc>
        <w:tc>
          <w:tcPr>
            <w:tcW w:w="1950" w:type="dxa"/>
            <w:tcBorders>
              <w:tl2br w:val="nil"/>
              <w:tr2bl w:val="nil"/>
            </w:tcBorders>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Times New Roman" w:eastAsia="宋体"/>
                <w:sz w:val="18"/>
                <w:szCs w:val="18"/>
                <w:highlight w:val="none"/>
                <w:vertAlign w:val="baseline"/>
                <w:lang w:val="en-US" w:eastAsia="zh-CN"/>
              </w:rPr>
              <w:t>[20</w:t>
            </w:r>
            <w:r>
              <w:rPr>
                <w:rFonts w:hint="eastAsia" w:ascii="宋体" w:hAnsi="宋体" w:cs="宋体"/>
                <w:sz w:val="18"/>
                <w:szCs w:val="18"/>
                <w:highlight w:val="none"/>
                <w:lang w:val="en-US" w:eastAsia="zh-CN" w:bidi="ar-SA"/>
              </w:rPr>
              <w:t>%</w:t>
            </w:r>
            <w:r>
              <w:rPr>
                <w:rFonts w:hint="eastAsia" w:ascii="Times New Roman" w:eastAsia="宋体"/>
                <w:sz w:val="18"/>
                <w:szCs w:val="18"/>
                <w:highlight w:val="none"/>
                <w:vertAlign w:val="baseline"/>
                <w:lang w:val="en-US" w:eastAsia="zh-CN"/>
              </w:rPr>
              <w:t>，30</w:t>
            </w:r>
            <w:r>
              <w:rPr>
                <w:rFonts w:hint="eastAsia" w:ascii="宋体" w:hAnsi="宋体" w:cs="宋体"/>
                <w:sz w:val="18"/>
                <w:szCs w:val="18"/>
                <w:highlight w:val="none"/>
                <w:lang w:val="en-US" w:eastAsia="zh-CN" w:bidi="ar-SA"/>
              </w:rPr>
              <w:t>%</w:t>
            </w:r>
            <w:r>
              <w:rPr>
                <w:rFonts w:hint="eastAsia" w:ascii="Times New Roman" w:eastAsia="宋体"/>
                <w:sz w:val="18"/>
                <w:szCs w:val="18"/>
                <w:highlight w:val="none"/>
                <w:vertAlign w:val="baseline"/>
                <w:lang w:val="en-US" w:eastAsia="zh-CN"/>
              </w:rPr>
              <w:t>)</w:t>
            </w:r>
          </w:p>
        </w:tc>
        <w:tc>
          <w:tcPr>
            <w:tcW w:w="1950"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1</w:t>
            </w:r>
          </w:p>
        </w:tc>
      </w:tr>
    </w:tbl>
    <w:p>
      <w:pPr>
        <w:widowControl w:val="0"/>
        <w:numPr>
          <w:ilvl w:val="0"/>
          <w:numId w:val="9"/>
        </w:numPr>
        <w:autoSpaceDE w:val="0"/>
        <w:autoSpaceDN w:val="0"/>
        <w:spacing w:before="156" w:after="156"/>
        <w:ind w:left="780" w:leftChars="200" w:hanging="360" w:hangingChars="200"/>
        <w:jc w:val="both"/>
        <w:rPr>
          <w:rFonts w:hint="eastAsia" w:ascii="Times New Roman" w:hAnsi="Times New Roman" w:eastAsia="黑体" w:cs="Times New Roman"/>
          <w:sz w:val="18"/>
          <w:szCs w:val="18"/>
          <w:lang w:val="en-US" w:eastAsia="zh-CN" w:bidi="ar-SA"/>
        </w:rPr>
      </w:pPr>
      <w:r>
        <w:rPr>
          <w:rFonts w:hint="default" w:ascii="宋体" w:hAnsi="Times New Roman" w:eastAsia="宋体" w:cs="Times New Roman"/>
          <w:sz w:val="18"/>
          <w:szCs w:val="18"/>
          <w:highlight w:val="none"/>
          <w:lang w:val="en-US" w:eastAsia="zh-CN" w:bidi="ar-SA"/>
        </w:rPr>
        <w:t>该项</w:t>
      </w:r>
      <w:r>
        <w:rPr>
          <w:rFonts w:hint="eastAsia" w:ascii="Times New Roman" w:hAnsi="Times New Roman" w:eastAsia="宋体" w:cs="Times New Roman"/>
          <w:sz w:val="18"/>
          <w:szCs w:val="18"/>
          <w:lang w:val="en-US" w:eastAsia="zh-CN" w:bidi="ar-SA"/>
        </w:rPr>
        <w:t>得分为单项最高得分。</w:t>
      </w:r>
    </w:p>
    <w:p>
      <w:pPr>
        <w:pStyle w:val="57"/>
        <w:spacing w:before="156" w:after="156"/>
        <w:rPr>
          <w:rFonts w:hint="default" w:ascii="宋体" w:hAnsi="宋体" w:cs="宋体"/>
          <w:sz w:val="21"/>
          <w:highlight w:val="none"/>
          <w:lang w:val="en-US" w:eastAsia="zh-CN" w:bidi="ar-SA"/>
        </w:rPr>
      </w:pPr>
      <w:r>
        <w:rPr>
          <w:rFonts w:hint="eastAsia" w:ascii="宋体" w:hAnsi="宋体" w:cs="宋体"/>
          <w:sz w:val="21"/>
          <w:highlight w:val="none"/>
          <w:lang w:val="en-US" w:eastAsia="zh-CN" w:bidi="ar-SA"/>
        </w:rPr>
        <w:t>可再生利用率</w:t>
      </w:r>
    </w:p>
    <w:p>
      <w:pPr>
        <w:autoSpaceDE w:val="0"/>
        <w:autoSpaceDN w:val="0"/>
        <w:ind w:firstLine="420" w:firstLineChars="200"/>
        <w:jc w:val="both"/>
        <w:rPr>
          <w:rFonts w:hint="eastAsia" w:ascii="宋体" w:hAnsi="宋体" w:eastAsia="宋体" w:cs="宋体"/>
          <w:sz w:val="21"/>
          <w:highlight w:val="none"/>
          <w:lang w:val="en-US" w:eastAsia="zh-CN" w:bidi="ar-SA"/>
        </w:rPr>
      </w:pPr>
      <w:r>
        <w:rPr>
          <w:rFonts w:hint="eastAsia" w:ascii="宋体" w:hAnsi="宋体" w:cs="宋体"/>
          <w:sz w:val="21"/>
          <w:highlight w:val="none"/>
          <w:lang w:val="en-US" w:eastAsia="zh-CN" w:bidi="ar-SA"/>
        </w:rPr>
        <w:t>可再生利用率是指预期能够被再使用部分与再生利用部分的质量之和（不包括能量回收部分）与产品总质量的百分比</w:t>
      </w:r>
      <w:r>
        <w:rPr>
          <w:rFonts w:hint="eastAsia" w:ascii="宋体" w:hAnsi="宋体" w:eastAsia="宋体" w:cs="宋体"/>
          <w:sz w:val="21"/>
          <w:highlight w:val="none"/>
          <w:lang w:val="en-US" w:eastAsia="zh-CN" w:bidi="ar-SA"/>
        </w:rPr>
        <w:t>。具体评分规则见表</w:t>
      </w:r>
      <w:r>
        <w:rPr>
          <w:rFonts w:hint="eastAsia" w:ascii="宋体" w:hAnsi="宋体" w:cs="宋体"/>
          <w:sz w:val="21"/>
          <w:highlight w:val="none"/>
          <w:lang w:val="en-US" w:eastAsia="zh-CN" w:bidi="ar-SA"/>
        </w:rPr>
        <w:t>26</w:t>
      </w:r>
      <w:r>
        <w:rPr>
          <w:rFonts w:hint="eastAsia" w:ascii="宋体" w:hAnsi="宋体" w:eastAsia="宋体" w:cs="宋体"/>
          <w:sz w:val="21"/>
          <w:highlight w:val="none"/>
          <w:lang w:val="en-US" w:eastAsia="zh-CN" w:bidi="ar-SA"/>
        </w:rPr>
        <w:t>。</w:t>
      </w:r>
    </w:p>
    <w:p>
      <w:pPr>
        <w:numPr>
          <w:ilvl w:val="0"/>
          <w:numId w:val="17"/>
        </w:numPr>
        <w:spacing w:before="156" w:beforeLines="50" w:after="156" w:afterLines="50"/>
        <w:ind w:left="0" w:firstLine="0"/>
        <w:jc w:val="center"/>
        <w:rPr>
          <w:rFonts w:ascii="Times New Roman" w:hAnsi="Times New Roman" w:eastAsia="黑体" w:cs="Times New Roman"/>
          <w:sz w:val="21"/>
          <w:highlight w:val="none"/>
          <w:lang w:val="en-US" w:eastAsia="zh-CN" w:bidi="ar-SA"/>
        </w:rPr>
      </w:pPr>
      <w:r>
        <w:rPr>
          <w:rFonts w:hint="eastAsia" w:eastAsia="黑体" w:cs="Times New Roman"/>
          <w:sz w:val="21"/>
          <w:highlight w:val="none"/>
          <w:lang w:val="en-US" w:eastAsia="zh-CN" w:bidi="ar-SA"/>
        </w:rPr>
        <w:t>可再生</w:t>
      </w:r>
      <w:r>
        <w:rPr>
          <w:rFonts w:hint="eastAsia" w:ascii="Times New Roman" w:hAnsi="Times New Roman" w:eastAsia="黑体" w:cs="Times New Roman"/>
          <w:sz w:val="21"/>
          <w:highlight w:val="none"/>
          <w:lang w:val="en-US" w:eastAsia="zh-CN" w:bidi="ar-SA"/>
        </w:rPr>
        <w:t>利用率</w:t>
      </w:r>
      <w:r>
        <w:rPr>
          <w:rFonts w:ascii="Times New Roman" w:hAnsi="Times New Roman" w:eastAsia="黑体" w:cs="Times New Roman"/>
          <w:sz w:val="21"/>
          <w:highlight w:val="none"/>
          <w:lang w:val="en-US" w:eastAsia="zh-CN" w:bidi="ar-SA"/>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9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bottom w:val="single" w:color="auto" w:sz="8" w:space="0"/>
            </w:tcBorders>
            <w:vAlign w:val="center"/>
          </w:tcPr>
          <w:p>
            <w:pPr>
              <w:autoSpaceDE w:val="0"/>
              <w:autoSpaceDN w:val="0"/>
              <w:ind w:firstLine="0" w:firstLineChars="0"/>
              <w:jc w:val="center"/>
              <w:rPr>
                <w:rFonts w:hint="default" w:ascii="Times New Roman" w:hAnsi="Times New Roman" w:eastAsia="宋体" w:cs="Times New Roman"/>
                <w:b/>
                <w:bCs/>
                <w:sz w:val="18"/>
                <w:szCs w:val="18"/>
                <w:highlight w:val="none"/>
                <w:lang w:val="en-US" w:eastAsia="zh-CN" w:bidi="ar-SA"/>
              </w:rPr>
            </w:pPr>
            <w:r>
              <w:rPr>
                <w:rFonts w:hint="eastAsia" w:cs="Times New Roman"/>
                <w:b/>
                <w:bCs/>
                <w:sz w:val="18"/>
                <w:szCs w:val="18"/>
                <w:highlight w:val="none"/>
                <w:lang w:val="en-US" w:eastAsia="zh-CN" w:bidi="ar-SA"/>
              </w:rPr>
              <w:t>可再生利用率评价值</w:t>
            </w:r>
          </w:p>
        </w:tc>
        <w:tc>
          <w:tcPr>
            <w:tcW w:w="956"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2" w:type="dxa"/>
            <w:tcBorders>
              <w:top w:val="single" w:color="auto" w:sz="8" w:space="0"/>
              <w:tl2br w:val="nil"/>
              <w:tr2bl w:val="nil"/>
            </w:tcBorders>
            <w:vAlign w:val="center"/>
          </w:tcPr>
          <w:p>
            <w:pPr>
              <w:autoSpaceDE w:val="0"/>
              <w:autoSpaceDN w:val="0"/>
              <w:ind w:firstLine="0" w:firstLineChars="0"/>
              <w:jc w:val="center"/>
              <w:rPr>
                <w:rFonts w:hint="default"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cs="宋体"/>
                <w:sz w:val="18"/>
                <w:szCs w:val="18"/>
                <w:highlight w:val="none"/>
                <w:lang w:val="en-US" w:eastAsia="zh-CN" w:bidi="ar-SA"/>
              </w:rPr>
              <w:t>60</w:t>
            </w:r>
            <w:r>
              <w:rPr>
                <w:rFonts w:hint="eastAsia" w:ascii="宋体" w:hAnsi="宋体" w:eastAsia="宋体" w:cs="宋体"/>
                <w:sz w:val="18"/>
                <w:szCs w:val="18"/>
                <w:highlight w:val="none"/>
                <w:lang w:val="en-US" w:eastAsia="zh-CN" w:bidi="ar-SA"/>
              </w:rPr>
              <w:t>%</w:t>
            </w:r>
          </w:p>
        </w:tc>
        <w:tc>
          <w:tcPr>
            <w:tcW w:w="956" w:type="dxa"/>
            <w:tcBorders>
              <w:top w:val="single" w:color="auto" w:sz="8" w:space="0"/>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autoSpaceDE w:val="0"/>
              <w:autoSpaceDN w:val="0"/>
              <w:ind w:firstLine="0" w:firstLineChars="0"/>
              <w:jc w:val="center"/>
              <w:rPr>
                <w:rFonts w:hint="default" w:ascii="宋体" w:hAnsi="宋体" w:eastAsia="宋体" w:cs="宋体"/>
                <w:sz w:val="18"/>
                <w:szCs w:val="18"/>
                <w:highlight w:val="none"/>
                <w:lang w:val="en-US" w:eastAsia="zh-CN" w:bidi="ar-SA"/>
              </w:rPr>
            </w:pPr>
            <w:r>
              <w:rPr>
                <w:rFonts w:hint="eastAsia"/>
                <w:sz w:val="18"/>
                <w:szCs w:val="18"/>
                <w:highlight w:val="none"/>
                <w:vertAlign w:val="baseline"/>
                <w:lang w:val="en-US" w:eastAsia="zh-CN"/>
              </w:rPr>
              <w:t>[30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，60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w:t>
            </w:r>
          </w:p>
        </w:tc>
        <w:tc>
          <w:tcPr>
            <w:tcW w:w="956"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sz w:val="18"/>
                <w:szCs w:val="18"/>
                <w:highlight w:val="none"/>
                <w:vertAlign w:val="baseline"/>
                <w:lang w:val="en-US" w:eastAsia="zh-CN"/>
              </w:rPr>
              <w:t>[0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，30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w:t>
            </w:r>
          </w:p>
        </w:tc>
        <w:tc>
          <w:tcPr>
            <w:tcW w:w="956"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58"/>
        <w:numPr>
          <w:ilvl w:val="3"/>
          <w:numId w:val="2"/>
        </w:numPr>
        <w:spacing w:before="156" w:beforeLines="50" w:after="156" w:afterLines="50"/>
        <w:ind w:left="0" w:firstLine="0"/>
        <w:outlineLvl w:val="4"/>
        <w:rPr>
          <w:rFonts w:ascii="Times New Roman" w:hAnsi="Times New Roman" w:eastAsia="黑体" w:cs="Times New Roman"/>
          <w:sz w:val="21"/>
          <w:szCs w:val="21"/>
          <w:highlight w:val="none"/>
          <w:lang w:val="en-US" w:eastAsia="zh-CN" w:bidi="ar-SA"/>
        </w:rPr>
      </w:pPr>
      <w:r>
        <w:rPr>
          <w:rFonts w:hint="eastAsia" w:ascii="Times New Roman" w:hAnsi="Times New Roman" w:eastAsia="黑体" w:cs="Times New Roman"/>
          <w:sz w:val="21"/>
          <w:szCs w:val="21"/>
          <w:highlight w:val="none"/>
          <w:lang w:val="en-US" w:eastAsia="zh-CN" w:bidi="ar-SA"/>
        </w:rPr>
        <w:t>污染物</w:t>
      </w:r>
      <w:r>
        <w:rPr>
          <w:rFonts w:ascii="Times New Roman" w:hAnsi="Times New Roman" w:eastAsia="黑体" w:cs="Times New Roman"/>
          <w:sz w:val="21"/>
          <w:szCs w:val="21"/>
          <w:highlight w:val="none"/>
          <w:lang w:val="en-US" w:eastAsia="zh-CN" w:bidi="ar-SA"/>
        </w:rPr>
        <w:t>排放</w:t>
      </w:r>
      <w:r>
        <w:rPr>
          <w:rFonts w:hint="eastAsia" w:ascii="Times New Roman" w:hAnsi="Times New Roman" w:eastAsia="黑体" w:cs="Times New Roman"/>
          <w:sz w:val="21"/>
          <w:szCs w:val="21"/>
          <w:highlight w:val="none"/>
          <w:lang w:val="en-US" w:eastAsia="zh-CN" w:bidi="ar-SA"/>
        </w:rPr>
        <w:t>水平</w:t>
      </w:r>
    </w:p>
    <w:p>
      <w:pPr>
        <w:autoSpaceDE w:val="0"/>
        <w:autoSpaceDN w:val="0"/>
        <w:ind w:firstLine="420" w:firstLineChars="200"/>
        <w:jc w:val="both"/>
        <w:rPr>
          <w:rFonts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w:t>
      </w:r>
      <w:r>
        <w:rPr>
          <w:rFonts w:hint="eastAsia" w:ascii="宋体" w:hAnsi="宋体" w:cs="宋体"/>
          <w:sz w:val="21"/>
          <w:highlight w:val="none"/>
          <w:lang w:val="en-US" w:eastAsia="zh-CN" w:bidi="ar-SA"/>
        </w:rPr>
        <w:t>27</w:t>
      </w:r>
      <w:r>
        <w:rPr>
          <w:rFonts w:hint="eastAsia" w:ascii="宋体" w:hAnsi="宋体" w:eastAsia="宋体" w:cs="宋体"/>
          <w:sz w:val="21"/>
          <w:highlight w:val="none"/>
          <w:lang w:val="en-US" w:eastAsia="zh-CN" w:bidi="ar-SA"/>
        </w:rPr>
        <w:t>。</w:t>
      </w:r>
    </w:p>
    <w:p>
      <w:pPr>
        <w:numPr>
          <w:ilvl w:val="0"/>
          <w:numId w:val="17"/>
        </w:numPr>
        <w:spacing w:before="156" w:beforeLines="50" w:after="156" w:afterLines="50"/>
        <w:jc w:val="center"/>
        <w:rPr>
          <w:rFonts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污染物</w:t>
      </w:r>
      <w:r>
        <w:rPr>
          <w:rFonts w:ascii="Times New Roman" w:hAnsi="Times New Roman" w:eastAsia="黑体" w:cs="Times New Roman"/>
          <w:sz w:val="21"/>
          <w:highlight w:val="none"/>
          <w:lang w:val="en-US" w:eastAsia="zh-CN" w:bidi="ar-SA"/>
        </w:rPr>
        <w:t>排放</w:t>
      </w:r>
      <w:r>
        <w:rPr>
          <w:rFonts w:hint="eastAsia" w:ascii="Times New Roman" w:hAnsi="Times New Roman" w:eastAsia="黑体" w:cs="Times New Roman"/>
          <w:sz w:val="21"/>
          <w:highlight w:val="none"/>
          <w:lang w:val="en-US" w:eastAsia="zh-CN" w:bidi="ar-SA"/>
        </w:rPr>
        <w:t>水平</w:t>
      </w:r>
      <w:r>
        <w:rPr>
          <w:rFonts w:ascii="Times New Roman" w:hAnsi="Times New Roman" w:eastAsia="黑体" w:cs="Times New Roman"/>
          <w:sz w:val="21"/>
          <w:highlight w:val="none"/>
          <w:lang w:val="en-US" w:eastAsia="zh-CN" w:bidi="ar-SA"/>
        </w:rPr>
        <w:t>评分规则表</w:t>
      </w:r>
    </w:p>
    <w:tbl>
      <w:tblPr>
        <w:tblStyle w:val="34"/>
        <w:tblW w:w="5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23"/>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污染物排放水平</w:t>
            </w:r>
          </w:p>
        </w:tc>
        <w:tc>
          <w:tcPr>
            <w:tcW w:w="1038"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top w:val="single" w:color="auto" w:sz="8" w:space="0"/>
              <w:tl2br w:val="nil"/>
              <w:tr2bl w:val="nil"/>
            </w:tcBorders>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不排放污染物，或优于排污许可证限值20%，或优于排放源所在地同类行业污染物排放限值20%。</w:t>
            </w:r>
          </w:p>
        </w:tc>
        <w:tc>
          <w:tcPr>
            <w:tcW w:w="1038" w:type="dxa"/>
            <w:tcBorders>
              <w:top w:val="single" w:color="auto" w:sz="8" w:space="0"/>
              <w:tl2br w:val="nil"/>
              <w:tr2bl w:val="nil"/>
            </w:tcBorders>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tl2br w:val="nil"/>
              <w:tr2bl w:val="nil"/>
            </w:tcBorders>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优于排污许可证限值10%，或优于排放源所在地同类行业污染物排放限值10%。</w:t>
            </w:r>
          </w:p>
        </w:tc>
        <w:tc>
          <w:tcPr>
            <w:tcW w:w="1038" w:type="dxa"/>
            <w:tcBorders>
              <w:tl2br w:val="nil"/>
              <w:tr2bl w:val="nil"/>
            </w:tcBorders>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tcBorders>
              <w:tl2br w:val="nil"/>
              <w:tr2bl w:val="nil"/>
            </w:tcBorders>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不满足上述任何一项。</w:t>
            </w:r>
          </w:p>
        </w:tc>
        <w:tc>
          <w:tcPr>
            <w:tcW w:w="1038"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58"/>
        <w:numPr>
          <w:ilvl w:val="3"/>
          <w:numId w:val="2"/>
        </w:numPr>
        <w:spacing w:before="156" w:beforeLines="50" w:after="156" w:afterLines="50"/>
        <w:ind w:left="0" w:firstLine="0"/>
        <w:outlineLvl w:val="4"/>
        <w:rPr>
          <w:rFonts w:ascii="Times New Roman" w:hAnsi="Times New Roman" w:eastAsia="黑体" w:cs="Times New Roman"/>
          <w:sz w:val="21"/>
          <w:szCs w:val="21"/>
          <w:highlight w:val="none"/>
          <w:lang w:val="en-US" w:eastAsia="zh-CN" w:bidi="ar-SA"/>
        </w:rPr>
      </w:pPr>
      <w:r>
        <w:rPr>
          <w:rFonts w:hint="eastAsia" w:ascii="Times New Roman" w:hAnsi="Times New Roman" w:eastAsia="黑体" w:cs="Times New Roman"/>
          <w:sz w:val="21"/>
          <w:szCs w:val="21"/>
          <w:highlight w:val="none"/>
          <w:lang w:val="en-US" w:eastAsia="zh-CN" w:bidi="ar-SA"/>
        </w:rPr>
        <w:t>温室气体</w:t>
      </w:r>
      <w:r>
        <w:rPr>
          <w:rFonts w:ascii="Times New Roman" w:hAnsi="Times New Roman" w:eastAsia="黑体" w:cs="Times New Roman"/>
          <w:sz w:val="21"/>
          <w:szCs w:val="21"/>
          <w:highlight w:val="none"/>
          <w:lang w:val="en-US" w:eastAsia="zh-CN" w:bidi="ar-SA"/>
        </w:rPr>
        <w:t>排放</w:t>
      </w:r>
      <w:r>
        <w:rPr>
          <w:rFonts w:hint="eastAsia" w:ascii="Times New Roman" w:hAnsi="Times New Roman" w:eastAsia="黑体" w:cs="Times New Roman"/>
          <w:sz w:val="21"/>
          <w:szCs w:val="21"/>
          <w:highlight w:val="none"/>
          <w:lang w:val="en-US" w:eastAsia="zh-CN" w:bidi="ar-SA"/>
        </w:rPr>
        <w:t>水平</w:t>
      </w:r>
    </w:p>
    <w:p>
      <w:pPr>
        <w:autoSpaceDE w:val="0"/>
        <w:autoSpaceDN w:val="0"/>
        <w:ind w:firstLine="420" w:firstLineChars="200"/>
        <w:jc w:val="both"/>
        <w:rPr>
          <w:rFonts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w:t>
      </w:r>
      <w:r>
        <w:rPr>
          <w:rFonts w:hint="eastAsia" w:ascii="宋体" w:hAnsi="宋体" w:cs="宋体"/>
          <w:sz w:val="21"/>
          <w:highlight w:val="none"/>
          <w:lang w:val="en-US" w:eastAsia="zh-CN" w:bidi="ar-SA"/>
        </w:rPr>
        <w:t>28</w:t>
      </w:r>
      <w:r>
        <w:rPr>
          <w:rFonts w:hint="eastAsia" w:ascii="宋体" w:hAnsi="宋体" w:eastAsia="宋体" w:cs="宋体"/>
          <w:sz w:val="21"/>
          <w:highlight w:val="none"/>
          <w:lang w:val="en-US" w:eastAsia="zh-CN" w:bidi="ar-SA"/>
        </w:rPr>
        <w:t>。</w:t>
      </w:r>
    </w:p>
    <w:p>
      <w:pPr>
        <w:numPr>
          <w:ilvl w:val="0"/>
          <w:numId w:val="17"/>
        </w:numPr>
        <w:spacing w:before="156" w:beforeLines="50" w:after="156" w:afterLines="50"/>
        <w:ind w:left="0" w:firstLine="0"/>
        <w:jc w:val="center"/>
        <w:rPr>
          <w:rFonts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温室气体</w:t>
      </w:r>
      <w:r>
        <w:rPr>
          <w:rFonts w:ascii="Times New Roman" w:hAnsi="Times New Roman" w:eastAsia="黑体" w:cs="Times New Roman"/>
          <w:sz w:val="21"/>
          <w:highlight w:val="none"/>
          <w:lang w:val="en-US" w:eastAsia="zh-CN" w:bidi="ar-SA"/>
        </w:rPr>
        <w:t>排放</w:t>
      </w:r>
      <w:r>
        <w:rPr>
          <w:rFonts w:hint="eastAsia" w:ascii="Times New Roman" w:hAnsi="Times New Roman" w:eastAsia="黑体" w:cs="Times New Roman"/>
          <w:sz w:val="21"/>
          <w:highlight w:val="none"/>
          <w:lang w:val="en-US" w:eastAsia="zh-CN" w:bidi="ar-SA"/>
        </w:rPr>
        <w:t>水平</w:t>
      </w:r>
      <w:r>
        <w:rPr>
          <w:rFonts w:ascii="Times New Roman" w:hAnsi="Times New Roman" w:eastAsia="黑体" w:cs="Times New Roman"/>
          <w:sz w:val="21"/>
          <w:highlight w:val="none"/>
          <w:lang w:val="en-US" w:eastAsia="zh-CN" w:bidi="ar-SA"/>
        </w:rPr>
        <w:t>评分规则表</w:t>
      </w:r>
    </w:p>
    <w:tbl>
      <w:tblPr>
        <w:tblStyle w:val="34"/>
        <w:tblW w:w="49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7"/>
        <w:gridCol w:w="1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7"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温室气体排放水平</w:t>
            </w:r>
          </w:p>
        </w:tc>
        <w:tc>
          <w:tcPr>
            <w:tcW w:w="1080"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7" w:type="dxa"/>
            <w:tcBorders>
              <w:top w:val="single" w:color="auto" w:sz="8" w:space="0"/>
              <w:tl2br w:val="nil"/>
              <w:tr2bl w:val="nil"/>
            </w:tcBorders>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生产制造类企业碳排放总量和碳排放强度相较上一年度的下降比例超过6%。</w:t>
            </w:r>
          </w:p>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建设运营类企业碳排放总量和碳排放强度相较上一年度的下降比例超过3%。</w:t>
            </w:r>
          </w:p>
        </w:tc>
        <w:tc>
          <w:tcPr>
            <w:tcW w:w="1080" w:type="dxa"/>
            <w:tcBorders>
              <w:top w:val="single" w:color="auto" w:sz="8" w:space="0"/>
              <w:tl2br w:val="nil"/>
              <w:tr2bl w:val="nil"/>
            </w:tcBorders>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7" w:type="dxa"/>
            <w:tcBorders>
              <w:tl2br w:val="nil"/>
              <w:tr2bl w:val="nil"/>
            </w:tcBorders>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生产制造类企业碳排放总量和碳排放强度相较上一年度的下降比例超过3%、不足6%。</w:t>
            </w:r>
          </w:p>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建设运营类企业碳排放总量和碳排放强度相较上一年度的下降比例超过1%、不足3%。</w:t>
            </w:r>
          </w:p>
        </w:tc>
        <w:tc>
          <w:tcPr>
            <w:tcW w:w="1080" w:type="dxa"/>
            <w:tcBorders>
              <w:tl2br w:val="nil"/>
              <w:tr2bl w:val="nil"/>
            </w:tcBorders>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87" w:type="dxa"/>
            <w:tcBorders>
              <w:tl2br w:val="nil"/>
              <w:tr2bl w:val="nil"/>
            </w:tcBorders>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不满足上述任何一项。</w:t>
            </w:r>
          </w:p>
        </w:tc>
        <w:tc>
          <w:tcPr>
            <w:tcW w:w="1080"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66"/>
        <w:ind w:left="780" w:leftChars="200" w:hanging="360" w:hangingChars="200"/>
        <w:rPr>
          <w:rFonts w:ascii="Times New Roman"/>
        </w:rPr>
      </w:pPr>
      <w:r>
        <w:rPr>
          <w:rFonts w:ascii="宋体" w:hAnsi="Times New Roman" w:eastAsia="宋体" w:cs="Times New Roman"/>
          <w:sz w:val="18"/>
          <w:szCs w:val="18"/>
          <w:highlight w:val="none"/>
          <w:lang w:val="en-US" w:eastAsia="zh-CN" w:bidi="ar-SA"/>
        </w:rPr>
        <w:t>a</w:t>
      </w:r>
      <w:r>
        <w:rPr>
          <w:rFonts w:hint="eastAsia" w:ascii="宋体" w:hAnsi="Times New Roman" w:eastAsia="宋体" w:cs="Times New Roman"/>
          <w:sz w:val="18"/>
          <w:szCs w:val="18"/>
          <w:highlight w:val="none"/>
          <w:lang w:val="en-US" w:eastAsia="zh-CN" w:bidi="ar-SA"/>
        </w:rPr>
        <w:t>）碳排放总量核算方法宜参</w:t>
      </w:r>
      <w:r>
        <w:rPr>
          <w:rFonts w:hint="eastAsia" w:cs="Times New Roman" w:asciiTheme="minorEastAsia" w:hAnsiTheme="minorEastAsia" w:eastAsiaTheme="minorEastAsia"/>
          <w:sz w:val="18"/>
          <w:szCs w:val="18"/>
          <w:highlight w:val="none"/>
          <w:lang w:val="en-US" w:eastAsia="zh-CN" w:bidi="ar-SA"/>
        </w:rPr>
        <w:t>照SZDB Z 69《</w:t>
      </w:r>
      <w:r>
        <w:rPr>
          <w:rFonts w:hint="eastAsia" w:ascii="Times New Roman" w:hAnsi="Times New Roman" w:eastAsia="宋体" w:cs="Times New Roman"/>
          <w:sz w:val="18"/>
          <w:szCs w:val="18"/>
          <w:highlight w:val="none"/>
          <w:lang w:val="en-US" w:eastAsia="zh-CN" w:bidi="ar-SA"/>
        </w:rPr>
        <w:t>组织的温室气体排放量化和报告指南》及深圳市生态环境局印发的配套技术文件执行</w:t>
      </w:r>
      <w:r>
        <w:rPr>
          <w:rFonts w:hint="eastAsia" w:ascii="宋体" w:hAnsi="Times New Roman" w:eastAsia="宋体" w:cs="Times New Roman"/>
          <w:sz w:val="18"/>
          <w:szCs w:val="18"/>
          <w:highlight w:val="none"/>
          <w:lang w:val="en-US" w:eastAsia="zh-CN" w:bidi="ar-SA"/>
        </w:rPr>
        <w:t>；b）</w:t>
      </w:r>
      <w:r>
        <w:rPr>
          <w:rFonts w:ascii="宋体" w:hAnsi="Times New Roman" w:eastAsia="宋体" w:cs="Times New Roman"/>
          <w:sz w:val="18"/>
          <w:szCs w:val="18"/>
          <w:highlight w:val="none"/>
          <w:lang w:val="en-US" w:eastAsia="zh-CN" w:bidi="ar-SA"/>
        </w:rPr>
        <w:t>碳排放强度为</w:t>
      </w:r>
      <w:r>
        <w:rPr>
          <w:rFonts w:hint="eastAsia" w:ascii="宋体" w:hAnsi="Times New Roman" w:eastAsia="宋体" w:cs="Times New Roman"/>
          <w:sz w:val="18"/>
          <w:szCs w:val="18"/>
          <w:highlight w:val="none"/>
          <w:lang w:val="en-US" w:eastAsia="zh-CN" w:bidi="ar-SA"/>
        </w:rPr>
        <w:t>碳排放总量</w:t>
      </w:r>
      <w:r>
        <w:rPr>
          <w:rFonts w:ascii="宋体" w:hAnsi="Times New Roman" w:eastAsia="宋体" w:cs="Times New Roman"/>
          <w:sz w:val="18"/>
          <w:szCs w:val="18"/>
          <w:highlight w:val="none"/>
          <w:lang w:val="en-US" w:eastAsia="zh-CN" w:bidi="ar-SA"/>
        </w:rPr>
        <w:t>与工业增加值的比值</w:t>
      </w:r>
      <w:r>
        <w:rPr>
          <w:rFonts w:hint="eastAsia" w:ascii="宋体" w:hAnsi="Times New Roman" w:eastAsia="宋体" w:cs="Times New Roman"/>
          <w:sz w:val="18"/>
          <w:szCs w:val="18"/>
          <w:highlight w:val="none"/>
          <w:lang w:val="en-US" w:eastAsia="zh-CN" w:bidi="ar-SA"/>
        </w:rPr>
        <w:t>。</w:t>
      </w:r>
    </w:p>
    <w:p>
      <w:pPr>
        <w:pStyle w:val="48"/>
        <w:spacing w:before="156" w:after="156"/>
        <w:rPr>
          <w:rFonts w:ascii="Times New Roman"/>
        </w:rPr>
      </w:pPr>
      <w:r>
        <w:rPr>
          <w:rFonts w:ascii="Times New Roman"/>
        </w:rPr>
        <w:t>社会表现</w:t>
      </w:r>
    </w:p>
    <w:p>
      <w:pPr>
        <w:pStyle w:val="53"/>
        <w:numPr>
          <w:ilvl w:val="3"/>
          <w:numId w:val="2"/>
        </w:numPr>
        <w:spacing w:before="156" w:after="156"/>
        <w:rPr>
          <w:rFonts w:ascii="Times New Roman"/>
        </w:rPr>
      </w:pPr>
      <w:r>
        <w:rPr>
          <w:rFonts w:ascii="Times New Roman"/>
        </w:rPr>
        <w:t>内部行动</w:t>
      </w:r>
    </w:p>
    <w:p>
      <w:pPr>
        <w:pStyle w:val="24"/>
        <w:rPr>
          <w:rFonts w:ascii="Times New Roman"/>
        </w:rPr>
      </w:pPr>
      <w:r>
        <w:rPr>
          <w:rFonts w:hint="eastAsia" w:hAnsi="宋体" w:cs="宋体"/>
        </w:rPr>
        <w:t>内部行动从企事业单位开展</w:t>
      </w:r>
      <w:r>
        <w:rPr>
          <w:rFonts w:hint="eastAsia" w:hAnsi="宋体" w:cs="宋体"/>
          <w:lang w:eastAsia="zh-CN"/>
        </w:rPr>
        <w:t>绿色发展行动</w:t>
      </w:r>
      <w:r>
        <w:rPr>
          <w:rFonts w:hint="eastAsia" w:hAnsi="宋体" w:cs="宋体"/>
        </w:rPr>
        <w:t>、信息披露以及低碳培训的情况进行评价。绿色发展</w:t>
      </w:r>
      <w:r>
        <w:rPr>
          <w:rFonts w:hint="eastAsia" w:hAnsi="宋体" w:cs="宋体"/>
          <w:highlight w:val="none"/>
        </w:rPr>
        <w:t>行动包括编制发布资源节约、环境友好、生态良好相关</w:t>
      </w:r>
      <w:r>
        <w:rPr>
          <w:rFonts w:hint="eastAsia" w:hAnsi="宋体" w:cs="宋体"/>
          <w:highlight w:val="none"/>
          <w:lang w:eastAsia="zh-CN"/>
        </w:rPr>
        <w:t>绿色低碳产业</w:t>
      </w:r>
      <w:r>
        <w:rPr>
          <w:rFonts w:hint="eastAsia" w:hAnsi="宋体" w:cs="宋体"/>
          <w:highlight w:val="none"/>
        </w:rPr>
        <w:t>转型蓝皮书等文件，或创建近零碳排放试点、编制发布碳中和规划或行动方案等碳达峰碳中和建设相关行动</w:t>
      </w:r>
      <w:r>
        <w:rPr>
          <w:rFonts w:hint="eastAsia" w:hAnsi="宋体" w:cs="宋体"/>
          <w:lang w:eastAsia="zh-CN"/>
        </w:rPr>
        <w:t>。</w:t>
      </w:r>
      <w:r>
        <w:rPr>
          <w:rFonts w:hint="eastAsia" w:hAnsi="宋体" w:cs="宋体"/>
        </w:rPr>
        <w:t>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2</w:t>
      </w:r>
      <w:r>
        <w:rPr>
          <w:rFonts w:hint="eastAsia" w:hAnsi="宋体" w:cs="宋体"/>
          <w:lang w:val="en-US" w:eastAsia="zh-CN"/>
        </w:rPr>
        <w:t>9</w:t>
      </w:r>
      <w:r>
        <w:rPr>
          <w:rFonts w:hint="eastAsia" w:hAnsi="宋体" w:cs="宋体"/>
        </w:rPr>
        <w:t>。</w:t>
      </w:r>
    </w:p>
    <w:p>
      <w:pPr>
        <w:pStyle w:val="128"/>
        <w:rPr>
          <w:rFonts w:ascii="Times New Roman"/>
        </w:rPr>
      </w:pPr>
      <w:r>
        <w:rPr>
          <w:rFonts w:ascii="Times New Roman"/>
        </w:rPr>
        <w:t>内部行动评分规则表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3539"/>
        <w:gridCol w:w="1183"/>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内部行动</w:t>
            </w:r>
          </w:p>
        </w:tc>
        <w:tc>
          <w:tcPr>
            <w:tcW w:w="3539"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开展情况</w:t>
            </w:r>
          </w:p>
        </w:tc>
        <w:tc>
          <w:tcPr>
            <w:tcW w:w="1183"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038"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p>
          <w:p>
            <w:pPr>
              <w:pStyle w:val="24"/>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85" w:type="dxa"/>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eastAsia="zh-CN"/>
              </w:rPr>
              <w:t>绿色发展行动</w:t>
            </w:r>
          </w:p>
        </w:tc>
        <w:tc>
          <w:tcPr>
            <w:tcW w:w="3539" w:type="dxa"/>
            <w:tcBorders>
              <w:top w:val="single" w:color="auto" w:sz="8" w:space="0"/>
              <w:tl2br w:val="nil"/>
              <w:tr2bl w:val="nil"/>
            </w:tcBorders>
            <w:vAlign w:val="center"/>
          </w:tcPr>
          <w:p>
            <w:pPr>
              <w:pStyle w:val="24"/>
              <w:ind w:firstLine="0" w:firstLineChars="0"/>
              <w:jc w:val="left"/>
              <w:rPr>
                <w:rFonts w:hAnsi="宋体" w:cs="宋体"/>
                <w:sz w:val="18"/>
                <w:szCs w:val="18"/>
              </w:rPr>
            </w:pPr>
            <w:r>
              <w:rPr>
                <w:rFonts w:hint="default" w:hAnsi="宋体" w:cs="宋体"/>
                <w:sz w:val="18"/>
                <w:szCs w:val="18"/>
                <w:highlight w:val="none"/>
              </w:rPr>
              <w:t>编制发布资源节约、环境友好、生态良好相关</w:t>
            </w:r>
            <w:r>
              <w:rPr>
                <w:rFonts w:hint="eastAsia" w:hAnsi="宋体" w:cs="宋体"/>
                <w:sz w:val="18"/>
                <w:szCs w:val="18"/>
                <w:highlight w:val="none"/>
                <w:lang w:eastAsia="zh-CN"/>
              </w:rPr>
              <w:t>绿色低碳产业</w:t>
            </w:r>
            <w:r>
              <w:rPr>
                <w:rFonts w:hint="default" w:hAnsi="宋体" w:cs="宋体"/>
                <w:sz w:val="18"/>
                <w:szCs w:val="18"/>
                <w:highlight w:val="none"/>
              </w:rPr>
              <w:t>转型蓝皮书等文件，或创建近零碳排放试点、编制发布碳中和规划或行动方案。</w:t>
            </w:r>
          </w:p>
        </w:tc>
        <w:tc>
          <w:tcPr>
            <w:tcW w:w="1183"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38"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该项得分为</w:t>
            </w:r>
            <w:r>
              <w:rPr>
                <w:rFonts w:hint="eastAsia" w:hAnsi="宋体" w:cs="宋体"/>
                <w:sz w:val="18"/>
                <w:szCs w:val="18"/>
                <w:lang w:eastAsia="zh-CN"/>
              </w:rPr>
              <w:t>三</w:t>
            </w:r>
            <w:r>
              <w:rPr>
                <w:rFonts w:hint="eastAsia" w:hAnsi="宋体" w:cs="宋体"/>
                <w:sz w:val="18"/>
                <w:szCs w:val="18"/>
              </w:rPr>
              <w:t>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信息披露</w:t>
            </w:r>
          </w:p>
        </w:tc>
        <w:tc>
          <w:tcPr>
            <w:tcW w:w="353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主动依法依规开展信息披露。</w:t>
            </w:r>
          </w:p>
        </w:tc>
        <w:tc>
          <w:tcPr>
            <w:tcW w:w="1183" w:type="dxa"/>
            <w:tcBorders>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1</w:t>
            </w:r>
          </w:p>
        </w:tc>
        <w:tc>
          <w:tcPr>
            <w:tcW w:w="1038"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低碳培训</w:t>
            </w:r>
          </w:p>
        </w:tc>
        <w:tc>
          <w:tcPr>
            <w:tcW w:w="3539" w:type="dxa"/>
            <w:tcBorders>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每年实施2次及以上绿色低碳意识培训。</w:t>
            </w:r>
          </w:p>
        </w:tc>
        <w:tc>
          <w:tcPr>
            <w:tcW w:w="1183"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038"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53"/>
        <w:numPr>
          <w:ilvl w:val="3"/>
          <w:numId w:val="2"/>
        </w:numPr>
        <w:spacing w:before="156" w:after="156"/>
        <w:rPr>
          <w:rFonts w:ascii="Times New Roman"/>
        </w:rPr>
      </w:pPr>
      <w:r>
        <w:rPr>
          <w:rFonts w:ascii="Times New Roman"/>
        </w:rPr>
        <w:t>社会责任</w:t>
      </w:r>
    </w:p>
    <w:p>
      <w:pPr>
        <w:pStyle w:val="24"/>
        <w:rPr>
          <w:rFonts w:ascii="Times New Roman"/>
        </w:rPr>
      </w:pPr>
      <w:r>
        <w:rPr>
          <w:rFonts w:hint="eastAsia" w:hAnsi="宋体" w:cs="宋体"/>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w:t>
      </w:r>
      <w:r>
        <w:rPr>
          <w:rFonts w:hint="eastAsia" w:hAnsi="宋体" w:cs="宋体"/>
          <w:lang w:val="en-US" w:eastAsia="zh-CN"/>
        </w:rPr>
        <w:t>30</w:t>
      </w:r>
      <w:r>
        <w:rPr>
          <w:rFonts w:hint="eastAsia" w:hAnsi="宋体" w:cs="宋体"/>
        </w:rPr>
        <w:t>。</w:t>
      </w:r>
    </w:p>
    <w:p>
      <w:pPr>
        <w:pStyle w:val="128"/>
        <w:rPr>
          <w:rFonts w:ascii="Times New Roman"/>
        </w:rPr>
      </w:pPr>
      <w:r>
        <w:rPr>
          <w:rFonts w:ascii="Times New Roman"/>
        </w:rPr>
        <w:t>社会责任评分规则表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3234"/>
        <w:gridCol w:w="1012"/>
        <w:gridCol w:w="15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社会责任</w:t>
            </w:r>
          </w:p>
        </w:tc>
        <w:tc>
          <w:tcPr>
            <w:tcW w:w="3234" w:type="dxa"/>
            <w:tcBorders>
              <w:bottom w:val="single" w:color="auto" w:sz="8" w:space="0"/>
            </w:tcBorders>
            <w:vAlign w:val="center"/>
          </w:tcPr>
          <w:p>
            <w:pPr>
              <w:pStyle w:val="24"/>
              <w:ind w:firstLine="0" w:firstLineChars="0"/>
              <w:jc w:val="center"/>
              <w:rPr>
                <w:rFonts w:ascii="Times New Roman"/>
                <w:b/>
                <w:bCs/>
                <w:sz w:val="18"/>
                <w:szCs w:val="18"/>
              </w:rPr>
            </w:pPr>
            <w:r>
              <w:rPr>
                <w:rFonts w:hint="eastAsia" w:ascii="Times New Roman"/>
                <w:b/>
                <w:bCs/>
                <w:sz w:val="18"/>
                <w:szCs w:val="18"/>
              </w:rPr>
              <w:t>开展情况</w:t>
            </w:r>
          </w:p>
        </w:tc>
        <w:tc>
          <w:tcPr>
            <w:tcW w:w="1012"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578"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p>
          <w:p>
            <w:pPr>
              <w:pStyle w:val="24"/>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vMerge w:val="restart"/>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公共关系和社会公益责任</w:t>
            </w:r>
          </w:p>
        </w:tc>
        <w:tc>
          <w:tcPr>
            <w:tcW w:w="3234"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主动举办环保公益活动，或参加环境保护、教育、扶贫济困等公益活动。</w:t>
            </w:r>
          </w:p>
        </w:tc>
        <w:tc>
          <w:tcPr>
            <w:tcW w:w="1012"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578" w:type="dxa"/>
            <w:vMerge w:val="restart"/>
            <w:tcBorders>
              <w:top w:val="single" w:color="auto" w:sz="8" w:space="0"/>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vMerge w:val="continue"/>
            <w:tcBorders>
              <w:tl2br w:val="nil"/>
              <w:tr2bl w:val="nil"/>
            </w:tcBorders>
            <w:vAlign w:val="center"/>
          </w:tcPr>
          <w:p>
            <w:pPr>
              <w:pStyle w:val="24"/>
              <w:ind w:firstLine="0" w:firstLineChars="0"/>
              <w:rPr>
                <w:rFonts w:hAnsi="宋体" w:cs="宋体"/>
                <w:sz w:val="18"/>
                <w:szCs w:val="18"/>
              </w:rPr>
            </w:pPr>
          </w:p>
        </w:tc>
        <w:tc>
          <w:tcPr>
            <w:tcW w:w="323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积极对本地或外地重大自然灾害或突发事件提供援助。</w:t>
            </w:r>
          </w:p>
        </w:tc>
        <w:tc>
          <w:tcPr>
            <w:tcW w:w="101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578"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绿色化管理</w:t>
            </w:r>
          </w:p>
        </w:tc>
        <w:tc>
          <w:tcPr>
            <w:tcW w:w="3234"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取得绿色供应链管理体系认证证书，或实施供应商绿色管理相关制度。</w:t>
            </w:r>
          </w:p>
        </w:tc>
        <w:tc>
          <w:tcPr>
            <w:tcW w:w="1012"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1</w:t>
            </w:r>
          </w:p>
        </w:tc>
        <w:tc>
          <w:tcPr>
            <w:tcW w:w="1578" w:type="dxa"/>
            <w:vMerge w:val="continue"/>
            <w:tcBorders>
              <w:tl2br w:val="nil"/>
              <w:tr2bl w:val="nil"/>
            </w:tcBorders>
            <w:vAlign w:val="center"/>
          </w:tcPr>
          <w:p>
            <w:pPr>
              <w:pStyle w:val="24"/>
              <w:ind w:firstLine="0" w:firstLineChars="0"/>
              <w:jc w:val="center"/>
              <w:rPr>
                <w:rFonts w:hAnsi="宋体" w:cs="宋体"/>
                <w:sz w:val="18"/>
                <w:szCs w:val="18"/>
              </w:rPr>
            </w:pPr>
          </w:p>
        </w:tc>
      </w:tr>
    </w:tbl>
    <w:p>
      <w:pPr>
        <w:pStyle w:val="47"/>
        <w:outlineLvl w:val="0"/>
        <w:rPr>
          <w:rFonts w:ascii="Times New Roman"/>
        </w:rPr>
      </w:pPr>
      <w:bookmarkStart w:id="83" w:name="_Toc1429"/>
      <w:bookmarkStart w:id="84" w:name="_Toc102992462"/>
      <w:bookmarkStart w:id="85" w:name="_Toc118282045"/>
      <w:r>
        <w:rPr>
          <w:rFonts w:hint="eastAsia" w:ascii="Times New Roman"/>
          <w:lang w:eastAsia="zh-CN"/>
        </w:rPr>
        <w:t>绿色低碳产业项目</w:t>
      </w:r>
      <w:r>
        <w:rPr>
          <w:rFonts w:hint="eastAsia" w:ascii="Times New Roman"/>
          <w:lang w:val="en-US" w:eastAsia="zh-CN"/>
        </w:rPr>
        <w:t>综合</w:t>
      </w:r>
      <w:r>
        <w:rPr>
          <w:rFonts w:hint="eastAsia" w:ascii="Times New Roman"/>
          <w:lang w:eastAsia="zh-CN"/>
        </w:rPr>
        <w:t>评价</w:t>
      </w:r>
      <w:bookmarkEnd w:id="83"/>
    </w:p>
    <w:p>
      <w:pPr>
        <w:pStyle w:val="44"/>
        <w:outlineLvl w:val="1"/>
      </w:pPr>
      <w:bookmarkStart w:id="86" w:name="_Toc15152"/>
      <w:r>
        <w:rPr>
          <w:rFonts w:hint="eastAsia"/>
          <w:lang w:eastAsia="zh-CN"/>
        </w:rPr>
        <w:t>符合性评价</w:t>
      </w:r>
      <w:bookmarkEnd w:id="86"/>
    </w:p>
    <w:p>
      <w:pPr>
        <w:pStyle w:val="48"/>
      </w:pPr>
      <w:r>
        <w:rPr>
          <w:rFonts w:hint="eastAsia"/>
          <w:lang w:eastAsia="zh-CN"/>
        </w:rPr>
        <w:t>目录符合</w:t>
      </w:r>
    </w:p>
    <w:p>
      <w:pPr>
        <w:pStyle w:val="24"/>
        <w:rPr>
          <w:rFonts w:hint="eastAsia" w:eastAsia="宋体"/>
          <w:lang w:eastAsia="zh-CN"/>
        </w:rPr>
      </w:pPr>
      <w:r>
        <w:rPr>
          <w:rFonts w:hint="eastAsia" w:ascii="Times New Roman"/>
        </w:rPr>
        <w:t>申报</w:t>
      </w:r>
      <w:r>
        <w:rPr>
          <w:rFonts w:hint="eastAsia" w:ascii="Times New Roman"/>
          <w:lang w:eastAsia="zh-CN"/>
        </w:rPr>
        <w:t>绿色低碳产业</w:t>
      </w:r>
      <w:r>
        <w:rPr>
          <w:rFonts w:hint="eastAsia" w:ascii="Times New Roman"/>
        </w:rPr>
        <w:t>认定</w:t>
      </w:r>
      <w:r>
        <w:rPr>
          <w:rFonts w:hint="eastAsia" w:ascii="Times New Roman"/>
          <w:lang w:eastAsia="zh-CN"/>
        </w:rPr>
        <w:t>的项目</w:t>
      </w:r>
      <w:r>
        <w:rPr>
          <w:rFonts w:hint="eastAsia" w:ascii="Times New Roman"/>
        </w:rPr>
        <w:t>应属于太阳能产品、太阳能生产装备、太阳能利用设施建设和运营等太阳能产业</w:t>
      </w:r>
      <w:r>
        <w:rPr>
          <w:rFonts w:hint="eastAsia" w:ascii="Times New Roman"/>
          <w:lang w:eastAsia="zh-CN"/>
        </w:rPr>
        <w:t>，</w:t>
      </w:r>
      <w:r>
        <w:rPr>
          <w:rFonts w:hint="eastAsia"/>
          <w:lang w:val="en-US" w:eastAsia="zh-CN"/>
        </w:rPr>
        <w:t>且符合安全、环保、质量相关法规政策、强制性标准等的要求。</w:t>
      </w:r>
    </w:p>
    <w:p>
      <w:pPr>
        <w:pStyle w:val="48"/>
      </w:pPr>
      <w:r>
        <w:rPr>
          <w:rFonts w:hint="eastAsia"/>
          <w:lang w:eastAsia="zh-CN"/>
        </w:rPr>
        <w:t>技术符合</w:t>
      </w:r>
    </w:p>
    <w:p>
      <w:pPr>
        <w:pStyle w:val="24"/>
        <w:rPr>
          <w:rFonts w:hint="eastAsia" w:ascii="Times New Roman"/>
        </w:rPr>
      </w:pPr>
      <w:r>
        <w:rPr>
          <w:rFonts w:hint="eastAsia" w:hAnsi="宋体" w:cs="宋体"/>
        </w:rPr>
        <w:t>提供的产品或服务应符合国家、广东省及深圳市相关主管部门发布的法律法规和政策标准要求，</w:t>
      </w:r>
      <w:r>
        <w:rPr>
          <w:rFonts w:hint="eastAsia" w:ascii="Times New Roman"/>
        </w:rPr>
        <w:t>相关</w:t>
      </w:r>
      <w:r>
        <w:rPr>
          <w:rFonts w:hint="eastAsia" w:ascii="Times New Roman"/>
          <w:lang w:eastAsia="zh-CN"/>
        </w:rPr>
        <w:t>太阳能</w:t>
      </w:r>
      <w:r>
        <w:rPr>
          <w:rFonts w:hint="eastAsia" w:ascii="Times New Roman"/>
        </w:rPr>
        <w:t>产品及</w:t>
      </w:r>
      <w:r>
        <w:rPr>
          <w:rFonts w:hint="eastAsia" w:ascii="Times New Roman"/>
          <w:lang w:eastAsia="zh-CN"/>
        </w:rPr>
        <w:t>装备</w:t>
      </w:r>
      <w:r>
        <w:rPr>
          <w:rFonts w:hint="eastAsia" w:ascii="Times New Roman"/>
        </w:rPr>
        <w:t>制造活动、</w:t>
      </w:r>
      <w:r>
        <w:rPr>
          <w:rFonts w:hint="eastAsia" w:ascii="Times New Roman"/>
          <w:lang w:eastAsia="zh-CN"/>
        </w:rPr>
        <w:t>太阳能</w:t>
      </w:r>
      <w:r>
        <w:rPr>
          <w:rFonts w:hint="eastAsia" w:ascii="Times New Roman"/>
        </w:rPr>
        <w:t>利用设施建设和运营情况符合深圳市</w:t>
      </w:r>
      <w:r>
        <w:rPr>
          <w:rFonts w:hint="eastAsia" w:ascii="Times New Roman"/>
          <w:lang w:eastAsia="zh-CN"/>
        </w:rPr>
        <w:t>绿色低碳产业</w:t>
      </w:r>
      <w:r>
        <w:rPr>
          <w:rFonts w:hint="eastAsia" w:ascii="Times New Roman"/>
        </w:rPr>
        <w:t>认定规则体系规定的技术要求。</w:t>
      </w:r>
    </w:p>
    <w:p>
      <w:pPr>
        <w:pStyle w:val="44"/>
        <w:outlineLvl w:val="1"/>
        <w:rPr>
          <w:rFonts w:hint="eastAsia" w:ascii="Times New Roman"/>
        </w:rPr>
      </w:pPr>
      <w:bookmarkStart w:id="87" w:name="_Toc9398"/>
      <w:r>
        <w:rPr>
          <w:rFonts w:hint="eastAsia" w:ascii="Times New Roman"/>
          <w:lang w:eastAsia="zh-CN"/>
        </w:rPr>
        <w:t>综合评价指标</w:t>
      </w:r>
      <w:bookmarkEnd w:id="87"/>
    </w:p>
    <w:p>
      <w:pPr>
        <w:pStyle w:val="48"/>
        <w:rPr>
          <w:rFonts w:hint="eastAsia"/>
        </w:rPr>
      </w:pPr>
      <w:r>
        <w:rPr>
          <w:rFonts w:hint="eastAsia"/>
          <w:lang w:eastAsia="zh-CN"/>
        </w:rPr>
        <w:t>技术表现</w:t>
      </w:r>
    </w:p>
    <w:p>
      <w:pPr>
        <w:pStyle w:val="53"/>
        <w:numPr>
          <w:ilvl w:val="3"/>
          <w:numId w:val="2"/>
        </w:numPr>
        <w:spacing w:before="156" w:after="156"/>
        <w:ind w:left="0"/>
        <w:rPr>
          <w:rFonts w:hint="eastAsia"/>
        </w:rPr>
      </w:pPr>
      <w:r>
        <w:rPr>
          <w:rFonts w:hint="eastAsia"/>
          <w:lang w:eastAsia="zh-CN"/>
        </w:rPr>
        <w:t>有效知识产权</w:t>
      </w:r>
    </w:p>
    <w:p>
      <w:pPr>
        <w:pStyle w:val="57"/>
        <w:keepNext w:val="0"/>
        <w:keepLines w:val="0"/>
        <w:pageBreakBefore w:val="0"/>
        <w:widowControl/>
        <w:numPr>
          <w:ilvl w:val="-1"/>
          <w:numId w:val="0"/>
        </w:numPr>
        <w:kinsoku/>
        <w:wordWrap/>
        <w:overflowPunct/>
        <w:topLinePunct w:val="0"/>
        <w:autoSpaceDE/>
        <w:autoSpaceDN/>
        <w:bidi w:val="0"/>
        <w:adjustRightInd w:val="0"/>
        <w:snapToGrid/>
        <w:ind w:firstLine="420" w:firstLineChars="200"/>
        <w:textAlignment w:val="auto"/>
        <w:outlineLvl w:val="9"/>
        <w:rPr>
          <w:rFonts w:hint="eastAsia" w:ascii="Times New Roman" w:eastAsia="宋体"/>
          <w:lang w:val="en-US" w:eastAsia="zh-CN"/>
        </w:rPr>
      </w:pPr>
      <w:r>
        <w:rPr>
          <w:rFonts w:hint="eastAsia" w:ascii="宋体" w:hAnsi="宋体" w:eastAsia="宋体" w:cs="宋体"/>
          <w:lang w:val="en-US" w:eastAsia="zh-CN"/>
        </w:rPr>
        <w:t>从项目拥有并直接应用的有效知识产权数量情况进行评价，具体类别及加权计算规则参考本文件5.2.1.1.1。具体评分规则见表31。</w:t>
      </w:r>
    </w:p>
    <w:p>
      <w:pPr>
        <w:pStyle w:val="128"/>
        <w:ind w:left="0" w:firstLine="0"/>
        <w:rPr>
          <w:rFonts w:ascii="Times New Roman"/>
        </w:rPr>
      </w:pPr>
      <w:r>
        <w:rPr>
          <w:rFonts w:hint="eastAsia" w:ascii="Times New Roman"/>
          <w:lang w:val="en-US" w:eastAsia="zh-CN"/>
        </w:rPr>
        <w:t>有效知识产权</w:t>
      </w:r>
      <w:r>
        <w:rPr>
          <w:rFonts w:ascii="Times New Roman"/>
        </w:rPr>
        <w:t>评分规则表</w:t>
      </w:r>
    </w:p>
    <w:tbl>
      <w:tblPr>
        <w:tblStyle w:val="34"/>
        <w:tblW w:w="52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748" w:type="dxa"/>
            <w:vAlign w:val="center"/>
          </w:tcPr>
          <w:p>
            <w:pPr>
              <w:pStyle w:val="24"/>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有效知识产权</w:t>
            </w:r>
          </w:p>
        </w:tc>
        <w:tc>
          <w:tcPr>
            <w:tcW w:w="1501" w:type="dxa"/>
            <w:vAlign w:val="center"/>
          </w:tcPr>
          <w:p>
            <w:pPr>
              <w:pStyle w:val="24"/>
              <w:ind w:firstLine="0" w:firstLineChars="0"/>
              <w:jc w:val="center"/>
              <w:rPr>
                <w:rFonts w:hint="default" w:ascii="Times New Roman"/>
                <w:b/>
                <w:bCs/>
                <w:sz w:val="18"/>
                <w:szCs w:val="18"/>
                <w:lang w:val="en-US"/>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48" w:type="dxa"/>
            <w:tcBorders>
              <w:top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有效知识产权应用数量处于行业领先水平。</w:t>
            </w:r>
          </w:p>
        </w:tc>
        <w:tc>
          <w:tcPr>
            <w:tcW w:w="1501" w:type="dxa"/>
            <w:tcBorders>
              <w:top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有效知识产权应用数量处于行业良好水平。</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有效知识产权应用数量处于行业一般水平。</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[0,1]</w:t>
            </w:r>
          </w:p>
        </w:tc>
      </w:tr>
    </w:tbl>
    <w:p>
      <w:pPr>
        <w:pStyle w:val="57"/>
        <w:rPr>
          <w:rFonts w:hint="default" w:ascii="Times New Roman" w:eastAsia="宋体"/>
          <w:lang w:val="en-US" w:eastAsia="zh-CN"/>
        </w:rPr>
      </w:pPr>
      <w:r>
        <w:rPr>
          <w:rFonts w:hint="eastAsia"/>
          <w:lang w:val="en-US" w:eastAsia="zh-CN"/>
        </w:rPr>
        <w:t>关键技术先进性</w:t>
      </w:r>
    </w:p>
    <w:p>
      <w:pPr>
        <w:pStyle w:val="57"/>
        <w:keepNext w:val="0"/>
        <w:keepLines w:val="0"/>
        <w:pageBreakBefore w:val="0"/>
        <w:widowControl/>
        <w:numPr>
          <w:ilvl w:val="-1"/>
          <w:numId w:val="0"/>
        </w:numPr>
        <w:kinsoku/>
        <w:wordWrap/>
        <w:overflowPunct/>
        <w:topLinePunct w:val="0"/>
        <w:autoSpaceDE/>
        <w:autoSpaceDN/>
        <w:bidi w:val="0"/>
        <w:adjustRightInd w:val="0"/>
        <w:snapToGrid/>
        <w:spacing w:before="156" w:after="156"/>
        <w:ind w:firstLine="42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从项目应用的关键技术水平</w:t>
      </w:r>
      <w:r>
        <w:rPr>
          <w:rFonts w:hint="eastAsia" w:ascii="宋体" w:hAnsi="宋体" w:eastAsia="宋体" w:cs="宋体"/>
          <w:highlight w:val="none"/>
          <w:lang w:val="en-US" w:eastAsia="zh-CN"/>
        </w:rPr>
        <w:t>进行评价，具体评价内容</w:t>
      </w:r>
      <w:r>
        <w:rPr>
          <w:rFonts w:hint="eastAsia" w:ascii="宋体" w:hAnsi="宋体" w:eastAsia="宋体" w:cs="宋体"/>
          <w:lang w:val="en-US" w:eastAsia="zh-CN"/>
        </w:rPr>
        <w:t>参考本文件</w:t>
      </w:r>
      <w:r>
        <w:rPr>
          <w:rFonts w:hint="eastAsia" w:ascii="宋体" w:hAnsi="宋体" w:eastAsia="宋体" w:cs="宋体"/>
          <w:highlight w:val="none"/>
          <w:lang w:val="en-US" w:eastAsia="zh-CN"/>
        </w:rPr>
        <w:t>5.2.1.1.4</w:t>
      </w:r>
      <w:r>
        <w:rPr>
          <w:rFonts w:hint="eastAsia" w:ascii="宋体" w:hAnsi="宋体" w:eastAsia="宋体" w:cs="宋体"/>
          <w:lang w:val="en-US" w:eastAsia="zh-CN"/>
        </w:rPr>
        <w:t>进行评价</w:t>
      </w:r>
      <w:r>
        <w:rPr>
          <w:rFonts w:hint="eastAsia" w:ascii="Times New Roman" w:eastAsia="宋体"/>
          <w:lang w:val="en-US" w:eastAsia="zh-CN"/>
        </w:rPr>
        <w:t>。具体评分规则</w:t>
      </w:r>
      <w:r>
        <w:rPr>
          <w:rFonts w:hint="eastAsia" w:ascii="宋体" w:hAnsi="宋体" w:eastAsia="宋体" w:cs="宋体"/>
          <w:lang w:val="en-US" w:eastAsia="zh-CN"/>
        </w:rPr>
        <w:t>见表32。</w:t>
      </w:r>
    </w:p>
    <w:p>
      <w:pPr>
        <w:pStyle w:val="128"/>
        <w:ind w:left="0" w:firstLine="0"/>
        <w:rPr>
          <w:rFonts w:ascii="Times New Roman"/>
        </w:rPr>
      </w:pPr>
      <w:r>
        <w:rPr>
          <w:rFonts w:hint="eastAsia" w:ascii="Times New Roman"/>
          <w:lang w:val="en-US" w:eastAsia="zh-CN"/>
        </w:rPr>
        <w:t>关键技术先进性</w:t>
      </w:r>
      <w:r>
        <w:rPr>
          <w:rFonts w:ascii="Times New Roman"/>
        </w:rPr>
        <w:t>评分规则表</w:t>
      </w:r>
    </w:p>
    <w:tbl>
      <w:tblPr>
        <w:tblStyle w:val="34"/>
        <w:tblW w:w="6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6"/>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56" w:type="dxa"/>
            <w:vAlign w:val="center"/>
          </w:tcPr>
          <w:p>
            <w:pPr>
              <w:pStyle w:val="24"/>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关键技术先进性</w:t>
            </w:r>
          </w:p>
        </w:tc>
        <w:tc>
          <w:tcPr>
            <w:tcW w:w="1501" w:type="dxa"/>
            <w:vAlign w:val="center"/>
          </w:tcPr>
          <w:p>
            <w:pPr>
              <w:pStyle w:val="24"/>
              <w:ind w:firstLine="0" w:firstLineChars="0"/>
              <w:jc w:val="center"/>
              <w:rPr>
                <w:rFonts w:hint="default" w:ascii="Times New Roman"/>
                <w:b/>
                <w:bCs/>
                <w:sz w:val="18"/>
                <w:szCs w:val="18"/>
                <w:lang w:val="en-US"/>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556" w:type="dxa"/>
            <w:tcBorders>
              <w:top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关键技术处于行业领先水平，具有显著技术引领作用。</w:t>
            </w:r>
          </w:p>
        </w:tc>
        <w:tc>
          <w:tcPr>
            <w:tcW w:w="1501" w:type="dxa"/>
            <w:tcBorders>
              <w:top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关键技术处于行业较好水平，具有一定技术推动作用。</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关键技术处于行业平均水平。</w:t>
            </w:r>
          </w:p>
        </w:tc>
        <w:tc>
          <w:tcPr>
            <w:tcW w:w="1501"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未满足上述任何一项。</w:t>
            </w:r>
          </w:p>
        </w:tc>
        <w:tc>
          <w:tcPr>
            <w:tcW w:w="1501"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0</w:t>
            </w:r>
          </w:p>
        </w:tc>
      </w:tr>
    </w:tbl>
    <w:p>
      <w:pPr>
        <w:pStyle w:val="57"/>
        <w:rPr>
          <w:rFonts w:hint="eastAsia" w:ascii="Times New Roman" w:eastAsia="宋体"/>
          <w:lang w:val="en-US" w:eastAsia="zh-CN"/>
        </w:rPr>
      </w:pPr>
      <w:r>
        <w:rPr>
          <w:rFonts w:hint="eastAsia" w:ascii="黑体" w:eastAsia="黑体"/>
          <w:lang w:val="en-US" w:eastAsia="zh-CN"/>
        </w:rPr>
        <w:t>环境效益</w:t>
      </w:r>
    </w:p>
    <w:p>
      <w:pPr>
        <w:pStyle w:val="24"/>
        <w:numPr>
          <w:ilvl w:val="-1"/>
          <w:numId w:val="0"/>
        </w:numPr>
        <w:spacing w:before="156" w:after="156"/>
        <w:ind w:firstLine="420" w:firstLineChars="200"/>
        <w:rPr>
          <w:rFonts w:hint="eastAsia" w:ascii="Times New Roman" w:eastAsia="宋体"/>
          <w:lang w:val="en-US" w:eastAsia="zh-CN"/>
        </w:rPr>
      </w:pPr>
      <w:r>
        <w:rPr>
          <w:rFonts w:hint="eastAsia" w:ascii="宋体" w:hAnsi="宋体" w:eastAsia="宋体" w:cs="宋体"/>
          <w:lang w:val="en-US" w:eastAsia="zh-CN"/>
        </w:rPr>
        <w:t>从</w:t>
      </w:r>
      <w:r>
        <w:rPr>
          <w:rFonts w:hint="eastAsia" w:hAnsi="宋体" w:cs="宋体"/>
          <w:lang w:val="en-US" w:eastAsia="zh-CN"/>
        </w:rPr>
        <w:t>项目取得的资源节约、环境友好、生态良好相关实际环境效益贡献量及影响广度进行评价，</w:t>
      </w:r>
      <w:r>
        <w:rPr>
          <w:rFonts w:hint="eastAsia" w:ascii="宋体" w:hAnsi="宋体" w:eastAsia="宋体" w:cs="宋体"/>
          <w:lang w:val="en-US" w:eastAsia="zh-CN"/>
        </w:rPr>
        <w:t>具体评价内容参考本文件</w:t>
      </w:r>
      <w:r>
        <w:rPr>
          <w:rFonts w:hint="eastAsia" w:hAnsi="宋体" w:cs="宋体"/>
          <w:lang w:val="en-US" w:eastAsia="zh-CN"/>
        </w:rPr>
        <w:t>5.2.1.2</w:t>
      </w:r>
      <w:r>
        <w:rPr>
          <w:rFonts w:hint="eastAsia" w:hAnsi="宋体" w:cs="宋体"/>
        </w:rPr>
        <w:t>。</w:t>
      </w:r>
      <w:r>
        <w:rPr>
          <w:rFonts w:hint="eastAsia" w:ascii="宋体" w:hAnsi="宋体" w:eastAsia="宋体" w:cs="宋体"/>
          <w:lang w:val="en-US" w:eastAsia="zh-CN"/>
        </w:rPr>
        <w:t>具体评分规则见表</w:t>
      </w:r>
      <w:r>
        <w:rPr>
          <w:rFonts w:hint="eastAsia" w:hAnsi="宋体" w:cs="宋体"/>
          <w:lang w:val="en-US" w:eastAsia="zh-CN"/>
        </w:rPr>
        <w:t>3</w:t>
      </w:r>
      <w:r>
        <w:rPr>
          <w:rFonts w:hint="eastAsia" w:ascii="宋体" w:hAnsi="宋体" w:eastAsia="宋体" w:cs="宋体"/>
          <w:lang w:val="en-US" w:eastAsia="zh-CN"/>
        </w:rPr>
        <w:t>3。</w:t>
      </w:r>
    </w:p>
    <w:p>
      <w:pPr>
        <w:pStyle w:val="128"/>
        <w:ind w:left="0" w:firstLine="0"/>
        <w:rPr>
          <w:rFonts w:ascii="Times New Roman"/>
        </w:rPr>
      </w:pPr>
      <w:r>
        <w:rPr>
          <w:rFonts w:hint="eastAsia" w:ascii="Times New Roman"/>
          <w:lang w:val="en-US" w:eastAsia="zh-CN"/>
        </w:rPr>
        <w:t>环境效益</w:t>
      </w:r>
      <w:r>
        <w:rPr>
          <w:rFonts w:ascii="Times New Roman"/>
        </w:rPr>
        <w:t>评分规则表</w:t>
      </w:r>
    </w:p>
    <w:tbl>
      <w:tblPr>
        <w:tblStyle w:val="34"/>
        <w:tblW w:w="54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1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vAlign w:val="center"/>
          </w:tcPr>
          <w:p>
            <w:pPr>
              <w:pStyle w:val="24"/>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环境效益水平</w:t>
            </w:r>
          </w:p>
        </w:tc>
        <w:tc>
          <w:tcPr>
            <w:tcW w:w="1125" w:type="dxa"/>
            <w:vAlign w:val="center"/>
          </w:tcPr>
          <w:p>
            <w:pPr>
              <w:pStyle w:val="24"/>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47" w:type="dxa"/>
            <w:tcBorders>
              <w:top w:val="single" w:color="auto" w:sz="8" w:space="0"/>
              <w:tl2br w:val="nil"/>
              <w:tr2bl w:val="nil"/>
            </w:tcBorders>
            <w:vAlign w:val="center"/>
          </w:tcPr>
          <w:p>
            <w:pPr>
              <w:pStyle w:val="24"/>
              <w:ind w:firstLine="0" w:firstLineChars="0"/>
              <w:jc w:val="center"/>
              <w:rPr>
                <w:rFonts w:hint="default" w:hAnsi="宋体" w:cs="宋体"/>
                <w:sz w:val="18"/>
                <w:szCs w:val="18"/>
                <w:lang w:val="en-US"/>
              </w:rPr>
            </w:pPr>
            <w:r>
              <w:rPr>
                <w:rFonts w:hint="eastAsia" w:hAnsi="宋体" w:cs="宋体"/>
                <w:sz w:val="18"/>
                <w:szCs w:val="18"/>
                <w:lang w:val="en-US" w:eastAsia="zh-CN"/>
              </w:rPr>
              <w:t>取得的环境效益效果显著，处于行业领先水平。</w:t>
            </w:r>
          </w:p>
        </w:tc>
        <w:tc>
          <w:tcPr>
            <w:tcW w:w="1125"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r>
              <w:rPr>
                <w:rFonts w:hint="eastAsia" w:hAnsi="宋体" w:cs="宋体"/>
                <w:sz w:val="18"/>
                <w:szCs w:val="18"/>
                <w:lang w:val="en-US" w:eastAsia="zh-CN"/>
              </w:rPr>
              <w:t>20</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取得的环境效益效果较好，处于行业良好水平。</w:t>
            </w:r>
          </w:p>
        </w:tc>
        <w:tc>
          <w:tcPr>
            <w:tcW w:w="112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347"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取得的环境效益效果一般，处于行业一般水平。</w:t>
            </w:r>
          </w:p>
        </w:tc>
        <w:tc>
          <w:tcPr>
            <w:tcW w:w="112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[0,10]</w:t>
            </w:r>
          </w:p>
        </w:tc>
      </w:tr>
    </w:tbl>
    <w:p>
      <w:pPr>
        <w:pStyle w:val="53"/>
        <w:numPr>
          <w:ilvl w:val="3"/>
          <w:numId w:val="2"/>
        </w:numPr>
        <w:spacing w:before="156" w:after="156"/>
        <w:ind w:left="0" w:leftChars="0" w:firstLineChars="0"/>
        <w:rPr>
          <w:rFonts w:hint="eastAsia" w:ascii="Times New Roman" w:eastAsia="宋体"/>
          <w:lang w:val="en-US" w:eastAsia="zh-CN"/>
        </w:rPr>
      </w:pPr>
      <w:r>
        <w:rPr>
          <w:rFonts w:hint="default" w:ascii="黑体" w:eastAsia="黑体"/>
          <w:lang w:val="en-US" w:eastAsia="zh-CN"/>
        </w:rPr>
        <w:t>环境表现</w:t>
      </w:r>
    </w:p>
    <w:p>
      <w:pPr>
        <w:pStyle w:val="57"/>
        <w:spacing w:before="156" w:after="156"/>
        <w:rPr>
          <w:rFonts w:ascii="Times New Roman"/>
        </w:rPr>
      </w:pPr>
      <w:r>
        <w:rPr>
          <w:rFonts w:ascii="Times New Roman"/>
        </w:rPr>
        <w:t>工艺设备材料</w:t>
      </w:r>
    </w:p>
    <w:p>
      <w:pPr>
        <w:pStyle w:val="24"/>
        <w:rPr>
          <w:rFonts w:ascii="Times New Roman"/>
        </w:rPr>
      </w:pPr>
      <w:r>
        <w:rPr>
          <w:rFonts w:hint="eastAsia" w:ascii="宋体" w:hAnsi="宋体" w:eastAsia="宋体" w:cs="宋体"/>
          <w:lang w:val="en-US" w:eastAsia="zh-CN"/>
        </w:rPr>
        <w:t>从项目</w:t>
      </w:r>
      <w:r>
        <w:rPr>
          <w:rFonts w:hint="eastAsia" w:hAnsi="宋体" w:cs="宋体"/>
          <w:lang w:val="en-US" w:eastAsia="zh-CN"/>
        </w:rPr>
        <w:t>是否采用国家推广的设备、材料等方面进行评价，</w:t>
      </w:r>
      <w:r>
        <w:rPr>
          <w:rFonts w:hint="eastAsia" w:ascii="宋体" w:hAnsi="宋体" w:eastAsia="宋体" w:cs="宋体"/>
          <w:lang w:val="en-US" w:eastAsia="zh-CN"/>
        </w:rPr>
        <w:t>具体评价内容参考本文件</w:t>
      </w:r>
      <w:r>
        <w:rPr>
          <w:rFonts w:hint="eastAsia" w:hAnsi="宋体" w:cs="宋体"/>
          <w:lang w:val="en-US" w:eastAsia="zh-CN"/>
        </w:rPr>
        <w:t>5.2.3.1</w:t>
      </w:r>
      <w:r>
        <w:rPr>
          <w:rFonts w:hint="eastAsia" w:ascii="宋体" w:hAnsi="宋体" w:eastAsia="宋体" w:cs="宋体"/>
          <w:lang w:val="en-US" w:eastAsia="zh-CN"/>
        </w:rPr>
        <w:t>，</w:t>
      </w:r>
      <w:r>
        <w:rPr>
          <w:rFonts w:hint="eastAsia" w:hAnsi="宋体" w:cs="宋体"/>
        </w:rPr>
        <w:t>具体评分规则见表</w:t>
      </w:r>
      <w:r>
        <w:rPr>
          <w:rFonts w:hint="eastAsia" w:hAnsi="宋体" w:cs="宋体"/>
          <w:lang w:val="en-US" w:eastAsia="zh-CN"/>
        </w:rPr>
        <w:t>34</w:t>
      </w:r>
      <w:r>
        <w:rPr>
          <w:rFonts w:hint="eastAsia" w:hAnsi="宋体" w:cs="宋体"/>
        </w:rPr>
        <w:t>。</w:t>
      </w:r>
    </w:p>
    <w:p>
      <w:pPr>
        <w:pStyle w:val="128"/>
        <w:rPr>
          <w:rFonts w:ascii="Times New Roman"/>
        </w:rPr>
      </w:pPr>
      <w:r>
        <w:rPr>
          <w:rFonts w:ascii="Times New Roman"/>
        </w:rPr>
        <w:t>工艺设备材料评分规则表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1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84" w:type="dxa"/>
            <w:vAlign w:val="center"/>
          </w:tcPr>
          <w:p>
            <w:pPr>
              <w:pStyle w:val="24"/>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工艺设备材料</w:t>
            </w:r>
          </w:p>
        </w:tc>
        <w:tc>
          <w:tcPr>
            <w:tcW w:w="1263" w:type="dxa"/>
            <w:vAlign w:val="center"/>
          </w:tcPr>
          <w:p>
            <w:pPr>
              <w:pStyle w:val="24"/>
              <w:ind w:firstLine="0" w:firstLineChars="0"/>
              <w:jc w:val="center"/>
              <w:rPr>
                <w:rFonts w:ascii="Times New Roman"/>
                <w:b/>
                <w:bCs/>
                <w:sz w:val="18"/>
                <w:szCs w:val="18"/>
              </w:rPr>
            </w:pPr>
            <w:r>
              <w:rPr>
                <w:rFonts w:hint="eastAsia" w:ascii="Times New Roman"/>
                <w:b/>
                <w:bCs/>
                <w:sz w:val="18"/>
                <w:szCs w:val="18"/>
                <w:lang w:val="en-US" w:eastAsia="zh-CN"/>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设备材料绿色化程度较高。</w:t>
            </w:r>
          </w:p>
        </w:tc>
        <w:tc>
          <w:tcPr>
            <w:tcW w:w="1263" w:type="dxa"/>
            <w:tcBorders>
              <w:tl2br w:val="nil"/>
              <w:tr2bl w:val="nil"/>
            </w:tcBorders>
            <w:vAlign w:val="center"/>
          </w:tcPr>
          <w:p>
            <w:pPr>
              <w:pStyle w:val="24"/>
              <w:ind w:firstLine="0" w:firstLineChars="0"/>
              <w:jc w:val="center"/>
              <w:rPr>
                <w:rFonts w:hint="eastAsia" w:hAnsi="宋体" w:cs="宋体"/>
                <w:sz w:val="18"/>
                <w:szCs w:val="18"/>
              </w:rPr>
            </w:pPr>
            <w:r>
              <w:rPr>
                <w:rFonts w:hint="eastAsia" w:hAnsi="宋体" w:cs="宋体"/>
                <w:sz w:val="18"/>
                <w:szCs w:val="18"/>
                <w:lang w:val="en-US" w:eastAsia="zh-CN"/>
              </w:rPr>
              <w:t>(7,10]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4"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设备材料绿色化程度中等。</w:t>
            </w:r>
          </w:p>
        </w:tc>
        <w:tc>
          <w:tcPr>
            <w:tcW w:w="1263" w:type="dxa"/>
            <w:tcBorders>
              <w:tl2br w:val="nil"/>
              <w:tr2bl w:val="nil"/>
            </w:tcBorders>
            <w:vAlign w:val="center"/>
          </w:tcPr>
          <w:p>
            <w:pPr>
              <w:pStyle w:val="24"/>
              <w:ind w:firstLine="0" w:firstLineChars="0"/>
              <w:jc w:val="center"/>
              <w:rPr>
                <w:rFonts w:hint="eastAsia" w:hAnsi="宋体" w:cs="宋体"/>
                <w:sz w:val="18"/>
                <w:szCs w:val="18"/>
              </w:rPr>
            </w:pPr>
            <w:r>
              <w:rPr>
                <w:rFonts w:hint="eastAsia" w:hAnsi="宋体" w:cs="宋体"/>
                <w:sz w:val="18"/>
                <w:szCs w:val="18"/>
                <w:lang w:val="en-US" w:eastAsia="zh-CN"/>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设备材料绿色化程度一般。</w:t>
            </w:r>
          </w:p>
        </w:tc>
        <w:tc>
          <w:tcPr>
            <w:tcW w:w="1263" w:type="dxa"/>
            <w:tcBorders>
              <w:tl2br w:val="nil"/>
              <w:tr2bl w:val="nil"/>
            </w:tcBorders>
            <w:vAlign w:val="center"/>
          </w:tcPr>
          <w:p>
            <w:pPr>
              <w:pStyle w:val="24"/>
              <w:ind w:firstLine="0" w:firstLineChars="0"/>
              <w:jc w:val="center"/>
              <w:rPr>
                <w:rFonts w:hint="eastAsia" w:hAnsi="宋体" w:cs="宋体"/>
                <w:sz w:val="18"/>
                <w:szCs w:val="18"/>
              </w:rPr>
            </w:pPr>
            <w:r>
              <w:rPr>
                <w:rFonts w:hint="eastAsia" w:hAnsi="宋体" w:cs="宋体"/>
                <w:sz w:val="18"/>
                <w:szCs w:val="18"/>
                <w:lang w:val="en-US" w:eastAsia="zh-CN"/>
              </w:rPr>
              <w:t>(0,4]</w:t>
            </w:r>
          </w:p>
        </w:tc>
      </w:tr>
    </w:tbl>
    <w:p>
      <w:pPr>
        <w:pStyle w:val="57"/>
        <w:rPr>
          <w:rFonts w:hint="eastAsia" w:ascii="Times New Roman" w:eastAsia="宋体"/>
          <w:lang w:val="en-US" w:eastAsia="zh-CN"/>
        </w:rPr>
      </w:pPr>
      <w:r>
        <w:rPr>
          <w:rFonts w:hint="eastAsia" w:ascii="黑体" w:eastAsia="黑体"/>
          <w:lang w:val="en-US" w:eastAsia="zh-CN"/>
        </w:rPr>
        <w:t>绿色</w:t>
      </w:r>
      <w:r>
        <w:rPr>
          <w:rFonts w:hint="eastAsia"/>
          <w:lang w:val="en-US" w:eastAsia="zh-CN"/>
        </w:rPr>
        <w:t>低碳</w:t>
      </w:r>
      <w:r>
        <w:rPr>
          <w:rFonts w:hint="eastAsia" w:ascii="黑体" w:eastAsia="黑体"/>
          <w:lang w:val="en-US" w:eastAsia="zh-CN"/>
        </w:rPr>
        <w:t>运营</w:t>
      </w:r>
    </w:p>
    <w:p>
      <w:pPr>
        <w:pStyle w:val="24"/>
        <w:rPr>
          <w:rFonts w:hint="eastAsia"/>
          <w:lang w:val="en-US" w:eastAsia="zh-CN"/>
        </w:rPr>
      </w:pPr>
      <w:r>
        <w:rPr>
          <w:rFonts w:hint="eastAsia"/>
          <w:lang w:val="en-US" w:eastAsia="zh-CN"/>
        </w:rPr>
        <w:t>绿色低碳运营从单位总投资综合能耗、单位总投资用水量、单位总投资用地面积、单位总投资碳排放量、可再生能源占比等方面进行综合评估。其中，单位总投资综合能耗为项目生产建设综合能耗与项目总投资额的比值，单位为</w:t>
      </w:r>
      <w:r>
        <w:rPr>
          <w:rFonts w:hint="eastAsia" w:hAnsi="Times New Roman" w:cs="Times New Roman"/>
          <w:sz w:val="21"/>
          <w:szCs w:val="20"/>
          <w:lang w:val="en-US" w:eastAsia="zh-CN"/>
        </w:rPr>
        <w:t>吨标准煤/万元</w:t>
      </w:r>
      <w:r>
        <w:rPr>
          <w:rFonts w:hint="eastAsia"/>
          <w:lang w:val="en-US" w:eastAsia="zh-CN"/>
        </w:rPr>
        <w:t>；单位总投资用水量为项目生产建设用水总量与项目总投资额的比值，单位为</w:t>
      </w:r>
      <w:r>
        <w:rPr>
          <w:rFonts w:hint="eastAsia" w:hAnsi="Times New Roman" w:cs="Times New Roman"/>
          <w:sz w:val="21"/>
          <w:szCs w:val="20"/>
          <w:lang w:val="en-US" w:eastAsia="zh-CN"/>
        </w:rPr>
        <w:t>吨/万元</w:t>
      </w:r>
      <w:r>
        <w:rPr>
          <w:rFonts w:hint="eastAsia"/>
          <w:lang w:val="en-US" w:eastAsia="zh-CN"/>
        </w:rPr>
        <w:t>；单位总投资用地面积为项目生产建设用地面积与项目总投资额的比值，单位为</w:t>
      </w:r>
      <w:r>
        <w:rPr>
          <w:rFonts w:hint="eastAsia" w:hAnsi="Times New Roman" w:cs="Times New Roman"/>
          <w:sz w:val="21"/>
          <w:szCs w:val="20"/>
          <w:lang w:val="en-US" w:eastAsia="zh-CN"/>
        </w:rPr>
        <w:t>平方米/万元</w:t>
      </w:r>
      <w:r>
        <w:rPr>
          <w:rFonts w:hint="eastAsia"/>
          <w:lang w:val="en-US" w:eastAsia="zh-CN"/>
        </w:rPr>
        <w:t>；单位总投资碳排放量为项目碳排放总量与项目总投资额的比值，单位为</w:t>
      </w:r>
      <w:r>
        <w:rPr>
          <w:rFonts w:hint="eastAsia" w:ascii="宋体" w:hAnsi="Times New Roman" w:cs="Times New Roman"/>
          <w:b w:val="0"/>
          <w:bCs w:val="0"/>
          <w:sz w:val="21"/>
          <w:szCs w:val="20"/>
          <w:lang w:val="en-US" w:eastAsia="zh-CN"/>
        </w:rPr>
        <w:t>吨二氧化碳当量/万元</w:t>
      </w:r>
      <w:r>
        <w:rPr>
          <w:rFonts w:hint="eastAsia"/>
          <w:lang w:val="en-US" w:eastAsia="zh-CN"/>
        </w:rPr>
        <w:t>；可再生能源占比具体评价内容参考</w:t>
      </w:r>
      <w:r>
        <w:rPr>
          <w:rFonts w:hint="eastAsia"/>
          <w:highlight w:val="none"/>
          <w:lang w:val="en-US" w:eastAsia="zh-CN"/>
        </w:rPr>
        <w:t>5.2.3.2.2</w:t>
      </w:r>
      <w:r>
        <w:rPr>
          <w:rFonts w:hint="eastAsia"/>
          <w:lang w:val="en-US" w:eastAsia="zh-CN"/>
        </w:rPr>
        <w:t>。具体评分规则见表35。</w:t>
      </w:r>
    </w:p>
    <w:p>
      <w:pPr>
        <w:pStyle w:val="128"/>
        <w:ind w:left="0" w:firstLine="0"/>
        <w:rPr>
          <w:rFonts w:ascii="Times New Roman"/>
        </w:rPr>
      </w:pPr>
      <w:r>
        <w:rPr>
          <w:rFonts w:hint="eastAsia" w:ascii="Times New Roman"/>
          <w:lang w:val="en-US" w:eastAsia="zh-CN"/>
        </w:rPr>
        <w:t>绿色低碳运营</w:t>
      </w:r>
      <w:r>
        <w:rPr>
          <w:rFonts w:ascii="Times New Roman"/>
        </w:rPr>
        <w:t>评分规则表</w:t>
      </w:r>
    </w:p>
    <w:tbl>
      <w:tblPr>
        <w:tblStyle w:val="34"/>
        <w:tblW w:w="5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5" w:type="dxa"/>
            <w:vAlign w:val="center"/>
          </w:tcPr>
          <w:p>
            <w:pPr>
              <w:pStyle w:val="24"/>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项目投资水平</w:t>
            </w:r>
          </w:p>
        </w:tc>
        <w:tc>
          <w:tcPr>
            <w:tcW w:w="3716" w:type="dxa"/>
            <w:vAlign w:val="center"/>
          </w:tcPr>
          <w:p>
            <w:pPr>
              <w:pStyle w:val="24"/>
              <w:ind w:firstLine="0" w:firstLineChars="0"/>
              <w:jc w:val="center"/>
              <w:rPr>
                <w:rFonts w:ascii="Times New Roman"/>
                <w:b/>
                <w:bCs/>
                <w:sz w:val="18"/>
                <w:szCs w:val="18"/>
              </w:rPr>
            </w:pPr>
            <w:r>
              <w:rPr>
                <w:rFonts w:hint="eastAsia" w:ascii="Times New Roman"/>
                <w:b/>
                <w:bCs/>
                <w:sz w:val="18"/>
                <w:szCs w:val="18"/>
                <w:lang w:val="en-US" w:eastAsia="zh-CN"/>
              </w:rPr>
              <w:t>评分依据及单项分值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单位总投资综合能耗</w:t>
            </w:r>
          </w:p>
        </w:tc>
        <w:tc>
          <w:tcPr>
            <w:tcW w:w="3716" w:type="dxa"/>
            <w:vMerge w:val="restart"/>
            <w:tcBorders>
              <w:top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五项指标达到业内领先水平得(12,15]分；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四项指标达到业内领先水平得(9,12]分；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三项指标达到业内领先水平得(6,9]分；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两项指标达到业内领先水平得(3,6]分；</w:t>
            </w:r>
          </w:p>
          <w:p>
            <w:pPr>
              <w:pStyle w:val="24"/>
              <w:ind w:firstLine="0" w:firstLineChars="0"/>
              <w:jc w:val="left"/>
              <w:rPr>
                <w:rFonts w:hint="default" w:hAnsi="宋体" w:cs="宋体"/>
                <w:sz w:val="18"/>
                <w:szCs w:val="18"/>
                <w:lang w:val="en-US" w:eastAsia="zh-CN"/>
              </w:rPr>
            </w:pPr>
            <w:r>
              <w:rPr>
                <w:rFonts w:hint="eastAsia" w:hAnsi="宋体" w:cs="宋体"/>
                <w:sz w:val="18"/>
                <w:szCs w:val="18"/>
                <w:lang w:val="en-US" w:eastAsia="zh-CN"/>
              </w:rPr>
              <w:t>一项指标达到业内领先水平得(0,3]分。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lang w:val="en-US" w:eastAsia="zh-CN"/>
              </w:rPr>
              <w:t>单位总投资用水量</w:t>
            </w:r>
          </w:p>
        </w:tc>
        <w:tc>
          <w:tcPr>
            <w:tcW w:w="3716" w:type="dxa"/>
            <w:vMerge w:val="continue"/>
            <w:tcBorders>
              <w:tl2br w:val="nil"/>
              <w:tr2bl w:val="nil"/>
            </w:tcBorders>
            <w:vAlign w:val="center"/>
          </w:tcPr>
          <w:p>
            <w:pPr>
              <w:pStyle w:val="24"/>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单位总投资用地面积</w:t>
            </w:r>
          </w:p>
        </w:tc>
        <w:tc>
          <w:tcPr>
            <w:tcW w:w="3716" w:type="dxa"/>
            <w:vMerge w:val="continue"/>
            <w:tcBorders>
              <w:tl2br w:val="nil"/>
              <w:tr2bl w:val="nil"/>
            </w:tcBorders>
            <w:vAlign w:val="center"/>
          </w:tcPr>
          <w:p>
            <w:pPr>
              <w:pStyle w:val="24"/>
              <w:ind w:firstLine="0" w:firstLineChars="0"/>
              <w:jc w:val="center"/>
              <w:rPr>
                <w:rFonts w:hint="eastAsia"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单位总投资碳排放量</w:t>
            </w:r>
          </w:p>
        </w:tc>
        <w:tc>
          <w:tcPr>
            <w:tcW w:w="3716" w:type="dxa"/>
            <w:vMerge w:val="continue"/>
            <w:tcBorders>
              <w:tl2br w:val="nil"/>
              <w:tr2bl w:val="nil"/>
            </w:tcBorders>
            <w:vAlign w:val="center"/>
          </w:tcPr>
          <w:p>
            <w:pPr>
              <w:pStyle w:val="24"/>
              <w:ind w:firstLine="0" w:firstLineChars="0"/>
              <w:jc w:val="center"/>
              <w:rPr>
                <w:rFonts w:hint="eastAsia"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可再生能源占比</w:t>
            </w:r>
          </w:p>
        </w:tc>
        <w:tc>
          <w:tcPr>
            <w:tcW w:w="3716" w:type="dxa"/>
            <w:vMerge w:val="continue"/>
            <w:tcBorders>
              <w:tl2br w:val="nil"/>
              <w:tr2bl w:val="nil"/>
            </w:tcBorders>
            <w:vAlign w:val="center"/>
          </w:tcPr>
          <w:p>
            <w:pPr>
              <w:pStyle w:val="24"/>
              <w:ind w:firstLine="0" w:firstLineChars="0"/>
              <w:jc w:val="center"/>
              <w:rPr>
                <w:rFonts w:hint="eastAsia" w:hAnsi="宋体" w:cs="宋体"/>
                <w:sz w:val="18"/>
                <w:szCs w:val="18"/>
                <w:lang w:val="en-US" w:eastAsia="zh-CN"/>
              </w:rPr>
            </w:pPr>
          </w:p>
        </w:tc>
      </w:tr>
    </w:tbl>
    <w:p>
      <w:pPr>
        <w:pStyle w:val="57"/>
        <w:spacing w:before="156" w:after="156"/>
        <w:rPr>
          <w:rFonts w:ascii="Times New Roman"/>
        </w:rPr>
      </w:pPr>
      <w:r>
        <w:rPr>
          <w:rFonts w:hint="eastAsia"/>
          <w:lang w:val="en-US" w:eastAsia="zh-CN"/>
        </w:rPr>
        <w:t>污染物</w:t>
      </w:r>
      <w:r>
        <w:t>排放</w:t>
      </w:r>
      <w:r>
        <w:rPr>
          <w:rFonts w:hint="eastAsia"/>
        </w:rPr>
        <w:t>水平</w:t>
      </w:r>
    </w:p>
    <w:p>
      <w:pPr>
        <w:pStyle w:val="24"/>
        <w:rPr>
          <w:rFonts w:hAnsi="宋体" w:cs="宋体"/>
        </w:rPr>
      </w:pPr>
      <w:r>
        <w:rPr>
          <w:rFonts w:hint="eastAsia" w:hAnsi="宋体" w:cs="宋体"/>
        </w:rPr>
        <w:t>从</w:t>
      </w:r>
      <w:r>
        <w:rPr>
          <w:rFonts w:hint="eastAsia" w:hAnsi="宋体" w:cs="宋体"/>
          <w:lang w:val="en-US" w:eastAsia="zh-CN"/>
        </w:rPr>
        <w:t>项目</w:t>
      </w:r>
      <w:r>
        <w:rPr>
          <w:rFonts w:hint="eastAsia" w:hAnsi="宋体" w:cs="宋体"/>
        </w:rPr>
        <w:t>自身生产运营过程向环境排放污染物的情况进行评价</w:t>
      </w:r>
      <w:r>
        <w:rPr>
          <w:rFonts w:hint="eastAsia" w:hAnsi="宋体" w:cs="宋体"/>
          <w:lang w:eastAsia="zh-CN"/>
        </w:rPr>
        <w:t>，</w:t>
      </w:r>
      <w:r>
        <w:rPr>
          <w:rFonts w:hint="eastAsia" w:ascii="宋体" w:hAnsi="宋体" w:eastAsia="宋体" w:cs="宋体"/>
          <w:lang w:val="en-US" w:eastAsia="zh-CN"/>
        </w:rPr>
        <w:t>具体评价内容参考本文件7.2.2.</w:t>
      </w:r>
      <w:r>
        <w:rPr>
          <w:rFonts w:hint="eastAsia" w:hAnsi="宋体" w:cs="宋体"/>
          <w:lang w:val="en-US" w:eastAsia="zh-CN"/>
        </w:rPr>
        <w:t>4</w:t>
      </w:r>
      <w:r>
        <w:rPr>
          <w:rFonts w:hint="eastAsia" w:ascii="宋体" w:hAnsi="宋体" w:eastAsia="宋体" w:cs="宋体"/>
          <w:lang w:val="en-US" w:eastAsia="zh-CN"/>
        </w:rPr>
        <w:t>.</w:t>
      </w:r>
      <w:r>
        <w:rPr>
          <w:rFonts w:hint="eastAsia" w:hAnsi="宋体" w:cs="宋体"/>
          <w:lang w:val="en-US" w:eastAsia="zh-CN"/>
        </w:rPr>
        <w:t>3，</w:t>
      </w:r>
      <w:r>
        <w:rPr>
          <w:rFonts w:hint="eastAsia" w:hAnsi="宋体" w:cs="宋体"/>
        </w:rPr>
        <w:t>具体评分规则见表</w:t>
      </w:r>
      <w:r>
        <w:rPr>
          <w:rFonts w:hint="eastAsia" w:hAnsi="宋体" w:cs="宋体"/>
          <w:lang w:val="en-US" w:eastAsia="zh-CN"/>
        </w:rPr>
        <w:t>36</w:t>
      </w:r>
      <w:r>
        <w:rPr>
          <w:rFonts w:hint="eastAsia" w:hAnsi="宋体" w:cs="宋体"/>
        </w:rPr>
        <w:t>。</w:t>
      </w:r>
    </w:p>
    <w:p>
      <w:pPr>
        <w:pStyle w:val="128"/>
        <w:rPr>
          <w:rFonts w:ascii="Times New Roman"/>
        </w:rPr>
      </w:pPr>
      <w:r>
        <w:rPr>
          <w:rFonts w:hint="eastAsia" w:ascii="Times New Roman"/>
        </w:rPr>
        <w:t>污染物</w:t>
      </w:r>
      <w:r>
        <w:rPr>
          <w:rFonts w:ascii="Times New Roman"/>
        </w:rPr>
        <w:t>排放</w:t>
      </w:r>
      <w:r>
        <w:rPr>
          <w:rFonts w:hint="eastAsia" w:ascii="Times New Roman"/>
        </w:rPr>
        <w:t>水平</w:t>
      </w:r>
      <w:r>
        <w:rPr>
          <w:rFonts w:ascii="Times New Roman"/>
        </w:rPr>
        <w:t>评分规则表</w:t>
      </w:r>
    </w:p>
    <w:tbl>
      <w:tblPr>
        <w:tblStyle w:val="34"/>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6"/>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污染物排放水平</w:t>
            </w:r>
          </w:p>
        </w:tc>
        <w:tc>
          <w:tcPr>
            <w:tcW w:w="1203" w:type="dxa"/>
            <w:tcBorders>
              <w:bottom w:val="single" w:color="auto" w:sz="8" w:space="0"/>
            </w:tcBorders>
            <w:vAlign w:val="center"/>
          </w:tcPr>
          <w:p>
            <w:pPr>
              <w:pStyle w:val="24"/>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76" w:type="dxa"/>
            <w:tcBorders>
              <w:top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不排放污染物，或优于排污许可证限值20%，或优于排放源所在地同类行业污染物排放限值20%。</w:t>
            </w:r>
          </w:p>
        </w:tc>
        <w:tc>
          <w:tcPr>
            <w:tcW w:w="1203" w:type="dxa"/>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优于排污许可证限值10%，或优于排放源所在地同类行业污染物排放限值10%。</w:t>
            </w:r>
          </w:p>
        </w:tc>
        <w:tc>
          <w:tcPr>
            <w:tcW w:w="1203" w:type="dxa"/>
            <w:tcBorders>
              <w:tl2br w:val="nil"/>
              <w:tr2bl w:val="nil"/>
            </w:tcBorders>
            <w:vAlign w:val="center"/>
          </w:tcPr>
          <w:p>
            <w:pPr>
              <w:pStyle w:val="24"/>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vAlign w:val="center"/>
          </w:tcPr>
          <w:p>
            <w:pPr>
              <w:pStyle w:val="24"/>
              <w:ind w:firstLine="0" w:firstLineChars="0"/>
              <w:rPr>
                <w:rFonts w:hAnsi="宋体" w:cs="宋体"/>
                <w:sz w:val="18"/>
                <w:szCs w:val="18"/>
              </w:rPr>
            </w:pPr>
            <w:r>
              <w:rPr>
                <w:rFonts w:hint="eastAsia" w:hAnsi="宋体" w:cs="宋体"/>
                <w:sz w:val="18"/>
                <w:szCs w:val="18"/>
              </w:rPr>
              <w:t>不满足上述任何一项。</w:t>
            </w:r>
          </w:p>
        </w:tc>
        <w:tc>
          <w:tcPr>
            <w:tcW w:w="1203" w:type="dxa"/>
            <w:tcBorders>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0</w:t>
            </w:r>
          </w:p>
        </w:tc>
      </w:tr>
    </w:tbl>
    <w:p>
      <w:pPr>
        <w:pStyle w:val="47"/>
        <w:outlineLvl w:val="0"/>
        <w:rPr>
          <w:rFonts w:ascii="Times New Roman"/>
        </w:rPr>
      </w:pPr>
      <w:bookmarkStart w:id="88" w:name="_Toc1807"/>
      <w:r>
        <w:rPr>
          <w:rFonts w:ascii="Times New Roman"/>
        </w:rPr>
        <w:t>评价程序</w:t>
      </w:r>
      <w:bookmarkEnd w:id="84"/>
      <w:bookmarkEnd w:id="85"/>
      <w:bookmarkEnd w:id="88"/>
    </w:p>
    <w:p>
      <w:pPr>
        <w:pStyle w:val="44"/>
        <w:outlineLvl w:val="1"/>
        <w:rPr>
          <w:rFonts w:ascii="Times New Roman"/>
        </w:rPr>
      </w:pPr>
      <w:bookmarkStart w:id="89" w:name="_Toc2417"/>
      <w:bookmarkStart w:id="90" w:name="_Toc118282046"/>
      <w:bookmarkStart w:id="91" w:name="_Toc19162"/>
      <w:bookmarkStart w:id="92" w:name="_Toc118281022"/>
      <w:r>
        <w:rPr>
          <w:rFonts w:ascii="Times New Roman"/>
        </w:rPr>
        <w:t>成立工作组</w:t>
      </w:r>
      <w:bookmarkEnd w:id="89"/>
      <w:bookmarkEnd w:id="90"/>
      <w:bookmarkEnd w:id="91"/>
      <w:bookmarkEnd w:id="92"/>
    </w:p>
    <w:p>
      <w:pPr>
        <w:ind w:firstLine="420" w:firstLineChars="200"/>
      </w:pPr>
      <w:r>
        <w:rPr>
          <w:rFonts w:hint="eastAsia"/>
        </w:rPr>
        <w:t>成立</w:t>
      </w:r>
      <w:r>
        <w:rPr>
          <w:rFonts w:hint="eastAsia"/>
          <w:lang w:eastAsia="zh-CN"/>
        </w:rPr>
        <w:t>绿色低碳产业</w:t>
      </w:r>
      <w:r>
        <w:rPr>
          <w:rFonts w:hint="eastAsia"/>
        </w:rPr>
        <w:t>认定评价工作组，负责具体协调、组织和实施</w:t>
      </w:r>
      <w:r>
        <w:rPr>
          <w:rFonts w:hint="eastAsia"/>
          <w:lang w:eastAsia="zh-CN"/>
        </w:rPr>
        <w:t>绿色低碳产业</w:t>
      </w:r>
      <w:r>
        <w:rPr>
          <w:rFonts w:hint="eastAsia"/>
        </w:rPr>
        <w:t>认定评价工作。要求工作组成员：</w:t>
      </w:r>
    </w:p>
    <w:p>
      <w:pPr>
        <w:ind w:firstLine="420" w:firstLineChars="200"/>
      </w:pPr>
      <w:r>
        <w:rPr>
          <w:rFonts w:hint="eastAsia"/>
        </w:rPr>
        <w:t>——具有高效节能、环境、财务等相关专业背景；</w:t>
      </w:r>
    </w:p>
    <w:p>
      <w:pPr>
        <w:ind w:firstLine="420" w:firstLineChars="200"/>
      </w:pPr>
      <w:r>
        <w:rPr>
          <w:rFonts w:hint="eastAsia"/>
        </w:rPr>
        <w:t>——熟悉掌握</w:t>
      </w:r>
      <w:r>
        <w:rPr>
          <w:rFonts w:hint="eastAsia"/>
          <w:lang w:eastAsia="zh-CN"/>
        </w:rPr>
        <w:t>绿色低碳产业</w:t>
      </w:r>
      <w:r>
        <w:rPr>
          <w:rFonts w:hint="eastAsia"/>
        </w:rPr>
        <w:t>认定评价方法和步骤；</w:t>
      </w:r>
    </w:p>
    <w:p>
      <w:pPr>
        <w:ind w:firstLine="420" w:firstLineChars="200"/>
      </w:pPr>
      <w:r>
        <w:rPr>
          <w:rFonts w:hint="eastAsia"/>
        </w:rPr>
        <w:t>——具备良好的沟通协调能力和文字表达能力。</w:t>
      </w:r>
    </w:p>
    <w:p>
      <w:pPr>
        <w:pStyle w:val="44"/>
        <w:outlineLvl w:val="1"/>
        <w:rPr>
          <w:rFonts w:ascii="Times New Roman"/>
        </w:rPr>
      </w:pPr>
      <w:bookmarkStart w:id="93" w:name="_Toc118282047"/>
      <w:bookmarkStart w:id="94" w:name="_Toc13173"/>
      <w:bookmarkStart w:id="95" w:name="_Toc118281023"/>
      <w:r>
        <w:rPr>
          <w:rFonts w:hint="eastAsia" w:ascii="Times New Roman"/>
        </w:rPr>
        <w:t>收集材料</w:t>
      </w:r>
      <w:bookmarkEnd w:id="93"/>
      <w:bookmarkEnd w:id="94"/>
      <w:bookmarkEnd w:id="95"/>
    </w:p>
    <w:p>
      <w:pPr>
        <w:pStyle w:val="24"/>
      </w:pPr>
      <w:r>
        <w:rPr>
          <w:rFonts w:hint="eastAsia"/>
          <w:lang w:eastAsia="zh-CN"/>
        </w:rPr>
        <w:t>绿色低碳产业</w:t>
      </w:r>
      <w:r>
        <w:rPr>
          <w:rFonts w:hint="eastAsia"/>
        </w:rPr>
        <w:t>认定评价应收集的信息和文件资料见表</w:t>
      </w:r>
      <w:r>
        <w:rPr>
          <w:rFonts w:hint="eastAsia"/>
          <w:lang w:val="en-US" w:eastAsia="zh-CN"/>
        </w:rPr>
        <w:t>37、表38</w:t>
      </w:r>
      <w:r>
        <w:t>和表</w:t>
      </w:r>
      <w:r>
        <w:rPr>
          <w:rFonts w:hint="eastAsia"/>
          <w:lang w:val="en-US" w:eastAsia="zh-CN"/>
        </w:rPr>
        <w:t>39</w:t>
      </w:r>
      <w:r>
        <w:rPr>
          <w:rFonts w:hint="eastAsia"/>
        </w:rPr>
        <w:t>。</w:t>
      </w:r>
    </w:p>
    <w:p>
      <w:pPr>
        <w:numPr>
          <w:ilvl w:val="0"/>
          <w:numId w:val="17"/>
        </w:numPr>
        <w:spacing w:before="156" w:beforeLines="50" w:after="156" w:afterLines="50"/>
        <w:jc w:val="center"/>
      </w:pPr>
      <w:r>
        <w:rPr>
          <w:rFonts w:hint="eastAsia" w:eastAsia="黑体"/>
        </w:rPr>
        <w:t>符合性评价证明材料列表</w:t>
      </w:r>
    </w:p>
    <w:tbl>
      <w:tblPr>
        <w:tblStyle w:val="35"/>
        <w:tblW w:w="8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1"/>
        <w:gridCol w:w="5804"/>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81"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hint="eastAsia" w:ascii="宋体"/>
                <w:b/>
                <w:kern w:val="0"/>
                <w:sz w:val="18"/>
                <w:szCs w:val="18"/>
              </w:rPr>
              <w:t>指标</w:t>
            </w:r>
          </w:p>
        </w:tc>
        <w:tc>
          <w:tcPr>
            <w:tcW w:w="5804"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hint="eastAsia" w:ascii="宋体"/>
                <w:b/>
                <w:kern w:val="0"/>
                <w:sz w:val="18"/>
                <w:szCs w:val="18"/>
              </w:rPr>
              <w:t>评价内容</w:t>
            </w:r>
          </w:p>
        </w:tc>
        <w:tc>
          <w:tcPr>
            <w:tcW w:w="1483"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目录符合</w:t>
            </w:r>
          </w:p>
        </w:tc>
        <w:tc>
          <w:tcPr>
            <w:tcW w:w="5804" w:type="dxa"/>
            <w:tcBorders>
              <w:top w:val="single" w:color="000000" w:sz="8"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申报认定评价的</w:t>
            </w:r>
            <w:r>
              <w:rPr>
                <w:rFonts w:hint="eastAsia" w:ascii="宋体"/>
                <w:sz w:val="18"/>
                <w:szCs w:val="18"/>
                <w:lang w:val="en-US" w:eastAsia="zh-CN"/>
              </w:rPr>
              <w:t>企事业单位</w:t>
            </w:r>
            <w:r>
              <w:rPr>
                <w:rFonts w:hint="eastAsia" w:ascii="宋体"/>
                <w:sz w:val="18"/>
                <w:szCs w:val="18"/>
              </w:rPr>
              <w:t>主营业务</w:t>
            </w:r>
            <w:r>
              <w:rPr>
                <w:rFonts w:hint="eastAsia" w:ascii="宋体"/>
                <w:sz w:val="18"/>
                <w:szCs w:val="18"/>
                <w:lang w:val="en-US" w:eastAsia="zh-CN"/>
              </w:rPr>
              <w:t>或项目</w:t>
            </w:r>
            <w:r>
              <w:rPr>
                <w:rFonts w:hint="eastAsia" w:ascii="宋体"/>
                <w:sz w:val="18"/>
                <w:szCs w:val="18"/>
              </w:rPr>
              <w:t>应属于太阳能产品、太阳能生产装备、太阳能利用设施建设和运营等太阳能产业。</w:t>
            </w:r>
            <w:r>
              <w:rPr>
                <w:rFonts w:hint="eastAsia" w:ascii="宋体"/>
                <w:sz w:val="18"/>
                <w:szCs w:val="18"/>
                <w:lang w:val="en-US" w:eastAsia="zh-CN"/>
              </w:rPr>
              <w:t>绿色低碳产业企业的认定评价需要求其绿色业务占比达到50%或以上，或跨界规模达到1亿元、在国内外新兴领域超前领先。</w:t>
            </w:r>
          </w:p>
        </w:tc>
        <w:tc>
          <w:tcPr>
            <w:tcW w:w="1483"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技术符合</w:t>
            </w:r>
          </w:p>
        </w:tc>
        <w:tc>
          <w:tcPr>
            <w:tcW w:w="5804" w:type="dxa"/>
            <w:tcBorders>
              <w:bottom w:val="single" w:color="000000" w:sz="8"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提供的产品或服务应符合国家、广东省及深圳市相关主管部门发布的法律法规和政策标准要求，相关产品及研发制造活动、</w:t>
            </w:r>
            <w:r>
              <w:rPr>
                <w:rFonts w:hint="eastAsia" w:ascii="宋体"/>
                <w:sz w:val="18"/>
                <w:szCs w:val="18"/>
                <w:lang w:eastAsia="zh-CN"/>
              </w:rPr>
              <w:t>太阳能</w:t>
            </w:r>
            <w:r>
              <w:rPr>
                <w:rFonts w:hint="eastAsia" w:ascii="宋体"/>
                <w:sz w:val="18"/>
                <w:szCs w:val="18"/>
              </w:rPr>
              <w:t>利用设施建设和运营情况符合深圳市</w:t>
            </w:r>
            <w:r>
              <w:rPr>
                <w:rFonts w:hint="eastAsia" w:ascii="宋体"/>
                <w:sz w:val="18"/>
                <w:szCs w:val="18"/>
                <w:lang w:eastAsia="zh-CN"/>
              </w:rPr>
              <w:t>绿色低碳产业</w:t>
            </w:r>
            <w:r>
              <w:rPr>
                <w:rFonts w:hint="eastAsia" w:ascii="宋体"/>
                <w:sz w:val="18"/>
                <w:szCs w:val="18"/>
              </w:rPr>
              <w:t>认定规则体系规定的技术要求。</w:t>
            </w:r>
          </w:p>
        </w:tc>
        <w:tc>
          <w:tcPr>
            <w:tcW w:w="1483"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第三方检验报告及相关证明材料</w:t>
            </w:r>
          </w:p>
        </w:tc>
      </w:tr>
    </w:tbl>
    <w:p>
      <w:pPr>
        <w:numPr>
          <w:ilvl w:val="0"/>
          <w:numId w:val="17"/>
        </w:numPr>
        <w:spacing w:before="156" w:beforeLines="50" w:after="156" w:afterLines="50"/>
        <w:jc w:val="center"/>
      </w:pPr>
      <w:r>
        <w:rPr>
          <w:rFonts w:hint="eastAsia" w:eastAsia="黑体"/>
          <w:lang w:eastAsia="zh-CN"/>
        </w:rPr>
        <w:t>绿色低碳产业</w:t>
      </w:r>
      <w:r>
        <w:rPr>
          <w:rFonts w:hint="eastAsia" w:eastAsia="黑体"/>
          <w:lang w:val="en-US" w:eastAsia="zh-CN"/>
        </w:rPr>
        <w:t>企业认定</w:t>
      </w:r>
      <w:r>
        <w:rPr>
          <w:rFonts w:hint="eastAsia" w:eastAsia="黑体"/>
        </w:rPr>
        <w:t>综合</w:t>
      </w:r>
      <w:r>
        <w:rPr>
          <w:rFonts w:eastAsia="黑体"/>
        </w:rPr>
        <w:t>评价证明材料列表</w:t>
      </w:r>
    </w:p>
    <w:tbl>
      <w:tblPr>
        <w:tblStyle w:val="35"/>
        <w:tblW w:w="82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9"/>
        <w:gridCol w:w="1312"/>
        <w:gridCol w:w="1676"/>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1312"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167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三级指标</w:t>
            </w:r>
          </w:p>
        </w:tc>
        <w:tc>
          <w:tcPr>
            <w:tcW w:w="4270"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1312"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先进性</w:t>
            </w:r>
          </w:p>
        </w:tc>
        <w:tc>
          <w:tcPr>
            <w:tcW w:w="1676" w:type="dxa"/>
            <w:tcBorders>
              <w:top w:val="single" w:color="000000" w:sz="8" w:space="0"/>
            </w:tcBorders>
            <w:vAlign w:val="center"/>
          </w:tcPr>
          <w:p>
            <w:pPr>
              <w:autoSpaceDE w:val="0"/>
              <w:autoSpaceDN w:val="0"/>
              <w:jc w:val="center"/>
              <w:rPr>
                <w:rFonts w:ascii="宋体"/>
                <w:sz w:val="18"/>
                <w:szCs w:val="18"/>
              </w:rPr>
            </w:pPr>
            <w:r>
              <w:rPr>
                <w:rFonts w:ascii="宋体"/>
                <w:sz w:val="18"/>
                <w:szCs w:val="18"/>
              </w:rPr>
              <w:t>有效知识产权</w:t>
            </w:r>
          </w:p>
        </w:tc>
        <w:tc>
          <w:tcPr>
            <w:tcW w:w="4270"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ascii="宋体"/>
                <w:sz w:val="18"/>
                <w:szCs w:val="18"/>
              </w:rPr>
            </w:pPr>
            <w:r>
              <w:rPr>
                <w:rFonts w:ascii="宋体"/>
                <w:sz w:val="18"/>
                <w:szCs w:val="18"/>
              </w:rPr>
              <w:t>参与制修订标准</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w:t>
            </w:r>
            <w:r>
              <w:rPr>
                <w:rFonts w:hint="eastAsia" w:ascii="宋体"/>
                <w:kern w:val="0"/>
                <w:sz w:val="18"/>
                <w:szCs w:val="18"/>
              </w:rPr>
              <w:t>标准材料</w:t>
            </w:r>
            <w:r>
              <w:rPr>
                <w:rFonts w:ascii="宋体"/>
                <w:kern w:val="0"/>
                <w:sz w:val="18"/>
                <w:szCs w:val="18"/>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hint="default" w:ascii="宋体" w:eastAsia="宋体"/>
                <w:sz w:val="18"/>
                <w:szCs w:val="18"/>
                <w:lang w:val="en-US" w:eastAsia="zh-CN"/>
              </w:rPr>
            </w:pPr>
            <w:r>
              <w:rPr>
                <w:rFonts w:hint="eastAsia" w:ascii="宋体"/>
                <w:sz w:val="18"/>
                <w:szCs w:val="18"/>
                <w:lang w:eastAsia="zh-CN"/>
              </w:rPr>
              <w:t>绿电采购占比</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hAnsi="宋体" w:cs="宋体"/>
                <w:b w:val="0"/>
                <w:bCs w:val="0"/>
                <w:i w:val="0"/>
                <w:iCs w:val="0"/>
                <w:caps w:val="0"/>
                <w:spacing w:val="0"/>
                <w:sz w:val="21"/>
                <w:szCs w:val="20"/>
                <w:lang w:eastAsia="zh-CN"/>
              </w:rPr>
              <w:t>绿色电力证书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ascii="宋体"/>
                <w:sz w:val="18"/>
                <w:szCs w:val="18"/>
              </w:rPr>
            </w:pPr>
            <w:r>
              <w:rPr>
                <w:rFonts w:hint="eastAsia" w:ascii="宋体"/>
                <w:sz w:val="18"/>
                <w:szCs w:val="18"/>
              </w:rPr>
              <w:t>关键技术先进性</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1676" w:type="dxa"/>
            <w:vAlign w:val="center"/>
          </w:tcPr>
          <w:p>
            <w:pPr>
              <w:autoSpaceDE w:val="0"/>
              <w:autoSpaceDN w:val="0"/>
              <w:jc w:val="center"/>
              <w:rPr>
                <w:rFonts w:hint="eastAsia" w:ascii="宋体" w:eastAsia="宋体"/>
                <w:sz w:val="18"/>
                <w:szCs w:val="18"/>
                <w:lang w:eastAsia="zh-CN"/>
              </w:rPr>
            </w:pPr>
            <w:r>
              <w:rPr>
                <w:rFonts w:hint="eastAsia" w:ascii="宋体"/>
                <w:sz w:val="18"/>
                <w:szCs w:val="18"/>
                <w:lang w:eastAsia="zh-CN"/>
              </w:rPr>
              <w:t>降碳效益</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hint="eastAsia" w:ascii="宋体" w:eastAsia="宋体"/>
                <w:sz w:val="18"/>
                <w:szCs w:val="18"/>
                <w:lang w:eastAsia="zh-CN"/>
              </w:rPr>
            </w:pPr>
            <w:r>
              <w:rPr>
                <w:rFonts w:hint="eastAsia" w:ascii="宋体"/>
                <w:sz w:val="18"/>
                <w:szCs w:val="18"/>
                <w:lang w:eastAsia="zh-CN"/>
              </w:rPr>
              <w:t>减污效益</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业务表现</w:t>
            </w:r>
          </w:p>
        </w:tc>
        <w:tc>
          <w:tcPr>
            <w:tcW w:w="1312"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发展能力</w:t>
            </w:r>
          </w:p>
        </w:tc>
        <w:tc>
          <w:tcPr>
            <w:tcW w:w="1676" w:type="dxa"/>
            <w:vAlign w:val="center"/>
          </w:tcPr>
          <w:p>
            <w:pPr>
              <w:autoSpaceDE w:val="0"/>
              <w:autoSpaceDN w:val="0"/>
              <w:jc w:val="center"/>
              <w:rPr>
                <w:rFonts w:ascii="宋体"/>
                <w:sz w:val="18"/>
                <w:szCs w:val="18"/>
              </w:rPr>
            </w:pPr>
            <w:r>
              <w:rPr>
                <w:rFonts w:ascii="宋体"/>
                <w:sz w:val="18"/>
                <w:szCs w:val="18"/>
              </w:rPr>
              <w:t>团队技术实力</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合同</w:t>
            </w:r>
            <w:r>
              <w:rPr>
                <w:rFonts w:hint="eastAsia" w:ascii="宋体"/>
                <w:kern w:val="0"/>
                <w:sz w:val="18"/>
                <w:szCs w:val="18"/>
                <w:lang w:eastAsia="zh-CN"/>
              </w:rPr>
              <w:t>、学历职称证书</w:t>
            </w:r>
            <w:r>
              <w:rPr>
                <w:rFonts w:ascii="宋体"/>
                <w:kern w:val="0"/>
                <w:sz w:val="18"/>
                <w:szCs w:val="18"/>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ascii="宋体"/>
                <w:sz w:val="18"/>
                <w:szCs w:val="18"/>
              </w:rPr>
            </w:pPr>
            <w:r>
              <w:rPr>
                <w:rFonts w:hint="eastAsia" w:ascii="宋体"/>
                <w:sz w:val="18"/>
                <w:szCs w:val="18"/>
              </w:rPr>
              <w:t>研发投入</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hint="eastAsia" w:ascii="宋体" w:eastAsia="宋体"/>
                <w:sz w:val="18"/>
                <w:szCs w:val="18"/>
                <w:lang w:eastAsia="zh-CN"/>
              </w:rPr>
            </w:pPr>
            <w:r>
              <w:rPr>
                <w:rFonts w:hint="eastAsia" w:ascii="宋体"/>
                <w:sz w:val="18"/>
                <w:szCs w:val="18"/>
                <w:lang w:eastAsia="zh-CN"/>
              </w:rPr>
              <w:t>业务增长率</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市场影响</w:t>
            </w:r>
          </w:p>
        </w:tc>
        <w:tc>
          <w:tcPr>
            <w:tcW w:w="1676" w:type="dxa"/>
            <w:vAlign w:val="center"/>
          </w:tcPr>
          <w:p>
            <w:pPr>
              <w:autoSpaceDE w:val="0"/>
              <w:autoSpaceDN w:val="0"/>
              <w:jc w:val="center"/>
              <w:rPr>
                <w:rFonts w:ascii="宋体"/>
                <w:sz w:val="18"/>
                <w:szCs w:val="18"/>
              </w:rPr>
            </w:pPr>
            <w:r>
              <w:rPr>
                <w:rFonts w:ascii="宋体"/>
                <w:sz w:val="18"/>
                <w:szCs w:val="18"/>
              </w:rPr>
              <w:t>市场竞争力</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ascii="宋体"/>
                <w:sz w:val="18"/>
                <w:szCs w:val="18"/>
              </w:rPr>
            </w:pPr>
            <w:r>
              <w:rPr>
                <w:rFonts w:ascii="宋体"/>
                <w:sz w:val="18"/>
                <w:szCs w:val="18"/>
              </w:rPr>
              <w:t>产业影响力</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pPr>
              <w:autoSpaceDE w:val="0"/>
              <w:autoSpaceDN w:val="0"/>
              <w:jc w:val="center"/>
              <w:rPr>
                <w:rFonts w:ascii="宋体"/>
                <w:sz w:val="18"/>
                <w:szCs w:val="18"/>
              </w:rPr>
            </w:pPr>
            <w:r>
              <w:rPr>
                <w:rFonts w:ascii="宋体"/>
                <w:sz w:val="18"/>
                <w:szCs w:val="18"/>
              </w:rPr>
              <w:t>行业资质荣誉</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相关</w:t>
            </w:r>
            <w:r>
              <w:rPr>
                <w:rFonts w:hint="eastAsia" w:ascii="宋体"/>
                <w:kern w:val="0"/>
                <w:sz w:val="18"/>
                <w:szCs w:val="18"/>
                <w:lang w:eastAsia="zh-CN"/>
              </w:rPr>
              <w:t>机构颁发的</w:t>
            </w:r>
            <w:r>
              <w:rPr>
                <w:rFonts w:hint="eastAsia" w:ascii="宋体"/>
                <w:kern w:val="0"/>
                <w:sz w:val="18"/>
                <w:szCs w:val="18"/>
              </w:rPr>
              <w:t>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2988" w:type="dxa"/>
            <w:gridSpan w:val="2"/>
            <w:vAlign w:val="center"/>
          </w:tcPr>
          <w:p>
            <w:pPr>
              <w:autoSpaceDE w:val="0"/>
              <w:autoSpaceDN w:val="0"/>
              <w:jc w:val="center"/>
              <w:rPr>
                <w:rFonts w:ascii="宋体"/>
                <w:kern w:val="0"/>
                <w:sz w:val="18"/>
                <w:szCs w:val="18"/>
              </w:rPr>
            </w:pPr>
            <w:r>
              <w:rPr>
                <w:rFonts w:ascii="宋体"/>
                <w:kern w:val="0"/>
                <w:sz w:val="18"/>
                <w:szCs w:val="18"/>
              </w:rPr>
              <w:t>设备材料</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restart"/>
            <w:vAlign w:val="center"/>
          </w:tcPr>
          <w:p>
            <w:pPr>
              <w:autoSpaceDE w:val="0"/>
              <w:autoSpaceDN w:val="0"/>
              <w:jc w:val="center"/>
              <w:rPr>
                <w:rFonts w:hint="eastAsia" w:ascii="宋体" w:eastAsia="宋体"/>
                <w:kern w:val="0"/>
                <w:sz w:val="18"/>
                <w:szCs w:val="18"/>
                <w:lang w:eastAsia="zh-CN"/>
              </w:rPr>
            </w:pPr>
            <w:r>
              <w:rPr>
                <w:rFonts w:ascii="宋体"/>
                <w:kern w:val="0"/>
                <w:sz w:val="18"/>
                <w:szCs w:val="18"/>
              </w:rPr>
              <w:t>能源资源利用</w:t>
            </w:r>
          </w:p>
        </w:tc>
        <w:tc>
          <w:tcPr>
            <w:tcW w:w="1676" w:type="dxa"/>
            <w:vAlign w:val="center"/>
          </w:tcPr>
          <w:p>
            <w:pPr>
              <w:autoSpaceDE w:val="0"/>
              <w:autoSpaceDN w:val="0"/>
              <w:jc w:val="center"/>
              <w:rPr>
                <w:rFonts w:hint="eastAsia" w:ascii="宋体" w:eastAsia="宋体"/>
                <w:kern w:val="0"/>
                <w:sz w:val="18"/>
                <w:szCs w:val="18"/>
                <w:lang w:val="en-US" w:eastAsia="zh-CN"/>
              </w:rPr>
            </w:pPr>
            <w:r>
              <w:rPr>
                <w:rFonts w:hint="eastAsia" w:ascii="宋体"/>
                <w:kern w:val="0"/>
                <w:sz w:val="18"/>
                <w:szCs w:val="18"/>
                <w:lang w:val="en-US" w:eastAsia="zh-CN"/>
              </w:rPr>
              <w:t>能耗</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r>
              <w:rPr>
                <w:rFonts w:hint="eastAsia" w:ascii="宋体"/>
                <w:kern w:val="0"/>
                <w:sz w:val="18"/>
                <w:szCs w:val="18"/>
                <w:lang w:eastAsia="zh-CN"/>
              </w:rPr>
              <w:t>及</w:t>
            </w:r>
            <w:r>
              <w:rPr>
                <w:rFonts w:ascii="宋体"/>
                <w:kern w:val="0"/>
                <w:sz w:val="18"/>
                <w:szCs w:val="18"/>
              </w:rPr>
              <w:t>第三方检测</w:t>
            </w:r>
            <w:r>
              <w:rPr>
                <w:rFonts w:hint="eastAsia" w:ascii="宋体"/>
                <w:kern w:val="0"/>
                <w:sz w:val="18"/>
                <w:szCs w:val="18"/>
              </w:rPr>
              <w:t>/核查</w:t>
            </w:r>
            <w:r>
              <w:rPr>
                <w:rFonts w:ascii="宋体"/>
                <w:kern w:val="0"/>
                <w:sz w:val="18"/>
                <w:szCs w:val="18"/>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312" w:type="dxa"/>
            <w:vMerge w:val="continue"/>
            <w:vAlign w:val="center"/>
          </w:tcPr>
          <w:p>
            <w:pPr>
              <w:autoSpaceDE w:val="0"/>
              <w:autoSpaceDN w:val="0"/>
              <w:jc w:val="center"/>
              <w:rPr>
                <w:rFonts w:ascii="宋体"/>
                <w:kern w:val="0"/>
                <w:sz w:val="18"/>
                <w:szCs w:val="18"/>
              </w:rPr>
            </w:pPr>
          </w:p>
        </w:tc>
        <w:tc>
          <w:tcPr>
            <w:tcW w:w="1676" w:type="dxa"/>
            <w:vAlign w:val="center"/>
          </w:tcPr>
          <w:p>
            <w:pPr>
              <w:autoSpaceDE w:val="0"/>
              <w:autoSpaceDN w:val="0"/>
              <w:jc w:val="center"/>
              <w:rPr>
                <w:rFonts w:hint="default" w:ascii="宋体"/>
                <w:kern w:val="0"/>
                <w:sz w:val="18"/>
                <w:szCs w:val="18"/>
                <w:lang w:val="en-US"/>
              </w:rPr>
            </w:pPr>
            <w:r>
              <w:rPr>
                <w:rFonts w:hint="eastAsia" w:ascii="宋体"/>
                <w:kern w:val="0"/>
                <w:sz w:val="18"/>
                <w:szCs w:val="18"/>
                <w:lang w:val="en-US" w:eastAsia="zh-CN"/>
              </w:rPr>
              <w:t>可再生利用率</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r>
              <w:rPr>
                <w:rFonts w:hint="eastAsia" w:ascii="宋体"/>
                <w:kern w:val="0"/>
                <w:sz w:val="18"/>
                <w:szCs w:val="18"/>
                <w:lang w:eastAsia="zh-CN"/>
              </w:rPr>
              <w:t>及</w:t>
            </w:r>
            <w:r>
              <w:rPr>
                <w:rFonts w:ascii="宋体"/>
                <w:kern w:val="0"/>
                <w:sz w:val="18"/>
                <w:szCs w:val="18"/>
              </w:rPr>
              <w:t>第三方检测机构相关报告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988" w:type="dxa"/>
            <w:gridSpan w:val="2"/>
            <w:vAlign w:val="center"/>
          </w:tcPr>
          <w:p>
            <w:pPr>
              <w:autoSpaceDE w:val="0"/>
              <w:autoSpaceDN w:val="0"/>
              <w:jc w:val="center"/>
              <w:rPr>
                <w:rFonts w:hint="eastAsia" w:ascii="宋体"/>
                <w:kern w:val="0"/>
                <w:sz w:val="18"/>
                <w:szCs w:val="18"/>
              </w:rPr>
            </w:pPr>
            <w:r>
              <w:rPr>
                <w:rFonts w:hint="eastAsia" w:ascii="宋体"/>
                <w:kern w:val="0"/>
                <w:sz w:val="18"/>
                <w:szCs w:val="18"/>
                <w:lang w:val="en-US" w:eastAsia="zh-CN"/>
              </w:rPr>
              <w:t>污染物排放水平</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lang w:val="en-US" w:eastAsia="zh-CN"/>
              </w:rPr>
              <w:t>全国污染源监测数据管理与共享系统平台的自行监测数据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988" w:type="dxa"/>
            <w:gridSpan w:val="2"/>
            <w:vAlign w:val="center"/>
          </w:tcPr>
          <w:p>
            <w:pPr>
              <w:autoSpaceDE w:val="0"/>
              <w:autoSpaceDN w:val="0"/>
              <w:jc w:val="center"/>
              <w:rPr>
                <w:rFonts w:hint="eastAsia" w:ascii="宋体"/>
                <w:kern w:val="0"/>
                <w:sz w:val="18"/>
                <w:szCs w:val="18"/>
                <w:lang w:val="en-US" w:eastAsia="zh-CN"/>
              </w:rPr>
            </w:pPr>
            <w:r>
              <w:rPr>
                <w:rFonts w:hint="eastAsia" w:ascii="宋体"/>
                <w:kern w:val="0"/>
                <w:sz w:val="18"/>
                <w:szCs w:val="18"/>
                <w:lang w:val="en-US" w:eastAsia="zh-CN"/>
              </w:rPr>
              <w:t>温室气体排放水平</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第三方检测</w:t>
            </w:r>
            <w:r>
              <w:rPr>
                <w:rFonts w:hint="eastAsia" w:ascii="宋体"/>
                <w:kern w:val="0"/>
                <w:sz w:val="18"/>
                <w:szCs w:val="18"/>
              </w:rPr>
              <w:t>/核查</w:t>
            </w:r>
            <w:r>
              <w:rPr>
                <w:rFonts w:ascii="宋体"/>
                <w:kern w:val="0"/>
                <w:sz w:val="18"/>
                <w:szCs w:val="18"/>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社会表现</w:t>
            </w:r>
          </w:p>
        </w:tc>
        <w:tc>
          <w:tcPr>
            <w:tcW w:w="2988" w:type="dxa"/>
            <w:gridSpan w:val="2"/>
            <w:vAlign w:val="center"/>
          </w:tcPr>
          <w:p>
            <w:pPr>
              <w:widowControl/>
              <w:autoSpaceDE w:val="0"/>
              <w:autoSpaceDN w:val="0"/>
              <w:jc w:val="center"/>
              <w:rPr>
                <w:rFonts w:ascii="宋体"/>
                <w:sz w:val="18"/>
                <w:szCs w:val="18"/>
              </w:rPr>
            </w:pPr>
            <w:r>
              <w:rPr>
                <w:rFonts w:hint="eastAsia" w:ascii="宋体"/>
                <w:kern w:val="0"/>
                <w:sz w:val="18"/>
                <w:szCs w:val="18"/>
              </w:rPr>
              <w:t>内部行动</w:t>
            </w:r>
          </w:p>
        </w:tc>
        <w:tc>
          <w:tcPr>
            <w:tcW w:w="4270"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p>
        </w:tc>
        <w:tc>
          <w:tcPr>
            <w:tcW w:w="2988" w:type="dxa"/>
            <w:gridSpan w:val="2"/>
            <w:tcBorders>
              <w:bottom w:val="single" w:color="000000" w:sz="8" w:space="0"/>
            </w:tcBorders>
            <w:vAlign w:val="center"/>
          </w:tcPr>
          <w:p>
            <w:pPr>
              <w:autoSpaceDE w:val="0"/>
              <w:autoSpaceDN w:val="0"/>
              <w:jc w:val="center"/>
              <w:rPr>
                <w:rFonts w:ascii="宋体"/>
                <w:sz w:val="18"/>
                <w:szCs w:val="18"/>
              </w:rPr>
            </w:pPr>
            <w:r>
              <w:rPr>
                <w:rFonts w:ascii="宋体"/>
                <w:kern w:val="0"/>
                <w:sz w:val="18"/>
                <w:szCs w:val="18"/>
              </w:rPr>
              <w:t>社会责任</w:t>
            </w:r>
          </w:p>
        </w:tc>
        <w:tc>
          <w:tcPr>
            <w:tcW w:w="4270"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bl>
    <w:p>
      <w:pPr>
        <w:numPr>
          <w:ilvl w:val="0"/>
          <w:numId w:val="17"/>
        </w:numPr>
        <w:spacing w:before="156" w:beforeLines="50" w:after="156" w:afterLines="50"/>
        <w:ind w:left="0" w:firstLine="0"/>
        <w:jc w:val="center"/>
      </w:pPr>
      <w:bookmarkStart w:id="96" w:name="_Toc118282048"/>
      <w:bookmarkStart w:id="97" w:name="_Toc118281024"/>
      <w:bookmarkStart w:id="98" w:name="_Toc23498"/>
      <w:r>
        <w:rPr>
          <w:rFonts w:hint="eastAsia" w:eastAsia="黑体"/>
          <w:lang w:eastAsia="zh-CN"/>
        </w:rPr>
        <w:t>绿色低碳产业</w:t>
      </w:r>
      <w:r>
        <w:rPr>
          <w:rFonts w:hint="eastAsia" w:eastAsia="黑体"/>
          <w:lang w:val="en-US" w:eastAsia="zh-CN"/>
        </w:rPr>
        <w:t>项目认定</w:t>
      </w:r>
      <w:r>
        <w:rPr>
          <w:rFonts w:hint="eastAsia" w:eastAsia="黑体"/>
        </w:rPr>
        <w:t>综合</w:t>
      </w:r>
      <w:r>
        <w:rPr>
          <w:rFonts w:eastAsia="黑体"/>
        </w:rPr>
        <w:t>评价证明材料列表</w:t>
      </w:r>
    </w:p>
    <w:tbl>
      <w:tblPr>
        <w:tblStyle w:val="35"/>
        <w:tblW w:w="8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5"/>
        <w:gridCol w:w="2437"/>
        <w:gridCol w:w="4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2437"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4823"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2437"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有效知识产权</w:t>
            </w:r>
          </w:p>
        </w:tc>
        <w:tc>
          <w:tcPr>
            <w:tcW w:w="4823"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关键技术先进性</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2437" w:type="dxa"/>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工艺设备材料</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Align w:val="center"/>
          </w:tcPr>
          <w:p>
            <w:pPr>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绿色低碳运营</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财务报表，项目耗能、耗水、用地及其他企业相关自证材料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437" w:type="dxa"/>
            <w:vAlign w:val="center"/>
          </w:tcPr>
          <w:p>
            <w:pPr>
              <w:autoSpaceDE w:val="0"/>
              <w:autoSpaceDN w:val="0"/>
              <w:jc w:val="center"/>
              <w:rPr>
                <w:rFonts w:ascii="宋体"/>
                <w:sz w:val="18"/>
                <w:szCs w:val="18"/>
              </w:rPr>
            </w:pPr>
            <w:r>
              <w:rPr>
                <w:rFonts w:hint="eastAsia" w:ascii="宋体"/>
                <w:kern w:val="0"/>
                <w:sz w:val="18"/>
                <w:szCs w:val="18"/>
              </w:rPr>
              <w:t>污染物排放水平</w:t>
            </w:r>
          </w:p>
        </w:tc>
        <w:tc>
          <w:tcPr>
            <w:tcW w:w="4823"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已开展的项目采用</w:t>
            </w:r>
            <w:r>
              <w:rPr>
                <w:rFonts w:hint="eastAsia" w:ascii="宋体"/>
                <w:kern w:val="0"/>
                <w:sz w:val="18"/>
                <w:szCs w:val="18"/>
              </w:rPr>
              <w:t>全国污染源监测数据管理与共享系统平台的自行监测数据</w:t>
            </w:r>
            <w:r>
              <w:rPr>
                <w:rFonts w:hint="eastAsia" w:ascii="宋体"/>
                <w:kern w:val="0"/>
                <w:sz w:val="18"/>
                <w:szCs w:val="18"/>
                <w:lang w:eastAsia="zh-CN"/>
              </w:rPr>
              <w:t>，</w:t>
            </w:r>
            <w:r>
              <w:rPr>
                <w:rFonts w:hint="eastAsia" w:ascii="宋体"/>
                <w:kern w:val="0"/>
                <w:sz w:val="18"/>
                <w:szCs w:val="18"/>
                <w:lang w:val="en-US" w:eastAsia="zh-CN"/>
              </w:rPr>
              <w:t>未开展的项目采用环境影响评价报告</w:t>
            </w:r>
          </w:p>
        </w:tc>
      </w:tr>
    </w:tbl>
    <w:p>
      <w:pPr>
        <w:pStyle w:val="44"/>
        <w:outlineLvl w:val="1"/>
        <w:rPr>
          <w:rFonts w:ascii="Times New Roman"/>
        </w:rPr>
      </w:pPr>
      <w:bookmarkStart w:id="99" w:name="_Toc22939"/>
      <w:r>
        <w:rPr>
          <w:rFonts w:hint="eastAsia" w:ascii="Times New Roman"/>
        </w:rPr>
        <w:t>认定评价</w:t>
      </w:r>
      <w:bookmarkEnd w:id="96"/>
      <w:bookmarkEnd w:id="97"/>
      <w:bookmarkEnd w:id="98"/>
      <w:bookmarkEnd w:id="99"/>
    </w:p>
    <w:p>
      <w:pPr>
        <w:pStyle w:val="48"/>
        <w:spacing w:before="156" w:after="156"/>
        <w:rPr>
          <w:rFonts w:ascii="Times New Roman"/>
        </w:rPr>
      </w:pPr>
      <w:r>
        <w:rPr>
          <w:rFonts w:ascii="Times New Roman"/>
        </w:rPr>
        <w:t>评价方式</w:t>
      </w:r>
    </w:p>
    <w:p>
      <w:pPr>
        <w:pStyle w:val="24"/>
        <w:rPr>
          <w:rFonts w:ascii="Times New Roman"/>
        </w:rPr>
      </w:pPr>
      <w:r>
        <w:rPr>
          <w:rFonts w:ascii="Times New Roman"/>
        </w:rPr>
        <w:t>对照本文件及</w:t>
      </w:r>
      <w:r>
        <w:rPr>
          <w:rFonts w:hint="eastAsia" w:ascii="Times New Roman"/>
        </w:rPr>
        <w:t>《</w:t>
      </w:r>
      <w:r>
        <w:rPr>
          <w:rFonts w:hint="eastAsia" w:ascii="Times New Roman"/>
          <w:lang w:val="en-US" w:eastAsia="zh-CN"/>
        </w:rPr>
        <w:t>深圳市</w:t>
      </w:r>
      <w:r>
        <w:rPr>
          <w:rFonts w:hint="eastAsia" w:ascii="Times New Roman"/>
          <w:lang w:eastAsia="zh-CN"/>
        </w:rPr>
        <w:t>绿色低碳产业</w:t>
      </w:r>
      <w:r>
        <w:rPr>
          <w:rFonts w:hint="eastAsia" w:ascii="Times New Roman"/>
        </w:rPr>
        <w:t>认定评价导则》</w:t>
      </w:r>
      <w:r>
        <w:rPr>
          <w:rFonts w:ascii="Times New Roman"/>
        </w:rPr>
        <w:t>规定的</w:t>
      </w:r>
      <w:r>
        <w:rPr>
          <w:rFonts w:hint="eastAsia" w:ascii="Times New Roman"/>
          <w:lang w:eastAsia="zh-CN"/>
        </w:rPr>
        <w:t>绿色低碳产业</w:t>
      </w:r>
      <w:r>
        <w:rPr>
          <w:rFonts w:ascii="Times New Roman"/>
        </w:rPr>
        <w:t>认定评价指标体系要求</w:t>
      </w:r>
      <w:r>
        <w:rPr>
          <w:rFonts w:hint="eastAsia" w:ascii="Times New Roman"/>
        </w:rPr>
        <w:t>，</w:t>
      </w:r>
      <w:r>
        <w:rPr>
          <w:rFonts w:ascii="Times New Roman"/>
        </w:rPr>
        <w:t>查看收集的报告文件、统计报表、原始记录</w:t>
      </w:r>
      <w:r>
        <w:rPr>
          <w:rFonts w:hint="eastAsia" w:ascii="Times New Roman"/>
        </w:rPr>
        <w:t>。</w:t>
      </w:r>
      <w:r>
        <w:rPr>
          <w:rFonts w:ascii="Times New Roman"/>
        </w:rPr>
        <w:t>根据实际情况，采用实地调查、抽样调查、人员座谈等方式</w:t>
      </w:r>
      <w:r>
        <w:rPr>
          <w:rFonts w:hint="eastAsia" w:ascii="Times New Roman"/>
        </w:rPr>
        <w:t>补充</w:t>
      </w:r>
      <w:r>
        <w:rPr>
          <w:rFonts w:ascii="Times New Roman"/>
        </w:rPr>
        <w:t>验证评价证据，确保证据的完整性和准确性。</w:t>
      </w:r>
    </w:p>
    <w:p>
      <w:pPr>
        <w:pStyle w:val="48"/>
        <w:spacing w:before="156" w:after="156"/>
        <w:rPr>
          <w:rFonts w:ascii="Times New Roman"/>
        </w:rPr>
      </w:pPr>
      <w:r>
        <w:rPr>
          <w:rFonts w:ascii="Times New Roman"/>
        </w:rPr>
        <w:t>评价</w:t>
      </w:r>
      <w:r>
        <w:rPr>
          <w:rFonts w:hint="eastAsia" w:ascii="Times New Roman"/>
        </w:rPr>
        <w:t>打分</w:t>
      </w:r>
    </w:p>
    <w:p>
      <w:pPr>
        <w:pStyle w:val="53"/>
        <w:numPr>
          <w:ilvl w:val="3"/>
          <w:numId w:val="2"/>
        </w:numPr>
        <w:spacing w:before="156" w:after="156"/>
      </w:pPr>
      <w:r>
        <w:rPr>
          <w:rFonts w:hint="eastAsia"/>
          <w:lang w:eastAsia="zh-CN"/>
        </w:rPr>
        <w:t>一般要求</w:t>
      </w:r>
    </w:p>
    <w:p>
      <w:pPr>
        <w:pStyle w:val="24"/>
        <w:rPr>
          <w:rFonts w:hAnsi="宋体" w:cs="宋体"/>
        </w:rPr>
      </w:pPr>
      <w:r>
        <w:rPr>
          <w:rFonts w:hint="eastAsia" w:hAnsi="宋体" w:cs="宋体"/>
          <w:lang w:eastAsia="zh-CN"/>
        </w:rPr>
        <w:t>绿色低碳产业</w:t>
      </w:r>
      <w:r>
        <w:rPr>
          <w:rFonts w:hint="eastAsia" w:hAnsi="宋体" w:cs="宋体"/>
        </w:rPr>
        <w:t>认定评价</w:t>
      </w:r>
      <w:r>
        <w:rPr>
          <w:rFonts w:hint="eastAsia" w:hAnsi="宋体" w:cs="宋体"/>
          <w:lang w:eastAsia="zh-CN"/>
        </w:rPr>
        <w:t>的符合性评价为一票否决项，绿色低碳产业认定评价</w:t>
      </w:r>
      <w:r>
        <w:rPr>
          <w:rFonts w:hint="eastAsia" w:hAnsi="宋体" w:cs="宋体"/>
        </w:rPr>
        <w:t>综合值为各项指标得分的累计叠加值，满分为100分，计算公式如下：</w:t>
      </w:r>
    </w:p>
    <w:p>
      <w:pPr>
        <w:pStyle w:val="24"/>
        <w:rPr>
          <w:rFonts w:hAnsi="宋体" w:cs="宋体"/>
        </w:rPr>
      </w:pPr>
      <m:oMathPara>
        <m:oMath>
          <m:r>
            <m:rPr/>
            <w:rPr>
              <w:rFonts w:ascii="Cambria Math" w:hAnsi="Cambria Math" w:cs="宋体"/>
            </w:rPr>
            <m:t>S=</m:t>
          </m:r>
          <m:nary>
            <m:naryPr>
              <m:chr m:val="∑"/>
              <m:limLoc m:val="undOvr"/>
              <m:ctrlPr>
                <w:rPr>
                  <w:rFonts w:hint="eastAsia" w:ascii="Cambria Math" w:hAnsi="Cambria Math" w:cs="宋体"/>
                  <w:i/>
                  <w:iCs/>
                </w:rPr>
              </m:ctrlPr>
            </m:naryPr>
            <m:sub>
              <m:r>
                <m:rPr/>
                <w:rPr>
                  <w:rFonts w:ascii="Cambria Math" w:hAnsi="Cambria Math" w:cs="宋体"/>
                </w:rPr>
                <m:t>i=1</m:t>
              </m:r>
              <m:ctrlPr>
                <w:rPr>
                  <w:rFonts w:hint="eastAsia" w:ascii="Cambria Math" w:hAnsi="Cambria Math" w:cs="宋体"/>
                  <w:i/>
                  <w:iCs/>
                </w:rPr>
              </m:ctrlPr>
            </m:sub>
            <m:sup>
              <m:r>
                <m:rPr/>
                <w:rPr>
                  <w:rFonts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ascii="Cambria Math" w:hAnsi="Cambria Math" w:cs="宋体"/>
                    </w:rPr>
                    <m:t>X</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24"/>
        <w:rPr>
          <w:rFonts w:hAnsi="宋体" w:cs="宋体"/>
        </w:rPr>
      </w:pPr>
      <w:r>
        <w:rPr>
          <w:rFonts w:hint="eastAsia" w:hAnsi="宋体" w:cs="宋体"/>
        </w:rPr>
        <w:t>式中：</w:t>
      </w:r>
    </w:p>
    <w:p>
      <w:pPr>
        <w:pStyle w:val="24"/>
        <w:rPr>
          <w:rFonts w:hAnsi="宋体" w:cs="宋体"/>
        </w:rPr>
      </w:pPr>
      <m:oMath>
        <m:r>
          <m:rPr/>
          <w:rPr>
            <w:rFonts w:hint="eastAsia" w:ascii="Cambria Math" w:hAnsi="Cambria Math" w:cs="宋体"/>
          </w:rPr>
          <m:t>S</m:t>
        </m:r>
      </m:oMath>
      <w:r>
        <w:rPr>
          <w:rFonts w:hint="eastAsia" w:hAnsi="宋体" w:cs="宋体"/>
        </w:rPr>
        <w:t>——</w:t>
      </w:r>
      <w:r>
        <w:rPr>
          <w:rFonts w:hint="eastAsia" w:hAnsi="宋体" w:cs="宋体"/>
          <w:lang w:eastAsia="zh-CN"/>
        </w:rPr>
        <w:t>绿色低碳产业</w:t>
      </w:r>
      <w:r>
        <w:rPr>
          <w:rFonts w:hint="eastAsia" w:hAnsi="宋体" w:cs="宋体"/>
        </w:rPr>
        <w:t>认定评价综合值；</w:t>
      </w:r>
    </w:p>
    <w:p>
      <w:pPr>
        <w:pStyle w:val="24"/>
        <w:rPr>
          <w:rFonts w:hAnsi="宋体" w:cs="宋体"/>
        </w:rPr>
      </w:pPr>
      <m:oMath>
        <m:sSub>
          <m:sSubPr>
            <m:ctrlPr>
              <w:rPr>
                <w:rFonts w:hint="eastAsia" w:ascii="Cambria Math" w:hAnsi="Cambria Math" w:cs="宋体"/>
                <w:i/>
                <w:iCs/>
              </w:rPr>
            </m:ctrlPr>
          </m:sSubPr>
          <m:e>
            <m:r>
              <m:rPr/>
              <w:rPr>
                <w:rFonts w:hint="eastAsia" w:ascii="Cambria Math" w:hAnsi="Cambria Math" w:cs="宋体"/>
              </w:rPr>
              <m:t>X</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oMath>
      <w:r>
        <w:rPr>
          <w:rFonts w:hint="eastAsia" w:hAnsi="宋体" w:cs="宋体"/>
        </w:rPr>
        <w:t>——各综合评价指标得分值。</w:t>
      </w:r>
    </w:p>
    <w:p>
      <w:pPr>
        <w:pStyle w:val="24"/>
        <w:rPr>
          <w:rFonts w:hint="eastAsia" w:hAnsi="宋体" w:cs="宋体"/>
        </w:rPr>
      </w:pPr>
      <w:r>
        <w:rPr>
          <w:rFonts w:hint="eastAsia" w:hAnsi="宋体" w:cs="宋体"/>
        </w:rPr>
        <w:t>若存在不参评项，则</w:t>
      </w:r>
      <w:r>
        <w:rPr>
          <w:rFonts w:hint="eastAsia" w:hAnsi="宋体" w:cs="宋体"/>
          <w:lang w:eastAsia="zh-CN"/>
        </w:rPr>
        <w:t>绿色低碳产业</w:t>
      </w:r>
      <w:r>
        <w:rPr>
          <w:rFonts w:hint="eastAsia" w:hAnsi="宋体" w:cs="宋体"/>
        </w:rPr>
        <w:t>认定评价综合值折算方法为：综合值=参评项得分值/参评项总分值×100%。</w:t>
      </w:r>
    </w:p>
    <w:p>
      <w:pPr>
        <w:pStyle w:val="53"/>
        <w:numPr>
          <w:ilvl w:val="3"/>
          <w:numId w:val="2"/>
        </w:numPr>
        <w:spacing w:before="156" w:after="156"/>
        <w:rPr>
          <w:rFonts w:hint="eastAsia" w:hAnsi="宋体" w:cs="宋体"/>
        </w:rPr>
      </w:pPr>
      <w:r>
        <w:rPr>
          <w:rFonts w:hint="eastAsia" w:hAnsi="宋体" w:cs="宋体"/>
          <w:lang w:eastAsia="zh-CN"/>
        </w:rPr>
        <w:t>特殊要求</w:t>
      </w:r>
    </w:p>
    <w:p>
      <w:pPr>
        <w:pStyle w:val="24"/>
        <w:rPr>
          <w:rFonts w:hint="default"/>
          <w:lang w:val="en-US"/>
        </w:rPr>
      </w:pPr>
      <w:r>
        <w:rPr>
          <w:rFonts w:hint="eastAsia" w:hAnsi="宋体" w:cs="宋体"/>
          <w:lang w:eastAsia="zh-CN"/>
        </w:rPr>
        <w:t>绿色低碳产业企业认定评价最终得分为综合值得分；绿色低碳产业项目认定评价达到符合性评价要求的，获得基础分</w:t>
      </w:r>
      <w:r>
        <w:rPr>
          <w:rFonts w:hint="eastAsia" w:hAnsi="宋体" w:cs="宋体"/>
          <w:lang w:val="en-US" w:eastAsia="zh-CN"/>
        </w:rPr>
        <w:t>30分，最终得分为基础分值与综合值得分累加。</w:t>
      </w:r>
    </w:p>
    <w:p>
      <w:pPr>
        <w:pStyle w:val="44"/>
        <w:outlineLvl w:val="1"/>
        <w:rPr>
          <w:rFonts w:ascii="Times New Roman"/>
        </w:rPr>
      </w:pPr>
      <w:bookmarkStart w:id="100" w:name="_Toc4998"/>
      <w:bookmarkStart w:id="101" w:name="_Toc118281025"/>
      <w:bookmarkStart w:id="102" w:name="_Toc118282049"/>
      <w:r>
        <w:rPr>
          <w:rFonts w:hint="eastAsia" w:ascii="Times New Roman"/>
        </w:rPr>
        <w:t>编制报告</w:t>
      </w:r>
      <w:bookmarkEnd w:id="100"/>
      <w:bookmarkEnd w:id="101"/>
      <w:bookmarkEnd w:id="102"/>
    </w:p>
    <w:p>
      <w:pPr>
        <w:autoSpaceDE w:val="0"/>
        <w:autoSpaceDN w:val="0"/>
        <w:ind w:firstLine="420" w:firstLineChars="200"/>
        <w:rPr>
          <w:rFonts w:ascii="宋体" w:hAnsi="宋体" w:cs="宋体"/>
        </w:rPr>
      </w:pPr>
      <w:r>
        <w:rPr>
          <w:rFonts w:hint="eastAsia" w:ascii="宋体" w:hAnsi="宋体" w:cs="宋体"/>
        </w:rPr>
        <w:t>宜参照附录B</w:t>
      </w:r>
      <w:r>
        <w:rPr>
          <w:rFonts w:hint="eastAsia" w:ascii="宋体" w:hAnsi="宋体" w:cs="宋体"/>
          <w:lang w:eastAsia="zh-CN"/>
        </w:rPr>
        <w:t>、</w:t>
      </w:r>
      <w:r>
        <w:rPr>
          <w:rFonts w:hint="eastAsia" w:ascii="宋体" w:hAnsi="宋体" w:cs="宋体"/>
          <w:lang w:val="en-US" w:eastAsia="zh-CN"/>
        </w:rPr>
        <w:t>附录C</w:t>
      </w:r>
      <w:r>
        <w:rPr>
          <w:rFonts w:hint="eastAsia" w:ascii="宋体" w:hAnsi="宋体" w:cs="宋体"/>
        </w:rPr>
        <w:t>模板编制</w:t>
      </w:r>
      <w:r>
        <w:rPr>
          <w:rFonts w:hint="eastAsia" w:ascii="宋体" w:hAnsi="宋体" w:cs="宋体"/>
          <w:lang w:eastAsia="zh-CN"/>
        </w:rPr>
        <w:t>绿色低碳产业</w:t>
      </w:r>
      <w:r>
        <w:rPr>
          <w:rFonts w:hint="eastAsia" w:ascii="宋体" w:hAnsi="宋体" w:cs="宋体"/>
        </w:rPr>
        <w:t>认定评价报告，</w:t>
      </w:r>
      <w:r>
        <w:rPr>
          <w:rFonts w:hint="eastAsia" w:hAnsi="宋体" w:cs="宋体"/>
        </w:rPr>
        <w:t>给出</w:t>
      </w:r>
      <w:r>
        <w:rPr>
          <w:rFonts w:hint="eastAsia" w:hAnsi="宋体" w:cs="宋体"/>
          <w:lang w:eastAsia="zh-CN"/>
        </w:rPr>
        <w:t>绿色低碳产业</w:t>
      </w:r>
      <w:r>
        <w:rPr>
          <w:rFonts w:hint="eastAsia" w:hAnsi="宋体" w:cs="宋体"/>
        </w:rPr>
        <w:t>认定评价结论，</w:t>
      </w:r>
      <w:r>
        <w:rPr>
          <w:rFonts w:hint="eastAsia" w:ascii="宋体" w:hAnsi="宋体" w:cs="宋体"/>
        </w:rPr>
        <w:t>内容包括但不限于：</w:t>
      </w:r>
    </w:p>
    <w:p>
      <w:pPr>
        <w:autoSpaceDE w:val="0"/>
        <w:autoSpaceDN w:val="0"/>
        <w:ind w:firstLine="420" w:firstLineChars="200"/>
        <w:rPr>
          <w:rFonts w:ascii="宋体" w:hAnsi="宋体" w:cs="宋体"/>
        </w:rPr>
      </w:pPr>
      <w:r>
        <w:rPr>
          <w:rFonts w:hint="eastAsia" w:ascii="宋体" w:hAnsi="宋体" w:cs="宋体"/>
        </w:rPr>
        <w:t>——基本信息表，包括企事业单位名称、所属行业以及主营产品、技术或服务等；</w:t>
      </w:r>
    </w:p>
    <w:p>
      <w:pPr>
        <w:autoSpaceDE w:val="0"/>
        <w:autoSpaceDN w:val="0"/>
        <w:ind w:firstLine="420" w:firstLineChars="200"/>
        <w:rPr>
          <w:rFonts w:ascii="宋体" w:hAnsi="宋体" w:cs="宋体"/>
        </w:rPr>
      </w:pPr>
      <w:r>
        <w:rPr>
          <w:rFonts w:hint="eastAsia" w:ascii="宋体" w:hAnsi="宋体" w:cs="宋体"/>
        </w:rPr>
        <w:t>——基本情况，概述企事业单位发展现状以及在绿色发展方面开展的重点工作及取得的成绩等；</w:t>
      </w:r>
    </w:p>
    <w:p>
      <w:pPr>
        <w:autoSpaceDE w:val="0"/>
        <w:autoSpaceDN w:val="0"/>
        <w:ind w:firstLine="420" w:firstLineChars="200"/>
        <w:rPr>
          <w:rFonts w:ascii="宋体" w:hAnsi="宋体" w:cs="宋体"/>
        </w:rPr>
      </w:pPr>
      <w:r>
        <w:rPr>
          <w:rFonts w:hint="eastAsia" w:ascii="宋体" w:hAnsi="宋体" w:cs="宋体"/>
        </w:rPr>
        <w:t>——认定情况，对基本要求、符合性评价要求及综合评价要求等内容进行情况描述；</w:t>
      </w:r>
    </w:p>
    <w:p>
      <w:pPr>
        <w:autoSpaceDE w:val="0"/>
        <w:autoSpaceDN w:val="0"/>
        <w:ind w:firstLine="420" w:firstLineChars="200"/>
        <w:rPr>
          <w:rFonts w:ascii="宋体" w:hAnsi="宋体" w:cs="宋体"/>
        </w:rPr>
      </w:pPr>
      <w:r>
        <w:rPr>
          <w:rFonts w:hint="eastAsia" w:ascii="宋体" w:hAnsi="宋体" w:cs="宋体"/>
        </w:rPr>
        <w:t>——评价结论，包括符合性评价及综合评价的结果及其佐证材料等；</w:t>
      </w:r>
    </w:p>
    <w:p>
      <w:pPr>
        <w:autoSpaceDE w:val="0"/>
        <w:autoSpaceDN w:val="0"/>
        <w:ind w:firstLine="420" w:firstLineChars="200"/>
        <w:rPr>
          <w:rFonts w:ascii="宋体" w:hAnsi="宋体" w:cs="宋体"/>
        </w:rPr>
      </w:pPr>
      <w:r>
        <w:rPr>
          <w:rFonts w:hint="eastAsia" w:ascii="宋体" w:hAnsi="宋体" w:cs="宋体"/>
        </w:rPr>
        <w:t>——重点关注，值得关注的可能影响环境风险控制和绿色业务发展的重大影响因素；</w:t>
      </w:r>
    </w:p>
    <w:p>
      <w:pPr>
        <w:ind w:firstLine="420" w:firstLineChars="200"/>
        <w:rPr>
          <w:rFonts w:hint="eastAsia" w:ascii="宋体" w:hAnsi="宋体" w:cs="宋体"/>
        </w:rPr>
      </w:pPr>
      <w:r>
        <w:rPr>
          <w:rFonts w:hint="eastAsia" w:ascii="宋体" w:hAnsi="宋体" w:cs="宋体"/>
        </w:rPr>
        <w:t>——相关支持材料。</w:t>
      </w:r>
    </w:p>
    <w:p>
      <w:pPr>
        <w:pStyle w:val="44"/>
        <w:outlineLvl w:val="1"/>
        <w:rPr>
          <w:rFonts w:hint="eastAsia" w:ascii="Times New Roman"/>
          <w:lang w:eastAsia="zh-CN"/>
        </w:rPr>
      </w:pPr>
      <w:bookmarkStart w:id="103" w:name="_Toc21986"/>
      <w:r>
        <w:rPr>
          <w:rFonts w:hint="eastAsia" w:ascii="Times New Roman"/>
          <w:lang w:eastAsia="zh-CN"/>
        </w:rPr>
        <w:t>专家评审</w:t>
      </w:r>
      <w:bookmarkEnd w:id="103"/>
    </w:p>
    <w:p>
      <w:pPr>
        <w:pStyle w:val="24"/>
        <w:rPr>
          <w:rFonts w:hint="eastAsia" w:hAnsi="宋体" w:cs="宋体"/>
          <w:highlight w:val="none"/>
          <w:lang w:eastAsia="zh-CN"/>
        </w:rPr>
      </w:pPr>
      <w:r>
        <w:rPr>
          <w:rFonts w:hint="eastAsia" w:hAnsi="宋体" w:cs="宋体"/>
          <w:highlight w:val="none"/>
          <w:lang w:eastAsia="zh-CN"/>
        </w:rPr>
        <w:t>绿色低碳产业</w:t>
      </w:r>
      <w:r>
        <w:rPr>
          <w:rFonts w:hint="eastAsia" w:hAnsi="宋体" w:cs="宋体"/>
          <w:highlight w:val="none"/>
        </w:rPr>
        <w:t>认定主管部门组织具备</w:t>
      </w:r>
      <w:r>
        <w:rPr>
          <w:rFonts w:hint="eastAsia" w:hAnsi="宋体" w:cs="宋体"/>
          <w:highlight w:val="none"/>
          <w:lang w:eastAsia="zh-CN"/>
        </w:rPr>
        <w:t>太阳能</w:t>
      </w:r>
      <w:r>
        <w:rPr>
          <w:rFonts w:hint="eastAsia" w:hAnsi="宋体" w:cs="宋体"/>
          <w:highlight w:val="none"/>
        </w:rPr>
        <w:t>产业专业技术能力的专家，依据</w:t>
      </w:r>
      <w:r>
        <w:rPr>
          <w:rFonts w:hint="eastAsia" w:hAnsi="宋体" w:cs="宋体"/>
          <w:highlight w:val="none"/>
          <w:lang w:eastAsia="zh-CN"/>
        </w:rPr>
        <w:t>依据《</w:t>
      </w:r>
      <w:r>
        <w:rPr>
          <w:rFonts w:hint="eastAsia" w:hAnsi="宋体" w:cs="宋体"/>
          <w:highlight w:val="none"/>
          <w:lang w:val="en-US" w:eastAsia="zh-CN"/>
        </w:rPr>
        <w:t>深圳市</w:t>
      </w:r>
      <w:r>
        <w:rPr>
          <w:rFonts w:hint="eastAsia" w:hAnsi="宋体" w:cs="宋体"/>
          <w:highlight w:val="none"/>
          <w:lang w:eastAsia="zh-CN"/>
        </w:rPr>
        <w:t>绿色</w:t>
      </w:r>
      <w:r>
        <w:rPr>
          <w:rFonts w:hint="eastAsia" w:hAnsi="宋体" w:cs="宋体"/>
          <w:highlight w:val="none"/>
          <w:lang w:val="en-US" w:eastAsia="zh-CN"/>
        </w:rPr>
        <w:t>低碳</w:t>
      </w:r>
      <w:r>
        <w:rPr>
          <w:rFonts w:hint="eastAsia" w:hAnsi="宋体" w:cs="宋体"/>
          <w:highlight w:val="none"/>
          <w:lang w:eastAsia="zh-CN"/>
        </w:rPr>
        <w:t>产业认定评价导则》</w:t>
      </w:r>
      <w:r>
        <w:rPr>
          <w:rFonts w:hint="eastAsia" w:hAnsi="宋体" w:cs="宋体"/>
          <w:highlight w:val="none"/>
          <w:lang w:val="en-US" w:eastAsia="zh-CN"/>
        </w:rPr>
        <w:t>及</w:t>
      </w:r>
      <w:r>
        <w:rPr>
          <w:rFonts w:hint="eastAsia" w:hAnsi="宋体" w:cs="宋体"/>
          <w:highlight w:val="none"/>
          <w:lang w:eastAsia="zh-CN"/>
        </w:rPr>
        <w:t>本文件要求</w:t>
      </w:r>
      <w:r>
        <w:rPr>
          <w:rFonts w:hint="eastAsia" w:hAnsi="宋体" w:cs="宋体"/>
          <w:highlight w:val="none"/>
        </w:rPr>
        <w:t>对申报材料进行评审打分</w:t>
      </w:r>
      <w:r>
        <w:rPr>
          <w:rFonts w:hint="eastAsia" w:hAnsi="宋体" w:cs="宋体"/>
          <w:highlight w:val="none"/>
          <w:lang w:val="en-US" w:eastAsia="zh-CN"/>
        </w:rPr>
        <w:t>并出具评审结论</w:t>
      </w:r>
      <w:r>
        <w:rPr>
          <w:rFonts w:hint="eastAsia" w:hAnsi="宋体" w:cs="宋体"/>
          <w:highlight w:val="none"/>
          <w:lang w:eastAsia="zh-CN"/>
        </w:rPr>
        <w:t>。</w:t>
      </w:r>
    </w:p>
    <w:p>
      <w:pPr>
        <w:pStyle w:val="24"/>
        <w:rPr>
          <w:rFonts w:hAnsi="宋体" w:cs="宋体"/>
          <w:highlight w:val="none"/>
        </w:rPr>
        <w:sectPr>
          <w:headerReference r:id="rId8" w:type="default"/>
          <w:footerReference r:id="rId9" w:type="default"/>
          <w:pgSz w:w="11906" w:h="16838"/>
          <w:pgMar w:top="567" w:right="1134" w:bottom="1134" w:left="1418" w:header="1418" w:footer="1134" w:gutter="0"/>
          <w:pgBorders>
            <w:top w:val="none" w:sz="0" w:space="0"/>
            <w:left w:val="none" w:sz="0" w:space="0"/>
            <w:bottom w:val="none" w:sz="0" w:space="0"/>
            <w:right w:val="none" w:sz="0" w:space="0"/>
          </w:pgBorders>
          <w:pgNumType w:start="1"/>
          <w:cols w:space="425" w:num="1"/>
          <w:formProt w:val="0"/>
          <w:docGrid w:type="lines" w:linePitch="312" w:charSpace="0"/>
        </w:sectPr>
      </w:pPr>
      <w:r>
        <w:rPr>
          <w:rFonts w:hint="eastAsia" w:hAnsi="宋体" w:cs="宋体"/>
          <w:highlight w:val="none"/>
          <w:lang w:val="en-US" w:eastAsia="zh-CN"/>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86"/>
        <w:rPr>
          <w:rFonts w:ascii="Times New Roman"/>
        </w:rPr>
      </w:pPr>
      <w:bookmarkStart w:id="104" w:name="_Toc82684170"/>
      <w:bookmarkEnd w:id="104"/>
      <w:bookmarkStart w:id="105" w:name="_Toc82684167"/>
      <w:bookmarkEnd w:id="105"/>
      <w:bookmarkStart w:id="106" w:name="_Toc82684162"/>
      <w:bookmarkEnd w:id="106"/>
      <w:bookmarkStart w:id="107" w:name="_Toc82684163"/>
      <w:bookmarkEnd w:id="107"/>
      <w:bookmarkStart w:id="108" w:name="_Toc82684159"/>
      <w:bookmarkEnd w:id="108"/>
      <w:bookmarkStart w:id="109" w:name="_Toc82684158"/>
      <w:bookmarkEnd w:id="109"/>
      <w:bookmarkStart w:id="110" w:name="_Toc82684161"/>
      <w:bookmarkEnd w:id="110"/>
      <w:bookmarkStart w:id="111" w:name="_Toc82684157"/>
      <w:bookmarkEnd w:id="111"/>
      <w:bookmarkStart w:id="112" w:name="_Toc82684165"/>
      <w:bookmarkEnd w:id="112"/>
      <w:bookmarkStart w:id="113" w:name="_Toc82684166"/>
      <w:bookmarkEnd w:id="113"/>
      <w:bookmarkStart w:id="114" w:name="_Toc82684160"/>
      <w:bookmarkEnd w:id="114"/>
      <w:bookmarkStart w:id="115" w:name="_Toc82684168"/>
      <w:bookmarkEnd w:id="115"/>
      <w:bookmarkStart w:id="116" w:name="_Toc7911"/>
      <w:bookmarkEnd w:id="116"/>
      <w:bookmarkStart w:id="117" w:name="_Toc82684164"/>
      <w:bookmarkEnd w:id="117"/>
      <w:bookmarkStart w:id="118" w:name="_Toc82684169"/>
      <w:bookmarkEnd w:id="118"/>
      <w:bookmarkStart w:id="119" w:name="_Toc82684171"/>
      <w:bookmarkStart w:id="120" w:name="_Toc118282050"/>
    </w:p>
    <w:p>
      <w:pPr>
        <w:pStyle w:val="2"/>
        <w:snapToGrid w:val="0"/>
        <w:jc w:val="center"/>
        <w:rPr>
          <w:rFonts w:ascii="Times New Roman" w:hAnsi="Times New Roman" w:eastAsia="黑体" w:cs="Times New Roman"/>
          <w:szCs w:val="20"/>
          <w:lang w:val="en-US" w:bidi="ar-SA"/>
        </w:rPr>
      </w:pPr>
      <w:r>
        <w:rPr>
          <w:rFonts w:ascii="Times New Roman" w:hAnsi="Times New Roman" w:eastAsia="黑体" w:cs="Times New Roman"/>
          <w:szCs w:val="20"/>
          <w:lang w:val="en-US" w:bidi="ar-SA"/>
        </w:rPr>
        <w:t>（资料性）</w:t>
      </w:r>
      <w:bookmarkEnd w:id="119"/>
    </w:p>
    <w:p>
      <w:pPr>
        <w:pStyle w:val="2"/>
        <w:adjustRightInd w:val="0"/>
        <w:snapToGrid w:val="0"/>
        <w:ind w:right="482"/>
        <w:jc w:val="center"/>
        <w:rPr>
          <w:rFonts w:ascii="Times New Roman"/>
        </w:rPr>
      </w:pPr>
      <w:r>
        <w:rPr>
          <w:rFonts w:hint="default" w:ascii="Times New Roman" w:hAnsi="Times New Roman" w:eastAsia="黑体" w:cs="Times New Roman"/>
          <w:szCs w:val="20"/>
          <w:lang w:val="en-US" w:bidi="ar-SA"/>
        </w:rPr>
        <w:t>太阳能行业</w:t>
      </w:r>
      <w:r>
        <w:rPr>
          <w:rFonts w:hint="default" w:ascii="Times New Roman" w:hAnsi="Times New Roman" w:eastAsia="黑体" w:cs="Times New Roman"/>
          <w:szCs w:val="20"/>
          <w:lang w:val="en-US" w:eastAsia="zh-CN" w:bidi="ar-SA"/>
        </w:rPr>
        <w:t>绿色低碳产业</w:t>
      </w:r>
      <w:r>
        <w:rPr>
          <w:rFonts w:ascii="Times New Roman" w:hAnsi="Times New Roman" w:eastAsia="黑体" w:cs="Times New Roman"/>
          <w:szCs w:val="20"/>
          <w:lang w:val="en-US" w:bidi="ar-SA"/>
        </w:rPr>
        <w:t>认定评价指标表</w:t>
      </w:r>
      <w:bookmarkEnd w:id="120"/>
    </w:p>
    <w:p>
      <w:pPr>
        <w:autoSpaceDE w:val="0"/>
        <w:autoSpaceDN w:val="0"/>
        <w:adjustRightInd w:val="0"/>
        <w:spacing w:before="313" w:beforeLines="100"/>
        <w:ind w:firstLine="420" w:firstLineChars="200"/>
      </w:pPr>
      <w:bookmarkStart w:id="121" w:name="BKCKWX"/>
      <w:r>
        <w:rPr>
          <w:rFonts w:hint="eastAsia"/>
        </w:rPr>
        <w:t>太阳能</w:t>
      </w:r>
      <w:r>
        <w:rPr>
          <w:rFonts w:hint="eastAsia"/>
          <w:lang w:val="en-US" w:eastAsia="zh-CN"/>
        </w:rPr>
        <w:t>行业绿色低碳产业</w:t>
      </w:r>
      <w:r>
        <w:rPr>
          <w:rFonts w:hint="eastAsia"/>
          <w:lang w:eastAsia="zh-CN"/>
        </w:rPr>
        <w:t>企业</w:t>
      </w:r>
      <w:r>
        <w:t>认定评价指标表见</w:t>
      </w:r>
      <w:r>
        <w:rPr>
          <w:rFonts w:asciiTheme="minorEastAsia" w:hAnsiTheme="minorEastAsia" w:eastAsiaTheme="minorEastAsia"/>
        </w:rPr>
        <w:t>表A.1</w:t>
      </w:r>
      <w:r>
        <w:rPr>
          <w:rFonts w:hint="eastAsia" w:asciiTheme="minorEastAsia" w:hAnsiTheme="minorEastAsia" w:eastAsiaTheme="minorEastAsia"/>
        </w:rPr>
        <w:t>和表A.2</w:t>
      </w:r>
      <w:r>
        <w:rPr>
          <w:rFonts w:hint="eastAsia" w:asciiTheme="minorEastAsia" w:hAnsiTheme="minorEastAsia" w:eastAsiaTheme="minorEastAsia"/>
          <w:lang w:eastAsia="zh-CN"/>
        </w:rPr>
        <w:t>，</w:t>
      </w:r>
      <w:r>
        <w:rPr>
          <w:rFonts w:hint="eastAsia"/>
        </w:rPr>
        <w:t>太阳能</w:t>
      </w:r>
      <w:r>
        <w:rPr>
          <w:rFonts w:hint="eastAsia"/>
          <w:lang w:val="en-US" w:eastAsia="zh-CN"/>
        </w:rPr>
        <w:t>行业绿色低碳产业</w:t>
      </w:r>
      <w:r>
        <w:rPr>
          <w:rFonts w:hint="eastAsia" w:asciiTheme="minorEastAsia" w:hAnsiTheme="minorEastAsia" w:eastAsiaTheme="minorEastAsia"/>
          <w:lang w:eastAsia="zh-CN"/>
        </w:rPr>
        <w:t>项目认定评价指标见表</w:t>
      </w:r>
      <w:r>
        <w:rPr>
          <w:rFonts w:asciiTheme="minorEastAsia" w:hAnsiTheme="minorEastAsia" w:eastAsiaTheme="minorEastAsia"/>
        </w:rPr>
        <w:t>A.</w:t>
      </w:r>
      <w:r>
        <w:rPr>
          <w:rFonts w:hint="eastAsia" w:asciiTheme="minorEastAsia" w:hAnsiTheme="minorEastAsia" w:eastAsiaTheme="minorEastAsia"/>
          <w:lang w:val="en-US" w:eastAsia="zh-CN"/>
        </w:rPr>
        <w:t>3</w:t>
      </w:r>
      <w:r>
        <w:rPr>
          <w:rFonts w:hint="eastAsia" w:asciiTheme="minorEastAsia" w:hAnsiTheme="minorEastAsia" w:eastAsiaTheme="minorEastAsia"/>
        </w:rPr>
        <w:t>和表A.</w:t>
      </w:r>
      <w:r>
        <w:rPr>
          <w:rFonts w:hint="eastAsia" w:asciiTheme="minorEastAsia" w:hAnsiTheme="minorEastAsia" w:eastAsiaTheme="minorEastAsia"/>
          <w:lang w:val="en-US" w:eastAsia="zh-CN"/>
        </w:rPr>
        <w:t>4。</w:t>
      </w:r>
    </w:p>
    <w:p>
      <w:pPr>
        <w:numPr>
          <w:ilvl w:val="1"/>
          <w:numId w:val="0"/>
        </w:numPr>
        <w:spacing w:before="156" w:beforeLines="50" w:after="156" w:afterLines="50"/>
        <w:jc w:val="center"/>
        <w:rPr>
          <w:rFonts w:eastAsia="黑体"/>
          <w:szCs w:val="21"/>
        </w:rPr>
      </w:pPr>
      <w:r>
        <w:rPr>
          <w:rFonts w:hint="eastAsia" w:ascii="黑体" w:hAnsi="黑体" w:eastAsia="黑体" w:cs="黑体"/>
          <w:szCs w:val="21"/>
        </w:rPr>
        <w:t>表A.1 太阳能行业</w:t>
      </w:r>
      <w:r>
        <w:rPr>
          <w:rFonts w:hint="eastAsia" w:ascii="黑体" w:hAnsi="黑体" w:eastAsia="黑体" w:cs="黑体"/>
          <w:szCs w:val="21"/>
          <w:lang w:eastAsia="zh-CN"/>
        </w:rPr>
        <w:t>绿色低碳产业企业</w:t>
      </w:r>
      <w:r>
        <w:rPr>
          <w:rFonts w:hint="eastAsia" w:ascii="黑体" w:hAnsi="黑体" w:eastAsia="黑体" w:cs="黑体"/>
          <w:szCs w:val="21"/>
        </w:rPr>
        <w:t>认定符合性评价指标表</w:t>
      </w:r>
    </w:p>
    <w:tbl>
      <w:tblPr>
        <w:tblStyle w:val="35"/>
        <w:tblpPr w:leftFromText="180" w:rightFromText="180" w:vertAnchor="text" w:tblpXSpec="center" w:tblpY="1"/>
        <w:tblOverlap w:val="never"/>
        <w:tblW w:w="927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36"/>
        <w:gridCol w:w="1212"/>
        <w:gridCol w:w="4658"/>
        <w:gridCol w:w="1134"/>
        <w:gridCol w:w="113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136" w:type="dxa"/>
            <w:tcBorders>
              <w:top w:val="single" w:color="auto" w:sz="12" w:space="0"/>
              <w:bottom w:val="single" w:color="auto" w:sz="12" w:space="0"/>
            </w:tcBorders>
            <w:vAlign w:val="center"/>
          </w:tcPr>
          <w:p>
            <w:pPr>
              <w:autoSpaceDE w:val="0"/>
              <w:autoSpaceDN w:val="0"/>
              <w:jc w:val="center"/>
              <w:rPr>
                <w:rFonts w:ascii="宋体"/>
                <w:b/>
                <w:sz w:val="18"/>
                <w:szCs w:val="18"/>
              </w:rPr>
            </w:pPr>
            <w:r>
              <w:rPr>
                <w:rFonts w:ascii="宋体"/>
                <w:b/>
                <w:sz w:val="18"/>
                <w:szCs w:val="18"/>
              </w:rPr>
              <w:t>评价类型</w:t>
            </w:r>
          </w:p>
        </w:tc>
        <w:tc>
          <w:tcPr>
            <w:tcW w:w="1212" w:type="dxa"/>
            <w:tcBorders>
              <w:top w:val="single" w:color="auto" w:sz="12" w:space="0"/>
              <w:bottom w:val="single" w:color="auto" w:sz="12" w:space="0"/>
            </w:tcBorders>
            <w:vAlign w:val="center"/>
          </w:tcPr>
          <w:p>
            <w:pPr>
              <w:autoSpaceDE w:val="0"/>
              <w:autoSpaceDN w:val="0"/>
              <w:jc w:val="center"/>
              <w:rPr>
                <w:rFonts w:ascii="宋体"/>
                <w:b/>
                <w:sz w:val="18"/>
                <w:szCs w:val="18"/>
              </w:rPr>
            </w:pPr>
            <w:r>
              <w:rPr>
                <w:rFonts w:hint="eastAsia" w:ascii="宋体"/>
                <w:b/>
                <w:sz w:val="18"/>
                <w:szCs w:val="18"/>
              </w:rPr>
              <w:t>指标</w:t>
            </w:r>
          </w:p>
        </w:tc>
        <w:tc>
          <w:tcPr>
            <w:tcW w:w="4658" w:type="dxa"/>
            <w:tcBorders>
              <w:top w:val="single" w:color="auto" w:sz="12" w:space="0"/>
              <w:bottom w:val="single" w:color="auto" w:sz="12" w:space="0"/>
            </w:tcBorders>
            <w:vAlign w:val="center"/>
          </w:tcPr>
          <w:p>
            <w:pPr>
              <w:autoSpaceDE w:val="0"/>
              <w:autoSpaceDN w:val="0"/>
              <w:jc w:val="center"/>
              <w:rPr>
                <w:rFonts w:ascii="宋体"/>
                <w:b/>
                <w:sz w:val="18"/>
                <w:szCs w:val="18"/>
              </w:rPr>
            </w:pPr>
            <w:r>
              <w:rPr>
                <w:rFonts w:hint="eastAsia" w:ascii="宋体"/>
                <w:b/>
                <w:sz w:val="18"/>
                <w:szCs w:val="18"/>
              </w:rPr>
              <w:t>符合性评价内容</w:t>
            </w:r>
          </w:p>
        </w:tc>
        <w:tc>
          <w:tcPr>
            <w:tcW w:w="1134" w:type="dxa"/>
            <w:tcBorders>
              <w:top w:val="single" w:color="auto" w:sz="12" w:space="0"/>
              <w:bottom w:val="single" w:color="auto" w:sz="12" w:space="0"/>
            </w:tcBorders>
            <w:vAlign w:val="center"/>
          </w:tcPr>
          <w:p>
            <w:pPr>
              <w:autoSpaceDE w:val="0"/>
              <w:autoSpaceDN w:val="0"/>
              <w:jc w:val="center"/>
              <w:rPr>
                <w:rFonts w:ascii="宋体"/>
                <w:b/>
                <w:sz w:val="18"/>
                <w:szCs w:val="18"/>
              </w:rPr>
            </w:pPr>
            <w:r>
              <w:rPr>
                <w:rFonts w:ascii="宋体"/>
                <w:b/>
                <w:sz w:val="18"/>
                <w:szCs w:val="18"/>
              </w:rPr>
              <w:t>评分标准</w:t>
            </w:r>
          </w:p>
        </w:tc>
        <w:tc>
          <w:tcPr>
            <w:tcW w:w="1134" w:type="dxa"/>
            <w:tcBorders>
              <w:top w:val="single" w:color="auto" w:sz="12" w:space="0"/>
              <w:bottom w:val="single" w:color="auto" w:sz="12" w:space="0"/>
            </w:tcBorders>
            <w:vAlign w:val="center"/>
          </w:tcPr>
          <w:p>
            <w:pPr>
              <w:autoSpaceDE w:val="0"/>
              <w:autoSpaceDN w:val="0"/>
              <w:jc w:val="center"/>
              <w:rPr>
                <w:rFonts w:ascii="宋体"/>
                <w:b/>
                <w:sz w:val="18"/>
                <w:szCs w:val="18"/>
              </w:rPr>
            </w:pPr>
            <w:r>
              <w:rPr>
                <w:rFonts w:ascii="宋体"/>
                <w:b/>
                <w:sz w:val="18"/>
                <w:szCs w:val="18"/>
              </w:rPr>
              <w:t>评价</w:t>
            </w:r>
            <w:r>
              <w:rPr>
                <w:rFonts w:hint="eastAsia" w:ascii="宋体"/>
                <w:b/>
                <w:sz w:val="18"/>
                <w:szCs w:val="18"/>
              </w:rPr>
              <w:t>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136" w:type="dxa"/>
            <w:vMerge w:val="restart"/>
            <w:tcBorders>
              <w:top w:val="single" w:color="auto" w:sz="12" w:space="0"/>
            </w:tcBorders>
            <w:vAlign w:val="center"/>
          </w:tcPr>
          <w:p>
            <w:pPr>
              <w:autoSpaceDE w:val="0"/>
              <w:autoSpaceDN w:val="0"/>
              <w:jc w:val="center"/>
              <w:rPr>
                <w:rFonts w:ascii="宋体"/>
                <w:b/>
                <w:sz w:val="18"/>
                <w:szCs w:val="18"/>
              </w:rPr>
            </w:pPr>
            <w:r>
              <w:rPr>
                <w:rFonts w:ascii="宋体"/>
                <w:b/>
                <w:sz w:val="18"/>
                <w:szCs w:val="18"/>
              </w:rPr>
              <w:t>符合性评价</w:t>
            </w:r>
          </w:p>
        </w:tc>
        <w:tc>
          <w:tcPr>
            <w:tcW w:w="1212" w:type="dxa"/>
            <w:tcBorders>
              <w:top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目录符合</w:t>
            </w:r>
          </w:p>
        </w:tc>
        <w:tc>
          <w:tcPr>
            <w:tcW w:w="4658" w:type="dxa"/>
            <w:tcBorders>
              <w:top w:val="single" w:color="auto" w:sz="12"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申报认定评价的主营业务应属于太阳能产品、太阳能生产装备、太阳能利用设施建设和运营等太阳能产业</w:t>
            </w:r>
            <w:r>
              <w:rPr>
                <w:rFonts w:hint="eastAsia" w:ascii="宋体" w:hAnsi="Times New Roman" w:cs="Times New Roman"/>
                <w:sz w:val="18"/>
                <w:szCs w:val="18"/>
                <w:highlight w:val="none"/>
              </w:rPr>
              <w:t>，且其绿色业务占比达到50%或以上，或跨界规模达到1亿元、在国内外新兴领域超前领先。</w:t>
            </w:r>
          </w:p>
        </w:tc>
        <w:tc>
          <w:tcPr>
            <w:tcW w:w="1134" w:type="dxa"/>
            <w:tcBorders>
              <w:top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1134" w:type="dxa"/>
            <w:tcBorders>
              <w:top w:val="single" w:color="auto" w:sz="12" w:space="0"/>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136" w:type="dxa"/>
            <w:vMerge w:val="continue"/>
            <w:tcBorders>
              <w:bottom w:val="single" w:color="auto" w:sz="12" w:space="0"/>
            </w:tcBorders>
            <w:vAlign w:val="center"/>
          </w:tcPr>
          <w:p>
            <w:pPr>
              <w:autoSpaceDE w:val="0"/>
              <w:autoSpaceDN w:val="0"/>
              <w:jc w:val="center"/>
              <w:rPr>
                <w:rFonts w:ascii="宋体"/>
                <w:b/>
                <w:sz w:val="18"/>
                <w:szCs w:val="18"/>
              </w:rPr>
            </w:pPr>
          </w:p>
        </w:tc>
        <w:tc>
          <w:tcPr>
            <w:tcW w:w="1212" w:type="dxa"/>
            <w:tcBorders>
              <w:bottom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技术符合</w:t>
            </w:r>
          </w:p>
        </w:tc>
        <w:tc>
          <w:tcPr>
            <w:tcW w:w="4658" w:type="dxa"/>
            <w:tcBorders>
              <w:bottom w:val="single" w:color="auto" w:sz="12" w:space="0"/>
            </w:tcBorders>
            <w:vAlign w:val="center"/>
          </w:tcPr>
          <w:p>
            <w:pPr>
              <w:widowControl/>
              <w:tabs>
                <w:tab w:val="center" w:pos="4201"/>
                <w:tab w:val="right" w:leader="dot" w:pos="9298"/>
              </w:tabs>
              <w:autoSpaceDE w:val="0"/>
              <w:autoSpaceDN w:val="0"/>
              <w:jc w:val="left"/>
              <w:rPr>
                <w:rFonts w:ascii="宋体"/>
                <w:kern w:val="0"/>
                <w:sz w:val="18"/>
                <w:szCs w:val="18"/>
              </w:rPr>
            </w:pPr>
            <w:r>
              <w:rPr>
                <w:rFonts w:hint="eastAsia" w:ascii="宋体"/>
                <w:sz w:val="18"/>
                <w:szCs w:val="18"/>
              </w:rPr>
              <w:t>提供的产品或服务应符合国家、广东省及深圳市相关主管部门发布的法律法规和政策标准要求，相关产品及研发制造活动、</w:t>
            </w:r>
            <w:r>
              <w:rPr>
                <w:rFonts w:hint="eastAsia" w:ascii="宋体"/>
                <w:sz w:val="18"/>
                <w:szCs w:val="18"/>
                <w:lang w:eastAsia="zh-CN"/>
              </w:rPr>
              <w:t>太阳能</w:t>
            </w:r>
            <w:r>
              <w:rPr>
                <w:rFonts w:hint="eastAsia" w:ascii="宋体"/>
                <w:sz w:val="18"/>
                <w:szCs w:val="18"/>
              </w:rPr>
              <w:t>利用设施建设和运营情况符合深圳市</w:t>
            </w:r>
            <w:r>
              <w:rPr>
                <w:rFonts w:hint="eastAsia" w:ascii="宋体"/>
                <w:sz w:val="18"/>
                <w:szCs w:val="18"/>
                <w:lang w:eastAsia="zh-CN"/>
              </w:rPr>
              <w:t>绿色低碳产业</w:t>
            </w:r>
            <w:r>
              <w:rPr>
                <w:rFonts w:hint="eastAsia" w:ascii="宋体"/>
                <w:sz w:val="18"/>
                <w:szCs w:val="18"/>
              </w:rPr>
              <w:t>认定规则体系规定的技术要求。</w:t>
            </w:r>
          </w:p>
        </w:tc>
        <w:tc>
          <w:tcPr>
            <w:tcW w:w="1134" w:type="dxa"/>
            <w:tcBorders>
              <w:bottom w:val="single" w:color="auto" w:sz="12" w:space="0"/>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1134" w:type="dxa"/>
            <w:tcBorders>
              <w:bottom w:val="single" w:color="auto" w:sz="12" w:space="0"/>
            </w:tcBorders>
            <w:vAlign w:val="center"/>
          </w:tcPr>
          <w:p>
            <w:pPr>
              <w:autoSpaceDE w:val="0"/>
              <w:autoSpaceDN w:val="0"/>
              <w:jc w:val="center"/>
              <w:rPr>
                <w:rFonts w:ascii="宋体"/>
                <w:sz w:val="18"/>
                <w:szCs w:val="18"/>
              </w:rPr>
            </w:pPr>
          </w:p>
        </w:tc>
      </w:tr>
    </w:tbl>
    <w:p>
      <w:pPr>
        <w:numPr>
          <w:ilvl w:val="1"/>
          <w:numId w:val="0"/>
        </w:numPr>
        <w:spacing w:before="312" w:beforeLines="100" w:after="156" w:afterLines="50"/>
        <w:jc w:val="center"/>
        <w:rPr>
          <w:rFonts w:ascii="黑体" w:hAnsi="黑体" w:eastAsia="黑体" w:cs="黑体"/>
          <w:szCs w:val="21"/>
        </w:rPr>
      </w:pPr>
      <w:r>
        <w:rPr>
          <w:rFonts w:hint="eastAsia" w:ascii="黑体" w:hAnsi="黑体" w:eastAsia="黑体" w:cs="黑体"/>
          <w:szCs w:val="21"/>
        </w:rPr>
        <w:t>表A.2 太阳能行业</w:t>
      </w:r>
      <w:r>
        <w:rPr>
          <w:rFonts w:hint="eastAsia" w:ascii="黑体" w:hAnsi="黑体" w:eastAsia="黑体" w:cs="黑体"/>
          <w:szCs w:val="21"/>
          <w:lang w:eastAsia="zh-CN"/>
        </w:rPr>
        <w:t>绿色低碳产业企业</w:t>
      </w:r>
      <w:r>
        <w:rPr>
          <w:rFonts w:hint="eastAsia" w:ascii="黑体" w:hAnsi="黑体" w:eastAsia="黑体" w:cs="黑体"/>
          <w:szCs w:val="21"/>
        </w:rPr>
        <w:t>认定综合评价指标表</w:t>
      </w:r>
    </w:p>
    <w:tbl>
      <w:tblPr>
        <w:tblStyle w:val="35"/>
        <w:tblpPr w:leftFromText="180" w:rightFromText="180" w:vertAnchor="text" w:tblpXSpec="center" w:tblpY="1"/>
        <w:tblOverlap w:val="never"/>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16"/>
        <w:gridCol w:w="218"/>
        <w:gridCol w:w="836"/>
        <w:gridCol w:w="1974"/>
        <w:gridCol w:w="3022"/>
        <w:gridCol w:w="1178"/>
        <w:gridCol w:w="1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tcBorders>
              <w:bottom w:val="single" w:color="auto" w:sz="12" w:space="0"/>
            </w:tcBorders>
            <w:vAlign w:val="center"/>
          </w:tcPr>
          <w:p>
            <w:pPr>
              <w:autoSpaceDE w:val="0"/>
              <w:autoSpaceDN w:val="0"/>
              <w:jc w:val="center"/>
              <w:rPr>
                <w:rFonts w:ascii="宋体"/>
                <w:b/>
                <w:sz w:val="18"/>
                <w:szCs w:val="18"/>
              </w:rPr>
            </w:pPr>
            <w:r>
              <w:rPr>
                <w:rFonts w:ascii="宋体"/>
                <w:b/>
                <w:sz w:val="18"/>
                <w:szCs w:val="18"/>
              </w:rPr>
              <w:t>一级指标</w:t>
            </w:r>
          </w:p>
        </w:tc>
        <w:tc>
          <w:tcPr>
            <w:tcW w:w="322" w:type="pct"/>
            <w:tcBorders>
              <w:bottom w:val="single" w:color="auto" w:sz="12" w:space="0"/>
            </w:tcBorders>
            <w:vAlign w:val="center"/>
          </w:tcPr>
          <w:p>
            <w:pPr>
              <w:autoSpaceDE w:val="0"/>
              <w:autoSpaceDN w:val="0"/>
              <w:jc w:val="center"/>
              <w:rPr>
                <w:rFonts w:ascii="宋体"/>
                <w:b/>
                <w:sz w:val="18"/>
                <w:szCs w:val="18"/>
              </w:rPr>
            </w:pPr>
            <w:r>
              <w:rPr>
                <w:rFonts w:ascii="宋体"/>
                <w:b/>
                <w:sz w:val="18"/>
                <w:szCs w:val="18"/>
              </w:rPr>
              <w:t>二级指标</w:t>
            </w:r>
          </w:p>
        </w:tc>
        <w:tc>
          <w:tcPr>
            <w:tcW w:w="551" w:type="pct"/>
            <w:gridSpan w:val="2"/>
            <w:tcBorders>
              <w:bottom w:val="single" w:color="auto" w:sz="12" w:space="0"/>
            </w:tcBorders>
            <w:vAlign w:val="center"/>
          </w:tcPr>
          <w:p>
            <w:pPr>
              <w:autoSpaceDE w:val="0"/>
              <w:autoSpaceDN w:val="0"/>
              <w:jc w:val="center"/>
              <w:rPr>
                <w:rFonts w:ascii="宋体"/>
                <w:b/>
                <w:sz w:val="18"/>
                <w:szCs w:val="18"/>
              </w:rPr>
            </w:pPr>
            <w:r>
              <w:rPr>
                <w:rFonts w:ascii="宋体"/>
                <w:b/>
                <w:sz w:val="18"/>
                <w:szCs w:val="18"/>
              </w:rPr>
              <w:t>三级指标</w:t>
            </w:r>
          </w:p>
        </w:tc>
        <w:tc>
          <w:tcPr>
            <w:tcW w:w="1031" w:type="pct"/>
            <w:tcBorders>
              <w:bottom w:val="single" w:color="auto" w:sz="12" w:space="0"/>
            </w:tcBorders>
            <w:vAlign w:val="center"/>
          </w:tcPr>
          <w:p>
            <w:pPr>
              <w:autoSpaceDE w:val="0"/>
              <w:autoSpaceDN w:val="0"/>
              <w:jc w:val="center"/>
              <w:rPr>
                <w:rFonts w:ascii="宋体"/>
                <w:b/>
                <w:sz w:val="18"/>
                <w:szCs w:val="18"/>
              </w:rPr>
            </w:pPr>
            <w:r>
              <w:rPr>
                <w:rFonts w:ascii="宋体"/>
                <w:b/>
                <w:sz w:val="18"/>
                <w:szCs w:val="18"/>
              </w:rPr>
              <w:t>分值</w:t>
            </w:r>
            <w:r>
              <w:rPr>
                <w:rFonts w:hint="eastAsia" w:ascii="宋体"/>
                <w:b/>
                <w:sz w:val="18"/>
                <w:szCs w:val="18"/>
              </w:rPr>
              <w:t>（分）</w:t>
            </w:r>
          </w:p>
        </w:tc>
        <w:tc>
          <w:tcPr>
            <w:tcW w:w="1580" w:type="pct"/>
            <w:tcBorders>
              <w:bottom w:val="single" w:color="auto" w:sz="12" w:space="0"/>
            </w:tcBorders>
            <w:vAlign w:val="center"/>
          </w:tcPr>
          <w:p>
            <w:pPr>
              <w:autoSpaceDE w:val="0"/>
              <w:autoSpaceDN w:val="0"/>
              <w:jc w:val="center"/>
              <w:rPr>
                <w:rFonts w:ascii="宋体"/>
                <w:b/>
                <w:sz w:val="18"/>
                <w:szCs w:val="18"/>
              </w:rPr>
            </w:pPr>
            <w:r>
              <w:rPr>
                <w:rFonts w:ascii="宋体"/>
                <w:b/>
                <w:sz w:val="18"/>
                <w:szCs w:val="18"/>
              </w:rPr>
              <w:t>评价得分</w:t>
            </w:r>
            <w:r>
              <w:rPr>
                <w:rFonts w:hint="eastAsia" w:ascii="宋体"/>
                <w:b/>
                <w:sz w:val="18"/>
                <w:szCs w:val="18"/>
              </w:rPr>
              <w:t>（分）</w:t>
            </w:r>
          </w:p>
        </w:tc>
        <w:tc>
          <w:tcPr>
            <w:tcW w:w="616" w:type="pct"/>
            <w:tcBorders>
              <w:bottom w:val="single" w:color="auto" w:sz="12" w:space="0"/>
            </w:tcBorders>
            <w:vAlign w:val="center"/>
          </w:tcPr>
          <w:p>
            <w:pPr>
              <w:autoSpaceDE w:val="0"/>
              <w:autoSpaceDN w:val="0"/>
              <w:jc w:val="center"/>
              <w:rPr>
                <w:rFonts w:ascii="宋体"/>
                <w:b/>
                <w:sz w:val="18"/>
                <w:szCs w:val="18"/>
              </w:rPr>
            </w:pPr>
            <w:r>
              <w:rPr>
                <w:rFonts w:ascii="宋体"/>
                <w:b/>
                <w:sz w:val="18"/>
                <w:szCs w:val="18"/>
              </w:rPr>
              <w:t>分值</w:t>
            </w:r>
            <w:r>
              <w:rPr>
                <w:rFonts w:hint="eastAsia" w:ascii="宋体"/>
                <w:b/>
                <w:sz w:val="18"/>
                <w:szCs w:val="18"/>
              </w:rPr>
              <w:t>（分）</w:t>
            </w:r>
          </w:p>
        </w:tc>
        <w:tc>
          <w:tcPr>
            <w:tcW w:w="588" w:type="pct"/>
            <w:tcBorders>
              <w:bottom w:val="single" w:color="auto" w:sz="12" w:space="0"/>
            </w:tcBorders>
            <w:vAlign w:val="center"/>
          </w:tcPr>
          <w:p>
            <w:pPr>
              <w:autoSpaceDE w:val="0"/>
              <w:autoSpaceDN w:val="0"/>
              <w:jc w:val="center"/>
              <w:rPr>
                <w:rFonts w:ascii="宋体"/>
                <w:b/>
                <w:sz w:val="18"/>
                <w:szCs w:val="18"/>
              </w:rPr>
            </w:pPr>
            <w:r>
              <w:rPr>
                <w:rFonts w:ascii="宋体"/>
                <w:b/>
                <w:sz w:val="18"/>
                <w:szCs w:val="18"/>
              </w:rPr>
              <w:t>得分</w:t>
            </w:r>
            <w:r>
              <w:rPr>
                <w:rFonts w:hint="eastAsia" w:ascii="宋体"/>
                <w:b/>
                <w:sz w:val="18"/>
                <w:szCs w:val="18"/>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restart"/>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技术表现</w:t>
            </w:r>
          </w:p>
        </w:tc>
        <w:tc>
          <w:tcPr>
            <w:tcW w:w="322" w:type="pct"/>
            <w:vMerge w:val="restart"/>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先进性</w:t>
            </w:r>
          </w:p>
        </w:tc>
        <w:tc>
          <w:tcPr>
            <w:tcW w:w="551" w:type="pct"/>
            <w:gridSpan w:val="2"/>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有效知识产权</w:t>
            </w:r>
          </w:p>
        </w:tc>
        <w:tc>
          <w:tcPr>
            <w:tcW w:w="1031" w:type="pct"/>
            <w:tcBorders>
              <w:top w:val="single" w:color="auto" w:sz="12" w:space="0"/>
              <w:tl2br w:val="nil"/>
              <w:tr2bl w:val="nil"/>
            </w:tcBorders>
            <w:vAlign w:val="center"/>
          </w:tcPr>
          <w:p>
            <w:pPr>
              <w:autoSpaceDE w:val="0"/>
              <w:autoSpaceDN w:val="0"/>
              <w:jc w:val="center"/>
              <w:rPr>
                <w:rFonts w:ascii="宋体" w:hAnsi="宋体" w:cs="宋体"/>
                <w:sz w:val="18"/>
                <w:szCs w:val="18"/>
              </w:rPr>
            </w:pPr>
            <w:r>
              <w:rPr>
                <w:rFonts w:hint="eastAsia" w:hAnsi="宋体" w:cs="宋体"/>
                <w:sz w:val="18"/>
                <w:szCs w:val="18"/>
                <w:highlight w:val="none"/>
                <w:lang w:val="en-US" w:eastAsia="zh-CN"/>
              </w:rPr>
              <w:t>获得有效知识产权的数量。</w:t>
            </w:r>
          </w:p>
        </w:tc>
        <w:tc>
          <w:tcPr>
            <w:tcW w:w="1580" w:type="pct"/>
            <w:tcBorders>
              <w:top w:val="single" w:color="auto" w:sz="12" w:space="0"/>
              <w:tl2br w:val="nil"/>
              <w:tr2bl w:val="nil"/>
            </w:tcBorders>
            <w:vAlign w:val="center"/>
          </w:tcPr>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a.≥15（5分）；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b.[8,15)（3分）；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c.[1,8)（1分）；</w:t>
            </w:r>
          </w:p>
          <w:p>
            <w:pPr>
              <w:autoSpaceDE w:val="0"/>
              <w:autoSpaceDN w:val="0"/>
              <w:jc w:val="both"/>
              <w:rPr>
                <w:rFonts w:ascii="宋体"/>
                <w:sz w:val="18"/>
                <w:szCs w:val="18"/>
              </w:rPr>
            </w:pPr>
            <w:r>
              <w:rPr>
                <w:rFonts w:hint="eastAsia" w:ascii="宋体" w:hAnsi="宋体" w:eastAsia="宋体" w:cs="宋体"/>
                <w:sz w:val="18"/>
                <w:szCs w:val="18"/>
                <w:highlight w:val="none"/>
                <w:lang w:val="en-US" w:eastAsia="zh-CN"/>
              </w:rPr>
              <w:t>d.（0,1)（0分）。</w:t>
            </w:r>
          </w:p>
        </w:tc>
        <w:tc>
          <w:tcPr>
            <w:tcW w:w="616" w:type="pct"/>
            <w:tcBorders>
              <w:top w:val="single" w:color="auto" w:sz="12" w:space="0"/>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5</w:t>
            </w:r>
          </w:p>
        </w:tc>
        <w:tc>
          <w:tcPr>
            <w:tcW w:w="588" w:type="pct"/>
            <w:tcBorders>
              <w:top w:val="single" w:color="auto" w:sz="12" w:space="0"/>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w:t>
            </w:r>
          </w:p>
        </w:tc>
        <w:tc>
          <w:tcPr>
            <w:tcW w:w="1031" w:type="pct"/>
            <w:tcBorders>
              <w:tl2br w:val="nil"/>
              <w:tr2bl w:val="nil"/>
            </w:tcBorders>
            <w:vAlign w:val="center"/>
          </w:tcPr>
          <w:p>
            <w:pPr>
              <w:autoSpaceDE w:val="0"/>
              <w:autoSpaceDN w:val="0"/>
              <w:jc w:val="center"/>
              <w:rPr>
                <w:rFonts w:ascii="宋体" w:hAnsi="宋体" w:cs="宋体"/>
                <w:sz w:val="18"/>
                <w:szCs w:val="18"/>
              </w:rPr>
            </w:pPr>
            <w:r>
              <w:rPr>
                <w:rFonts w:hint="eastAsia" w:hAnsi="宋体" w:cs="宋体"/>
                <w:sz w:val="18"/>
                <w:szCs w:val="18"/>
                <w:highlight w:val="none"/>
                <w:lang w:val="en-US" w:eastAsia="zh-CN"/>
              </w:rPr>
              <w:t>参与制修订标准的数量。</w:t>
            </w:r>
          </w:p>
        </w:tc>
        <w:tc>
          <w:tcPr>
            <w:tcW w:w="1580" w:type="pct"/>
            <w:tcBorders>
              <w:tl2br w:val="nil"/>
              <w:tr2bl w:val="nil"/>
            </w:tcBorders>
            <w:vAlign w:val="center"/>
          </w:tcPr>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a.≥2（3分）；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b.[1,2)（2分）；</w:t>
            </w:r>
          </w:p>
          <w:p>
            <w:pPr>
              <w:autoSpaceDE w:val="0"/>
              <w:autoSpaceDN w:val="0"/>
              <w:jc w:val="both"/>
              <w:rPr>
                <w:rFonts w:hint="eastAsia" w:ascii="宋体" w:hAnsi="宋体" w:eastAsia="宋体" w:cs="宋体"/>
                <w:sz w:val="18"/>
                <w:szCs w:val="18"/>
              </w:rPr>
            </w:pPr>
            <w:r>
              <w:rPr>
                <w:rFonts w:hint="eastAsia" w:ascii="宋体" w:hAnsi="宋体" w:eastAsia="宋体" w:cs="宋体"/>
                <w:sz w:val="18"/>
                <w:szCs w:val="18"/>
                <w:highlight w:val="none"/>
                <w:lang w:val="en-US" w:eastAsia="zh-CN"/>
              </w:rPr>
              <w:t>c.（0,1)（1分）。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3</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绿电采购</w:t>
            </w:r>
          </w:p>
        </w:tc>
        <w:tc>
          <w:tcPr>
            <w:tcW w:w="1031" w:type="pct"/>
            <w:tcBorders>
              <w:tl2br w:val="nil"/>
              <w:tr2bl w:val="nil"/>
            </w:tcBorders>
            <w:vAlign w:val="center"/>
          </w:tcPr>
          <w:p>
            <w:pPr>
              <w:autoSpaceDE w:val="0"/>
              <w:autoSpaceDN w:val="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采购绿色电力的比例。</w:t>
            </w:r>
          </w:p>
        </w:tc>
        <w:tc>
          <w:tcPr>
            <w:tcW w:w="1580" w:type="pct"/>
            <w:tcBorders>
              <w:tl2br w:val="nil"/>
              <w:tr2bl w:val="nil"/>
            </w:tcBorders>
            <w:vAlign w:val="center"/>
          </w:tcPr>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a.</w:t>
            </w:r>
            <w:r>
              <w:rPr>
                <w:rFonts w:hint="eastAsia" w:ascii="宋体" w:hAnsi="宋体" w:eastAsia="宋体" w:cs="宋体"/>
                <w:sz w:val="18"/>
                <w:szCs w:val="16"/>
                <w:lang w:eastAsia="zh-CN"/>
              </w:rPr>
              <w:t>≥</w:t>
            </w:r>
            <w:r>
              <w:rPr>
                <w:rFonts w:hint="eastAsia" w:ascii="宋体" w:hAnsi="宋体" w:eastAsia="宋体" w:cs="宋体"/>
                <w:sz w:val="18"/>
                <w:szCs w:val="16"/>
                <w:lang w:val="en-US" w:eastAsia="zh-CN"/>
              </w:rPr>
              <w:t>10</w:t>
            </w:r>
            <w:r>
              <w:rPr>
                <w:rFonts w:hint="eastAsia" w:ascii="宋体" w:hAnsi="宋体" w:eastAsia="宋体" w:cs="宋体"/>
                <w:sz w:val="18"/>
                <w:szCs w:val="18"/>
                <w:highlight w:val="none"/>
                <w:lang w:val="en-US" w:eastAsia="zh-CN"/>
              </w:rPr>
              <w:t>（5分）；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b.</w:t>
            </w:r>
            <w:r>
              <w:rPr>
                <w:rFonts w:hint="eastAsia" w:ascii="宋体" w:hAnsi="宋体" w:eastAsia="宋体" w:cs="宋体"/>
                <w:sz w:val="18"/>
                <w:szCs w:val="16"/>
              </w:rPr>
              <w:t>[1,</w:t>
            </w:r>
            <w:r>
              <w:rPr>
                <w:rFonts w:hint="eastAsia" w:ascii="宋体" w:hAnsi="宋体" w:eastAsia="宋体" w:cs="宋体"/>
                <w:sz w:val="18"/>
                <w:szCs w:val="16"/>
                <w:lang w:val="en-US" w:eastAsia="zh-CN"/>
              </w:rPr>
              <w:t>10</w:t>
            </w:r>
            <w:r>
              <w:rPr>
                <w:rFonts w:hint="eastAsia" w:ascii="宋体" w:hAnsi="宋体" w:eastAsia="宋体" w:cs="宋体"/>
                <w:sz w:val="18"/>
                <w:szCs w:val="16"/>
              </w:rPr>
              <w:t>)</w:t>
            </w:r>
            <w:r>
              <w:rPr>
                <w:rFonts w:hint="eastAsia" w:ascii="宋体" w:hAnsi="宋体" w:eastAsia="宋体" w:cs="宋体"/>
                <w:sz w:val="18"/>
                <w:szCs w:val="18"/>
                <w:highlight w:val="none"/>
                <w:lang w:val="en-US" w:eastAsia="zh-CN"/>
              </w:rPr>
              <w:t>（3分）；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c.</w:t>
            </w:r>
            <w:r>
              <w:rPr>
                <w:rFonts w:hint="eastAsia" w:ascii="宋体" w:hAnsi="宋体" w:eastAsia="宋体" w:cs="宋体"/>
                <w:sz w:val="18"/>
                <w:szCs w:val="16"/>
              </w:rPr>
              <w:t>[</w:t>
            </w:r>
            <w:r>
              <w:rPr>
                <w:rFonts w:hint="eastAsia" w:ascii="宋体" w:hAnsi="宋体" w:eastAsia="宋体" w:cs="宋体"/>
                <w:sz w:val="18"/>
                <w:szCs w:val="16"/>
                <w:lang w:val="en-US" w:eastAsia="zh-CN"/>
              </w:rPr>
              <w:t>0.5</w:t>
            </w:r>
            <w:r>
              <w:rPr>
                <w:rFonts w:hint="eastAsia" w:ascii="宋体" w:hAnsi="宋体" w:eastAsia="宋体" w:cs="宋体"/>
                <w:sz w:val="18"/>
                <w:szCs w:val="16"/>
              </w:rPr>
              <w:t>,1)</w:t>
            </w:r>
            <w:r>
              <w:rPr>
                <w:rFonts w:hint="eastAsia" w:ascii="宋体" w:hAnsi="宋体" w:eastAsia="宋体" w:cs="宋体"/>
                <w:sz w:val="18"/>
                <w:szCs w:val="18"/>
                <w:highlight w:val="none"/>
                <w:lang w:val="en-US" w:eastAsia="zh-CN"/>
              </w:rPr>
              <w:t>（2分）；</w:t>
            </w:r>
          </w:p>
          <w:p>
            <w:pPr>
              <w:autoSpaceDE w:val="0"/>
              <w:autoSpaceDN w:val="0"/>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d.</w:t>
            </w:r>
            <w:r>
              <w:rPr>
                <w:rFonts w:hint="eastAsia" w:ascii="宋体" w:hAnsi="宋体" w:eastAsia="宋体" w:cs="宋体"/>
                <w:sz w:val="18"/>
                <w:szCs w:val="16"/>
                <w:lang w:eastAsia="zh-CN"/>
              </w:rPr>
              <w:t>（</w:t>
            </w:r>
            <w:r>
              <w:rPr>
                <w:rFonts w:hint="eastAsia" w:ascii="宋体" w:hAnsi="宋体" w:eastAsia="宋体" w:cs="宋体"/>
                <w:sz w:val="18"/>
                <w:szCs w:val="16"/>
                <w:lang w:val="en-US" w:eastAsia="zh-CN"/>
              </w:rPr>
              <w:t>0</w:t>
            </w:r>
            <w:r>
              <w:rPr>
                <w:rFonts w:hint="eastAsia" w:ascii="宋体" w:hAnsi="宋体" w:eastAsia="宋体" w:cs="宋体"/>
                <w:sz w:val="18"/>
                <w:szCs w:val="16"/>
              </w:rPr>
              <w:t>,</w:t>
            </w:r>
            <w:r>
              <w:rPr>
                <w:rFonts w:hint="eastAsia" w:ascii="宋体" w:hAnsi="宋体" w:eastAsia="宋体" w:cs="宋体"/>
                <w:sz w:val="18"/>
                <w:szCs w:val="16"/>
                <w:lang w:val="en-US" w:eastAsia="zh-CN"/>
              </w:rPr>
              <w:t>0.5</w:t>
            </w:r>
            <w:r>
              <w:rPr>
                <w:rFonts w:hint="eastAsia" w:ascii="宋体" w:hAnsi="宋体" w:eastAsia="宋体" w:cs="宋体"/>
                <w:sz w:val="18"/>
                <w:szCs w:val="16"/>
              </w:rPr>
              <w:t>)</w:t>
            </w:r>
            <w:r>
              <w:rPr>
                <w:rFonts w:hint="eastAsia" w:ascii="宋体" w:hAnsi="宋体" w:eastAsia="宋体" w:cs="宋体"/>
                <w:sz w:val="18"/>
                <w:szCs w:val="18"/>
                <w:highlight w:val="none"/>
                <w:lang w:val="en-US" w:eastAsia="zh-CN"/>
              </w:rPr>
              <w:t>（1分）。</w:t>
            </w:r>
          </w:p>
        </w:tc>
        <w:tc>
          <w:tcPr>
            <w:tcW w:w="616" w:type="pct"/>
            <w:tcBorders>
              <w:tl2br w:val="nil"/>
              <w:tr2bl w:val="nil"/>
            </w:tcBorders>
            <w:vAlign w:val="center"/>
          </w:tcPr>
          <w:p>
            <w:pPr>
              <w:autoSpaceDE w:val="0"/>
              <w:autoSpaceDN w:val="0"/>
              <w:jc w:val="center"/>
              <w:rPr>
                <w:rFonts w:hint="default" w:ascii="宋体"/>
                <w:sz w:val="18"/>
                <w:szCs w:val="18"/>
                <w:lang w:val="en-US" w:eastAsia="zh-CN"/>
              </w:rPr>
            </w:pPr>
            <w:r>
              <w:rPr>
                <w:rFonts w:hint="eastAsia" w:ascii="宋体"/>
                <w:sz w:val="18"/>
                <w:szCs w:val="18"/>
                <w:lang w:val="en-US" w:eastAsia="zh-CN"/>
              </w:rPr>
              <w:t>5</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关键技术先进性</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ascii="宋体"/>
                <w:sz w:val="18"/>
                <w:szCs w:val="18"/>
                <w:lang w:val="en-US" w:eastAsia="zh-CN"/>
              </w:rPr>
              <w:t>申请认定评价的绿色业务领域，产品或服务的核心技术先进水平。</w:t>
            </w:r>
          </w:p>
        </w:tc>
        <w:tc>
          <w:tcPr>
            <w:tcW w:w="1580" w:type="pct"/>
            <w:tcBorders>
              <w:tl2br w:val="nil"/>
              <w:tr2bl w:val="nil"/>
            </w:tcBorders>
            <w:vAlign w:val="center"/>
          </w:tcPr>
          <w:p>
            <w:pPr>
              <w:autoSpaceDE w:val="0"/>
              <w:autoSpaceDN w:val="0"/>
              <w:jc w:val="left"/>
              <w:rPr>
                <w:rFonts w:hint="eastAsia" w:ascii="宋体"/>
                <w:sz w:val="18"/>
                <w:szCs w:val="18"/>
                <w:lang w:val="en-US" w:eastAsia="zh-CN"/>
              </w:rPr>
            </w:pPr>
            <w:r>
              <w:rPr>
                <w:rFonts w:hint="eastAsia" w:ascii="宋体"/>
                <w:sz w:val="18"/>
                <w:szCs w:val="18"/>
                <w:lang w:val="en-US" w:eastAsia="zh-CN"/>
              </w:rPr>
              <w:t>a.在全面符合绿色低碳产业认定工作相关要求的基础上，处于行业领先水平，对产业（行业）具有显著技术引领作用。(7分,10分]；</w:t>
            </w:r>
          </w:p>
          <w:p>
            <w:pPr>
              <w:autoSpaceDE w:val="0"/>
              <w:autoSpaceDN w:val="0"/>
              <w:jc w:val="left"/>
              <w:rPr>
                <w:rFonts w:hint="eastAsia" w:ascii="宋体"/>
                <w:sz w:val="18"/>
                <w:szCs w:val="18"/>
                <w:lang w:val="en-US" w:eastAsia="zh-CN"/>
              </w:rPr>
            </w:pPr>
            <w:r>
              <w:rPr>
                <w:rFonts w:hint="eastAsia" w:ascii="宋体"/>
                <w:sz w:val="18"/>
                <w:szCs w:val="18"/>
                <w:lang w:val="en-US" w:eastAsia="zh-CN"/>
              </w:rPr>
              <w:t>b.在全面符合绿色低碳产业认定工作相关要求的基础上，处于行业较好水平，对产业（行业）具有一定技术推动作用。(4分,7分]；</w:t>
            </w:r>
          </w:p>
          <w:p>
            <w:pPr>
              <w:autoSpaceDE w:val="0"/>
              <w:autoSpaceDN w:val="0"/>
              <w:jc w:val="left"/>
              <w:rPr>
                <w:rFonts w:hint="eastAsia" w:ascii="宋体"/>
                <w:sz w:val="18"/>
                <w:szCs w:val="18"/>
                <w:lang w:val="en-US" w:eastAsia="zh-CN"/>
              </w:rPr>
            </w:pPr>
            <w:r>
              <w:rPr>
                <w:rFonts w:hint="eastAsia" w:ascii="宋体"/>
                <w:sz w:val="18"/>
                <w:szCs w:val="18"/>
                <w:lang w:val="en-US" w:eastAsia="zh-CN"/>
              </w:rPr>
              <w:t>c.在全面符合绿色低碳产业认定工作相关要求的基础上，处于行业平均水平。(0分,4分]；</w:t>
            </w:r>
          </w:p>
          <w:p>
            <w:pPr>
              <w:autoSpaceDE w:val="0"/>
              <w:autoSpaceDN w:val="0"/>
              <w:jc w:val="left"/>
              <w:rPr>
                <w:rFonts w:ascii="宋体"/>
                <w:sz w:val="18"/>
                <w:szCs w:val="18"/>
              </w:rPr>
            </w:pPr>
            <w:r>
              <w:rPr>
                <w:rFonts w:hint="eastAsia" w:ascii="宋体"/>
                <w:sz w:val="18"/>
                <w:szCs w:val="18"/>
                <w:lang w:val="en-US" w:eastAsia="zh-CN"/>
              </w:rPr>
              <w:t>d.未满足上述任何一项。（0分）。</w:t>
            </w:r>
          </w:p>
        </w:tc>
        <w:tc>
          <w:tcPr>
            <w:tcW w:w="616" w:type="pct"/>
            <w:tcBorders>
              <w:tl2br w:val="nil"/>
              <w:tr2bl w:val="nil"/>
            </w:tcBorders>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10</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环境效益</w:t>
            </w:r>
          </w:p>
        </w:tc>
        <w:tc>
          <w:tcPr>
            <w:tcW w:w="551" w:type="pct"/>
            <w:gridSpan w:val="2"/>
            <w:tcBorders>
              <w:tl2br w:val="nil"/>
              <w:tr2bl w:val="nil"/>
            </w:tcBorders>
            <w:vAlign w:val="center"/>
          </w:tcPr>
          <w:p>
            <w:pPr>
              <w:autoSpaceDE w:val="0"/>
              <w:autoSpaceDN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降碳效益</w:t>
            </w:r>
          </w:p>
        </w:tc>
        <w:tc>
          <w:tcPr>
            <w:tcW w:w="1031" w:type="pct"/>
            <w:tcBorders>
              <w:tl2br w:val="nil"/>
              <w:tr2bl w:val="nil"/>
            </w:tcBorders>
            <w:vAlign w:val="center"/>
          </w:tcPr>
          <w:p>
            <w:pPr>
              <w:autoSpaceDE w:val="0"/>
              <w:autoSpaceDN w:val="0"/>
              <w:jc w:val="center"/>
              <w:rPr>
                <w:rFonts w:ascii="宋体" w:hAnsi="宋体" w:cs="宋体"/>
                <w:sz w:val="18"/>
                <w:szCs w:val="18"/>
                <w:highlight w:val="none"/>
              </w:rPr>
            </w:pPr>
            <w:r>
              <w:rPr>
                <w:rFonts w:hint="eastAsia" w:hAnsi="宋体" w:cs="宋体"/>
                <w:sz w:val="18"/>
                <w:szCs w:val="18"/>
                <w:highlight w:val="none"/>
                <w:lang w:val="en-US" w:eastAsia="zh-CN"/>
              </w:rPr>
              <w:t>评估碳减排量、替代化石能源量。</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a.涉及环境效益种类较多，产生实际环境效益贡献量较高。(7分,10分]；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b.涉及环境效益种类一般，产生实际环境效益贡献量一般。(4分,7分]；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c.涉及环境效益种类较少，产生实际环境效益贡献量较少。(0分,4分]；</w:t>
            </w:r>
          </w:p>
          <w:p>
            <w:pPr>
              <w:pStyle w:val="24"/>
              <w:ind w:firstLine="0" w:firstLineChars="0"/>
              <w:jc w:val="left"/>
              <w:rPr>
                <w:rFonts w:ascii="宋体"/>
                <w:sz w:val="18"/>
                <w:szCs w:val="18"/>
                <w:highlight w:val="none"/>
              </w:rPr>
            </w:pPr>
            <w:r>
              <w:rPr>
                <w:rFonts w:hint="eastAsia" w:hAnsi="宋体" w:cs="宋体"/>
                <w:sz w:val="18"/>
                <w:szCs w:val="18"/>
                <w:highlight w:val="none"/>
                <w:lang w:val="en-US" w:eastAsia="zh-CN"/>
              </w:rPr>
              <w:t>d.未产生实际环境效益。（0分）。</w:t>
            </w:r>
          </w:p>
        </w:tc>
        <w:tc>
          <w:tcPr>
            <w:tcW w:w="616" w:type="pct"/>
            <w:tcBorders>
              <w:tl2br w:val="nil"/>
              <w:tr2bl w:val="nil"/>
            </w:tcBorders>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12</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减污效益</w:t>
            </w:r>
          </w:p>
        </w:tc>
        <w:tc>
          <w:tcPr>
            <w:tcW w:w="1031" w:type="pct"/>
            <w:tcBorders>
              <w:tl2br w:val="nil"/>
              <w:tr2bl w:val="nil"/>
            </w:tcBorders>
            <w:vAlign w:val="center"/>
          </w:tcPr>
          <w:p>
            <w:pPr>
              <w:autoSpaceDE w:val="0"/>
              <w:autoSpaceDN w:val="0"/>
              <w:jc w:val="center"/>
              <w:rPr>
                <w:rFonts w:ascii="宋体" w:hAnsi="宋体" w:cs="宋体"/>
                <w:sz w:val="18"/>
                <w:szCs w:val="18"/>
                <w:highlight w:val="none"/>
              </w:rPr>
            </w:pPr>
            <w:r>
              <w:rPr>
                <w:rFonts w:hint="eastAsia" w:hAnsi="宋体" w:cs="宋体"/>
                <w:sz w:val="18"/>
                <w:szCs w:val="18"/>
                <w:highlight w:val="none"/>
                <w:lang w:val="en-US" w:eastAsia="zh-CN"/>
              </w:rPr>
              <w:t>评估二氧化硫、氮氧化物、颗粒物削减量。</w:t>
            </w:r>
          </w:p>
        </w:tc>
        <w:tc>
          <w:tcPr>
            <w:tcW w:w="1580" w:type="pct"/>
            <w:tcBorders>
              <w:tl2br w:val="nil"/>
              <w:tr2bl w:val="nil"/>
            </w:tcBorders>
            <w:vAlign w:val="center"/>
          </w:tcPr>
          <w:p>
            <w:pPr>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a.涉及环境效益种类较多，产生实际环境效益贡献量较高。(2分,3分]；</w:t>
            </w:r>
          </w:p>
          <w:p>
            <w:pPr>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b.涉及环境效益种类一般，产生实际环境效益贡献量一般。(1分,2分]；</w:t>
            </w:r>
          </w:p>
          <w:p>
            <w:pPr>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c.涉及环境效益种类较少，产生实际环境效益贡献量较少。(0分,1分]；</w:t>
            </w:r>
          </w:p>
          <w:p>
            <w:pPr>
              <w:ind w:firstLine="0" w:firstLineChars="0"/>
              <w:jc w:val="left"/>
              <w:rPr>
                <w:rFonts w:ascii="宋体"/>
                <w:sz w:val="18"/>
                <w:szCs w:val="18"/>
                <w:highlight w:val="none"/>
              </w:rPr>
            </w:pPr>
            <w:r>
              <w:rPr>
                <w:rFonts w:hint="eastAsia" w:hAnsi="宋体" w:cs="宋体"/>
                <w:sz w:val="18"/>
                <w:szCs w:val="18"/>
                <w:highlight w:val="none"/>
                <w:lang w:val="en-US" w:eastAsia="zh-CN"/>
              </w:rPr>
              <w:t>d.未产生实际环境效益。（0分）。</w:t>
            </w:r>
          </w:p>
        </w:tc>
        <w:tc>
          <w:tcPr>
            <w:tcW w:w="616" w:type="pct"/>
            <w:tcBorders>
              <w:tl2br w:val="nil"/>
              <w:tr2bl w:val="nil"/>
            </w:tcBorders>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4</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业务表现</w:t>
            </w:r>
          </w:p>
        </w:tc>
        <w:tc>
          <w:tcPr>
            <w:tcW w:w="322"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发展能力</w:t>
            </w: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团队技术实力</w:t>
            </w:r>
          </w:p>
        </w:tc>
        <w:tc>
          <w:tcPr>
            <w:tcW w:w="1031" w:type="pct"/>
            <w:tcBorders>
              <w:tl2br w:val="nil"/>
              <w:tr2bl w:val="nil"/>
            </w:tcBorders>
            <w:vAlign w:val="center"/>
          </w:tcPr>
          <w:p>
            <w:pPr>
              <w:autoSpaceDE w:val="0"/>
              <w:autoSpaceDN w:val="0"/>
              <w:jc w:val="center"/>
              <w:rPr>
                <w:rFonts w:ascii="宋体" w:hAnsi="宋体" w:cs="宋体"/>
                <w:sz w:val="18"/>
                <w:szCs w:val="18"/>
              </w:rPr>
            </w:pPr>
            <w:r>
              <w:rPr>
                <w:rFonts w:hint="eastAsia" w:hAnsi="宋体" w:cs="宋体"/>
                <w:sz w:val="18"/>
                <w:szCs w:val="18"/>
                <w:highlight w:val="none"/>
                <w:lang w:val="en-US" w:eastAsia="zh-CN"/>
              </w:rPr>
              <w:t>从专业覆盖面、学历职称、相关工作年限等方面进行综合评价。</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a.人员配置合理，涵盖所需专业，研发部门中30%以上科研人员从事相关工作达3年或以上年限，至少配备一名高级职称或博士技术人员。(4分,6分]；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b.人员配置基本合理，涵盖所需专业，研发部门中20%以上科研人员从事相关工作达3年或以上年限，至少配备一名高级职称或博士技术人员。(2分,4分]；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c.人员配置未完全覆盖所需专业，团队实力一般。(0分,2分]。</w:t>
            </w:r>
          </w:p>
          <w:p>
            <w:pPr>
              <w:pStyle w:val="59"/>
              <w:bidi w:val="0"/>
              <w:ind w:left="6" w:leftChars="0" w:hanging="6" w:firstLineChars="0"/>
              <w:rPr>
                <w:rFonts w:ascii="宋体"/>
                <w:szCs w:val="18"/>
              </w:rPr>
            </w:pPr>
            <w:r>
              <w:rPr>
                <w:rFonts w:hint="eastAsia"/>
                <w:lang w:val="en-US" w:eastAsia="zh-CN"/>
              </w:rPr>
              <w:t>每增加一名从事相关技术领域的高级职称或博士技术人员，加0.5分。 每增加5%从事相关工作达3年或以上年限的团队人员，加0.5分。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6</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研发投入</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从绿色业务领域研发投入占比，以及所处同行业研发投入水平进行综合评价。</w:t>
            </w:r>
          </w:p>
        </w:tc>
        <w:tc>
          <w:tcPr>
            <w:tcW w:w="1580" w:type="pct"/>
            <w:tcBorders>
              <w:tl2br w:val="nil"/>
              <w:tr2bl w:val="nil"/>
            </w:tcBorders>
            <w:vAlign w:val="center"/>
          </w:tcPr>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a.最近一年销售收入小于5000万元（含）的企事业单位，比例不低于5%。</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(4分,7分]；</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b.最近一年销售收入在5000万元至2亿元（含）的企事业单位，比例不低于4%。(4分,7分]；</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c.最近一年销售收入在2亿元以上的企事业单位，比例不低于3%。(4分,7分]；</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d.上述项均不满足。(0分,3分]。</w:t>
            </w:r>
          </w:p>
          <w:p>
            <w:pPr>
              <w:pStyle w:val="59"/>
              <w:tabs>
                <w:tab w:val="center" w:pos="4201"/>
                <w:tab w:val="right" w:leader="dot" w:pos="9298"/>
              </w:tabs>
              <w:autoSpaceDE w:val="0"/>
              <w:autoSpaceDN w:val="0"/>
              <w:ind w:left="6" w:hanging="6"/>
              <w:jc w:val="left"/>
              <w:rPr>
                <w:rFonts w:ascii="宋体"/>
                <w:sz w:val="18"/>
                <w:szCs w:val="18"/>
              </w:rPr>
            </w:pPr>
            <w:r>
              <w:rPr>
                <w:rFonts w:hint="eastAsia"/>
                <w:lang w:val="en-US" w:eastAsia="zh-CN"/>
              </w:rPr>
              <w:t>研发投入占比显著高于同行业平均水平，加3分；</w:t>
            </w:r>
            <w:r>
              <w:rPr>
                <w:rFonts w:hint="eastAsia" w:ascii="宋体" w:hAnsi="Times New Roman" w:eastAsia="宋体" w:cs="Times New Roman"/>
                <w:lang w:val="en-US" w:eastAsia="zh-CN"/>
              </w:rPr>
              <w:t>研发投入占比略高于同行业平均水平，加1分。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7</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lang w:val="en-US" w:eastAsia="zh-CN"/>
              </w:rPr>
              <w:t>业务增长率</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当年主营业务收入增长额与上年主营业务收入总额比值，采用近三年平均值进行评估。</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a.≥10%（3分）；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b.[5%,10%)（1分）；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c.[0,5%)（0.5分）；</w:t>
            </w:r>
          </w:p>
          <w:p>
            <w:pPr>
              <w:autoSpaceDE w:val="0"/>
              <w:autoSpaceDN w:val="0"/>
              <w:jc w:val="left"/>
              <w:rPr>
                <w:rFonts w:ascii="宋体"/>
                <w:sz w:val="18"/>
                <w:szCs w:val="18"/>
              </w:rPr>
            </w:pPr>
            <w:r>
              <w:rPr>
                <w:rFonts w:hint="eastAsia" w:hAnsi="宋体" w:cs="宋体"/>
                <w:sz w:val="18"/>
                <w:szCs w:val="18"/>
                <w:highlight w:val="none"/>
                <w:lang w:val="en-US" w:eastAsia="zh-CN"/>
              </w:rPr>
              <w:t>d.＜0（0分）。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3</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市场影响</w:t>
            </w: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市场竞争力</w:t>
            </w:r>
          </w:p>
        </w:tc>
        <w:tc>
          <w:tcPr>
            <w:tcW w:w="1031" w:type="pct"/>
            <w:tcBorders>
              <w:tl2br w:val="nil"/>
              <w:tr2bl w:val="nil"/>
            </w:tcBorders>
            <w:vAlign w:val="center"/>
          </w:tcPr>
          <w:p>
            <w:pPr>
              <w:autoSpaceDE w:val="0"/>
              <w:autoSpaceDN w:val="0"/>
              <w:jc w:val="center"/>
              <w:rPr>
                <w:rFonts w:ascii="宋体" w:hAnsi="宋体" w:cs="宋体"/>
                <w:sz w:val="18"/>
                <w:szCs w:val="18"/>
              </w:rPr>
            </w:pPr>
            <w:r>
              <w:rPr>
                <w:rFonts w:hint="eastAsia" w:hAnsi="宋体" w:cs="宋体"/>
                <w:sz w:val="18"/>
                <w:szCs w:val="18"/>
                <w:highlight w:val="none"/>
                <w:lang w:val="en-US" w:eastAsia="zh-CN"/>
              </w:rPr>
              <w:t>从提供的绿色业务领域相关产品或服务的市场占有率，以及稳定提供相关产品或服务的年限进行综合评价。</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a.行业内市场占有率处于较高水平。（4分，6分]；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b.行业内市场占有率处于中等水平。（2分，4分]；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c.行业内市场占有率处于一般水平。[0分，2分]。</w:t>
            </w:r>
          </w:p>
          <w:p>
            <w:pPr>
              <w:pStyle w:val="59"/>
              <w:tabs>
                <w:tab w:val="center" w:pos="4201"/>
                <w:tab w:val="right" w:leader="dot" w:pos="9298"/>
              </w:tabs>
              <w:autoSpaceDE w:val="0"/>
              <w:autoSpaceDN w:val="0"/>
              <w:ind w:left="6" w:hanging="6"/>
              <w:jc w:val="left"/>
              <w:rPr>
                <w:rFonts w:ascii="宋体"/>
                <w:sz w:val="18"/>
                <w:szCs w:val="18"/>
              </w:rPr>
            </w:pPr>
            <w:r>
              <w:rPr>
                <w:rFonts w:hint="eastAsia" w:ascii="宋体" w:hAnsi="Times New Roman" w:eastAsia="宋体" w:cs="Times New Roman"/>
                <w:lang w:val="en-US" w:eastAsia="zh-CN"/>
              </w:rPr>
              <w:t>稳定</w:t>
            </w:r>
            <w:r>
              <w:rPr>
                <w:rFonts w:hint="eastAsia"/>
                <w:lang w:val="en-US" w:eastAsia="zh-CN"/>
              </w:rPr>
              <w:t>提供产品或服务年限大于10年</w:t>
            </w:r>
            <w:r>
              <w:rPr>
                <w:rFonts w:hint="eastAsia" w:ascii="宋体" w:eastAsia="宋体"/>
                <w:lang w:val="en-US" w:eastAsia="zh-CN"/>
              </w:rPr>
              <w:t>，加3分；</w:t>
            </w:r>
            <w:r>
              <w:rPr>
                <w:rFonts w:hint="eastAsia"/>
                <w:lang w:val="en-US" w:eastAsia="zh-CN"/>
              </w:rPr>
              <w:t>大于5年不超过10年</w:t>
            </w:r>
            <w:r>
              <w:rPr>
                <w:rFonts w:hint="eastAsia" w:ascii="宋体" w:eastAsia="宋体"/>
                <w:lang w:val="en-US" w:eastAsia="zh-CN"/>
              </w:rPr>
              <w:t>，加</w:t>
            </w:r>
            <w:r>
              <w:rPr>
                <w:rFonts w:hint="eastAsia"/>
                <w:lang w:val="en-US" w:eastAsia="zh-CN"/>
              </w:rPr>
              <w:t>2</w:t>
            </w:r>
            <w:r>
              <w:rPr>
                <w:rFonts w:hint="eastAsia" w:ascii="宋体" w:eastAsia="宋体"/>
                <w:lang w:val="en-US" w:eastAsia="zh-CN"/>
              </w:rPr>
              <w:t>分</w:t>
            </w:r>
            <w:r>
              <w:rPr>
                <w:rFonts w:hint="eastAsia"/>
                <w:lang w:val="en-US" w:eastAsia="zh-CN"/>
              </w:rPr>
              <w:t>；大于2年不超过5年，加1分</w:t>
            </w:r>
            <w:r>
              <w:rPr>
                <w:rFonts w:hint="eastAsia" w:ascii="宋体" w:eastAsia="宋体"/>
                <w:lang w:val="en-US" w:eastAsia="zh-CN"/>
              </w:rPr>
              <w:t>。</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9</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产业影响力</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引领绿色低碳产业技术创新或市场发展的影响能力。</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a.具有显著的引领绿色低碳产业技术或市场发展的影响能力。（4分，7分]；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b.具有较强的引领绿色低碳产业技术或市场发展的影响能力。（2分，4分]；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c.具有一定的引领绿色低碳产业技术或市场发展的影响能力。（0分，2分]。</w:t>
            </w:r>
          </w:p>
          <w:p>
            <w:pPr>
              <w:autoSpaceDE w:val="0"/>
              <w:autoSpaceDN w:val="0"/>
              <w:jc w:val="left"/>
              <w:rPr>
                <w:rFonts w:ascii="宋体"/>
                <w:sz w:val="18"/>
                <w:szCs w:val="18"/>
              </w:rPr>
            </w:pPr>
            <w:r>
              <w:rPr>
                <w:rFonts w:hint="eastAsia" w:hAnsi="宋体" w:cs="宋体"/>
                <w:sz w:val="18"/>
                <w:szCs w:val="18"/>
                <w:highlight w:val="none"/>
                <w:lang w:val="en-US" w:eastAsia="zh-CN"/>
              </w:rPr>
              <w:t>d.未产生明显产业影响力。（0分）。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7</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322" w:type="pct"/>
            <w:vMerge w:val="continue"/>
            <w:tcBorders>
              <w:tl2br w:val="nil"/>
              <w:tr2bl w:val="nil"/>
            </w:tcBorders>
            <w:vAlign w:val="center"/>
          </w:tcPr>
          <w:p>
            <w:pPr>
              <w:autoSpaceDE w:val="0"/>
              <w:autoSpaceDN w:val="0"/>
              <w:jc w:val="center"/>
              <w:rPr>
                <w:rFonts w:ascii="宋体" w:hAnsi="宋体" w:cs="宋体"/>
                <w:sz w:val="18"/>
                <w:szCs w:val="18"/>
              </w:rPr>
            </w:pPr>
          </w:p>
        </w:tc>
        <w:tc>
          <w:tcPr>
            <w:tcW w:w="551" w:type="pct"/>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行业资质荣誉</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从提供的绿色业务领域相关产品或服务，获得的国家级、省部级、市级或区级奖项、资质、荣誉、认定或证书的情况进行评价，国家级行业协会颁发的相关资质、荣誉、认定或证书视为省部级。</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a.获得1项国家级奖项、资质、荣誉、认定或证书。(3分)；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b.获得1项省部级奖项、资质、荣誉、认定或证书。(2分)；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c.获得1项市级奖项、资质、荣誉、认定或证书。(1分)；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d.未获得行业资质荣誉奖项。（0分）。</w:t>
            </w:r>
          </w:p>
          <w:p>
            <w:pPr>
              <w:pStyle w:val="59"/>
              <w:tabs>
                <w:tab w:val="center" w:pos="4201"/>
                <w:tab w:val="right" w:leader="dot" w:pos="9298"/>
              </w:tabs>
              <w:autoSpaceDE w:val="0"/>
              <w:autoSpaceDN w:val="0"/>
              <w:ind w:left="6" w:hanging="6"/>
              <w:jc w:val="left"/>
              <w:rPr>
                <w:rFonts w:ascii="宋体"/>
                <w:sz w:val="18"/>
                <w:szCs w:val="18"/>
              </w:rPr>
            </w:pPr>
            <w:r>
              <w:rPr>
                <w:rFonts w:hint="eastAsia" w:ascii="宋体" w:hAnsi="宋体" w:eastAsia="宋体" w:cs="宋体"/>
                <w:sz w:val="18"/>
                <w:szCs w:val="18"/>
                <w:highlight w:val="none"/>
                <w:lang w:val="en-US" w:eastAsia="zh-CN"/>
              </w:rPr>
              <w:t>优质</w:t>
            </w:r>
            <w:r>
              <w:rPr>
                <w:rFonts w:hint="eastAsia" w:hAnsi="宋体" w:cs="宋体"/>
                <w:sz w:val="18"/>
                <w:szCs w:val="18"/>
                <w:highlight w:val="none"/>
                <w:lang w:val="en-US" w:eastAsia="zh-CN"/>
              </w:rPr>
              <w:t>中小企业相应基础分值加1分。每多一项国家级、省部级、市级、区级资质荣誉，分别加1分、0.5分、0.3分、0.2分。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4</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环境表现</w:t>
            </w: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设备材料</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从企事业单位自身生产运营过程中，采用设备及原材料的绿色化水平进行评价。</w:t>
            </w:r>
          </w:p>
        </w:tc>
        <w:tc>
          <w:tcPr>
            <w:tcW w:w="1580" w:type="pct"/>
            <w:tcBorders>
              <w:tl2br w:val="nil"/>
              <w:tr2bl w:val="nil"/>
            </w:tcBorders>
            <w:vAlign w:val="center"/>
          </w:tcPr>
          <w:p>
            <w:pPr>
              <w:pStyle w:val="24"/>
              <w:ind w:firstLine="0" w:firstLineChars="0"/>
              <w:jc w:val="left"/>
              <w:rPr>
                <w:rFonts w:hint="default" w:hAnsi="宋体" w:cs="宋体"/>
                <w:sz w:val="18"/>
                <w:szCs w:val="18"/>
                <w:highlight w:val="none"/>
                <w:lang w:val="en-US" w:eastAsia="zh-CN"/>
              </w:rPr>
            </w:pPr>
            <w:r>
              <w:rPr>
                <w:rFonts w:hint="eastAsia" w:hAnsi="宋体" w:cs="宋体"/>
                <w:sz w:val="18"/>
                <w:szCs w:val="18"/>
                <w:highlight w:val="none"/>
                <w:lang w:val="en-US" w:eastAsia="zh-CN"/>
              </w:rPr>
              <w:t>a.推荐目录采购比例超过50%。（1分），全面实施无毒无害原材料替代。（1分）；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b.1推荐目录采购比例超过30%。（0.5分），部分实施无毒无害原材料替代。（0.5分）；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c.未选用推荐工艺（0分），推荐目录采购比例未超过30%。（0分），未实施无毒无害原材料替代。（0分）；</w:t>
            </w:r>
          </w:p>
          <w:p>
            <w:pPr>
              <w:pStyle w:val="59"/>
              <w:tabs>
                <w:tab w:val="center" w:pos="4201"/>
                <w:tab w:val="right" w:leader="dot" w:pos="9298"/>
              </w:tabs>
              <w:autoSpaceDE w:val="0"/>
              <w:autoSpaceDN w:val="0"/>
              <w:ind w:left="6" w:hanging="6"/>
              <w:jc w:val="left"/>
              <w:rPr>
                <w:rFonts w:ascii="宋体"/>
                <w:sz w:val="18"/>
                <w:szCs w:val="18"/>
              </w:rPr>
            </w:pPr>
            <w:r>
              <w:rPr>
                <w:rFonts w:hint="eastAsia" w:ascii="宋体" w:hAnsi="宋体" w:eastAsia="宋体" w:cs="宋体"/>
                <w:sz w:val="18"/>
                <w:szCs w:val="18"/>
                <w:highlight w:val="none"/>
                <w:lang w:val="en-US" w:eastAsia="zh-CN"/>
              </w:rPr>
              <w:t>该项</w:t>
            </w:r>
            <w:r>
              <w:rPr>
                <w:rFonts w:hint="eastAsia" w:hAnsi="宋体" w:cs="宋体"/>
                <w:sz w:val="18"/>
                <w:szCs w:val="18"/>
                <w:highlight w:val="none"/>
                <w:lang w:val="en-US" w:eastAsia="zh-CN"/>
              </w:rPr>
              <w:t>为工艺、设备、材料累计得分。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2</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436" w:type="pct"/>
            <w:gridSpan w:val="2"/>
            <w:vMerge w:val="restart"/>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rPr>
              <w:t>能源资源利用</w:t>
            </w:r>
          </w:p>
        </w:tc>
        <w:tc>
          <w:tcPr>
            <w:tcW w:w="437" w:type="pct"/>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能耗</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ascii="Times New Roman" w:hAnsi="宋体" w:eastAsia="宋体" w:cs="宋体"/>
                <w:sz w:val="18"/>
                <w:szCs w:val="18"/>
                <w:highlight w:val="none"/>
                <w:lang w:val="en-US" w:eastAsia="zh-CN" w:bidi="ar-SA"/>
              </w:rPr>
              <w:t>企事业单位自身生产运营过程，对能源消耗量大小进行评价的指标</w:t>
            </w:r>
            <w:r>
              <w:rPr>
                <w:rFonts w:hint="eastAsia" w:ascii="Times New Roman" w:hAnsi="宋体" w:cs="宋体"/>
                <w:sz w:val="18"/>
                <w:szCs w:val="18"/>
                <w:highlight w:val="none"/>
                <w:lang w:val="en-US" w:eastAsia="zh-CN" w:bidi="ar-SA"/>
              </w:rPr>
              <w:t>。</w:t>
            </w:r>
          </w:p>
        </w:tc>
        <w:tc>
          <w:tcPr>
            <w:tcW w:w="1580" w:type="pct"/>
            <w:tcBorders>
              <w:tl2br w:val="nil"/>
              <w:tr2bl w:val="nil"/>
            </w:tcBorders>
            <w:vAlign w:val="center"/>
          </w:tcPr>
          <w:p>
            <w:pPr>
              <w:autoSpaceDE w:val="0"/>
              <w:autoSpaceDN w:val="0"/>
              <w:jc w:val="left"/>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生产制造类：</w:t>
            </w:r>
          </w:p>
          <w:p>
            <w:pPr>
              <w:autoSpaceDE w:val="0"/>
              <w:autoSpaceDN w:val="0"/>
              <w:jc w:val="left"/>
              <w:rPr>
                <w:rFonts w:hint="eastAsia" w:ascii="宋体" w:hAnsi="宋体" w:eastAsia="宋体" w:cs="宋体"/>
                <w:sz w:val="18"/>
                <w:szCs w:val="18"/>
                <w:lang w:val="en-US" w:eastAsia="zh-CN"/>
              </w:rPr>
            </w:pPr>
            <w:r>
              <w:rPr>
                <w:rFonts w:hint="eastAsia" w:ascii="宋体" w:hAnsi="宋体" w:eastAsia="宋体" w:cs="宋体"/>
                <w:sz w:val="18"/>
                <w:szCs w:val="18"/>
                <w:highlight w:val="none"/>
                <w:vertAlign w:val="baseline"/>
                <w:lang w:val="en-US" w:eastAsia="zh-CN"/>
              </w:rPr>
              <w:t>（1）多晶硅</w:t>
            </w:r>
            <w:r>
              <w:rPr>
                <w:rFonts w:hint="eastAsia" w:ascii="宋体" w:hAnsi="宋体" w:eastAsia="宋体" w:cs="宋体"/>
                <w:sz w:val="18"/>
                <w:szCs w:val="18"/>
                <w:vertAlign w:val="baseline"/>
                <w:lang w:val="en-US" w:eastAsia="zh-CN"/>
              </w:rPr>
              <w:t>：电耗(KWh/Kg)</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＜65，（7分）；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[65，70）</w:t>
            </w:r>
            <w:r>
              <w:rPr>
                <w:rFonts w:hint="eastAsia" w:ascii="宋体" w:hAnsi="宋体" w:eastAsia="宋体" w:cs="宋体"/>
                <w:sz w:val="18"/>
                <w:szCs w:val="18"/>
                <w:highlight w:val="none"/>
                <w:lang w:val="en-US" w:eastAsia="zh-CN" w:bidi="ar-SA"/>
              </w:rPr>
              <w:t>，（4分）；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[70，75）</w:t>
            </w:r>
            <w:r>
              <w:rPr>
                <w:rFonts w:hint="eastAsia" w:ascii="宋体" w:hAnsi="宋体" w:eastAsia="宋体" w:cs="宋体"/>
                <w:sz w:val="18"/>
                <w:szCs w:val="18"/>
                <w:highlight w:val="none"/>
                <w:lang w:val="en-US" w:eastAsia="zh-CN" w:bidi="ar-SA"/>
              </w:rPr>
              <w:t>，（1分）。</w:t>
            </w:r>
          </w:p>
          <w:p>
            <w:pPr>
              <w:pStyle w:val="2"/>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vertAlign w:val="baseline"/>
                <w:lang w:eastAsia="zh-CN"/>
              </w:rPr>
              <w:t>（</w:t>
            </w:r>
            <w:r>
              <w:rPr>
                <w:rFonts w:hint="eastAsia" w:ascii="宋体" w:hAnsi="宋体" w:eastAsia="宋体" w:cs="宋体"/>
                <w:sz w:val="18"/>
                <w:szCs w:val="18"/>
                <w:highlight w:val="none"/>
                <w:vertAlign w:val="baseline"/>
                <w:lang w:val="en-US" w:eastAsia="zh-CN"/>
              </w:rPr>
              <w:t>2</w:t>
            </w:r>
            <w:r>
              <w:rPr>
                <w:rFonts w:hint="eastAsia" w:ascii="宋体" w:hAnsi="宋体" w:eastAsia="宋体" w:cs="宋体"/>
                <w:sz w:val="18"/>
                <w:szCs w:val="18"/>
                <w:highlight w:val="none"/>
                <w:vertAlign w:val="baseline"/>
                <w:lang w:eastAsia="zh-CN"/>
              </w:rPr>
              <w:t>）</w:t>
            </w:r>
            <w:r>
              <w:rPr>
                <w:rFonts w:hint="eastAsia" w:ascii="宋体" w:hAnsi="宋体" w:eastAsia="宋体" w:cs="宋体"/>
                <w:sz w:val="18"/>
                <w:szCs w:val="18"/>
                <w:highlight w:val="none"/>
                <w:vertAlign w:val="baseline"/>
              </w:rPr>
              <w:t>多晶硅片</w:t>
            </w:r>
            <w:r>
              <w:rPr>
                <w:rFonts w:hint="eastAsia" w:ascii="宋体" w:hAnsi="宋体" w:eastAsia="宋体" w:cs="宋体"/>
                <w:sz w:val="18"/>
                <w:szCs w:val="18"/>
                <w:highlight w:val="none"/>
                <w:vertAlign w:val="baseline"/>
                <w:lang w:eastAsia="zh-CN"/>
              </w:rPr>
              <w:t>：</w:t>
            </w:r>
            <w:r>
              <w:rPr>
                <w:rFonts w:hint="eastAsia" w:ascii="宋体" w:hAnsi="宋体" w:eastAsia="宋体" w:cs="宋体"/>
                <w:sz w:val="18"/>
                <w:szCs w:val="18"/>
                <w:vertAlign w:val="baseline"/>
                <w:lang w:val="en-US" w:eastAsia="zh-CN"/>
              </w:rPr>
              <w:t>电耗(KWh/Kg)</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25</w:t>
            </w:r>
            <w:r>
              <w:rPr>
                <w:rFonts w:hint="eastAsia" w:ascii="宋体" w:hAnsi="宋体" w:eastAsia="宋体" w:cs="宋体"/>
                <w:sz w:val="18"/>
                <w:szCs w:val="18"/>
                <w:highlight w:val="none"/>
                <w:lang w:val="en-US" w:eastAsia="zh-CN" w:bidi="ar-SA"/>
              </w:rPr>
              <w:t>，（7分）；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[15，20)</w:t>
            </w:r>
            <w:r>
              <w:rPr>
                <w:rFonts w:hint="eastAsia" w:ascii="宋体" w:hAnsi="宋体" w:eastAsia="宋体" w:cs="宋体"/>
                <w:sz w:val="18"/>
                <w:szCs w:val="18"/>
                <w:highlight w:val="none"/>
                <w:lang w:val="en-US" w:eastAsia="zh-CN" w:bidi="ar-SA"/>
              </w:rPr>
              <w:t>，（4分）；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[20，25)</w:t>
            </w:r>
            <w:r>
              <w:rPr>
                <w:rFonts w:hint="eastAsia" w:ascii="宋体" w:hAnsi="宋体" w:eastAsia="宋体" w:cs="宋体"/>
                <w:sz w:val="18"/>
                <w:szCs w:val="18"/>
                <w:highlight w:val="none"/>
                <w:lang w:val="en-US" w:eastAsia="zh-CN" w:bidi="ar-SA"/>
              </w:rPr>
              <w:t>，（1分）。</w:t>
            </w:r>
          </w:p>
          <w:p>
            <w:pPr>
              <w:pStyle w:val="2"/>
              <w:rPr>
                <w:rFonts w:hint="eastAsia" w:ascii="宋体" w:hAnsi="宋体" w:eastAsia="宋体" w:cs="宋体"/>
                <w:sz w:val="18"/>
                <w:szCs w:val="18"/>
                <w:highlight w:val="none"/>
                <w:vertAlign w:val="baseline"/>
                <w:lang w:eastAsia="zh-CN"/>
              </w:rPr>
            </w:pPr>
            <w:r>
              <w:rPr>
                <w:rFonts w:hint="eastAsia" w:ascii="宋体" w:hAnsi="宋体" w:eastAsia="宋体" w:cs="宋体"/>
                <w:sz w:val="18"/>
                <w:szCs w:val="18"/>
                <w:highlight w:val="none"/>
                <w:vertAlign w:val="baseline"/>
                <w:lang w:eastAsia="zh-CN"/>
              </w:rPr>
              <w:t>（</w:t>
            </w:r>
            <w:r>
              <w:rPr>
                <w:rFonts w:hint="eastAsia" w:ascii="宋体" w:hAnsi="宋体" w:eastAsia="宋体" w:cs="宋体"/>
                <w:sz w:val="18"/>
                <w:szCs w:val="18"/>
                <w:highlight w:val="none"/>
                <w:vertAlign w:val="baseline"/>
                <w:lang w:val="en-US" w:eastAsia="zh-CN"/>
              </w:rPr>
              <w:t>3</w:t>
            </w:r>
            <w:r>
              <w:rPr>
                <w:rFonts w:hint="eastAsia" w:ascii="宋体" w:hAnsi="宋体" w:eastAsia="宋体" w:cs="宋体"/>
                <w:sz w:val="18"/>
                <w:szCs w:val="18"/>
                <w:highlight w:val="none"/>
                <w:vertAlign w:val="baseline"/>
                <w:lang w:eastAsia="zh-CN"/>
              </w:rPr>
              <w:t>）单晶硅片：电耗(KWh/Kg)</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10</w:t>
            </w:r>
            <w:r>
              <w:rPr>
                <w:rFonts w:hint="eastAsia" w:ascii="宋体" w:hAnsi="宋体" w:eastAsia="宋体" w:cs="宋体"/>
                <w:sz w:val="18"/>
                <w:szCs w:val="18"/>
                <w:highlight w:val="none"/>
                <w:lang w:val="en-US" w:eastAsia="zh-CN" w:bidi="ar-SA"/>
              </w:rPr>
              <w:t>，（7分）；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[10，15)</w:t>
            </w:r>
            <w:r>
              <w:rPr>
                <w:rFonts w:hint="eastAsia" w:ascii="宋体" w:hAnsi="宋体" w:eastAsia="宋体" w:cs="宋体"/>
                <w:sz w:val="18"/>
                <w:szCs w:val="18"/>
                <w:highlight w:val="none"/>
                <w:lang w:val="en-US" w:eastAsia="zh-CN" w:bidi="ar-SA"/>
              </w:rPr>
              <w:t>，（4分）；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[15，20)</w:t>
            </w:r>
            <w:r>
              <w:rPr>
                <w:rFonts w:hint="eastAsia" w:ascii="宋体" w:hAnsi="宋体" w:eastAsia="宋体" w:cs="宋体"/>
                <w:sz w:val="18"/>
                <w:szCs w:val="18"/>
                <w:highlight w:val="none"/>
                <w:lang w:val="en-US" w:eastAsia="zh-CN" w:bidi="ar-SA"/>
              </w:rPr>
              <w:t>，（1分）。</w:t>
            </w:r>
          </w:p>
          <w:p>
            <w:pPr>
              <w:pStyle w:val="2"/>
              <w:rPr>
                <w:rFonts w:hint="eastAsia" w:ascii="宋体" w:hAnsi="宋体" w:eastAsia="宋体" w:cs="宋体"/>
                <w:sz w:val="18"/>
                <w:szCs w:val="18"/>
                <w:highlight w:val="none"/>
                <w:vertAlign w:val="baseline"/>
                <w:lang w:eastAsia="zh-CN"/>
              </w:rPr>
            </w:pPr>
            <w:r>
              <w:rPr>
                <w:rFonts w:hint="eastAsia" w:ascii="宋体" w:hAnsi="宋体" w:eastAsia="宋体" w:cs="宋体"/>
                <w:sz w:val="18"/>
                <w:szCs w:val="18"/>
                <w:highlight w:val="none"/>
                <w:vertAlign w:val="baseline"/>
                <w:lang w:val="en-US" w:eastAsia="zh-CN"/>
              </w:rPr>
              <w:t>（4）晶硅电池</w:t>
            </w:r>
            <w:r>
              <w:rPr>
                <w:rFonts w:hint="eastAsia" w:ascii="宋体" w:hAnsi="宋体" w:eastAsia="宋体" w:cs="宋体"/>
                <w:sz w:val="18"/>
                <w:szCs w:val="18"/>
                <w:highlight w:val="none"/>
                <w:vertAlign w:val="baseline"/>
                <w:lang w:eastAsia="zh-CN"/>
              </w:rPr>
              <w:t>：电耗(KWh/Kg)</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5万</w:t>
            </w:r>
            <w:r>
              <w:rPr>
                <w:rFonts w:hint="eastAsia" w:ascii="宋体" w:hAnsi="宋体" w:eastAsia="宋体" w:cs="宋体"/>
                <w:sz w:val="18"/>
                <w:szCs w:val="18"/>
                <w:highlight w:val="none"/>
                <w:lang w:val="en-US" w:eastAsia="zh-CN" w:bidi="ar-SA"/>
              </w:rPr>
              <w:t>，（7分）；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[5万，8万)</w:t>
            </w:r>
            <w:r>
              <w:rPr>
                <w:rFonts w:hint="eastAsia" w:ascii="宋体" w:hAnsi="宋体" w:eastAsia="宋体" w:cs="宋体"/>
                <w:sz w:val="18"/>
                <w:szCs w:val="18"/>
                <w:highlight w:val="none"/>
                <w:lang w:val="en-US" w:eastAsia="zh-CN" w:bidi="ar-SA"/>
              </w:rPr>
              <w:t>，（4分）；</w:t>
            </w:r>
          </w:p>
          <w:p>
            <w:pPr>
              <w:pStyle w:val="2"/>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[8万，10万)</w:t>
            </w:r>
            <w:r>
              <w:rPr>
                <w:rFonts w:hint="eastAsia" w:ascii="宋体" w:hAnsi="宋体" w:eastAsia="宋体" w:cs="宋体"/>
                <w:sz w:val="18"/>
                <w:szCs w:val="18"/>
                <w:highlight w:val="none"/>
                <w:lang w:val="en-US" w:eastAsia="zh-CN" w:bidi="ar-SA"/>
              </w:rPr>
              <w:t>，（1分）。</w:t>
            </w:r>
          </w:p>
          <w:p>
            <w:pPr>
              <w:pStyle w:val="2"/>
              <w:rPr>
                <w:rFonts w:hint="eastAsia" w:ascii="宋体" w:hAnsi="宋体" w:eastAsia="宋体" w:cs="宋体"/>
                <w:sz w:val="18"/>
                <w:szCs w:val="18"/>
                <w:highlight w:val="none"/>
                <w:vertAlign w:val="baseline"/>
                <w:lang w:eastAsia="zh-CN"/>
              </w:rPr>
            </w:pPr>
            <w:r>
              <w:rPr>
                <w:rFonts w:hint="eastAsia" w:ascii="宋体" w:hAnsi="宋体" w:eastAsia="宋体" w:cs="宋体"/>
                <w:sz w:val="18"/>
                <w:szCs w:val="18"/>
                <w:highlight w:val="none"/>
                <w:vertAlign w:val="baseline"/>
                <w:lang w:val="en-US" w:eastAsia="zh-CN"/>
              </w:rPr>
              <w:t>（5）晶硅组件</w:t>
            </w:r>
            <w:r>
              <w:rPr>
                <w:rFonts w:hint="eastAsia" w:ascii="宋体" w:hAnsi="宋体" w:eastAsia="宋体" w:cs="宋体"/>
                <w:sz w:val="18"/>
                <w:szCs w:val="18"/>
                <w:highlight w:val="none"/>
                <w:vertAlign w:val="baseline"/>
                <w:lang w:eastAsia="zh-CN"/>
              </w:rPr>
              <w:t>：电耗(KWh/Kg)</w:t>
            </w:r>
          </w:p>
          <w:p>
            <w:pPr>
              <w:pStyle w:val="2"/>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eastAsia="宋体" w:cs="宋体"/>
                <w:kern w:val="0"/>
                <w:sz w:val="18"/>
                <w:szCs w:val="18"/>
                <w:highlight w:val="none"/>
                <w:lang w:val="en-US" w:eastAsia="zh-CN" w:bidi="ar-SA"/>
              </w:rPr>
              <w:t>2</w:t>
            </w:r>
            <w:r>
              <w:rPr>
                <w:rFonts w:hint="eastAsia" w:ascii="宋体" w:hAnsi="宋体" w:eastAsia="宋体" w:cs="宋体"/>
                <w:color w:val="000000"/>
                <w:kern w:val="0"/>
                <w:sz w:val="18"/>
                <w:szCs w:val="18"/>
                <w:highlight w:val="none"/>
                <w:lang w:val="en-US" w:eastAsia="zh-CN" w:bidi="ar-SA"/>
              </w:rPr>
              <w:t>万</w:t>
            </w:r>
            <w:r>
              <w:rPr>
                <w:rFonts w:hint="eastAsia" w:ascii="宋体" w:hAnsi="宋体" w:eastAsia="宋体" w:cs="宋体"/>
                <w:sz w:val="18"/>
                <w:szCs w:val="18"/>
                <w:highlight w:val="none"/>
                <w:lang w:val="en-US" w:eastAsia="zh-CN" w:bidi="ar-SA"/>
              </w:rPr>
              <w:t>，（7分）；</w:t>
            </w:r>
          </w:p>
          <w:p>
            <w:pPr>
              <w:pStyle w:val="2"/>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[2万，4万)</w:t>
            </w:r>
            <w:r>
              <w:rPr>
                <w:rFonts w:hint="eastAsia" w:ascii="宋体" w:hAnsi="宋体" w:eastAsia="宋体" w:cs="宋体"/>
                <w:sz w:val="18"/>
                <w:szCs w:val="18"/>
                <w:highlight w:val="none"/>
                <w:lang w:val="en-US" w:eastAsia="zh-CN" w:bidi="ar-SA"/>
              </w:rPr>
              <w:t>，（4分）；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[4万，9万)</w:t>
            </w:r>
            <w:r>
              <w:rPr>
                <w:rFonts w:hint="eastAsia" w:ascii="宋体" w:hAnsi="宋体" w:eastAsia="宋体" w:cs="宋体"/>
                <w:sz w:val="18"/>
                <w:szCs w:val="18"/>
                <w:highlight w:val="none"/>
                <w:lang w:val="en-US" w:eastAsia="zh-CN" w:bidi="ar-SA"/>
              </w:rPr>
              <w:t>，（1分）；</w:t>
            </w:r>
          </w:p>
          <w:p>
            <w:pPr>
              <w:pStyle w:val="2"/>
              <w:rPr>
                <w:rFonts w:hint="eastAsia" w:ascii="宋体" w:hAnsi="宋体" w:eastAsia="宋体" w:cs="宋体"/>
                <w:sz w:val="18"/>
                <w:szCs w:val="18"/>
                <w:highlight w:val="none"/>
                <w:vertAlign w:val="baseline"/>
                <w:lang w:eastAsia="zh-CN"/>
              </w:rPr>
            </w:pPr>
            <w:r>
              <w:rPr>
                <w:rFonts w:hint="eastAsia" w:ascii="宋体" w:hAnsi="宋体" w:eastAsia="宋体" w:cs="宋体"/>
                <w:kern w:val="0"/>
                <w:sz w:val="18"/>
                <w:szCs w:val="18"/>
                <w:highlight w:val="none"/>
                <w:lang w:val="en-US" w:eastAsia="zh-CN" w:bidi="ar-SA"/>
              </w:rPr>
              <w:t>（6）薄膜组件：</w:t>
            </w:r>
            <w:r>
              <w:rPr>
                <w:rFonts w:hint="eastAsia" w:ascii="宋体" w:hAnsi="宋体" w:eastAsia="宋体" w:cs="宋体"/>
                <w:sz w:val="18"/>
                <w:szCs w:val="18"/>
                <w:highlight w:val="none"/>
                <w:vertAlign w:val="baseline"/>
                <w:lang w:eastAsia="zh-CN"/>
              </w:rPr>
              <w:t>电耗(KWh/Kg)</w:t>
            </w:r>
          </w:p>
          <w:p>
            <w:pPr>
              <w:pStyle w:val="2"/>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sz w:val="18"/>
                <w:szCs w:val="18"/>
                <w:highlight w:val="none"/>
                <w:lang w:val="en-US" w:eastAsia="zh-CN" w:bidi="ar-SA"/>
              </w:rPr>
              <w:t>＜</w:t>
            </w:r>
            <w:r>
              <w:rPr>
                <w:rFonts w:hint="eastAsia" w:ascii="宋体" w:hAnsi="宋体" w:eastAsia="宋体" w:cs="宋体"/>
                <w:kern w:val="0"/>
                <w:sz w:val="18"/>
                <w:szCs w:val="18"/>
                <w:highlight w:val="none"/>
                <w:lang w:val="en-US" w:eastAsia="zh-CN" w:bidi="ar-SA"/>
              </w:rPr>
              <w:t>15万</w:t>
            </w:r>
            <w:r>
              <w:rPr>
                <w:rFonts w:hint="eastAsia" w:ascii="宋体" w:hAnsi="宋体" w:eastAsia="宋体" w:cs="宋体"/>
                <w:sz w:val="18"/>
                <w:szCs w:val="18"/>
                <w:highlight w:val="none"/>
                <w:lang w:val="en-US" w:eastAsia="zh-CN" w:bidi="ar-SA"/>
              </w:rPr>
              <w:t>，（7分）；</w:t>
            </w:r>
          </w:p>
          <w:p>
            <w:pPr>
              <w:pStyle w:val="2"/>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[15</w:t>
            </w:r>
            <w:r>
              <w:rPr>
                <w:rFonts w:hint="eastAsia" w:ascii="宋体" w:hAnsi="宋体" w:eastAsia="宋体" w:cs="宋体"/>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，50</w:t>
            </w:r>
            <w:r>
              <w:rPr>
                <w:rFonts w:hint="eastAsia" w:ascii="宋体" w:hAnsi="宋体" w:eastAsia="宋体" w:cs="宋体"/>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w:t>
            </w:r>
            <w:r>
              <w:rPr>
                <w:rFonts w:hint="eastAsia" w:ascii="宋体" w:hAnsi="宋体" w:eastAsia="宋体" w:cs="宋体"/>
                <w:sz w:val="18"/>
                <w:szCs w:val="18"/>
                <w:highlight w:val="none"/>
                <w:lang w:val="en-US" w:eastAsia="zh-CN" w:bidi="ar-SA"/>
              </w:rPr>
              <w:t>，（4分）；</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[50</w:t>
            </w:r>
            <w:r>
              <w:rPr>
                <w:rFonts w:hint="eastAsia" w:ascii="宋体" w:hAnsi="宋体" w:eastAsia="宋体" w:cs="宋体"/>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，55</w:t>
            </w:r>
            <w:r>
              <w:rPr>
                <w:rFonts w:hint="eastAsia" w:ascii="宋体" w:hAnsi="宋体" w:eastAsia="宋体" w:cs="宋体"/>
                <w:kern w:val="0"/>
                <w:sz w:val="18"/>
                <w:szCs w:val="18"/>
                <w:highlight w:val="none"/>
                <w:lang w:val="en-US" w:eastAsia="zh-CN" w:bidi="ar-SA"/>
              </w:rPr>
              <w:t>万</w:t>
            </w:r>
            <w:r>
              <w:rPr>
                <w:rFonts w:hint="eastAsia" w:ascii="宋体" w:hAnsi="宋体" w:eastAsia="宋体" w:cs="宋体"/>
                <w:sz w:val="18"/>
                <w:szCs w:val="18"/>
                <w:highlight w:val="none"/>
                <w:vertAlign w:val="baseline"/>
                <w:lang w:val="en-US" w:eastAsia="zh-CN"/>
              </w:rPr>
              <w:t>)</w:t>
            </w:r>
            <w:r>
              <w:rPr>
                <w:rFonts w:hint="eastAsia" w:ascii="宋体" w:hAnsi="宋体" w:eastAsia="宋体" w:cs="宋体"/>
                <w:sz w:val="18"/>
                <w:szCs w:val="18"/>
                <w:highlight w:val="none"/>
                <w:lang w:val="en-US" w:eastAsia="zh-CN" w:bidi="ar-SA"/>
              </w:rPr>
              <w:t>，（1分）。</w:t>
            </w:r>
          </w:p>
          <w:p>
            <w:pPr>
              <w:pStyle w:val="2"/>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（7）其他：电耗</w:t>
            </w:r>
          </w:p>
          <w:p>
            <w:pPr>
              <w:pStyle w:val="2"/>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列出国家标准生产值，并出具产品能耗书面说明，专家给予打分。（0分，5分]</w:t>
            </w:r>
          </w:p>
          <w:p>
            <w:pPr>
              <w:pStyle w:val="2"/>
              <w:rPr>
                <w:rFonts w:hint="eastAsia" w:ascii="宋体" w:hAnsi="宋体" w:eastAsia="宋体" w:cs="宋体"/>
                <w:kern w:val="0"/>
                <w:sz w:val="18"/>
                <w:szCs w:val="18"/>
                <w:highlight w:val="none"/>
                <w:lang w:val="en-US" w:eastAsia="zh-CN" w:bidi="ar-SA"/>
              </w:rPr>
            </w:pPr>
            <w:r>
              <w:rPr>
                <w:rFonts w:hint="eastAsia" w:ascii="宋体" w:hAnsi="宋体" w:eastAsia="宋体" w:cs="宋体"/>
                <w:b/>
                <w:bCs/>
                <w:kern w:val="0"/>
                <w:sz w:val="18"/>
                <w:szCs w:val="18"/>
                <w:highlight w:val="none"/>
                <w:lang w:val="en-US" w:eastAsia="zh-CN" w:bidi="ar-SA"/>
              </w:rPr>
              <w:t>建设运营类：</w:t>
            </w:r>
            <w:r>
              <w:rPr>
                <w:rFonts w:hint="eastAsia" w:ascii="宋体" w:hAnsi="宋体" w:eastAsia="宋体" w:cs="宋体"/>
                <w:b/>
                <w:bCs/>
                <w:sz w:val="18"/>
                <w:szCs w:val="18"/>
                <w:highlight w:val="none"/>
                <w:lang w:val="en-US" w:eastAsia="zh-CN" w:bidi="ar-SA"/>
              </w:rPr>
              <w:t>系统损耗（%）</w:t>
            </w:r>
          </w:p>
          <w:p>
            <w:pPr>
              <w:pStyle w:val="2"/>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＜15%，（7分）；</w:t>
            </w:r>
          </w:p>
          <w:p>
            <w:pPr>
              <w:pStyle w:val="2"/>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[15</w:t>
            </w: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，20</w:t>
            </w: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w:t>
            </w:r>
            <w:r>
              <w:rPr>
                <w:rFonts w:hint="eastAsia" w:ascii="宋体" w:hAnsi="宋体" w:eastAsia="宋体" w:cs="宋体"/>
                <w:sz w:val="18"/>
                <w:szCs w:val="18"/>
                <w:highlight w:val="none"/>
                <w:lang w:val="en-US" w:eastAsia="zh-CN" w:bidi="ar-SA"/>
              </w:rPr>
              <w:t>，（4分）；</w:t>
            </w:r>
          </w:p>
          <w:p>
            <w:pPr>
              <w:pStyle w:val="2"/>
              <w:rPr>
                <w:rFonts w:ascii="宋体"/>
                <w:sz w:val="18"/>
                <w:szCs w:val="18"/>
              </w:rPr>
            </w:pPr>
            <w:r>
              <w:rPr>
                <w:rFonts w:hint="eastAsia" w:ascii="宋体" w:hAnsi="宋体" w:eastAsia="宋体" w:cs="宋体"/>
                <w:sz w:val="18"/>
                <w:szCs w:val="18"/>
                <w:highlight w:val="none"/>
                <w:vertAlign w:val="baseline"/>
                <w:lang w:val="en-US" w:eastAsia="zh-CN"/>
              </w:rPr>
              <w:t>[20</w:t>
            </w: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，40</w:t>
            </w:r>
            <w:r>
              <w:rPr>
                <w:rFonts w:hint="eastAsia" w:ascii="宋体" w:hAnsi="宋体" w:eastAsia="宋体" w:cs="宋体"/>
                <w:sz w:val="18"/>
                <w:szCs w:val="18"/>
                <w:highlight w:val="none"/>
                <w:lang w:val="en-US" w:eastAsia="zh-CN" w:bidi="ar-SA"/>
              </w:rPr>
              <w:t>%</w:t>
            </w:r>
            <w:r>
              <w:rPr>
                <w:rFonts w:hint="eastAsia" w:ascii="宋体" w:hAnsi="宋体" w:eastAsia="宋体" w:cs="宋体"/>
                <w:sz w:val="18"/>
                <w:szCs w:val="18"/>
                <w:highlight w:val="none"/>
                <w:vertAlign w:val="baseline"/>
                <w:lang w:val="en-US" w:eastAsia="zh-CN"/>
              </w:rPr>
              <w:t>)</w:t>
            </w:r>
            <w:r>
              <w:rPr>
                <w:rFonts w:hint="eastAsia" w:ascii="宋体" w:hAnsi="宋体" w:eastAsia="宋体" w:cs="宋体"/>
                <w:sz w:val="18"/>
                <w:szCs w:val="18"/>
                <w:highlight w:val="none"/>
                <w:lang w:val="en-US" w:eastAsia="zh-CN" w:bidi="ar-SA"/>
              </w:rPr>
              <w:t>，（1分）。</w:t>
            </w:r>
          </w:p>
        </w:tc>
        <w:tc>
          <w:tcPr>
            <w:tcW w:w="616" w:type="pct"/>
            <w:tcBorders>
              <w:tl2br w:val="nil"/>
              <w:tr2bl w:val="nil"/>
            </w:tcBorders>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7</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436" w:type="pct"/>
            <w:gridSpan w:val="2"/>
            <w:vMerge w:val="continue"/>
            <w:tcBorders>
              <w:tl2br w:val="nil"/>
              <w:tr2bl w:val="nil"/>
            </w:tcBorders>
            <w:vAlign w:val="center"/>
          </w:tcPr>
          <w:p>
            <w:pPr>
              <w:autoSpaceDE w:val="0"/>
              <w:autoSpaceDN w:val="0"/>
              <w:jc w:val="center"/>
              <w:rPr>
                <w:rFonts w:hint="eastAsia" w:ascii="宋体" w:hAnsi="宋体" w:cs="宋体"/>
                <w:sz w:val="18"/>
                <w:szCs w:val="18"/>
              </w:rPr>
            </w:pPr>
          </w:p>
        </w:tc>
        <w:tc>
          <w:tcPr>
            <w:tcW w:w="437" w:type="pct"/>
            <w:tcBorders>
              <w:tl2br w:val="nil"/>
              <w:tr2bl w:val="nil"/>
            </w:tcBorders>
            <w:vAlign w:val="center"/>
          </w:tcPr>
          <w:p>
            <w:pPr>
              <w:autoSpaceDE w:val="0"/>
              <w:autoSpaceDN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可再生利用率</w:t>
            </w:r>
          </w:p>
        </w:tc>
        <w:tc>
          <w:tcPr>
            <w:tcW w:w="1031" w:type="pct"/>
            <w:tcBorders>
              <w:tl2br w:val="nil"/>
              <w:tr2bl w:val="nil"/>
            </w:tcBorders>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bidi="ar-SA"/>
              </w:rPr>
              <w:t>可再生利用率指</w:t>
            </w:r>
            <w:r>
              <w:rPr>
                <w:rFonts w:hint="eastAsia" w:ascii="宋体" w:hAnsi="宋体" w:cs="宋体"/>
                <w:sz w:val="18"/>
                <w:szCs w:val="18"/>
                <w:lang w:val="en-US" w:eastAsia="zh-CN"/>
              </w:rPr>
              <w:t>预期能够被再使用部分与再生利用部分的质量之和（不包括能量回收部分）与产品总质量的百分比。</w:t>
            </w:r>
          </w:p>
        </w:tc>
        <w:tc>
          <w:tcPr>
            <w:tcW w:w="1580" w:type="pct"/>
            <w:tcBorders>
              <w:tl2br w:val="nil"/>
              <w:tr2bl w:val="nil"/>
            </w:tcBorders>
            <w:vAlign w:val="center"/>
          </w:tcPr>
          <w:p>
            <w:pPr>
              <w:autoSpaceDE w:val="0"/>
              <w:autoSpaceDN w:val="0"/>
              <w:jc w:val="left"/>
              <w:rPr>
                <w:rFonts w:hint="eastAsia" w:ascii="宋体" w:hAnsi="宋体" w:cs="宋体"/>
                <w:sz w:val="18"/>
                <w:szCs w:val="18"/>
                <w:lang w:val="en-US" w:eastAsia="zh-CN"/>
              </w:rPr>
            </w:pPr>
            <w:r>
              <w:rPr>
                <w:rFonts w:hint="eastAsia" w:ascii="宋体" w:hAnsi="宋体" w:cs="宋体"/>
                <w:sz w:val="18"/>
                <w:szCs w:val="18"/>
                <w:lang w:val="en-US" w:eastAsia="zh-CN"/>
              </w:rPr>
              <w:t>a.≥50%（2分）；</w:t>
            </w:r>
          </w:p>
          <w:p>
            <w:pPr>
              <w:autoSpaceDE w:val="0"/>
              <w:autoSpaceDN w:val="0"/>
              <w:jc w:val="left"/>
              <w:rPr>
                <w:rFonts w:hint="eastAsia" w:ascii="宋体" w:hAnsi="宋体" w:cs="宋体"/>
                <w:sz w:val="18"/>
                <w:szCs w:val="18"/>
                <w:lang w:val="en-US" w:eastAsia="zh-CN"/>
              </w:rPr>
            </w:pPr>
            <w:r>
              <w:rPr>
                <w:rFonts w:hint="eastAsia" w:ascii="宋体" w:hAnsi="宋体" w:cs="宋体"/>
                <w:sz w:val="18"/>
                <w:szCs w:val="18"/>
                <w:lang w:val="en-US" w:eastAsia="zh-CN"/>
              </w:rPr>
              <w:t>b.[30%,50%)（1分）；</w:t>
            </w:r>
          </w:p>
          <w:p>
            <w:pPr>
              <w:autoSpaceDE w:val="0"/>
              <w:autoSpaceDN w:val="0"/>
              <w:jc w:val="left"/>
              <w:rPr>
                <w:rFonts w:hint="eastAsia" w:ascii="宋体" w:hAnsi="Times New Roman" w:eastAsia="宋体" w:cs="Times New Roman"/>
                <w:kern w:val="2"/>
                <w:sz w:val="18"/>
                <w:szCs w:val="18"/>
                <w:lang w:val="en-US" w:eastAsia="zh-CN" w:bidi="ar-SA"/>
              </w:rPr>
            </w:pPr>
            <w:r>
              <w:rPr>
                <w:rFonts w:hint="eastAsia" w:ascii="宋体" w:hAnsi="宋体" w:cs="宋体"/>
                <w:sz w:val="18"/>
                <w:szCs w:val="18"/>
                <w:lang w:val="en-US" w:eastAsia="zh-CN"/>
              </w:rPr>
              <w:t>c.</w:t>
            </w:r>
            <w:r>
              <w:rPr>
                <w:rFonts w:hint="eastAsia"/>
                <w:sz w:val="18"/>
                <w:szCs w:val="18"/>
                <w:highlight w:val="none"/>
                <w:vertAlign w:val="baseline"/>
                <w:lang w:val="en-US" w:eastAsia="zh-CN"/>
              </w:rPr>
              <w:t>[0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，30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w:t>
            </w:r>
            <w:r>
              <w:rPr>
                <w:rFonts w:hint="eastAsia" w:ascii="宋体" w:hAnsi="宋体" w:cs="宋体"/>
                <w:sz w:val="18"/>
                <w:szCs w:val="18"/>
                <w:lang w:val="en-US" w:eastAsia="zh-CN"/>
              </w:rPr>
              <w:t>（0分）。</w:t>
            </w:r>
          </w:p>
        </w:tc>
        <w:tc>
          <w:tcPr>
            <w:tcW w:w="616" w:type="pct"/>
            <w:tcBorders>
              <w:tl2br w:val="nil"/>
              <w:tr2bl w:val="nil"/>
            </w:tcBorders>
            <w:vAlign w:val="center"/>
          </w:tcPr>
          <w:p>
            <w:pPr>
              <w:autoSpaceDE w:val="0"/>
              <w:autoSpaceDN w:val="0"/>
              <w:jc w:val="center"/>
              <w:rPr>
                <w:rFonts w:hint="eastAsia" w:ascii="宋体" w:hAnsi="Times New Roman" w:eastAsia="宋体" w:cs="Times New Roman"/>
                <w:kern w:val="2"/>
                <w:sz w:val="18"/>
                <w:szCs w:val="18"/>
                <w:lang w:val="en-US" w:eastAsia="zh-CN" w:bidi="ar-SA"/>
              </w:rPr>
            </w:pPr>
            <w:r>
              <w:rPr>
                <w:rFonts w:hint="eastAsia" w:ascii="宋体"/>
                <w:sz w:val="18"/>
                <w:szCs w:val="18"/>
                <w:lang w:val="en-US" w:eastAsia="zh-CN"/>
              </w:rPr>
              <w:t>2</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873" w:type="pct"/>
            <w:gridSpan w:val="3"/>
            <w:tcBorders>
              <w:tl2br w:val="nil"/>
              <w:tr2bl w:val="nil"/>
            </w:tcBorders>
            <w:vAlign w:val="center"/>
          </w:tcPr>
          <w:p>
            <w:pPr>
              <w:autoSpaceDE w:val="0"/>
              <w:autoSpaceDN w:val="0"/>
              <w:jc w:val="center"/>
              <w:rPr>
                <w:rFonts w:hint="eastAsia" w:ascii="宋体" w:hAnsi="宋体" w:cs="宋体"/>
                <w:sz w:val="18"/>
                <w:szCs w:val="18"/>
              </w:rPr>
            </w:pPr>
            <w:r>
              <w:rPr>
                <w:rFonts w:hint="eastAsia" w:ascii="宋体" w:hAnsi="宋体" w:cs="宋体"/>
                <w:sz w:val="18"/>
                <w:szCs w:val="18"/>
                <w:lang w:val="en-US" w:eastAsia="zh-CN"/>
              </w:rPr>
              <w:t>污染物排放水平</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a.不排放污染物，或优于排污许可证限值20%，或优于排放源所在地同类行业污染物排放限值20%。（3分）；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b.优于排污许可证限值10%，或优于排放源所在地同类行业污染物排放限值10%。（2分）；</w:t>
            </w:r>
          </w:p>
          <w:p>
            <w:pPr>
              <w:autoSpaceDE w:val="0"/>
              <w:autoSpaceDN w:val="0"/>
              <w:jc w:val="left"/>
              <w:rPr>
                <w:rFonts w:ascii="宋体"/>
                <w:sz w:val="18"/>
                <w:szCs w:val="18"/>
              </w:rPr>
            </w:pPr>
            <w:r>
              <w:rPr>
                <w:rFonts w:hint="eastAsia" w:hAnsi="宋体" w:cs="宋体"/>
                <w:sz w:val="18"/>
                <w:szCs w:val="18"/>
                <w:highlight w:val="none"/>
                <w:lang w:val="en-US" w:eastAsia="zh-CN"/>
              </w:rPr>
              <w:t>c.不满足上述任何一项。（0分）。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3</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873" w:type="pct"/>
            <w:gridSpan w:val="3"/>
            <w:tcBorders>
              <w:tl2br w:val="nil"/>
              <w:tr2bl w:val="nil"/>
            </w:tcBorders>
            <w:vAlign w:val="center"/>
          </w:tcPr>
          <w:p>
            <w:pPr>
              <w:autoSpaceDE w:val="0"/>
              <w:autoSpaceDN w:val="0"/>
              <w:jc w:val="center"/>
              <w:rPr>
                <w:rFonts w:hint="eastAsia" w:ascii="宋体" w:hAnsi="宋体" w:cs="宋体"/>
                <w:sz w:val="18"/>
                <w:szCs w:val="18"/>
                <w:lang w:val="en-US" w:eastAsia="zh-CN"/>
              </w:rPr>
            </w:pPr>
            <w:r>
              <w:rPr>
                <w:rFonts w:hint="eastAsia" w:ascii="宋体" w:hAnsi="宋体" w:cs="宋体"/>
                <w:sz w:val="18"/>
                <w:szCs w:val="18"/>
                <w:lang w:val="en-US" w:eastAsia="zh-CN"/>
              </w:rPr>
              <w:t>温室气体排放水平</w:t>
            </w:r>
          </w:p>
        </w:tc>
        <w:tc>
          <w:tcPr>
            <w:tcW w:w="1031" w:type="pct"/>
            <w:tcBorders>
              <w:tl2br w:val="nil"/>
              <w:tr2bl w:val="nil"/>
            </w:tcBorders>
            <w:vAlign w:val="center"/>
          </w:tcPr>
          <w:p>
            <w:pPr>
              <w:autoSpaceDE w:val="0"/>
              <w:autoSpaceDN w:val="0"/>
              <w:jc w:val="left"/>
              <w:rPr>
                <w:rFonts w:hint="eastAsia" w:ascii="宋体" w:hAnsi="宋体" w:cs="宋体"/>
                <w:sz w:val="18"/>
                <w:szCs w:val="18"/>
              </w:rPr>
            </w:pPr>
            <w:r>
              <w:rPr>
                <w:rFonts w:hint="eastAsia" w:hAnsi="宋体" w:cs="宋体"/>
                <w:sz w:val="18"/>
                <w:szCs w:val="18"/>
                <w:highlight w:val="none"/>
                <w:lang w:val="en-US" w:eastAsia="zh-CN"/>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a.生产制造类企业碳排放总量和碳排放强度相较上一年度的下降比例超过6%。</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建设运营类企业碳排放总量和碳排放强度相较上一年度的下降比例超过3%。</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（5分）；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b.生产制造类企业碳排放总量和碳排放强度相较上一年度的下降比例超过3%、不足6%。建设运营类企业碳排放总量和碳排放强度相较上一年度的下降比例超过1%、不足3%。（2分）；</w:t>
            </w:r>
          </w:p>
          <w:p>
            <w:pPr>
              <w:autoSpaceDE w:val="0"/>
              <w:autoSpaceDN w:val="0"/>
              <w:jc w:val="left"/>
              <w:rPr>
                <w:rFonts w:ascii="宋体"/>
                <w:sz w:val="18"/>
                <w:szCs w:val="18"/>
              </w:rPr>
            </w:pPr>
            <w:r>
              <w:rPr>
                <w:rFonts w:hint="eastAsia" w:hAnsi="宋体" w:cs="宋体"/>
                <w:sz w:val="18"/>
                <w:szCs w:val="18"/>
                <w:highlight w:val="none"/>
                <w:lang w:val="en-US" w:eastAsia="zh-CN"/>
              </w:rPr>
              <w:t>c.不满足上述任何一项。（0分）。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5</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9" w:type="pct"/>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社会表现</w:t>
            </w: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内部行动</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企事业单位开展绿色发展行动、信息披露以及低碳培训的情况。</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a.编制发布资源节约、环境友好、生态良好相关绿色低碳产业转型蓝皮书等文件，或创建近零碳排放试点、编制发布碳中和规划或行动方案。（1分）</w:t>
            </w:r>
          </w:p>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b.主动依法依规开展信息披露。（1分）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c.每年实施2次及以上绿色低碳意识培训。（1分）</w:t>
            </w:r>
          </w:p>
          <w:p>
            <w:pPr>
              <w:pStyle w:val="59"/>
              <w:tabs>
                <w:tab w:val="center" w:pos="4201"/>
                <w:tab w:val="right" w:leader="dot" w:pos="9298"/>
              </w:tabs>
              <w:autoSpaceDE w:val="0"/>
              <w:autoSpaceDN w:val="0"/>
              <w:ind w:left="6" w:hanging="6"/>
              <w:jc w:val="left"/>
              <w:rPr>
                <w:rFonts w:ascii="宋体"/>
                <w:sz w:val="18"/>
                <w:szCs w:val="18"/>
              </w:rPr>
            </w:pPr>
            <w:r>
              <w:rPr>
                <w:rFonts w:hint="eastAsia" w:hAnsi="宋体" w:cs="宋体"/>
                <w:sz w:val="18"/>
                <w:szCs w:val="18"/>
                <w:highlight w:val="none"/>
                <w:lang w:val="en-US" w:eastAsia="zh-CN"/>
              </w:rPr>
              <w:t>该项得分为三项指标累计得分。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3</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9" w:type="pct"/>
            <w:vMerge w:val="continue"/>
            <w:tcBorders>
              <w:tl2br w:val="nil"/>
              <w:tr2bl w:val="nil"/>
            </w:tcBorders>
            <w:vAlign w:val="center"/>
          </w:tcPr>
          <w:p>
            <w:pPr>
              <w:autoSpaceDE w:val="0"/>
              <w:autoSpaceDN w:val="0"/>
              <w:jc w:val="center"/>
              <w:rPr>
                <w:rFonts w:ascii="宋体" w:hAnsi="宋体" w:cs="宋体"/>
                <w:sz w:val="18"/>
                <w:szCs w:val="18"/>
              </w:rPr>
            </w:pPr>
          </w:p>
        </w:tc>
        <w:tc>
          <w:tcPr>
            <w:tcW w:w="873" w:type="pct"/>
            <w:gridSpan w:val="3"/>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社会责任</w:t>
            </w:r>
          </w:p>
        </w:tc>
        <w:tc>
          <w:tcPr>
            <w:tcW w:w="1031" w:type="pct"/>
            <w:tcBorders>
              <w:tl2br w:val="nil"/>
              <w:tr2bl w:val="nil"/>
            </w:tcBorders>
            <w:vAlign w:val="center"/>
          </w:tcPr>
          <w:p>
            <w:pPr>
              <w:autoSpaceDE w:val="0"/>
              <w:autoSpaceDN w:val="0"/>
              <w:jc w:val="left"/>
              <w:rPr>
                <w:rFonts w:ascii="宋体" w:hAnsi="宋体" w:cs="宋体"/>
                <w:sz w:val="18"/>
                <w:szCs w:val="18"/>
              </w:rPr>
            </w:pPr>
            <w:r>
              <w:rPr>
                <w:rFonts w:hint="eastAsia" w:hAnsi="宋体" w:cs="宋体"/>
                <w:sz w:val="18"/>
                <w:szCs w:val="18"/>
                <w:highlight w:val="none"/>
                <w:lang w:val="en-US" w:eastAsia="zh-CN"/>
              </w:rPr>
              <w:t>企事业单位履行公共关系和社会公益责任、实施供应链绿色管理等情况。</w:t>
            </w:r>
          </w:p>
        </w:tc>
        <w:tc>
          <w:tcPr>
            <w:tcW w:w="1580" w:type="pct"/>
            <w:tcBorders>
              <w:tl2br w:val="nil"/>
              <w:tr2bl w:val="nil"/>
            </w:tcBorders>
            <w:vAlign w:val="center"/>
          </w:tcPr>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a.主动举办环保公益活动，或参加环境保护、教育、扶贫济困等公益活动。（1分）</w:t>
            </w:r>
          </w:p>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b.积极对本地或外地重大自然灾害或突发事件提供援助。（1分）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c.取得绿色供应链管理体系认证证书，或实施供应商绿色管理相关制度。（1分）</w:t>
            </w:r>
          </w:p>
          <w:p>
            <w:pPr>
              <w:pStyle w:val="59"/>
              <w:tabs>
                <w:tab w:val="center" w:pos="4201"/>
                <w:tab w:val="right" w:leader="dot" w:pos="9298"/>
              </w:tabs>
              <w:autoSpaceDE w:val="0"/>
              <w:autoSpaceDN w:val="0"/>
              <w:ind w:left="6" w:hanging="6"/>
              <w:jc w:val="left"/>
              <w:rPr>
                <w:rFonts w:ascii="宋体"/>
                <w:sz w:val="18"/>
                <w:szCs w:val="18"/>
              </w:rPr>
            </w:pPr>
            <w:r>
              <w:rPr>
                <w:rFonts w:hint="eastAsia" w:ascii="宋体" w:hAnsi="宋体" w:eastAsia="宋体" w:cs="宋体"/>
                <w:sz w:val="18"/>
                <w:szCs w:val="18"/>
                <w:highlight w:val="none"/>
                <w:lang w:val="en-US" w:eastAsia="zh-CN" w:bidi="ar-SA"/>
              </w:rPr>
              <w:t>该项得分为三项指标累计得分。</w:t>
            </w:r>
          </w:p>
        </w:tc>
        <w:tc>
          <w:tcPr>
            <w:tcW w:w="616" w:type="pct"/>
            <w:tcBorders>
              <w:tl2br w:val="nil"/>
              <w:tr2bl w:val="nil"/>
            </w:tcBorders>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3</w:t>
            </w:r>
          </w:p>
        </w:tc>
        <w:tc>
          <w:tcPr>
            <w:tcW w:w="588" w:type="pct"/>
            <w:tcBorders>
              <w:tl2br w:val="nil"/>
              <w:tr2bl w:val="nil"/>
            </w:tcBorders>
            <w:vAlign w:val="center"/>
          </w:tcPr>
          <w:p>
            <w:pPr>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14" w:type="pct"/>
            <w:gridSpan w:val="5"/>
            <w:tcBorders>
              <w:tl2br w:val="nil"/>
              <w:tr2bl w:val="nil"/>
            </w:tcBorders>
            <w:vAlign w:val="center"/>
          </w:tcPr>
          <w:p>
            <w:pPr>
              <w:autoSpaceDE w:val="0"/>
              <w:autoSpaceDN w:val="0"/>
              <w:jc w:val="center"/>
              <w:rPr>
                <w:rFonts w:ascii="宋体"/>
                <w:b/>
                <w:sz w:val="18"/>
                <w:szCs w:val="18"/>
              </w:rPr>
            </w:pPr>
            <w:r>
              <w:rPr>
                <w:rFonts w:ascii="宋体"/>
                <w:b/>
                <w:sz w:val="18"/>
                <w:szCs w:val="18"/>
              </w:rPr>
              <w:t>总得分</w:t>
            </w:r>
          </w:p>
        </w:tc>
        <w:tc>
          <w:tcPr>
            <w:tcW w:w="1580" w:type="pct"/>
            <w:tcBorders>
              <w:tl2br w:val="nil"/>
              <w:tr2bl w:val="nil"/>
            </w:tcBorders>
            <w:vAlign w:val="center"/>
          </w:tcPr>
          <w:p>
            <w:pPr>
              <w:autoSpaceDE w:val="0"/>
              <w:autoSpaceDN w:val="0"/>
              <w:spacing w:line="240" w:lineRule="atLeast"/>
              <w:jc w:val="center"/>
              <w:rPr>
                <w:rFonts w:ascii="宋体"/>
                <w:b/>
                <w:sz w:val="18"/>
                <w:szCs w:val="18"/>
              </w:rPr>
            </w:pPr>
          </w:p>
        </w:tc>
        <w:tc>
          <w:tcPr>
            <w:tcW w:w="616" w:type="pct"/>
            <w:tcBorders>
              <w:tl2br w:val="nil"/>
              <w:tr2bl w:val="nil"/>
            </w:tcBorders>
            <w:vAlign w:val="center"/>
          </w:tcPr>
          <w:p>
            <w:pPr>
              <w:autoSpaceDE w:val="0"/>
              <w:autoSpaceDN w:val="0"/>
              <w:spacing w:line="240" w:lineRule="atLeast"/>
              <w:jc w:val="center"/>
              <w:rPr>
                <w:rFonts w:ascii="宋体"/>
                <w:b/>
                <w:sz w:val="18"/>
                <w:szCs w:val="18"/>
              </w:rPr>
            </w:pPr>
          </w:p>
        </w:tc>
        <w:tc>
          <w:tcPr>
            <w:tcW w:w="588" w:type="pct"/>
            <w:tcBorders>
              <w:tl2br w:val="nil"/>
              <w:tr2bl w:val="nil"/>
            </w:tcBorders>
            <w:vAlign w:val="center"/>
          </w:tcPr>
          <w:p>
            <w:pPr>
              <w:autoSpaceDE w:val="0"/>
              <w:autoSpaceDN w:val="0"/>
              <w:spacing w:line="240" w:lineRule="atLeast"/>
              <w:jc w:val="center"/>
              <w:rPr>
                <w:rFonts w:ascii="宋体"/>
                <w:b/>
                <w:sz w:val="18"/>
                <w:szCs w:val="18"/>
              </w:rPr>
            </w:pPr>
          </w:p>
        </w:tc>
      </w:tr>
    </w:tbl>
    <w:p>
      <w:pPr>
        <w:numPr>
          <w:ilvl w:val="-1"/>
          <w:numId w:val="0"/>
        </w:numPr>
        <w:spacing w:before="0" w:beforeLines="-2147483648" w:after="0" w:afterLines="-2147483648"/>
        <w:jc w:val="center"/>
        <w:rPr>
          <w:rFonts w:eastAsia="黑体"/>
          <w:szCs w:val="21"/>
        </w:rPr>
      </w:pPr>
      <w:r>
        <w:rPr>
          <w:rFonts w:hint="eastAsia" w:ascii="黑体" w:hAnsi="黑体" w:eastAsia="黑体" w:cs="黑体"/>
          <w:szCs w:val="21"/>
        </w:rPr>
        <w:t>表</w:t>
      </w:r>
      <w:r>
        <w:rPr>
          <w:rFonts w:hint="eastAsia" w:ascii="黑体" w:hAnsi="黑体" w:eastAsia="黑体" w:cs="黑体"/>
          <w:szCs w:val="21"/>
          <w:lang w:val="en-US" w:eastAsia="zh-CN"/>
        </w:rPr>
        <w:t>A</w:t>
      </w:r>
      <w:r>
        <w:rPr>
          <w:rFonts w:hint="eastAsia" w:ascii="黑体" w:hAnsi="黑体" w:eastAsia="黑体" w:cs="黑体"/>
          <w:szCs w:val="21"/>
        </w:rPr>
        <w:t>.</w:t>
      </w:r>
      <w:r>
        <w:rPr>
          <w:rFonts w:hint="eastAsia" w:ascii="黑体" w:hAnsi="黑体" w:eastAsia="黑体" w:cs="黑体"/>
          <w:szCs w:val="21"/>
          <w:lang w:val="en-US" w:eastAsia="zh-CN"/>
        </w:rPr>
        <w:t>3</w:t>
      </w:r>
      <w:r>
        <w:rPr>
          <w:rFonts w:hint="eastAsia" w:ascii="黑体" w:hAnsi="黑体" w:eastAsia="黑体" w:cs="黑体"/>
          <w:szCs w:val="21"/>
        </w:rPr>
        <w:t xml:space="preserve"> 太阳能行业</w:t>
      </w:r>
      <w:r>
        <w:rPr>
          <w:rFonts w:hint="eastAsia" w:ascii="黑体" w:hAnsi="黑体" w:eastAsia="黑体" w:cs="黑体"/>
          <w:szCs w:val="21"/>
          <w:lang w:eastAsia="zh-CN"/>
        </w:rPr>
        <w:t>绿色低碳产业项目</w:t>
      </w:r>
      <w:r>
        <w:rPr>
          <w:rFonts w:hint="eastAsia" w:ascii="黑体" w:hAnsi="黑体" w:eastAsia="黑体" w:cs="黑体"/>
          <w:szCs w:val="21"/>
        </w:rPr>
        <w:t>认定符合性评价指标表</w:t>
      </w:r>
    </w:p>
    <w:tbl>
      <w:tblPr>
        <w:tblStyle w:val="35"/>
        <w:tblpPr w:leftFromText="180" w:rightFromText="180" w:vertAnchor="text" w:tblpXSpec="center" w:tblpY="1"/>
        <w:tblOverlap w:val="never"/>
        <w:tblW w:w="826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266"/>
        <w:gridCol w:w="4505"/>
        <w:gridCol w:w="1106"/>
        <w:gridCol w:w="138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8" w:space="0"/>
              <w:left w:val="single" w:color="auto" w:sz="8" w:space="0"/>
              <w:bottom w:val="single" w:color="auto" w:sz="8" w:space="0"/>
              <w:right w:val="single" w:color="auto" w:sz="4" w:space="0"/>
            </w:tcBorders>
            <w:vAlign w:val="center"/>
          </w:tcPr>
          <w:p>
            <w:pPr>
              <w:pStyle w:val="24"/>
              <w:ind w:firstLine="0" w:firstLineChars="0"/>
              <w:jc w:val="center"/>
              <w:rPr>
                <w:rFonts w:ascii="Times New Roman"/>
                <w:b/>
                <w:sz w:val="18"/>
                <w:szCs w:val="18"/>
              </w:rPr>
            </w:pPr>
            <w:r>
              <w:rPr>
                <w:rFonts w:hint="eastAsia" w:ascii="Times New Roman"/>
                <w:b/>
                <w:sz w:val="18"/>
                <w:szCs w:val="18"/>
              </w:rPr>
              <w:t>指标</w:t>
            </w:r>
          </w:p>
        </w:tc>
        <w:tc>
          <w:tcPr>
            <w:tcW w:w="4505" w:type="dxa"/>
            <w:tcBorders>
              <w:top w:val="single" w:color="auto" w:sz="8" w:space="0"/>
              <w:left w:val="single" w:color="auto" w:sz="4" w:space="0"/>
              <w:bottom w:val="single" w:color="auto" w:sz="8" w:space="0"/>
              <w:right w:val="single" w:color="auto" w:sz="4" w:space="0"/>
            </w:tcBorders>
            <w:vAlign w:val="center"/>
          </w:tcPr>
          <w:p>
            <w:pPr>
              <w:pStyle w:val="24"/>
              <w:ind w:firstLine="0" w:firstLineChars="0"/>
              <w:jc w:val="center"/>
              <w:rPr>
                <w:rFonts w:ascii="Times New Roman"/>
                <w:b/>
                <w:sz w:val="18"/>
                <w:szCs w:val="18"/>
              </w:rPr>
            </w:pPr>
            <w:r>
              <w:rPr>
                <w:rFonts w:hint="eastAsia" w:ascii="Times New Roman"/>
                <w:b/>
                <w:sz w:val="18"/>
                <w:szCs w:val="18"/>
              </w:rPr>
              <w:t>符合性评价内容</w:t>
            </w:r>
          </w:p>
        </w:tc>
        <w:tc>
          <w:tcPr>
            <w:tcW w:w="1106" w:type="dxa"/>
            <w:tcBorders>
              <w:top w:val="single" w:color="auto" w:sz="8" w:space="0"/>
              <w:left w:val="single" w:color="auto" w:sz="4" w:space="0"/>
              <w:bottom w:val="single" w:color="auto" w:sz="8" w:space="0"/>
              <w:right w:val="single" w:color="auto" w:sz="4" w:space="0"/>
            </w:tcBorders>
            <w:vAlign w:val="center"/>
          </w:tcPr>
          <w:p>
            <w:pPr>
              <w:pStyle w:val="24"/>
              <w:ind w:firstLine="0" w:firstLineChars="0"/>
              <w:jc w:val="center"/>
              <w:rPr>
                <w:rFonts w:ascii="Times New Roman"/>
                <w:b/>
                <w:sz w:val="18"/>
                <w:szCs w:val="18"/>
              </w:rPr>
            </w:pPr>
            <w:r>
              <w:rPr>
                <w:rFonts w:ascii="Times New Roman"/>
                <w:b/>
                <w:sz w:val="18"/>
                <w:szCs w:val="18"/>
              </w:rPr>
              <w:t>评分标准</w:t>
            </w:r>
          </w:p>
        </w:tc>
        <w:tc>
          <w:tcPr>
            <w:tcW w:w="1389" w:type="dxa"/>
            <w:tcBorders>
              <w:top w:val="single" w:color="auto" w:sz="8" w:space="0"/>
              <w:left w:val="single" w:color="auto" w:sz="4" w:space="0"/>
              <w:bottom w:val="single" w:color="auto" w:sz="8" w:space="0"/>
              <w:right w:val="single" w:color="auto" w:sz="8" w:space="0"/>
            </w:tcBorders>
            <w:vAlign w:val="center"/>
          </w:tcPr>
          <w:p>
            <w:pPr>
              <w:pStyle w:val="24"/>
              <w:ind w:firstLine="0" w:firstLineChars="0"/>
              <w:jc w:val="center"/>
              <w:rPr>
                <w:rFonts w:ascii="Times New Roman"/>
                <w:b/>
                <w:sz w:val="18"/>
                <w:szCs w:val="18"/>
              </w:rPr>
            </w:pPr>
            <w:r>
              <w:rPr>
                <w:rFonts w:ascii="Times New Roman"/>
                <w:b/>
                <w:sz w:val="18"/>
                <w:szCs w:val="18"/>
              </w:rPr>
              <w:t>符合性结论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8" w:space="0"/>
              <w:left w:val="single" w:color="auto" w:sz="8" w:space="0"/>
              <w:bottom w:val="single" w:color="auto" w:sz="4"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目录符合</w:t>
            </w:r>
          </w:p>
        </w:tc>
        <w:tc>
          <w:tcPr>
            <w:tcW w:w="4505" w:type="dxa"/>
            <w:tcBorders>
              <w:top w:val="single" w:color="auto" w:sz="8" w:space="0"/>
              <w:left w:val="single" w:color="auto" w:sz="4" w:space="0"/>
              <w:bottom w:val="single" w:color="auto" w:sz="4" w:space="0"/>
              <w:right w:val="single" w:color="auto" w:sz="4" w:space="0"/>
            </w:tcBorders>
            <w:vAlign w:val="center"/>
          </w:tcPr>
          <w:p>
            <w:pPr>
              <w:pStyle w:val="24"/>
              <w:ind w:firstLine="0" w:firstLineChars="0"/>
              <w:rPr>
                <w:rFonts w:hAnsi="宋体" w:cs="宋体"/>
                <w:sz w:val="18"/>
                <w:szCs w:val="18"/>
              </w:rPr>
            </w:pPr>
            <w:r>
              <w:rPr>
                <w:rFonts w:hint="eastAsia" w:hAnsi="宋体" w:cs="宋体"/>
                <w:sz w:val="18"/>
                <w:szCs w:val="18"/>
              </w:rPr>
              <w:t>申报绿色低碳产业认定的项目应属于太阳能产品、太阳能生产装备、太阳能利用设施建设和运营等太阳能产业，且符合安全、环保、质量相关法规政策、强制性标准等的要求</w:t>
            </w:r>
          </w:p>
        </w:tc>
        <w:tc>
          <w:tcPr>
            <w:tcW w:w="1106" w:type="dxa"/>
            <w:tcBorders>
              <w:top w:val="single" w:color="auto" w:sz="8" w:space="0"/>
              <w:left w:val="single" w:color="auto" w:sz="4" w:space="0"/>
              <w:bottom w:val="single" w:color="auto" w:sz="4"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是/否</w:t>
            </w:r>
          </w:p>
        </w:tc>
        <w:tc>
          <w:tcPr>
            <w:tcW w:w="1389" w:type="dxa"/>
            <w:tcBorders>
              <w:top w:val="single" w:color="auto" w:sz="8" w:space="0"/>
              <w:left w:val="single" w:color="auto" w:sz="4" w:space="0"/>
              <w:bottom w:val="single" w:color="auto" w:sz="4" w:space="0"/>
              <w:right w:val="single" w:color="auto" w:sz="8" w:space="0"/>
            </w:tcBorders>
            <w:vAlign w:val="center"/>
          </w:tcPr>
          <w:p>
            <w:pPr>
              <w:pStyle w:val="24"/>
              <w:ind w:firstLine="0" w:firstLineChars="0"/>
              <w:jc w:val="center"/>
              <w:rPr>
                <w:rFonts w:asci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66" w:type="dxa"/>
            <w:tcBorders>
              <w:top w:val="single" w:color="auto" w:sz="4" w:space="0"/>
              <w:left w:val="single" w:color="auto" w:sz="8" w:space="0"/>
              <w:bottom w:val="single" w:color="auto" w:sz="8"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技术符合</w:t>
            </w:r>
          </w:p>
        </w:tc>
        <w:tc>
          <w:tcPr>
            <w:tcW w:w="4505" w:type="dxa"/>
            <w:tcBorders>
              <w:top w:val="single" w:color="auto" w:sz="4" w:space="0"/>
              <w:left w:val="single" w:color="auto" w:sz="4" w:space="0"/>
              <w:bottom w:val="single" w:color="auto" w:sz="8" w:space="0"/>
              <w:right w:val="single" w:color="auto" w:sz="4" w:space="0"/>
            </w:tcBorders>
            <w:vAlign w:val="center"/>
          </w:tcPr>
          <w:p>
            <w:pPr>
              <w:pStyle w:val="24"/>
              <w:ind w:firstLine="0" w:firstLineChars="0"/>
              <w:rPr>
                <w:rFonts w:hAnsi="宋体" w:cs="宋体"/>
                <w:sz w:val="18"/>
                <w:szCs w:val="18"/>
              </w:rPr>
            </w:pPr>
            <w:r>
              <w:rPr>
                <w:rFonts w:hint="eastAsia" w:hAnsi="宋体" w:cs="宋体"/>
                <w:sz w:val="18"/>
                <w:szCs w:val="18"/>
              </w:rPr>
              <w:t>提供的产品或服务应符合国家、广东省及深圳市相关主管部门发布的法律法规和政策标准要求，相关太阳能产品及装备制造活动、太阳能利用设施建设和运营情况符合深圳市绿色低碳产业认定规则体系规定的技术要求。</w:t>
            </w:r>
          </w:p>
        </w:tc>
        <w:tc>
          <w:tcPr>
            <w:tcW w:w="1106" w:type="dxa"/>
            <w:tcBorders>
              <w:top w:val="single" w:color="auto" w:sz="4" w:space="0"/>
              <w:left w:val="single" w:color="auto" w:sz="4" w:space="0"/>
              <w:bottom w:val="single" w:color="auto" w:sz="8" w:space="0"/>
              <w:right w:val="single" w:color="auto" w:sz="4" w:space="0"/>
            </w:tcBorders>
            <w:vAlign w:val="center"/>
          </w:tcPr>
          <w:p>
            <w:pPr>
              <w:pStyle w:val="24"/>
              <w:ind w:firstLine="0" w:firstLineChars="0"/>
              <w:jc w:val="center"/>
              <w:rPr>
                <w:rFonts w:hAnsi="宋体" w:cs="宋体"/>
                <w:sz w:val="18"/>
                <w:szCs w:val="18"/>
              </w:rPr>
            </w:pPr>
            <w:r>
              <w:rPr>
                <w:rFonts w:hint="eastAsia" w:hAnsi="宋体" w:cs="宋体"/>
                <w:sz w:val="18"/>
                <w:szCs w:val="18"/>
              </w:rPr>
              <w:t>是/否</w:t>
            </w:r>
          </w:p>
        </w:tc>
        <w:tc>
          <w:tcPr>
            <w:tcW w:w="1389" w:type="dxa"/>
            <w:tcBorders>
              <w:top w:val="single" w:color="auto" w:sz="4" w:space="0"/>
              <w:left w:val="single" w:color="auto" w:sz="4" w:space="0"/>
              <w:bottom w:val="single" w:color="auto" w:sz="8" w:space="0"/>
              <w:right w:val="single" w:color="auto" w:sz="8" w:space="0"/>
            </w:tcBorders>
            <w:vAlign w:val="center"/>
          </w:tcPr>
          <w:p>
            <w:pPr>
              <w:pStyle w:val="24"/>
              <w:ind w:firstLine="0" w:firstLineChars="0"/>
              <w:jc w:val="center"/>
              <w:rPr>
                <w:rFonts w:ascii="Times New Roman"/>
                <w:sz w:val="18"/>
                <w:szCs w:val="18"/>
              </w:rPr>
            </w:pPr>
          </w:p>
        </w:tc>
      </w:tr>
    </w:tbl>
    <w:p>
      <w:pPr>
        <w:numPr>
          <w:ilvl w:val="1"/>
          <w:numId w:val="0"/>
        </w:numPr>
        <w:spacing w:before="312" w:beforeLines="100" w:after="156" w:afterLines="50"/>
        <w:jc w:val="center"/>
        <w:rPr>
          <w:rFonts w:ascii="黑体" w:hAnsi="黑体" w:eastAsia="黑体" w:cs="黑体"/>
          <w:szCs w:val="21"/>
        </w:rPr>
      </w:pPr>
      <w:r>
        <w:rPr>
          <w:rFonts w:hint="eastAsia" w:ascii="黑体" w:hAnsi="黑体" w:eastAsia="黑体" w:cs="黑体"/>
          <w:szCs w:val="21"/>
        </w:rPr>
        <w:t>表</w:t>
      </w:r>
      <w:r>
        <w:rPr>
          <w:rFonts w:hint="eastAsia" w:ascii="黑体" w:hAnsi="黑体" w:eastAsia="黑体" w:cs="黑体"/>
          <w:szCs w:val="21"/>
          <w:lang w:val="en-US" w:eastAsia="zh-CN"/>
        </w:rPr>
        <w:t>A</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 xml:space="preserve"> 太阳能行业</w:t>
      </w:r>
      <w:r>
        <w:rPr>
          <w:rFonts w:hint="eastAsia" w:ascii="黑体" w:hAnsi="黑体" w:eastAsia="黑体" w:cs="黑体"/>
          <w:szCs w:val="21"/>
          <w:lang w:eastAsia="zh-CN"/>
        </w:rPr>
        <w:t>绿色低碳产业项目</w:t>
      </w:r>
      <w:r>
        <w:rPr>
          <w:rFonts w:hint="eastAsia" w:ascii="黑体" w:hAnsi="黑体" w:eastAsia="黑体" w:cs="黑体"/>
          <w:szCs w:val="21"/>
        </w:rPr>
        <w:t>认定综合评价指标表</w:t>
      </w:r>
    </w:p>
    <w:tbl>
      <w:tblPr>
        <w:tblStyle w:val="35"/>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16"/>
        <w:gridCol w:w="2004"/>
        <w:gridCol w:w="2485"/>
        <w:gridCol w:w="1025"/>
        <w:gridCol w:w="1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006" w:type="dxa"/>
            <w:tcBorders>
              <w:bottom w:val="single" w:color="auto" w:sz="8" w:space="0"/>
            </w:tcBorders>
            <w:vAlign w:val="center"/>
          </w:tcPr>
          <w:p>
            <w:pPr>
              <w:pStyle w:val="24"/>
              <w:ind w:firstLine="0" w:firstLineChars="0"/>
              <w:jc w:val="center"/>
              <w:rPr>
                <w:rFonts w:ascii="Times New Roman"/>
                <w:b/>
                <w:sz w:val="18"/>
                <w:szCs w:val="18"/>
              </w:rPr>
            </w:pPr>
            <w:r>
              <w:rPr>
                <w:rFonts w:ascii="Times New Roman"/>
                <w:b/>
                <w:sz w:val="18"/>
                <w:szCs w:val="18"/>
              </w:rPr>
              <w:t>一级指标</w:t>
            </w:r>
          </w:p>
        </w:tc>
        <w:tc>
          <w:tcPr>
            <w:tcW w:w="1016" w:type="dxa"/>
            <w:tcBorders>
              <w:bottom w:val="single" w:color="auto" w:sz="8" w:space="0"/>
            </w:tcBorders>
            <w:vAlign w:val="center"/>
          </w:tcPr>
          <w:p>
            <w:pPr>
              <w:pStyle w:val="24"/>
              <w:ind w:firstLine="0" w:firstLineChars="0"/>
              <w:jc w:val="center"/>
              <w:rPr>
                <w:rFonts w:ascii="Times New Roman"/>
                <w:b/>
                <w:sz w:val="18"/>
                <w:szCs w:val="18"/>
              </w:rPr>
            </w:pPr>
            <w:r>
              <w:rPr>
                <w:rFonts w:ascii="Times New Roman"/>
                <w:b/>
                <w:sz w:val="18"/>
                <w:szCs w:val="18"/>
              </w:rPr>
              <w:t>二级指标</w:t>
            </w:r>
          </w:p>
        </w:tc>
        <w:tc>
          <w:tcPr>
            <w:tcW w:w="2004" w:type="dxa"/>
            <w:tcBorders>
              <w:bottom w:val="single" w:color="auto" w:sz="8" w:space="0"/>
            </w:tcBorders>
            <w:vAlign w:val="center"/>
          </w:tcPr>
          <w:p>
            <w:pPr>
              <w:pStyle w:val="24"/>
              <w:ind w:firstLine="0" w:firstLineChars="0"/>
              <w:jc w:val="center"/>
              <w:rPr>
                <w:rFonts w:ascii="Times New Roman"/>
                <w:b/>
                <w:sz w:val="18"/>
                <w:szCs w:val="18"/>
              </w:rPr>
            </w:pPr>
            <w:r>
              <w:rPr>
                <w:rFonts w:hint="eastAsia" w:ascii="Times New Roman"/>
                <w:b/>
                <w:sz w:val="18"/>
                <w:szCs w:val="18"/>
              </w:rPr>
              <w:t>评价要求</w:t>
            </w:r>
          </w:p>
        </w:tc>
        <w:tc>
          <w:tcPr>
            <w:tcW w:w="2485" w:type="dxa"/>
            <w:tcBorders>
              <w:bottom w:val="single" w:color="auto" w:sz="8" w:space="0"/>
            </w:tcBorders>
            <w:vAlign w:val="center"/>
          </w:tcPr>
          <w:p>
            <w:pPr>
              <w:pStyle w:val="24"/>
              <w:ind w:firstLine="0" w:firstLineChars="0"/>
              <w:jc w:val="center"/>
              <w:rPr>
                <w:rFonts w:ascii="Times New Roman"/>
                <w:b/>
                <w:sz w:val="18"/>
                <w:szCs w:val="18"/>
              </w:rPr>
            </w:pPr>
            <w:r>
              <w:rPr>
                <w:rFonts w:hint="eastAsia" w:ascii="Times New Roman"/>
                <w:b/>
                <w:sz w:val="18"/>
                <w:szCs w:val="18"/>
              </w:rPr>
              <w:t>评分标准</w:t>
            </w:r>
          </w:p>
        </w:tc>
        <w:tc>
          <w:tcPr>
            <w:tcW w:w="1025" w:type="dxa"/>
            <w:tcBorders>
              <w:bottom w:val="single" w:color="auto" w:sz="8" w:space="0"/>
            </w:tcBorders>
            <w:vAlign w:val="center"/>
          </w:tcPr>
          <w:p>
            <w:pPr>
              <w:pStyle w:val="24"/>
              <w:ind w:firstLine="0" w:firstLineChars="0"/>
              <w:rPr>
                <w:rFonts w:ascii="Times New Roman"/>
                <w:b/>
                <w:sz w:val="18"/>
                <w:szCs w:val="18"/>
              </w:rPr>
            </w:pPr>
            <w:r>
              <w:rPr>
                <w:rFonts w:ascii="Times New Roman"/>
                <w:b/>
                <w:sz w:val="18"/>
                <w:szCs w:val="18"/>
              </w:rPr>
              <w:t>分值</w:t>
            </w:r>
            <w:r>
              <w:rPr>
                <w:rFonts w:hint="eastAsia" w:ascii="Times New Roman"/>
                <w:b/>
                <w:sz w:val="18"/>
                <w:szCs w:val="18"/>
              </w:rPr>
              <w:t>（分）</w:t>
            </w:r>
          </w:p>
        </w:tc>
        <w:tc>
          <w:tcPr>
            <w:tcW w:w="1005" w:type="dxa"/>
            <w:tcBorders>
              <w:bottom w:val="single" w:color="auto" w:sz="8" w:space="0"/>
            </w:tcBorders>
            <w:vAlign w:val="center"/>
          </w:tcPr>
          <w:p>
            <w:pPr>
              <w:pStyle w:val="24"/>
              <w:ind w:firstLine="0" w:firstLineChars="0"/>
              <w:rPr>
                <w:rFonts w:ascii="Times New Roman"/>
                <w:b/>
                <w:sz w:val="18"/>
                <w:szCs w:val="18"/>
              </w:rPr>
            </w:pPr>
            <w:r>
              <w:rPr>
                <w:rFonts w:ascii="Times New Roman"/>
                <w:b/>
                <w:sz w:val="18"/>
                <w:szCs w:val="18"/>
              </w:rPr>
              <w:t>得分</w:t>
            </w:r>
            <w:r>
              <w:rPr>
                <w:rFonts w:hint="eastAsia" w:ascii="Times New Roman"/>
                <w:b/>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22" w:type="dxa"/>
            <w:gridSpan w:val="2"/>
            <w:tcBorders>
              <w:top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基础分值</w:t>
            </w:r>
          </w:p>
        </w:tc>
        <w:tc>
          <w:tcPr>
            <w:tcW w:w="2004"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通过符合性评价</w:t>
            </w:r>
          </w:p>
        </w:tc>
        <w:tc>
          <w:tcPr>
            <w:tcW w:w="2485"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rPr>
            </w:pPr>
            <w:r>
              <w:rPr>
                <w:rFonts w:hint="eastAsia" w:hAnsi="宋体" w:cs="宋体"/>
                <w:sz w:val="18"/>
                <w:szCs w:val="18"/>
                <w:lang w:val="en-US" w:eastAsia="zh-CN"/>
              </w:rPr>
              <w:t>通过符合性评价</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30</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restart"/>
            <w:tcBorders>
              <w:top w:val="single" w:color="auto" w:sz="8" w:space="0"/>
              <w:tl2br w:val="nil"/>
              <w:tr2bl w:val="nil"/>
            </w:tcBorders>
            <w:vAlign w:val="center"/>
          </w:tcPr>
          <w:p>
            <w:pPr>
              <w:pStyle w:val="24"/>
              <w:ind w:firstLine="0" w:firstLineChars="0"/>
              <w:jc w:val="center"/>
              <w:rPr>
                <w:rFonts w:hAnsi="宋体" w:cs="宋体"/>
                <w:sz w:val="18"/>
                <w:szCs w:val="18"/>
              </w:rPr>
            </w:pPr>
            <w:r>
              <w:rPr>
                <w:rFonts w:hint="eastAsia" w:hAnsi="宋体" w:cs="宋体"/>
                <w:sz w:val="18"/>
                <w:szCs w:val="18"/>
              </w:rPr>
              <w:t>技术表现</w:t>
            </w: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有效知识产权</w:t>
            </w:r>
          </w:p>
        </w:tc>
        <w:tc>
          <w:tcPr>
            <w:tcW w:w="2004" w:type="dxa"/>
            <w:tcBorders>
              <w:top w:val="single" w:color="auto" w:sz="8" w:space="0"/>
              <w:bottom w:val="single" w:color="auto" w:sz="8" w:space="0"/>
              <w:tl2br w:val="nil"/>
              <w:tr2bl w:val="nil"/>
            </w:tcBorders>
            <w:vAlign w:val="center"/>
          </w:tcPr>
          <w:p>
            <w:pPr>
              <w:pStyle w:val="24"/>
              <w:ind w:firstLine="0" w:firstLineChars="0"/>
              <w:rPr>
                <w:rFonts w:hAnsi="宋体" w:cs="宋体"/>
                <w:sz w:val="18"/>
                <w:szCs w:val="18"/>
              </w:rPr>
            </w:pPr>
            <w:r>
              <w:rPr>
                <w:rFonts w:hint="eastAsia" w:hAnsi="宋体" w:cs="宋体"/>
                <w:sz w:val="18"/>
                <w:szCs w:val="18"/>
                <w:lang w:val="en-US" w:eastAsia="zh-CN"/>
              </w:rPr>
              <w:t>项目拥有并直接应用的有效知识产权数量情况。</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Ansi="宋体" w:cs="宋体"/>
                <w:sz w:val="18"/>
                <w:szCs w:val="18"/>
              </w:rPr>
            </w:pPr>
            <w:r>
              <w:rPr>
                <w:rFonts w:hint="eastAsia" w:hAnsi="宋体" w:cs="宋体"/>
                <w:sz w:val="18"/>
                <w:szCs w:val="18"/>
              </w:rPr>
              <w:t>a.</w:t>
            </w:r>
            <w:r>
              <w:rPr>
                <w:rFonts w:hint="eastAsia" w:hAnsi="宋体" w:cs="宋体"/>
                <w:sz w:val="18"/>
                <w:szCs w:val="18"/>
                <w:lang w:val="en-US" w:eastAsia="zh-CN"/>
              </w:rPr>
              <w:t>有效知识产权的应用数量处于行业领先水平</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b.</w:t>
            </w:r>
            <w:r>
              <w:rPr>
                <w:rFonts w:hint="eastAsia" w:hAnsi="宋体" w:cs="宋体"/>
                <w:sz w:val="18"/>
                <w:szCs w:val="18"/>
                <w:lang w:val="en-US" w:eastAsia="zh-CN"/>
              </w:rPr>
              <w:t>有效知识产权的应用数量处于行业良好水平(1,3]</w:t>
            </w:r>
            <w:r>
              <w:rPr>
                <w:rFonts w:hint="eastAsia" w:hAnsi="宋体" w:cs="宋体"/>
                <w:sz w:val="18"/>
                <w:szCs w:val="18"/>
              </w:rPr>
              <w:t>；</w:t>
            </w:r>
          </w:p>
          <w:p>
            <w:pPr>
              <w:pStyle w:val="24"/>
              <w:ind w:firstLine="0" w:firstLineChars="0"/>
              <w:jc w:val="left"/>
              <w:rPr>
                <w:rFonts w:hint="eastAsia" w:hAnsi="宋体" w:eastAsia="宋体" w:cs="宋体"/>
                <w:sz w:val="18"/>
                <w:szCs w:val="18"/>
                <w:lang w:eastAsia="zh-CN"/>
              </w:rPr>
            </w:pPr>
            <w:r>
              <w:rPr>
                <w:rFonts w:hint="eastAsia" w:hAnsi="宋体" w:cs="宋体"/>
                <w:sz w:val="18"/>
                <w:szCs w:val="18"/>
              </w:rPr>
              <w:t>c.</w:t>
            </w:r>
            <w:r>
              <w:rPr>
                <w:rFonts w:hint="eastAsia" w:hAnsi="宋体" w:cs="宋体"/>
                <w:sz w:val="18"/>
                <w:szCs w:val="18"/>
                <w:lang w:val="en-US" w:eastAsia="zh-CN"/>
              </w:rPr>
              <w:t>有效知识产权的应用数量处于行业一般水平[0,1]</w:t>
            </w:r>
            <w:r>
              <w:rPr>
                <w:rFonts w:hint="eastAsia" w:hAnsi="宋体" w:cs="宋体"/>
                <w:sz w:val="18"/>
                <w:szCs w:val="18"/>
                <w:lang w:eastAsia="zh-CN"/>
              </w:rPr>
              <w:t>。</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tl2br w:val="nil"/>
              <w:tr2bl w:val="nil"/>
            </w:tcBorders>
            <w:vAlign w:val="center"/>
          </w:tcPr>
          <w:p>
            <w:pPr>
              <w:pStyle w:val="24"/>
              <w:ind w:firstLine="0" w:firstLineChars="0"/>
              <w:jc w:val="center"/>
              <w:rPr>
                <w:rFonts w:hint="eastAsia" w:hAnsi="宋体" w:cs="宋体"/>
                <w:sz w:val="18"/>
                <w:szCs w:val="18"/>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关键技术先进性</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应用的关键技术在行业内或地区内的领先水平。</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rPr>
            </w:pPr>
            <w:r>
              <w:rPr>
                <w:rFonts w:hint="eastAsia" w:hAnsi="宋体" w:cs="宋体"/>
                <w:sz w:val="18"/>
                <w:szCs w:val="18"/>
              </w:rPr>
              <w:t>a.</w:t>
            </w:r>
            <w:r>
              <w:rPr>
                <w:rFonts w:hint="eastAsia" w:hAnsi="宋体" w:cs="宋体"/>
                <w:sz w:val="18"/>
                <w:szCs w:val="18"/>
                <w:lang w:val="en-US" w:eastAsia="zh-CN"/>
              </w:rPr>
              <w:t>关键技术处于行业领先水平，具有显著技术引领作用</w:t>
            </w: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p>
            <w:pPr>
              <w:pStyle w:val="24"/>
              <w:ind w:firstLine="0" w:firstLineChars="0"/>
              <w:jc w:val="left"/>
              <w:rPr>
                <w:rFonts w:hint="eastAsia" w:hAnsi="宋体" w:cs="宋体"/>
                <w:sz w:val="18"/>
                <w:szCs w:val="18"/>
              </w:rPr>
            </w:pPr>
            <w:r>
              <w:rPr>
                <w:rFonts w:hint="eastAsia" w:hAnsi="宋体" w:cs="宋体"/>
                <w:sz w:val="18"/>
                <w:szCs w:val="18"/>
              </w:rPr>
              <w:t>b.</w:t>
            </w:r>
            <w:r>
              <w:rPr>
                <w:rFonts w:hint="eastAsia" w:hAnsi="宋体" w:cs="宋体"/>
                <w:sz w:val="18"/>
                <w:szCs w:val="18"/>
                <w:lang w:val="en-US" w:eastAsia="zh-CN"/>
              </w:rPr>
              <w:t>关键技术处于行业较好水平，具有一定技术推动作用(5,10]</w:t>
            </w:r>
            <w:r>
              <w:rPr>
                <w:rFonts w:hint="eastAsia" w:hAnsi="宋体" w:cs="宋体"/>
                <w:sz w:val="18"/>
                <w:szCs w:val="18"/>
              </w:rPr>
              <w:t>；</w:t>
            </w:r>
          </w:p>
          <w:p>
            <w:pPr>
              <w:pStyle w:val="24"/>
              <w:ind w:firstLine="0" w:firstLineChars="0"/>
              <w:jc w:val="left"/>
              <w:rPr>
                <w:rFonts w:hint="eastAsia" w:hAnsi="宋体" w:cs="宋体"/>
                <w:sz w:val="18"/>
                <w:szCs w:val="18"/>
                <w:lang w:val="en-US" w:eastAsia="zh-CN"/>
              </w:rPr>
            </w:pPr>
            <w:r>
              <w:rPr>
                <w:rFonts w:hint="eastAsia" w:hAnsi="宋体" w:cs="宋体"/>
                <w:sz w:val="18"/>
                <w:szCs w:val="18"/>
              </w:rPr>
              <w:t>c.</w:t>
            </w:r>
            <w:r>
              <w:rPr>
                <w:rFonts w:hint="eastAsia" w:hAnsi="宋体" w:cs="宋体"/>
                <w:sz w:val="18"/>
                <w:szCs w:val="18"/>
                <w:lang w:val="en-US" w:eastAsia="zh-CN"/>
              </w:rPr>
              <w:t>关键技术处于行业平均水平(0,5]；</w:t>
            </w:r>
          </w:p>
          <w:p>
            <w:pPr>
              <w:pStyle w:val="24"/>
              <w:ind w:firstLine="0" w:firstLineChars="0"/>
              <w:jc w:val="left"/>
              <w:rPr>
                <w:rFonts w:hint="eastAsia" w:hAnsi="宋体" w:cs="宋体"/>
                <w:sz w:val="18"/>
                <w:szCs w:val="18"/>
              </w:rPr>
            </w:pPr>
            <w:r>
              <w:rPr>
                <w:rFonts w:hint="eastAsia" w:hAnsi="宋体" w:cs="宋体"/>
                <w:sz w:val="18"/>
                <w:szCs w:val="18"/>
                <w:lang w:val="en-US" w:eastAsia="zh-CN"/>
              </w:rPr>
              <w:t>d.未满足上述任何一项0分</w:t>
            </w:r>
            <w:r>
              <w:rPr>
                <w:rFonts w:hint="eastAsia" w:hAnsi="宋体" w:cs="宋体"/>
                <w:sz w:val="18"/>
                <w:szCs w:val="18"/>
                <w:lang w:eastAsia="zh-CN"/>
              </w:rPr>
              <w:t>。</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15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bottom w:val="single" w:color="auto" w:sz="8" w:space="0"/>
              <w:tl2br w:val="nil"/>
              <w:tr2bl w:val="nil"/>
            </w:tcBorders>
            <w:vAlign w:val="center"/>
          </w:tcPr>
          <w:p>
            <w:pPr>
              <w:pStyle w:val="24"/>
              <w:ind w:firstLine="0" w:firstLineChars="0"/>
              <w:jc w:val="center"/>
              <w:rPr>
                <w:rFonts w:hint="eastAsia" w:hAnsi="宋体" w:cs="宋体"/>
                <w:sz w:val="18"/>
                <w:szCs w:val="18"/>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环境效益</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取得的资源节约、环境友好、生态良好相关实际环境效益贡献量及影响广度。</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a.取得的环境效益效果显著，处于行业领先水平(15,20]；</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b.取得的环境效益效果较好，处于行业良好水平(10,15]；</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c.取得的环境效益效果一般，处于行业一般水平[0,10]。</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20</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restart"/>
            <w:tcBorders>
              <w:top w:val="single" w:color="auto" w:sz="8" w:space="0"/>
              <w:tl2br w:val="nil"/>
              <w:tr2bl w:val="nil"/>
            </w:tcBorders>
            <w:vAlign w:val="center"/>
          </w:tcPr>
          <w:p>
            <w:pPr>
              <w:pStyle w:val="24"/>
              <w:ind w:firstLine="0" w:firstLineChars="0"/>
              <w:jc w:val="center"/>
              <w:rPr>
                <w:rFonts w:hint="eastAsia" w:hAnsi="宋体" w:eastAsia="宋体" w:cs="宋体"/>
                <w:sz w:val="18"/>
                <w:szCs w:val="18"/>
                <w:lang w:val="en-US" w:eastAsia="zh-CN"/>
              </w:rPr>
            </w:pPr>
            <w:r>
              <w:rPr>
                <w:rFonts w:hint="eastAsia" w:hAnsi="宋体" w:cs="宋体"/>
                <w:sz w:val="18"/>
                <w:szCs w:val="18"/>
                <w:lang w:val="en-US" w:eastAsia="zh-CN"/>
              </w:rPr>
              <w:t>环境表现</w:t>
            </w: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从设备绿色化水平、设备绿色化水平三个方面综合评估。</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a.设备材料绿色化程度较高得(7,10]分；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b.设备材料绿色化程度中等得(4,7]分；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c.设备材料绿色化程度一般得(0,4]分。</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10</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6" w:type="dxa"/>
            <w:vMerge w:val="continue"/>
            <w:tcBorders>
              <w:tl2br w:val="nil"/>
              <w:tr2bl w:val="nil"/>
            </w:tcBorders>
            <w:vAlign w:val="center"/>
          </w:tcPr>
          <w:p>
            <w:pPr>
              <w:pStyle w:val="24"/>
              <w:ind w:firstLine="0" w:firstLineChars="0"/>
              <w:jc w:val="center"/>
              <w:rPr>
                <w:rFonts w:hint="eastAsia" w:hAnsi="宋体" w:cs="宋体"/>
                <w:sz w:val="18"/>
                <w:szCs w:val="18"/>
                <w:lang w:val="en-US" w:eastAsia="zh-CN"/>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绿色低碳运营</w:t>
            </w:r>
          </w:p>
        </w:tc>
        <w:tc>
          <w:tcPr>
            <w:tcW w:w="2004" w:type="dxa"/>
            <w:tcBorders>
              <w:top w:val="single" w:color="auto" w:sz="8" w:space="0"/>
              <w:bottom w:val="single" w:color="auto" w:sz="8" w:space="0"/>
              <w:tl2br w:val="nil"/>
              <w:tr2bl w:val="nil"/>
            </w:tcBorders>
            <w:vAlign w:val="center"/>
          </w:tcPr>
          <w:p>
            <w:pPr>
              <w:pStyle w:val="24"/>
              <w:ind w:firstLine="0" w:firstLineChars="0"/>
              <w:rPr>
                <w:rFonts w:hint="eastAsia" w:hAnsi="宋体" w:cs="宋体"/>
                <w:sz w:val="18"/>
                <w:szCs w:val="18"/>
                <w:lang w:val="en-US" w:eastAsia="zh-CN"/>
              </w:rPr>
            </w:pPr>
            <w:r>
              <w:rPr>
                <w:rFonts w:hint="eastAsia" w:hAnsi="宋体" w:cs="宋体"/>
                <w:sz w:val="18"/>
                <w:szCs w:val="18"/>
                <w:lang w:val="en-US" w:eastAsia="zh-CN"/>
              </w:rPr>
              <w:t>从单位总投资综合能耗、单位总投资用水量、单位总投资用地面积、单位总投资碳排放量、可再生利用率等方面进行综合评估。</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a.五项指标达到业内领先水平得(12,15]分；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b.四项指标达到业内领先水平得(9,12]分；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c.三项指标达到业内领先水平得(6,9]分；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d.两项指标达到业内领先水平得(3,6]分；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e.一项指标达到业内领先水平得(0,3]分。</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15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006" w:type="dxa"/>
            <w:vMerge w:val="continue"/>
            <w:tcBorders>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p>
        </w:tc>
        <w:tc>
          <w:tcPr>
            <w:tcW w:w="1016"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r>
              <w:rPr>
                <w:rFonts w:hint="eastAsia" w:hAnsi="宋体" w:cs="宋体"/>
                <w:sz w:val="18"/>
                <w:szCs w:val="18"/>
                <w:lang w:val="en-US" w:eastAsia="zh-CN"/>
              </w:rPr>
              <w:t>污染物排放水平</w:t>
            </w:r>
          </w:p>
        </w:tc>
        <w:tc>
          <w:tcPr>
            <w:tcW w:w="2004"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项目自身生产运营过程向环境排放污染物的情况。</w:t>
            </w:r>
          </w:p>
        </w:tc>
        <w:tc>
          <w:tcPr>
            <w:tcW w:w="2485" w:type="dxa"/>
            <w:tcBorders>
              <w:top w:val="single" w:color="auto" w:sz="8" w:space="0"/>
              <w:bottom w:val="single" w:color="auto" w:sz="8" w:space="0"/>
              <w:tl2br w:val="nil"/>
              <w:tr2bl w:val="nil"/>
            </w:tcBorders>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a.不排放污染物，或优于排污许可证限值20%，或优于排放源所在地同类行业污染物排放限值20%得</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r>
              <w:rPr>
                <w:rFonts w:hint="eastAsia" w:hAnsi="宋体" w:cs="宋体"/>
                <w:sz w:val="18"/>
                <w:szCs w:val="18"/>
                <w:lang w:val="en-US" w:eastAsia="zh-CN"/>
              </w:rPr>
              <w:t>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b.优于排污许可证限值10%，或优于排放源所在地同类行业污染物排放限值10%得(0,2]分；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c.不满足上述任何一项得0分。</w:t>
            </w:r>
          </w:p>
        </w:tc>
        <w:tc>
          <w:tcPr>
            <w:tcW w:w="1025" w:type="dxa"/>
            <w:tcBorders>
              <w:top w:val="single" w:color="auto" w:sz="8" w:space="0"/>
              <w:bottom w:val="single" w:color="auto" w:sz="8" w:space="0"/>
              <w:tl2br w:val="nil"/>
              <w:tr2bl w:val="nil"/>
            </w:tcBorders>
            <w:vAlign w:val="center"/>
          </w:tcPr>
          <w:p>
            <w:pPr>
              <w:pStyle w:val="24"/>
              <w:ind w:firstLine="0" w:firstLineChars="0"/>
              <w:jc w:val="center"/>
              <w:rPr>
                <w:rFonts w:hint="default" w:hAnsi="宋体" w:cs="宋体"/>
                <w:sz w:val="18"/>
                <w:szCs w:val="18"/>
                <w:lang w:val="en-US" w:eastAsia="zh-CN"/>
              </w:rPr>
            </w:pPr>
            <w:r>
              <w:rPr>
                <w:rFonts w:hint="eastAsia" w:hAnsi="宋体" w:cs="宋体"/>
                <w:sz w:val="18"/>
                <w:szCs w:val="18"/>
                <w:lang w:val="en-US" w:eastAsia="zh-CN"/>
              </w:rPr>
              <w:t>5</w:t>
            </w:r>
          </w:p>
        </w:tc>
        <w:tc>
          <w:tcPr>
            <w:tcW w:w="1005" w:type="dxa"/>
            <w:tcBorders>
              <w:top w:val="single" w:color="auto" w:sz="8" w:space="0"/>
              <w:bottom w:val="single" w:color="auto" w:sz="8" w:space="0"/>
              <w:tl2br w:val="nil"/>
              <w:tr2bl w:val="nil"/>
            </w:tcBorders>
            <w:vAlign w:val="center"/>
          </w:tcPr>
          <w:p>
            <w:pPr>
              <w:pStyle w:val="24"/>
              <w:ind w:firstLine="0" w:firstLineChars="0"/>
              <w:jc w:val="center"/>
              <w:rPr>
                <w:rFonts w:hint="eastAsia" w:hAnsi="宋体" w:cs="宋体"/>
                <w:sz w:val="18"/>
                <w:szCs w:val="18"/>
                <w:lang w:val="en-US" w:eastAsia="zh-CN"/>
              </w:rPr>
            </w:pPr>
          </w:p>
        </w:tc>
      </w:tr>
    </w:tbl>
    <w:p>
      <w:pPr>
        <w:tabs>
          <w:tab w:val="center" w:pos="4201"/>
          <w:tab w:val="right" w:leader="dot" w:pos="9298"/>
        </w:tabs>
        <w:rPr>
          <w:rFonts w:ascii="Times New Roman"/>
        </w:rPr>
        <w:sectPr>
          <w:headerReference r:id="rId10" w:type="default"/>
          <w:footerReference r:id="rId11" w:type="default"/>
          <w:footerReference r:id="rId12" w:type="even"/>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p>
    <w:p>
      <w:pPr>
        <w:pStyle w:val="86"/>
        <w:rPr>
          <w:rFonts w:ascii="Times New Roman"/>
        </w:rPr>
      </w:pPr>
      <w:bookmarkStart w:id="122" w:name="_Toc12862"/>
      <w:bookmarkEnd w:id="122"/>
      <w:bookmarkStart w:id="123" w:name="_Toc118282051"/>
    </w:p>
    <w:p>
      <w:pPr>
        <w:jc w:val="center"/>
        <w:rPr>
          <w:rFonts w:hint="eastAsia" w:ascii="黑体" w:hAnsi="黑体" w:eastAsia="黑体" w:cs="黑体"/>
          <w:b w:val="0"/>
          <w:bCs w:val="0"/>
        </w:rPr>
      </w:pPr>
      <w:r>
        <w:rPr>
          <w:rFonts w:hint="eastAsia" w:ascii="黑体" w:hAnsi="黑体" w:eastAsia="黑体" w:cs="黑体"/>
          <w:b w:val="0"/>
          <w:bCs w:val="0"/>
        </w:rPr>
        <w:t>（资料性）</w:t>
      </w:r>
    </w:p>
    <w:p>
      <w:pPr>
        <w:jc w:val="center"/>
        <w:rPr>
          <w:rFonts w:ascii="Times New Roman"/>
        </w:rPr>
      </w:pPr>
      <w:r>
        <w:rPr>
          <w:rFonts w:hint="eastAsia" w:ascii="黑体" w:hAnsi="黑体" w:eastAsia="黑体" w:cs="黑体"/>
          <w:b w:val="0"/>
          <w:bCs w:val="0"/>
        </w:rPr>
        <w:t>太阳能行业</w:t>
      </w:r>
      <w:r>
        <w:rPr>
          <w:rFonts w:hint="eastAsia" w:ascii="黑体" w:hAnsi="黑体" w:eastAsia="黑体" w:cs="黑体"/>
          <w:b w:val="0"/>
          <w:bCs w:val="0"/>
          <w:lang w:eastAsia="zh-CN"/>
        </w:rPr>
        <w:t>绿色低碳产业企业</w:t>
      </w:r>
      <w:r>
        <w:rPr>
          <w:rFonts w:hint="eastAsia" w:ascii="黑体" w:hAnsi="黑体" w:eastAsia="黑体" w:cs="黑体"/>
          <w:b w:val="0"/>
          <w:bCs w:val="0"/>
        </w:rPr>
        <w:t>认定评价报告模板</w:t>
      </w:r>
      <w:bookmarkEnd w:id="123"/>
    </w:p>
    <w:p>
      <w:pPr>
        <w:pStyle w:val="89"/>
        <w:numPr>
          <w:ilvl w:val="1"/>
          <w:numId w:val="0"/>
        </w:numPr>
        <w:spacing w:before="156" w:after="156"/>
        <w:jc w:val="both"/>
        <w:rPr>
          <w:rFonts w:ascii="Times New Roman" w:eastAsia="Times New Roman"/>
        </w:rPr>
      </w:pPr>
      <w:r>
        <w:rPr>
          <w:rFonts w:hint="eastAsia" w:hAnsi="黑体" w:cs="黑体"/>
        </w:rPr>
        <w:t>B.1 封面</w:t>
      </w:r>
    </w:p>
    <w:p>
      <w:pPr>
        <w:pStyle w:val="24"/>
        <w:rPr>
          <w:rFonts w:ascii="Times New Roman" w:eastAsia="Times New Roman"/>
          <w:szCs w:val="24"/>
        </w:rPr>
      </w:pPr>
      <w:r>
        <w:rPr>
          <w:rFonts w:ascii="Times New Roman"/>
          <w:szCs w:val="24"/>
        </w:rPr>
        <mc:AlternateContent>
          <mc:Choice Requires="wps">
            <w:drawing>
              <wp:anchor distT="45720" distB="45720" distL="114300" distR="114300" simplePos="0" relativeHeight="251664384"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rPr>
                              <w:t>太阳能</w:t>
                            </w:r>
                            <w:r>
                              <w:rPr>
                                <w:rFonts w:hint="eastAsia"/>
                                <w:b/>
                                <w:szCs w:val="24"/>
                                <w:lang w:val="en-US" w:eastAsia="zh-CN"/>
                              </w:rPr>
                              <w:t>领域</w:t>
                            </w:r>
                            <w:r>
                              <w:rPr>
                                <w:rFonts w:hint="eastAsia"/>
                                <w:b/>
                                <w:szCs w:val="24"/>
                              </w:rPr>
                              <w:t>绿色</w:t>
                            </w:r>
                            <w:r>
                              <w:rPr>
                                <w:rFonts w:hint="eastAsia"/>
                                <w:b/>
                                <w:szCs w:val="24"/>
                                <w:lang w:val="en-US" w:eastAsia="zh-CN"/>
                              </w:rPr>
                              <w:t>低碳企业</w:t>
                            </w:r>
                            <w:r>
                              <w:rPr>
                                <w:rFonts w:hint="eastAsia"/>
                                <w:b/>
                                <w:szCs w:val="24"/>
                              </w:rPr>
                              <w:t>产业认定评价报告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4"/>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4"/>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4"/>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4384;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rPr>
                        <w:t>太阳能</w:t>
                      </w:r>
                      <w:r>
                        <w:rPr>
                          <w:rFonts w:hint="eastAsia"/>
                          <w:b/>
                          <w:szCs w:val="24"/>
                          <w:lang w:val="en-US" w:eastAsia="zh-CN"/>
                        </w:rPr>
                        <w:t>领域</w:t>
                      </w:r>
                      <w:r>
                        <w:rPr>
                          <w:rFonts w:hint="eastAsia"/>
                          <w:b/>
                          <w:szCs w:val="24"/>
                        </w:rPr>
                        <w:t>绿色</w:t>
                      </w:r>
                      <w:r>
                        <w:rPr>
                          <w:rFonts w:hint="eastAsia"/>
                          <w:b/>
                          <w:szCs w:val="24"/>
                          <w:lang w:val="en-US" w:eastAsia="zh-CN"/>
                        </w:rPr>
                        <w:t>低碳企业</w:t>
                      </w:r>
                      <w:r>
                        <w:rPr>
                          <w:rFonts w:hint="eastAsia"/>
                          <w:b/>
                          <w:szCs w:val="24"/>
                        </w:rPr>
                        <w:t>产业认定评价报告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4"/>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4"/>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4"/>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hint="eastAsia" w:ascii="Times New Roman"/>
          <w:szCs w:val="24"/>
        </w:rPr>
        <w:t>太阳能行业</w:t>
      </w:r>
      <w:r>
        <w:rPr>
          <w:rFonts w:hint="eastAsia" w:ascii="Times New Roman"/>
          <w:szCs w:val="24"/>
          <w:lang w:eastAsia="zh-CN"/>
        </w:rPr>
        <w:t>绿色低碳产业企业</w:t>
      </w:r>
      <w:r>
        <w:rPr>
          <w:rFonts w:hint="eastAsia" w:ascii="Times New Roman"/>
          <w:szCs w:val="24"/>
        </w:rPr>
        <w:t>认定评价报告的封面</w:t>
      </w:r>
      <w:r>
        <w:rPr>
          <w:rFonts w:hint="eastAsia" w:hAnsi="宋体" w:cs="宋体"/>
          <w:szCs w:val="24"/>
        </w:rPr>
        <w:t>要求见表B.1。</w:t>
      </w:r>
    </w:p>
    <w:p>
      <w:pPr>
        <w:pStyle w:val="89"/>
        <w:numPr>
          <w:ilvl w:val="1"/>
          <w:numId w:val="0"/>
        </w:numPr>
        <w:tabs>
          <w:tab w:val="clear" w:pos="0"/>
        </w:tabs>
        <w:spacing w:before="156" w:after="156"/>
        <w:rPr>
          <w:rFonts w:ascii="Times New Roman" w:eastAsia="Times New Roman"/>
        </w:rPr>
      </w:pPr>
      <w:r>
        <w:rPr>
          <w:rFonts w:hint="eastAsia" w:ascii="Times New Roman"/>
        </w:rPr>
        <w:t>表B.1 太阳能行业</w:t>
      </w:r>
      <w:r>
        <w:rPr>
          <w:rFonts w:hint="eastAsia" w:ascii="Times New Roman"/>
          <w:lang w:eastAsia="zh-CN"/>
        </w:rPr>
        <w:t>绿色低碳产业企业</w:t>
      </w:r>
      <w:r>
        <w:rPr>
          <w:rFonts w:hint="eastAsia" w:ascii="Times New Roman"/>
        </w:rPr>
        <w:t>认定评价报告封面</w:t>
      </w:r>
    </w:p>
    <w:p>
      <w:pPr>
        <w:pStyle w:val="89"/>
        <w:numPr>
          <w:ilvl w:val="1"/>
          <w:numId w:val="0"/>
        </w:numPr>
        <w:spacing w:before="156" w:after="156"/>
        <w:jc w:val="both"/>
        <w:rPr>
          <w:rFonts w:ascii="Times New Roman" w:eastAsia="Times New Roman"/>
        </w:rPr>
      </w:pPr>
      <w:r>
        <w:rPr>
          <w:rFonts w:hint="eastAsia" w:ascii="Times New Roman" w:eastAsia="Times New Roman"/>
        </w:rPr>
        <w:t>B</w:t>
      </w:r>
      <w:r>
        <w:rPr>
          <w:rFonts w:hint="eastAsia" w:hAnsi="黑体" w:cs="黑体"/>
        </w:rPr>
        <w:t>.2</w:t>
      </w:r>
      <w:r>
        <w:rPr>
          <w:rFonts w:hint="eastAsia" w:ascii="Times New Roman" w:eastAsia="Times New Roman"/>
        </w:rPr>
        <w:t xml:space="preserve"> </w:t>
      </w:r>
      <w:r>
        <w:rPr>
          <w:rFonts w:hint="eastAsia" w:ascii="Times New Roman"/>
        </w:rPr>
        <w:t>基本信息</w:t>
      </w:r>
    </w:p>
    <w:p>
      <w:pPr>
        <w:pStyle w:val="24"/>
        <w:rPr>
          <w:rFonts w:ascii="Times New Roman" w:eastAsia="Times New Roman"/>
          <w:szCs w:val="24"/>
        </w:rPr>
      </w:pPr>
      <w:r>
        <w:rPr>
          <w:rFonts w:hint="eastAsia" w:ascii="Times New Roman"/>
          <w:szCs w:val="24"/>
        </w:rPr>
        <w:t>企事业单位基本信息的填报要求</w:t>
      </w:r>
      <w:r>
        <w:rPr>
          <w:rFonts w:hint="eastAsia" w:asciiTheme="minorEastAsia" w:hAnsiTheme="minorEastAsia" w:eastAsiaTheme="minorEastAsia"/>
          <w:szCs w:val="24"/>
        </w:rPr>
        <w:t>见表B.2。</w:t>
      </w:r>
    </w:p>
    <w:p>
      <w:pPr>
        <w:pStyle w:val="89"/>
        <w:numPr>
          <w:ilvl w:val="1"/>
          <w:numId w:val="0"/>
        </w:numPr>
        <w:spacing w:before="156" w:after="156"/>
        <w:rPr>
          <w:rFonts w:ascii="Times New Roman" w:eastAsia="Times New Roman"/>
        </w:rPr>
      </w:pPr>
      <w:r>
        <w:rPr>
          <w:rFonts w:hint="eastAsia" w:ascii="Times New Roman"/>
        </w:rPr>
        <w:t>表B.2 基本信息表</w:t>
      </w:r>
    </w:p>
    <w:tbl>
      <w:tblPr>
        <w:tblStyle w:val="34"/>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3111"/>
        <w:gridCol w:w="139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企事业单位名称</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通讯地址</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所属行业</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主营产品、技术或服务</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单位性质</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r>
              <w:rPr>
                <w:rFonts w:hint="eastAsia"/>
                <w:color w:val="000000"/>
                <w:kern w:val="0"/>
                <w:sz w:val="18"/>
                <w:szCs w:val="18"/>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统一社会</w:t>
            </w:r>
          </w:p>
          <w:p>
            <w:pPr>
              <w:widowControl/>
              <w:jc w:val="center"/>
              <w:rPr>
                <w:color w:val="000000"/>
                <w:kern w:val="0"/>
                <w:sz w:val="18"/>
                <w:szCs w:val="18"/>
              </w:rPr>
            </w:pPr>
            <w:r>
              <w:rPr>
                <w:rFonts w:hint="eastAsia"/>
                <w:color w:val="000000"/>
                <w:kern w:val="0"/>
                <w:sz w:val="18"/>
                <w:szCs w:val="18"/>
              </w:rPr>
              <w:t>信用代码</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法定代表人</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成立日期</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注册资本</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联系人</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color w:val="000000"/>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联系电话</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单位简介</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r>
              <w:rPr>
                <w:rFonts w:hint="eastAsia"/>
                <w:color w:val="000000"/>
                <w:kern w:val="0"/>
                <w:sz w:val="18"/>
                <w:szCs w:val="18"/>
              </w:rPr>
              <w:t>（经营范围、主营业务生产或服务情况介绍）</w:t>
            </w:r>
          </w:p>
          <w:p>
            <w:pPr>
              <w:widowControl/>
              <w:rPr>
                <w:color w:val="000000"/>
                <w:kern w:val="0"/>
                <w:sz w:val="18"/>
                <w:szCs w:val="18"/>
              </w:rPr>
            </w:pPr>
          </w:p>
          <w:p>
            <w:pPr>
              <w:widowControl/>
              <w:rPr>
                <w:color w:val="000000"/>
                <w:kern w:val="0"/>
                <w:sz w:val="18"/>
                <w:szCs w:val="18"/>
              </w:rPr>
            </w:pPr>
          </w:p>
          <w:p>
            <w:pPr>
              <w:pStyle w:val="2"/>
              <w:rPr>
                <w:color w:val="000000"/>
                <w:kern w:val="0"/>
                <w:sz w:val="18"/>
                <w:szCs w:val="18"/>
              </w:rPr>
            </w:pPr>
          </w:p>
          <w:p>
            <w:pPr>
              <w:pStyle w:val="2"/>
              <w:rPr>
                <w:color w:val="000000"/>
                <w:kern w:val="0"/>
                <w:sz w:val="18"/>
                <w:szCs w:val="18"/>
              </w:rPr>
            </w:pPr>
          </w:p>
          <w:p>
            <w:pPr>
              <w:pStyle w:val="2"/>
              <w:rPr>
                <w:color w:val="000000"/>
                <w:kern w:val="0"/>
                <w:sz w:val="18"/>
                <w:szCs w:val="18"/>
              </w:rPr>
            </w:pPr>
          </w:p>
          <w:p>
            <w:pPr>
              <w:pStyle w:val="2"/>
              <w:rPr>
                <w:color w:val="000000"/>
                <w:kern w:val="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b/>
                <w:kern w:val="0"/>
                <w:sz w:val="18"/>
                <w:szCs w:val="18"/>
              </w:rPr>
            </w:pPr>
            <w:r>
              <w:rPr>
                <w:rFonts w:hint="eastAsia"/>
                <w:b/>
                <w:kern w:val="0"/>
                <w:sz w:val="18"/>
                <w:szCs w:val="18"/>
              </w:rPr>
              <w:t>材料真实性承诺:</w:t>
            </w:r>
          </w:p>
          <w:p>
            <w:pPr>
              <w:widowControl/>
              <w:ind w:firstLine="372" w:firstLineChars="207"/>
              <w:rPr>
                <w:kern w:val="0"/>
                <w:sz w:val="18"/>
                <w:szCs w:val="18"/>
              </w:rPr>
            </w:pPr>
          </w:p>
          <w:p>
            <w:pPr>
              <w:pStyle w:val="2"/>
            </w:pPr>
          </w:p>
          <w:p>
            <w:pPr>
              <w:widowControl/>
              <w:ind w:firstLine="372" w:firstLineChars="207"/>
              <w:rPr>
                <w:kern w:val="0"/>
                <w:sz w:val="18"/>
                <w:szCs w:val="18"/>
              </w:rPr>
            </w:pPr>
            <w:r>
              <w:rPr>
                <w:rFonts w:hint="eastAsia"/>
                <w:kern w:val="0"/>
                <w:sz w:val="18"/>
                <w:szCs w:val="18"/>
              </w:rPr>
              <w:t>我单位郑重承诺：本次申报</w:t>
            </w:r>
            <w:r>
              <w:rPr>
                <w:rFonts w:hint="eastAsia"/>
                <w:kern w:val="0"/>
                <w:sz w:val="18"/>
                <w:szCs w:val="18"/>
                <w:lang w:eastAsia="zh-CN"/>
              </w:rPr>
              <w:t>绿色低碳产业企业</w:t>
            </w:r>
            <w:r>
              <w:rPr>
                <w:rFonts w:hint="eastAsia"/>
                <w:kern w:val="0"/>
                <w:sz w:val="18"/>
                <w:szCs w:val="18"/>
              </w:rPr>
              <w:t>认定所提交的相关数据和信息均真实、有效，愿接受并积极配合主管部门的跟踪抽查。如有违反，愿承担由此产生的相应责任。</w:t>
            </w:r>
          </w:p>
          <w:p>
            <w:pPr>
              <w:widowControl/>
              <w:ind w:firstLine="372" w:firstLineChars="207"/>
              <w:rPr>
                <w:kern w:val="0"/>
                <w:sz w:val="18"/>
                <w:szCs w:val="18"/>
              </w:rPr>
            </w:pPr>
          </w:p>
          <w:p>
            <w:pPr>
              <w:pStyle w:val="2"/>
              <w:rPr>
                <w:kern w:val="0"/>
                <w:sz w:val="18"/>
                <w:szCs w:val="18"/>
              </w:rPr>
            </w:pPr>
          </w:p>
          <w:p>
            <w:pPr>
              <w:pStyle w:val="2"/>
              <w:rPr>
                <w:kern w:val="0"/>
                <w:sz w:val="18"/>
                <w:szCs w:val="18"/>
              </w:rPr>
            </w:pPr>
          </w:p>
          <w:p>
            <w:pPr>
              <w:widowControl/>
              <w:wordWrap w:val="0"/>
              <w:jc w:val="center"/>
              <w:rPr>
                <w:b/>
                <w:kern w:val="0"/>
                <w:sz w:val="18"/>
                <w:szCs w:val="18"/>
              </w:rPr>
            </w:pPr>
            <w:r>
              <w:rPr>
                <w:rFonts w:hint="eastAsia"/>
                <w:b/>
                <w:kern w:val="0"/>
                <w:sz w:val="18"/>
                <w:szCs w:val="18"/>
              </w:rPr>
              <w:t xml:space="preserve">                           法人或单位负责人签字：          </w:t>
            </w:r>
          </w:p>
          <w:p>
            <w:pPr>
              <w:widowControl/>
              <w:rPr>
                <w:b/>
                <w:kern w:val="0"/>
                <w:sz w:val="18"/>
                <w:szCs w:val="18"/>
              </w:rPr>
            </w:pPr>
            <w:r>
              <w:rPr>
                <w:rFonts w:hint="eastAsia"/>
                <w:b/>
                <w:kern w:val="0"/>
                <w:sz w:val="18"/>
                <w:szCs w:val="18"/>
              </w:rPr>
              <w:t xml:space="preserve">                                            （公章）</w:t>
            </w:r>
          </w:p>
          <w:p>
            <w:pPr>
              <w:widowControl/>
              <w:wordWrap w:val="0"/>
              <w:jc w:val="center"/>
              <w:rPr>
                <w:b/>
                <w:kern w:val="0"/>
                <w:sz w:val="18"/>
                <w:szCs w:val="18"/>
              </w:rPr>
            </w:pPr>
            <w:r>
              <w:rPr>
                <w:rFonts w:hint="eastAsia"/>
                <w:b/>
                <w:kern w:val="0"/>
                <w:sz w:val="18"/>
                <w:szCs w:val="18"/>
              </w:rPr>
              <w:t xml:space="preserve">                                            日期：           </w:t>
            </w:r>
          </w:p>
        </w:tc>
      </w:tr>
    </w:tbl>
    <w:p>
      <w:pPr>
        <w:pStyle w:val="89"/>
        <w:numPr>
          <w:ilvl w:val="1"/>
          <w:numId w:val="0"/>
        </w:numPr>
        <w:spacing w:before="156" w:after="156"/>
        <w:jc w:val="both"/>
        <w:rPr>
          <w:rFonts w:hAnsi="黑体" w:cs="黑体"/>
        </w:rPr>
      </w:pPr>
      <w:r>
        <w:rPr>
          <w:rFonts w:hint="eastAsia" w:hAnsi="黑体" w:cs="黑体"/>
        </w:rPr>
        <w:t>B.3 基本情况概述</w:t>
      </w:r>
    </w:p>
    <w:p>
      <w:pPr>
        <w:pStyle w:val="24"/>
        <w:rPr>
          <w:rFonts w:ascii="Times New Roman" w:eastAsia="Times New Roman"/>
          <w:szCs w:val="24"/>
        </w:rPr>
      </w:pPr>
      <w:r>
        <w:rPr>
          <w:rFonts w:hint="eastAsia" w:ascii="Times New Roman"/>
          <w:szCs w:val="24"/>
        </w:rPr>
        <w:t>概述企事业单位的基本信息、发展现状、工艺产品、生产经营状况以及在绿色发展方面开展的重点工作及取得的成绩等。</w:t>
      </w:r>
    </w:p>
    <w:p>
      <w:pPr>
        <w:pStyle w:val="89"/>
        <w:numPr>
          <w:ilvl w:val="1"/>
          <w:numId w:val="0"/>
        </w:numPr>
        <w:spacing w:before="156" w:after="156"/>
        <w:jc w:val="both"/>
        <w:rPr>
          <w:rFonts w:hAnsi="黑体" w:cs="黑体"/>
        </w:rPr>
      </w:pPr>
      <w:r>
        <w:rPr>
          <w:rFonts w:hint="eastAsia" w:hAnsi="黑体" w:cs="黑体"/>
        </w:rPr>
        <w:t>B.4</w:t>
      </w:r>
      <w:r>
        <w:rPr>
          <w:rFonts w:hint="eastAsia" w:hAnsi="黑体" w:cs="黑体"/>
          <w:lang w:eastAsia="zh-CN"/>
        </w:rPr>
        <w:t>绿色低碳产业企业</w:t>
      </w:r>
      <w:r>
        <w:rPr>
          <w:rFonts w:hint="eastAsia" w:hAnsi="黑体" w:cs="黑体"/>
        </w:rPr>
        <w:t>认定情况</w:t>
      </w:r>
    </w:p>
    <w:p>
      <w:pPr>
        <w:pStyle w:val="24"/>
        <w:rPr>
          <w:rFonts w:ascii="Times New Roman" w:eastAsia="Times New Roman"/>
          <w:szCs w:val="24"/>
        </w:rPr>
      </w:pPr>
      <w:r>
        <w:rPr>
          <w:rFonts w:hint="eastAsia" w:ascii="Times New Roman"/>
          <w:szCs w:val="24"/>
        </w:rPr>
        <w:t>依据本文件及《</w:t>
      </w:r>
      <w:r>
        <w:rPr>
          <w:rFonts w:hint="eastAsia" w:ascii="Times New Roman"/>
          <w:szCs w:val="24"/>
          <w:lang w:val="en-US" w:eastAsia="zh-CN"/>
        </w:rPr>
        <w:t>深圳市</w:t>
      </w:r>
      <w:r>
        <w:rPr>
          <w:rFonts w:hint="eastAsia" w:ascii="Times New Roman"/>
          <w:szCs w:val="24"/>
          <w:lang w:eastAsia="zh-CN"/>
        </w:rPr>
        <w:t>绿色低碳产业</w:t>
      </w:r>
      <w:r>
        <w:rPr>
          <w:rFonts w:hint="eastAsia" w:ascii="Times New Roman"/>
          <w:szCs w:val="24"/>
        </w:rPr>
        <w:t xml:space="preserve">认定评价导则》对基本要求、符合性评价要求及综合评价要求等内容进行情况描述。 </w:t>
      </w:r>
    </w:p>
    <w:p>
      <w:pPr>
        <w:pStyle w:val="89"/>
        <w:numPr>
          <w:ilvl w:val="1"/>
          <w:numId w:val="0"/>
        </w:numPr>
        <w:spacing w:before="156" w:after="156"/>
        <w:jc w:val="both"/>
        <w:rPr>
          <w:rFonts w:ascii="Times New Roman" w:eastAsia="Times New Roman"/>
        </w:rPr>
      </w:pPr>
      <w:r>
        <w:rPr>
          <w:rFonts w:hint="eastAsia" w:hAnsi="黑体" w:cs="黑体"/>
        </w:rPr>
        <w:t>B.4.1 基本要求认定情况</w:t>
      </w:r>
    </w:p>
    <w:p>
      <w:pPr>
        <w:pStyle w:val="24"/>
        <w:rPr>
          <w:rFonts w:ascii="Times New Roman" w:eastAsia="Times New Roman"/>
          <w:szCs w:val="24"/>
        </w:rPr>
      </w:pPr>
      <w:r>
        <w:rPr>
          <w:rFonts w:hint="eastAsia" w:ascii="Times New Roman"/>
          <w:szCs w:val="24"/>
        </w:rPr>
        <w:t>基本要求。描述企事业单位运营是否符合相关法律法规、地方政策要求，使用的工艺和设备先进性、安全生产情况及是否属于失信名单或严重违法失信企业名单。</w:t>
      </w:r>
    </w:p>
    <w:p>
      <w:pPr>
        <w:pStyle w:val="89"/>
        <w:numPr>
          <w:ilvl w:val="1"/>
          <w:numId w:val="0"/>
        </w:numPr>
        <w:spacing w:before="156" w:after="156"/>
        <w:jc w:val="both"/>
        <w:rPr>
          <w:rFonts w:hAnsi="黑体" w:cs="黑体"/>
        </w:rPr>
      </w:pPr>
      <w:r>
        <w:rPr>
          <w:rFonts w:hint="eastAsia" w:hAnsi="黑体" w:cs="黑体"/>
        </w:rPr>
        <w:t>B.4.2 符合性评价认定情况</w:t>
      </w:r>
    </w:p>
    <w:p>
      <w:pPr>
        <w:pStyle w:val="24"/>
        <w:rPr>
          <w:rFonts w:hint="eastAsia" w:ascii="Times New Roman" w:eastAsia="宋体"/>
          <w:szCs w:val="24"/>
          <w:lang w:eastAsia="zh-CN"/>
        </w:rPr>
      </w:pPr>
      <w:r>
        <w:rPr>
          <w:rFonts w:hint="eastAsia" w:ascii="Times New Roman"/>
          <w:szCs w:val="24"/>
        </w:rPr>
        <w:t>目录符合。主要描述经营范围，明确申报认定评价的主营业务属于太阳能产品、太阳能生产装备、太阳能利用设施建设和运营等</w:t>
      </w:r>
      <w:r>
        <w:rPr>
          <w:rFonts w:hint="eastAsia" w:ascii="Times New Roman"/>
          <w:szCs w:val="24"/>
          <w:lang w:eastAsia="zh-CN"/>
        </w:rPr>
        <w:t>绿色低碳产业</w:t>
      </w:r>
      <w:r>
        <w:rPr>
          <w:rFonts w:hint="eastAsia" w:ascii="Times New Roman"/>
          <w:szCs w:val="24"/>
        </w:rPr>
        <w:t>领域</w:t>
      </w:r>
      <w:r>
        <w:rPr>
          <w:rFonts w:hint="eastAsia" w:ascii="Times New Roman"/>
          <w:szCs w:val="24"/>
          <w:lang w:eastAsia="zh-CN"/>
        </w:rPr>
        <w:t>，</w:t>
      </w:r>
      <w:r>
        <w:rPr>
          <w:rFonts w:hint="eastAsia" w:ascii="Times New Roman" w:hAnsi="Times New Roman" w:cs="Times New Roman"/>
          <w:szCs w:val="24"/>
          <w:highlight w:val="none"/>
        </w:rPr>
        <w:t>确认其绿色业务占比达到50%或以上，或跨界规模达到1亿元、在国内外新兴领域超前领先</w:t>
      </w:r>
      <w:r>
        <w:rPr>
          <w:rFonts w:hint="eastAsia" w:ascii="Times New Roman" w:cs="Times New Roman"/>
          <w:szCs w:val="24"/>
          <w:lang w:eastAsia="zh-CN"/>
        </w:rPr>
        <w:t>。</w:t>
      </w:r>
    </w:p>
    <w:p>
      <w:pPr>
        <w:pStyle w:val="24"/>
        <w:rPr>
          <w:rFonts w:ascii="Times New Roman" w:eastAsia="Times New Roman"/>
          <w:szCs w:val="24"/>
        </w:rPr>
      </w:pPr>
      <w:r>
        <w:rPr>
          <w:rFonts w:hint="eastAsia" w:ascii="Times New Roman"/>
          <w:szCs w:val="24"/>
        </w:rPr>
        <w:t>技术符合。描述提供的产品或服务应符合国家、广东省及深圳市相关主管部门发布的法律法规和政策标准要求，相关产品及研发制造活动、</w:t>
      </w:r>
      <w:r>
        <w:rPr>
          <w:rFonts w:hint="eastAsia" w:ascii="Times New Roman"/>
          <w:szCs w:val="24"/>
          <w:lang w:eastAsia="zh-CN"/>
        </w:rPr>
        <w:t>太阳能</w:t>
      </w:r>
      <w:r>
        <w:rPr>
          <w:rFonts w:hint="eastAsia" w:ascii="Times New Roman"/>
          <w:szCs w:val="24"/>
        </w:rPr>
        <w:t>利用设施建设和运营情况符合深圳市</w:t>
      </w:r>
      <w:r>
        <w:rPr>
          <w:rFonts w:hint="eastAsia" w:ascii="Times New Roman"/>
          <w:szCs w:val="24"/>
          <w:lang w:eastAsia="zh-CN"/>
        </w:rPr>
        <w:t>绿色低碳产业</w:t>
      </w:r>
      <w:r>
        <w:rPr>
          <w:rFonts w:hint="eastAsia" w:ascii="Times New Roman"/>
          <w:szCs w:val="24"/>
        </w:rPr>
        <w:t>认定规则体系规定的技术要求。</w:t>
      </w:r>
    </w:p>
    <w:p>
      <w:pPr>
        <w:pStyle w:val="89"/>
        <w:numPr>
          <w:ilvl w:val="1"/>
          <w:numId w:val="0"/>
        </w:numPr>
        <w:spacing w:before="156" w:after="156"/>
        <w:jc w:val="both"/>
        <w:rPr>
          <w:rFonts w:hAnsi="黑体" w:cs="黑体"/>
        </w:rPr>
      </w:pPr>
      <w:r>
        <w:rPr>
          <w:rFonts w:hint="eastAsia" w:hAnsi="黑体" w:cs="黑体"/>
        </w:rPr>
        <w:t>B.4.3 综合评价认定情况</w:t>
      </w:r>
    </w:p>
    <w:p>
      <w:pPr>
        <w:pStyle w:val="89"/>
        <w:numPr>
          <w:ilvl w:val="1"/>
          <w:numId w:val="0"/>
        </w:numPr>
        <w:spacing w:before="156" w:after="156"/>
        <w:jc w:val="both"/>
        <w:rPr>
          <w:rFonts w:ascii="Times New Roman" w:eastAsia="Times New Roman"/>
        </w:rPr>
      </w:pPr>
      <w:r>
        <w:rPr>
          <w:rFonts w:hint="eastAsia" w:hAnsi="黑体" w:cs="黑体"/>
        </w:rPr>
        <w:t>B.4.3.1 技术表现认定情况</w:t>
      </w:r>
    </w:p>
    <w:p>
      <w:pPr>
        <w:pStyle w:val="24"/>
        <w:rPr>
          <w:rFonts w:ascii="Times New Roman" w:eastAsia="Times New Roman"/>
          <w:szCs w:val="24"/>
        </w:rPr>
      </w:pPr>
      <w:r>
        <w:rPr>
          <w:rFonts w:hint="eastAsia" w:ascii="Times New Roman"/>
          <w:szCs w:val="24"/>
        </w:rPr>
        <w:t>先进性。主要描述有效知识产权、参与制修订标准、</w:t>
      </w:r>
      <w:r>
        <w:rPr>
          <w:rFonts w:hint="eastAsia" w:ascii="Times New Roman"/>
          <w:szCs w:val="24"/>
          <w:lang w:eastAsia="zh-CN"/>
        </w:rPr>
        <w:t>绿电采购占比、</w:t>
      </w:r>
      <w:r>
        <w:rPr>
          <w:rFonts w:hint="eastAsia" w:ascii="Times New Roman"/>
          <w:szCs w:val="24"/>
        </w:rPr>
        <w:t>关键技术先进性的情况。</w:t>
      </w:r>
    </w:p>
    <w:p>
      <w:pPr>
        <w:pStyle w:val="24"/>
        <w:rPr>
          <w:rFonts w:ascii="Times New Roman" w:eastAsia="Times New Roman"/>
          <w:szCs w:val="24"/>
        </w:rPr>
      </w:pPr>
      <w:r>
        <w:rPr>
          <w:rFonts w:hint="eastAsia" w:ascii="Times New Roman"/>
          <w:szCs w:val="24"/>
        </w:rPr>
        <w:t>环境效益。主要描述</w:t>
      </w:r>
      <w:r>
        <w:rPr>
          <w:rFonts w:hint="eastAsia" w:ascii="Times New Roman"/>
          <w:szCs w:val="24"/>
          <w:lang w:eastAsia="zh-CN"/>
        </w:rPr>
        <w:t>降碳效益</w:t>
      </w:r>
      <w:r>
        <w:rPr>
          <w:rFonts w:hint="eastAsia" w:ascii="Times New Roman"/>
          <w:szCs w:val="24"/>
        </w:rPr>
        <w:t>、</w:t>
      </w:r>
      <w:r>
        <w:rPr>
          <w:rFonts w:hint="eastAsia" w:ascii="Times New Roman"/>
          <w:szCs w:val="24"/>
          <w:lang w:eastAsia="zh-CN"/>
        </w:rPr>
        <w:t>减污效益</w:t>
      </w:r>
      <w:r>
        <w:rPr>
          <w:rFonts w:hint="eastAsia" w:ascii="Times New Roman"/>
          <w:szCs w:val="24"/>
        </w:rPr>
        <w:t>等情况。</w:t>
      </w:r>
    </w:p>
    <w:p>
      <w:pPr>
        <w:pStyle w:val="89"/>
        <w:numPr>
          <w:ilvl w:val="1"/>
          <w:numId w:val="0"/>
        </w:numPr>
        <w:spacing w:before="156" w:after="156"/>
        <w:jc w:val="both"/>
        <w:rPr>
          <w:rFonts w:hAnsi="黑体" w:cs="黑体"/>
        </w:rPr>
      </w:pPr>
      <w:r>
        <w:rPr>
          <w:rFonts w:hint="eastAsia" w:hAnsi="黑体" w:cs="黑体"/>
        </w:rPr>
        <w:t>B.4.3.2 业务表现认定情况</w:t>
      </w:r>
    </w:p>
    <w:p>
      <w:pPr>
        <w:pStyle w:val="24"/>
        <w:rPr>
          <w:rFonts w:ascii="Times New Roman" w:eastAsia="Times New Roman"/>
          <w:szCs w:val="24"/>
        </w:rPr>
      </w:pPr>
      <w:r>
        <w:rPr>
          <w:rFonts w:hint="eastAsia" w:ascii="Times New Roman"/>
          <w:szCs w:val="24"/>
        </w:rPr>
        <w:t>发展能力。主要描述团队技术实力、研发投入、</w:t>
      </w:r>
      <w:r>
        <w:rPr>
          <w:rFonts w:hint="eastAsia" w:ascii="Times New Roman"/>
          <w:szCs w:val="24"/>
          <w:lang w:eastAsia="zh-CN"/>
        </w:rPr>
        <w:t>业务增长率</w:t>
      </w:r>
      <w:r>
        <w:rPr>
          <w:rFonts w:hint="eastAsia" w:ascii="Times New Roman"/>
          <w:szCs w:val="24"/>
        </w:rPr>
        <w:t>等情况。</w:t>
      </w:r>
    </w:p>
    <w:p>
      <w:pPr>
        <w:pStyle w:val="24"/>
        <w:rPr>
          <w:rFonts w:ascii="Times New Roman" w:eastAsia="Times New Roman"/>
          <w:szCs w:val="24"/>
        </w:rPr>
      </w:pPr>
      <w:r>
        <w:rPr>
          <w:rFonts w:hint="eastAsia" w:ascii="Times New Roman"/>
          <w:szCs w:val="24"/>
        </w:rPr>
        <w:t>市场影响。主要描述市场竞争力、产业影响力、行业资质及经验等情况。</w:t>
      </w:r>
    </w:p>
    <w:p>
      <w:pPr>
        <w:pStyle w:val="89"/>
        <w:numPr>
          <w:ilvl w:val="1"/>
          <w:numId w:val="0"/>
        </w:numPr>
        <w:spacing w:before="156" w:after="156"/>
        <w:jc w:val="both"/>
        <w:rPr>
          <w:rFonts w:ascii="Times New Roman" w:eastAsia="Times New Roman"/>
        </w:rPr>
      </w:pPr>
      <w:r>
        <w:rPr>
          <w:rFonts w:hint="eastAsia" w:hAnsi="黑体" w:cs="黑体"/>
        </w:rPr>
        <w:t>B.4.3.3 环境表现认定情况</w:t>
      </w:r>
    </w:p>
    <w:p>
      <w:pPr>
        <w:pStyle w:val="24"/>
        <w:rPr>
          <w:rFonts w:ascii="Times New Roman" w:eastAsia="Times New Roman"/>
          <w:szCs w:val="24"/>
        </w:rPr>
      </w:pPr>
      <w:r>
        <w:rPr>
          <w:rFonts w:hint="eastAsia" w:ascii="Times New Roman"/>
          <w:szCs w:val="24"/>
        </w:rPr>
        <w:t>工艺设备材料。主要描述设备、材料绿色化水平等情况。</w:t>
      </w:r>
    </w:p>
    <w:p>
      <w:pPr>
        <w:pStyle w:val="24"/>
        <w:rPr>
          <w:rFonts w:ascii="Times New Roman" w:eastAsia="Times New Roman"/>
          <w:szCs w:val="24"/>
        </w:rPr>
      </w:pPr>
      <w:r>
        <w:rPr>
          <w:rFonts w:hint="eastAsia" w:ascii="Times New Roman"/>
          <w:szCs w:val="24"/>
        </w:rPr>
        <w:t>能源资源利用。主要描述</w:t>
      </w:r>
      <w:r>
        <w:rPr>
          <w:rFonts w:hint="eastAsia" w:ascii="Times New Roman"/>
          <w:szCs w:val="24"/>
          <w:lang w:val="en-US" w:eastAsia="zh-CN"/>
        </w:rPr>
        <w:t>能耗水平、可再生利用率等</w:t>
      </w:r>
      <w:r>
        <w:rPr>
          <w:rFonts w:hint="eastAsia" w:ascii="Times New Roman"/>
          <w:szCs w:val="24"/>
        </w:rPr>
        <w:t>情况。</w:t>
      </w:r>
    </w:p>
    <w:p>
      <w:pPr>
        <w:pStyle w:val="24"/>
        <w:rPr>
          <w:rFonts w:hint="eastAsia" w:ascii="Times New Roman"/>
          <w:szCs w:val="24"/>
        </w:rPr>
      </w:pPr>
      <w:r>
        <w:rPr>
          <w:rFonts w:hint="eastAsia" w:ascii="Times New Roman"/>
          <w:szCs w:val="24"/>
          <w:lang w:eastAsia="zh-CN"/>
        </w:rPr>
        <w:t>污染物排放水平</w:t>
      </w:r>
      <w:r>
        <w:rPr>
          <w:rFonts w:hint="eastAsia" w:ascii="Times New Roman"/>
          <w:szCs w:val="24"/>
        </w:rPr>
        <w:t>。主要描述污染物排放情况。</w:t>
      </w:r>
    </w:p>
    <w:p>
      <w:pPr>
        <w:pStyle w:val="24"/>
        <w:rPr>
          <w:rFonts w:hint="eastAsia" w:ascii="Times New Roman"/>
          <w:szCs w:val="24"/>
        </w:rPr>
      </w:pPr>
      <w:r>
        <w:rPr>
          <w:rFonts w:hint="eastAsia" w:ascii="Times New Roman"/>
          <w:szCs w:val="24"/>
          <w:lang w:val="en-US" w:eastAsia="zh-CN"/>
        </w:rPr>
        <w:t>温室气体排放水平</w:t>
      </w:r>
      <w:r>
        <w:rPr>
          <w:rFonts w:hint="eastAsia" w:ascii="Times New Roman"/>
          <w:szCs w:val="24"/>
        </w:rPr>
        <w:t>。主要描述温室气体排放情况。</w:t>
      </w:r>
    </w:p>
    <w:p>
      <w:pPr>
        <w:pStyle w:val="89"/>
        <w:numPr>
          <w:ilvl w:val="1"/>
          <w:numId w:val="0"/>
        </w:numPr>
        <w:spacing w:before="156" w:after="156"/>
        <w:jc w:val="both"/>
        <w:rPr>
          <w:rFonts w:ascii="Times New Roman" w:eastAsia="Times New Roman"/>
        </w:rPr>
      </w:pPr>
      <w:r>
        <w:rPr>
          <w:rFonts w:hint="eastAsia" w:hAnsi="黑体" w:cs="黑体"/>
        </w:rPr>
        <w:t>B.4.3.4 社会表现认定情况</w:t>
      </w:r>
    </w:p>
    <w:p>
      <w:pPr>
        <w:pStyle w:val="24"/>
        <w:rPr>
          <w:rFonts w:ascii="Times New Roman" w:eastAsia="Times New Roman"/>
          <w:szCs w:val="24"/>
        </w:rPr>
      </w:pPr>
      <w:r>
        <w:rPr>
          <w:rFonts w:hint="eastAsia" w:ascii="Times New Roman"/>
          <w:szCs w:val="24"/>
        </w:rPr>
        <w:t>内部行动。主要描述</w:t>
      </w:r>
      <w:r>
        <w:rPr>
          <w:rFonts w:hint="eastAsia" w:ascii="Times New Roman"/>
          <w:szCs w:val="24"/>
          <w:lang w:eastAsia="zh-CN"/>
        </w:rPr>
        <w:t>绿色发展行动</w:t>
      </w:r>
      <w:r>
        <w:rPr>
          <w:rFonts w:hint="eastAsia" w:ascii="Times New Roman"/>
          <w:szCs w:val="24"/>
        </w:rPr>
        <w:t>、信息披露</w:t>
      </w:r>
      <w:r>
        <w:rPr>
          <w:rFonts w:hint="eastAsia" w:ascii="Times New Roman"/>
          <w:szCs w:val="24"/>
          <w:lang w:eastAsia="zh-CN"/>
        </w:rPr>
        <w:t>及绿色低碳意识培训情况</w:t>
      </w:r>
      <w:r>
        <w:rPr>
          <w:rFonts w:hint="eastAsia" w:ascii="Times New Roman"/>
          <w:szCs w:val="24"/>
        </w:rPr>
        <w:t>等信息。</w:t>
      </w:r>
    </w:p>
    <w:p>
      <w:pPr>
        <w:pStyle w:val="24"/>
        <w:rPr>
          <w:rFonts w:ascii="Times New Roman" w:eastAsia="Times New Roman"/>
          <w:szCs w:val="24"/>
        </w:rPr>
      </w:pPr>
      <w:r>
        <w:rPr>
          <w:rFonts w:hint="eastAsia" w:ascii="Times New Roman"/>
          <w:szCs w:val="24"/>
        </w:rPr>
        <w:t>社会责任。主要描述举办或参加环保公益活动、提供社会援助、绿色供应链管理的情况。</w:t>
      </w:r>
    </w:p>
    <w:p>
      <w:pPr>
        <w:pStyle w:val="89"/>
        <w:numPr>
          <w:ilvl w:val="1"/>
          <w:numId w:val="0"/>
        </w:numPr>
        <w:spacing w:before="156" w:after="156"/>
        <w:jc w:val="both"/>
        <w:rPr>
          <w:rFonts w:hAnsi="黑体" w:cs="黑体"/>
        </w:rPr>
      </w:pPr>
      <w:r>
        <w:rPr>
          <w:rFonts w:hint="eastAsia" w:hAnsi="黑体" w:cs="黑体"/>
        </w:rPr>
        <w:t>B.5 评分表</w:t>
      </w:r>
    </w:p>
    <w:p>
      <w:pPr>
        <w:pStyle w:val="24"/>
        <w:rPr>
          <w:rFonts w:hAnsi="宋体"/>
          <w:szCs w:val="24"/>
        </w:rPr>
      </w:pPr>
      <w:r>
        <w:rPr>
          <w:rFonts w:hint="eastAsia" w:hAnsi="宋体"/>
          <w:szCs w:val="24"/>
        </w:rPr>
        <w:t>企事业单位评分表见表B.3、表B.4和表B.5</w:t>
      </w:r>
      <w:r>
        <w:rPr>
          <w:rFonts w:hint="eastAsia" w:hAnsi="宋体"/>
          <w:szCs w:val="24"/>
          <w:lang w:eastAsia="zh-CN"/>
        </w:rPr>
        <w:t>，</w:t>
      </w:r>
      <w:r>
        <w:rPr>
          <w:rFonts w:hint="eastAsia" w:hAnsi="宋体"/>
          <w:szCs w:val="24"/>
          <w:lang w:val="en-US" w:eastAsia="zh-CN"/>
        </w:rPr>
        <w:t>B.6。</w:t>
      </w:r>
    </w:p>
    <w:p>
      <w:pPr>
        <w:pStyle w:val="89"/>
        <w:numPr>
          <w:ilvl w:val="1"/>
          <w:numId w:val="0"/>
        </w:numPr>
        <w:spacing w:before="156" w:after="156"/>
        <w:rPr>
          <w:rFonts w:hAnsi="黑体" w:cs="黑体"/>
        </w:rPr>
      </w:pPr>
      <w:r>
        <w:rPr>
          <w:rFonts w:hint="eastAsia" w:hAnsi="黑体" w:cs="黑体"/>
        </w:rPr>
        <w:t>表B.3 基本要求评分表</w:t>
      </w:r>
    </w:p>
    <w:tbl>
      <w:tblPr>
        <w:tblStyle w:val="34"/>
        <w:tblW w:w="91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622"/>
        <w:gridCol w:w="2700"/>
        <w:gridCol w:w="1737"/>
        <w:gridCol w:w="15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556"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2622" w:type="dxa"/>
            <w:tcBorders>
              <w:bottom w:val="single" w:color="auto" w:sz="8" w:space="0"/>
            </w:tcBorders>
            <w:vAlign w:val="center"/>
          </w:tcPr>
          <w:p>
            <w:pPr>
              <w:spacing w:line="360" w:lineRule="exact"/>
              <w:jc w:val="center"/>
              <w:rPr>
                <w:b/>
                <w:sz w:val="18"/>
                <w:szCs w:val="18"/>
              </w:rPr>
            </w:pPr>
            <w:r>
              <w:rPr>
                <w:rFonts w:hint="eastAsia"/>
                <w:b/>
                <w:sz w:val="18"/>
                <w:szCs w:val="18"/>
              </w:rPr>
              <w:t>基本要求内容</w:t>
            </w:r>
          </w:p>
        </w:tc>
        <w:tc>
          <w:tcPr>
            <w:tcW w:w="2700" w:type="dxa"/>
            <w:tcBorders>
              <w:bottom w:val="single" w:color="auto" w:sz="8" w:space="0"/>
            </w:tcBorders>
            <w:vAlign w:val="center"/>
          </w:tcPr>
          <w:p>
            <w:pPr>
              <w:spacing w:line="360" w:lineRule="exact"/>
              <w:jc w:val="center"/>
              <w:rPr>
                <w:rFonts w:hint="eastAsia" w:eastAsia="宋体"/>
                <w:b/>
                <w:sz w:val="18"/>
                <w:szCs w:val="18"/>
                <w:lang w:eastAsia="zh-CN"/>
              </w:rPr>
            </w:pPr>
            <w:r>
              <w:rPr>
                <w:rFonts w:hint="eastAsia"/>
                <w:b/>
                <w:sz w:val="18"/>
                <w:szCs w:val="18"/>
                <w:lang w:eastAsia="zh-CN"/>
              </w:rPr>
              <w:t>评分依据</w:t>
            </w:r>
          </w:p>
        </w:tc>
        <w:tc>
          <w:tcPr>
            <w:tcW w:w="1737"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545"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6" w:type="dxa"/>
            <w:tcBorders>
              <w:top w:val="single" w:color="auto" w:sz="8" w:space="0"/>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2622" w:type="dxa"/>
            <w:tcBorders>
              <w:top w:val="single" w:color="auto" w:sz="8" w:space="0"/>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lang w:val="en-US" w:eastAsia="zh-CN"/>
              </w:rPr>
              <w:t>在深圳市（含深汕特别合作区）行政辖区内注册满一年的法人企业或事业单位法人，总部设立在深圳的集团公司可联合深圳市行政辖区外的控股子公司共同申报</w:t>
            </w:r>
            <w:r>
              <w:rPr>
                <w:rFonts w:hint="eastAsia" w:cs="宋体" w:asciiTheme="minorEastAsia" w:hAnsiTheme="minorEastAsia" w:eastAsiaTheme="minorEastAsia"/>
                <w:color w:val="000000"/>
                <w:kern w:val="0"/>
                <w:sz w:val="18"/>
                <w:szCs w:val="18"/>
                <w:lang w:eastAsia="zh-CN"/>
              </w:rPr>
              <w:t>。</w:t>
            </w:r>
          </w:p>
        </w:tc>
        <w:tc>
          <w:tcPr>
            <w:tcW w:w="2700" w:type="dxa"/>
            <w:tcBorders>
              <w:top w:val="single" w:color="auto" w:sz="8" w:space="0"/>
              <w:tl2br w:val="nil"/>
              <w:tr2bl w:val="nil"/>
            </w:tcBorders>
            <w:vAlign w:val="center"/>
          </w:tcPr>
          <w:p>
            <w:pPr>
              <w:widowControl/>
              <w:rPr>
                <w:rFonts w:hint="eastAsia"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rPr>
              <w:t>营业执照或事业单位法人证书。</w:t>
            </w:r>
          </w:p>
        </w:tc>
        <w:tc>
          <w:tcPr>
            <w:tcW w:w="1737" w:type="dxa"/>
            <w:tcBorders>
              <w:top w:val="single" w:color="auto" w:sz="8" w:space="0"/>
              <w:tl2br w:val="nil"/>
              <w:tr2bl w:val="nil"/>
            </w:tcBorders>
            <w:vAlign w:val="center"/>
          </w:tcPr>
          <w:p>
            <w:pPr>
              <w:spacing w:line="280" w:lineRule="exact"/>
              <w:jc w:val="center"/>
              <w:rPr>
                <w:sz w:val="18"/>
                <w:szCs w:val="18"/>
              </w:rPr>
            </w:pPr>
          </w:p>
        </w:tc>
        <w:tc>
          <w:tcPr>
            <w:tcW w:w="1545" w:type="dxa"/>
            <w:tcBorders>
              <w:top w:val="single" w:color="auto" w:sz="8" w:space="0"/>
              <w:tl2br w:val="nil"/>
              <w:tr2bl w:val="nil"/>
            </w:tcBorders>
            <w:vAlign w:val="center"/>
          </w:tcPr>
          <w:p>
            <w:pPr>
              <w:spacing w:line="28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56"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w:t>
            </w:r>
          </w:p>
        </w:tc>
        <w:tc>
          <w:tcPr>
            <w:tcW w:w="2622" w:type="dxa"/>
            <w:tcBorders>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lang w:val="en-US" w:eastAsia="zh-CN"/>
              </w:rPr>
              <w:t>在申报、认定及结果公示期结束之前均未被列入失信联合惩戒黑名单及失信被执行人名单。</w:t>
            </w:r>
          </w:p>
        </w:tc>
        <w:tc>
          <w:tcPr>
            <w:tcW w:w="2700" w:type="dxa"/>
            <w:tcBorders>
              <w:tl2br w:val="nil"/>
              <w:tr2bl w:val="nil"/>
            </w:tcBorders>
            <w:vAlign w:val="center"/>
          </w:tcPr>
          <w:p>
            <w:pPr>
              <w:widowControl/>
              <w:rPr>
                <w:rFonts w:hint="eastAsia"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rPr>
              <w:t>中国执行信息公开网</w:t>
            </w:r>
            <w:r>
              <w:rPr>
                <w:rFonts w:hint="eastAsia" w:cs="宋体" w:asciiTheme="minorEastAsia" w:hAnsiTheme="minorEastAsia" w:eastAsiaTheme="minorEastAsia"/>
                <w:sz w:val="18"/>
                <w:szCs w:val="18"/>
                <w:lang w:eastAsia="zh-CN"/>
              </w:rPr>
              <w:t>、</w:t>
            </w:r>
            <w:r>
              <w:rPr>
                <w:rFonts w:hint="eastAsia" w:cs="宋体" w:asciiTheme="minorEastAsia" w:hAnsiTheme="minorEastAsia" w:eastAsiaTheme="minorEastAsia"/>
                <w:sz w:val="18"/>
                <w:szCs w:val="18"/>
                <w:lang w:val="en-US" w:eastAsia="zh-CN"/>
              </w:rPr>
              <w:t>中国信用信息共享平台发布结果。</w:t>
            </w:r>
          </w:p>
        </w:tc>
        <w:tc>
          <w:tcPr>
            <w:tcW w:w="1737" w:type="dxa"/>
            <w:tcBorders>
              <w:tl2br w:val="nil"/>
              <w:tr2bl w:val="nil"/>
            </w:tcBorders>
            <w:vAlign w:val="center"/>
          </w:tcPr>
          <w:p>
            <w:pPr>
              <w:spacing w:line="440" w:lineRule="exact"/>
              <w:jc w:val="center"/>
              <w:rPr>
                <w:sz w:val="18"/>
                <w:szCs w:val="18"/>
              </w:rPr>
            </w:pPr>
          </w:p>
        </w:tc>
        <w:tc>
          <w:tcPr>
            <w:tcW w:w="1545"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56"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w:t>
            </w:r>
          </w:p>
        </w:tc>
        <w:tc>
          <w:tcPr>
            <w:tcW w:w="2622" w:type="dxa"/>
            <w:tcBorders>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lang w:val="en-US" w:eastAsia="zh-CN"/>
              </w:rPr>
              <w:t>申报前三年内未发生重大安全、重大质量事故或严重环境违法行为。</w:t>
            </w:r>
          </w:p>
        </w:tc>
        <w:tc>
          <w:tcPr>
            <w:tcW w:w="2700" w:type="dxa"/>
            <w:tcBorders>
              <w:tl2br w:val="nil"/>
              <w:tr2bl w:val="nil"/>
            </w:tcBorders>
            <w:vAlign w:val="center"/>
          </w:tcPr>
          <w:p>
            <w:pPr>
              <w:widowControl/>
              <w:rPr>
                <w:rFonts w:hint="eastAsia" w:cs="宋体" w:asciiTheme="minorEastAsia" w:hAnsiTheme="minorEastAsia" w:eastAsiaTheme="minorEastAsia"/>
                <w:color w:val="000000"/>
                <w:kern w:val="0"/>
                <w:sz w:val="18"/>
                <w:szCs w:val="18"/>
                <w:lang w:val="en-US" w:eastAsia="zh-CN" w:bidi="ar-SA"/>
              </w:rPr>
            </w:pPr>
            <w:r>
              <w:rPr>
                <w:rFonts w:hint="eastAsia" w:cs="宋体" w:asciiTheme="minorEastAsia" w:hAnsiTheme="minorEastAsia" w:eastAsiaTheme="minorEastAsia"/>
                <w:color w:val="000000"/>
                <w:kern w:val="0"/>
                <w:sz w:val="18"/>
                <w:szCs w:val="18"/>
                <w:lang w:val="en-US" w:eastAsia="zh-CN"/>
              </w:rPr>
              <w:t>国家、省、市政府的市场监督管理部门、安全生产监督管理部门、环境监督管理部门等相关部门网站发布结果，自我申明</w:t>
            </w:r>
            <w:r>
              <w:rPr>
                <w:rFonts w:hint="eastAsia" w:cs="宋体" w:asciiTheme="minorEastAsia" w:hAnsiTheme="minorEastAsia" w:eastAsiaTheme="minorEastAsia"/>
                <w:color w:val="000000"/>
                <w:kern w:val="0"/>
                <w:sz w:val="18"/>
                <w:szCs w:val="18"/>
              </w:rPr>
              <w:t>。</w:t>
            </w:r>
          </w:p>
        </w:tc>
        <w:tc>
          <w:tcPr>
            <w:tcW w:w="1737" w:type="dxa"/>
            <w:tcBorders>
              <w:tl2br w:val="nil"/>
              <w:tr2bl w:val="nil"/>
            </w:tcBorders>
            <w:vAlign w:val="center"/>
          </w:tcPr>
          <w:p>
            <w:pPr>
              <w:spacing w:line="440" w:lineRule="exact"/>
              <w:jc w:val="center"/>
              <w:rPr>
                <w:sz w:val="18"/>
                <w:szCs w:val="18"/>
              </w:rPr>
            </w:pPr>
          </w:p>
        </w:tc>
        <w:tc>
          <w:tcPr>
            <w:tcW w:w="1545"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4</w:t>
            </w:r>
          </w:p>
        </w:tc>
        <w:tc>
          <w:tcPr>
            <w:tcW w:w="2622" w:type="dxa"/>
            <w:tcBorders>
              <w:tl2br w:val="nil"/>
              <w:tr2bl w:val="nil"/>
            </w:tcBorders>
            <w:vAlign w:val="center"/>
          </w:tcPr>
          <w:p>
            <w:pPr>
              <w:widowControl/>
              <w:rPr>
                <w:color w:val="000000"/>
                <w:kern w:val="0"/>
                <w:sz w:val="18"/>
                <w:szCs w:val="18"/>
              </w:rPr>
            </w:pPr>
            <w:r>
              <w:rPr>
                <w:rFonts w:hint="eastAsia" w:cs="宋体" w:asciiTheme="minorEastAsia" w:hAnsiTheme="minorEastAsia" w:eastAsiaTheme="minorEastAsia"/>
                <w:color w:val="000000"/>
                <w:kern w:val="0"/>
                <w:sz w:val="18"/>
                <w:szCs w:val="18"/>
              </w:rPr>
              <w:t>《深圳市绿色</w:t>
            </w:r>
            <w:r>
              <w:rPr>
                <w:rFonts w:hint="eastAsia" w:cs="宋体" w:asciiTheme="minorEastAsia" w:hAnsiTheme="minorEastAsia" w:eastAsiaTheme="minorEastAsia"/>
                <w:color w:val="000000"/>
                <w:kern w:val="0"/>
                <w:sz w:val="18"/>
                <w:szCs w:val="18"/>
                <w:lang w:val="en-US" w:eastAsia="zh-CN"/>
              </w:rPr>
              <w:t>低碳</w:t>
            </w:r>
            <w:r>
              <w:rPr>
                <w:rFonts w:hint="eastAsia" w:cs="宋体" w:asciiTheme="minorEastAsia" w:hAnsiTheme="minorEastAsia" w:eastAsiaTheme="minorEastAsia"/>
                <w:color w:val="000000"/>
                <w:kern w:val="0"/>
                <w:sz w:val="18"/>
                <w:szCs w:val="18"/>
              </w:rPr>
              <w:t>产业认定管理办法》所规定的其他要求</w:t>
            </w:r>
            <w:r>
              <w:rPr>
                <w:rFonts w:hint="eastAsia" w:cs="宋体" w:asciiTheme="minorEastAsia" w:hAnsiTheme="minorEastAsia" w:eastAsiaTheme="minorEastAsia"/>
                <w:color w:val="000000"/>
                <w:kern w:val="0"/>
                <w:sz w:val="18"/>
                <w:szCs w:val="18"/>
                <w:lang w:eastAsia="zh-CN"/>
              </w:rPr>
              <w:t>。</w:t>
            </w:r>
          </w:p>
        </w:tc>
        <w:tc>
          <w:tcPr>
            <w:tcW w:w="2700" w:type="dxa"/>
            <w:tcBorders>
              <w:tl2br w:val="nil"/>
              <w:tr2bl w:val="nil"/>
            </w:tcBorders>
            <w:vAlign w:val="center"/>
          </w:tcPr>
          <w:p>
            <w:pPr>
              <w:widowControl/>
              <w:rPr>
                <w:rFonts w:hint="eastAsia" w:cs="宋体" w:asciiTheme="minorEastAsia" w:hAnsiTheme="minorEastAsia" w:eastAsiaTheme="minorEastAsia"/>
                <w:color w:val="000000"/>
                <w:kern w:val="0"/>
                <w:sz w:val="18"/>
                <w:szCs w:val="18"/>
                <w:lang w:val="en-US" w:eastAsia="zh-CN" w:bidi="ar-SA"/>
              </w:rPr>
            </w:pPr>
            <w:r>
              <w:rPr>
                <w:rFonts w:hint="default" w:cs="宋体" w:asciiTheme="minorEastAsia" w:hAnsiTheme="minorEastAsia" w:eastAsiaTheme="minorEastAsia"/>
                <w:color w:val="000000"/>
                <w:kern w:val="0"/>
                <w:sz w:val="18"/>
                <w:szCs w:val="18"/>
                <w:lang w:val="en-US"/>
              </w:rPr>
              <w:t>《深圳市绿色</w:t>
            </w:r>
            <w:r>
              <w:rPr>
                <w:rFonts w:hint="default" w:cs="宋体" w:asciiTheme="minorEastAsia" w:hAnsiTheme="minorEastAsia" w:eastAsiaTheme="minorEastAsia"/>
                <w:color w:val="000000"/>
                <w:kern w:val="0"/>
                <w:sz w:val="18"/>
                <w:szCs w:val="18"/>
                <w:lang w:val="en-US" w:eastAsia="zh-CN"/>
              </w:rPr>
              <w:t>低碳</w:t>
            </w:r>
            <w:r>
              <w:rPr>
                <w:rFonts w:hint="default" w:cs="宋体" w:asciiTheme="minorEastAsia" w:hAnsiTheme="minorEastAsia" w:eastAsiaTheme="minorEastAsia"/>
                <w:color w:val="000000"/>
                <w:kern w:val="0"/>
                <w:sz w:val="18"/>
                <w:szCs w:val="18"/>
                <w:lang w:val="en-US"/>
              </w:rPr>
              <w:t>产业认定管理办法》</w:t>
            </w:r>
            <w:r>
              <w:rPr>
                <w:rFonts w:hint="eastAsia" w:cs="宋体" w:asciiTheme="minorEastAsia" w:hAnsiTheme="minorEastAsia" w:eastAsiaTheme="minorEastAsia"/>
                <w:color w:val="000000"/>
                <w:kern w:val="0"/>
                <w:sz w:val="18"/>
                <w:szCs w:val="18"/>
              </w:rPr>
              <w:t>。</w:t>
            </w:r>
          </w:p>
        </w:tc>
        <w:tc>
          <w:tcPr>
            <w:tcW w:w="1737" w:type="dxa"/>
            <w:tcBorders>
              <w:tl2br w:val="nil"/>
              <w:tr2bl w:val="nil"/>
            </w:tcBorders>
            <w:vAlign w:val="center"/>
          </w:tcPr>
          <w:p>
            <w:pPr>
              <w:spacing w:line="440" w:lineRule="exact"/>
              <w:jc w:val="center"/>
              <w:rPr>
                <w:sz w:val="18"/>
                <w:szCs w:val="18"/>
              </w:rPr>
            </w:pPr>
          </w:p>
        </w:tc>
        <w:tc>
          <w:tcPr>
            <w:tcW w:w="1545"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bl>
    <w:p>
      <w:pPr>
        <w:pStyle w:val="89"/>
        <w:numPr>
          <w:ilvl w:val="1"/>
          <w:numId w:val="0"/>
        </w:numPr>
        <w:spacing w:before="156" w:after="156"/>
        <w:rPr>
          <w:rFonts w:ascii="Times New Roman" w:eastAsia="Times New Roman"/>
        </w:rPr>
      </w:pPr>
      <w:r>
        <w:rPr>
          <w:rFonts w:hint="eastAsia" w:hAnsi="黑体" w:cs="黑体"/>
        </w:rPr>
        <w:t>表B.4 符合性指标评分表</w:t>
      </w:r>
    </w:p>
    <w:tbl>
      <w:tblPr>
        <w:tblStyle w:val="34"/>
        <w:tblW w:w="9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82"/>
        <w:gridCol w:w="4800"/>
        <w:gridCol w:w="1037"/>
        <w:gridCol w:w="1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1082" w:type="dxa"/>
            <w:tcBorders>
              <w:bottom w:val="single" w:color="auto" w:sz="8" w:space="0"/>
            </w:tcBorders>
            <w:vAlign w:val="center"/>
          </w:tcPr>
          <w:p>
            <w:pPr>
              <w:spacing w:line="360" w:lineRule="exact"/>
              <w:jc w:val="center"/>
              <w:rPr>
                <w:b/>
                <w:sz w:val="18"/>
                <w:szCs w:val="18"/>
              </w:rPr>
            </w:pPr>
            <w:r>
              <w:rPr>
                <w:rFonts w:hint="eastAsia"/>
                <w:b/>
                <w:sz w:val="18"/>
                <w:szCs w:val="18"/>
              </w:rPr>
              <w:t>指标</w:t>
            </w:r>
          </w:p>
        </w:tc>
        <w:tc>
          <w:tcPr>
            <w:tcW w:w="4800" w:type="dxa"/>
            <w:tcBorders>
              <w:bottom w:val="single" w:color="auto" w:sz="8" w:space="0"/>
            </w:tcBorders>
            <w:vAlign w:val="center"/>
          </w:tcPr>
          <w:p>
            <w:pPr>
              <w:spacing w:line="360" w:lineRule="exact"/>
              <w:jc w:val="center"/>
              <w:rPr>
                <w:b/>
                <w:sz w:val="18"/>
                <w:szCs w:val="18"/>
              </w:rPr>
            </w:pPr>
            <w:r>
              <w:rPr>
                <w:rFonts w:hint="eastAsia"/>
                <w:b/>
                <w:sz w:val="18"/>
                <w:szCs w:val="18"/>
              </w:rPr>
              <w:t>符合性评价内容</w:t>
            </w:r>
          </w:p>
        </w:tc>
        <w:tc>
          <w:tcPr>
            <w:tcW w:w="1037"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514"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4" w:type="dxa"/>
            <w:tcBorders>
              <w:top w:val="single" w:color="auto" w:sz="8" w:space="0"/>
              <w:tl2br w:val="nil"/>
              <w:tr2bl w:val="nil"/>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1</w:t>
            </w:r>
          </w:p>
        </w:tc>
        <w:tc>
          <w:tcPr>
            <w:tcW w:w="1082" w:type="dxa"/>
            <w:tcBorders>
              <w:top w:val="single" w:color="auto" w:sz="8" w:space="0"/>
              <w:tl2br w:val="nil"/>
              <w:tr2bl w:val="nil"/>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目录符合</w:t>
            </w:r>
          </w:p>
        </w:tc>
        <w:tc>
          <w:tcPr>
            <w:tcW w:w="4800" w:type="dxa"/>
            <w:tcBorders>
              <w:top w:val="single" w:color="auto" w:sz="8" w:space="0"/>
              <w:tl2br w:val="nil"/>
              <w:tr2bl w:val="nil"/>
            </w:tcBorders>
            <w:vAlign w:val="center"/>
          </w:tcPr>
          <w:p>
            <w:pPr>
              <w:widowControl/>
              <w:tabs>
                <w:tab w:val="center" w:pos="4201"/>
                <w:tab w:val="right" w:leader="dot" w:pos="9298"/>
              </w:tabs>
              <w:autoSpaceDE w:val="0"/>
              <w:autoSpaceDN w:val="0"/>
              <w:jc w:val="left"/>
              <w:rPr>
                <w:rFonts w:hint="eastAsia" w:eastAsia="宋体"/>
                <w:kern w:val="0"/>
                <w:sz w:val="18"/>
                <w:szCs w:val="18"/>
                <w:lang w:eastAsia="zh-CN"/>
              </w:rPr>
            </w:pPr>
            <w:r>
              <w:rPr>
                <w:rFonts w:hint="eastAsia"/>
                <w:sz w:val="18"/>
                <w:szCs w:val="18"/>
              </w:rPr>
              <w:t>申报认定评价的主营业务应属于太阳能产品、太阳能生产装备、太阳能利用设施建设和运营等太阳能产业</w:t>
            </w:r>
            <w:r>
              <w:rPr>
                <w:rFonts w:hint="eastAsia"/>
                <w:sz w:val="18"/>
                <w:szCs w:val="18"/>
                <w:lang w:eastAsia="zh-CN"/>
              </w:rPr>
              <w:t>，</w:t>
            </w:r>
            <w:r>
              <w:rPr>
                <w:rFonts w:hint="eastAsia" w:ascii="Times New Roman" w:hAnsi="Times New Roman" w:eastAsia="宋体"/>
                <w:color w:val="auto"/>
                <w:kern w:val="2"/>
                <w:sz w:val="18"/>
                <w:szCs w:val="18"/>
                <w:highlight w:val="none"/>
              </w:rPr>
              <w:t>且其绿色业务占比达到50%或以上，或跨界规模达到1亿元、</w:t>
            </w:r>
            <w:r>
              <w:rPr>
                <w:rFonts w:hint="eastAsia"/>
                <w:color w:val="auto"/>
                <w:kern w:val="2"/>
                <w:sz w:val="18"/>
                <w:szCs w:val="18"/>
                <w:highlight w:val="none"/>
              </w:rPr>
              <w:t>在国内外新兴领域超前领先。</w:t>
            </w:r>
          </w:p>
        </w:tc>
        <w:tc>
          <w:tcPr>
            <w:tcW w:w="1037" w:type="dxa"/>
            <w:tcBorders>
              <w:top w:val="single" w:color="auto" w:sz="8" w:space="0"/>
              <w:tl2br w:val="nil"/>
              <w:tr2bl w:val="nil"/>
            </w:tcBorders>
            <w:vAlign w:val="center"/>
          </w:tcPr>
          <w:p>
            <w:pPr>
              <w:spacing w:line="440" w:lineRule="exact"/>
              <w:jc w:val="center"/>
              <w:rPr>
                <w:rFonts w:ascii="宋体" w:hAnsi="宋体" w:cs="宋体"/>
                <w:sz w:val="18"/>
                <w:szCs w:val="18"/>
              </w:rPr>
            </w:pPr>
          </w:p>
        </w:tc>
        <w:tc>
          <w:tcPr>
            <w:tcW w:w="1514" w:type="dxa"/>
            <w:tcBorders>
              <w:top w:val="single" w:color="auto" w:sz="8"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4" w:type="dxa"/>
            <w:tcBorders>
              <w:tl2br w:val="nil"/>
              <w:tr2bl w:val="nil"/>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2</w:t>
            </w:r>
          </w:p>
        </w:tc>
        <w:tc>
          <w:tcPr>
            <w:tcW w:w="1082" w:type="dxa"/>
            <w:tcBorders>
              <w:tl2br w:val="nil"/>
              <w:tr2bl w:val="nil"/>
            </w:tcBorders>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技术符合</w:t>
            </w:r>
          </w:p>
        </w:tc>
        <w:tc>
          <w:tcPr>
            <w:tcW w:w="4800" w:type="dxa"/>
            <w:tcBorders>
              <w:tl2br w:val="nil"/>
              <w:tr2bl w:val="nil"/>
            </w:tcBorders>
            <w:vAlign w:val="center"/>
          </w:tcPr>
          <w:p>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提供的产品或服务应符合国家、广东省及深圳市相关主管部门发布的法律法规和政策标准要求，相关产品及研发制造活动、</w:t>
            </w:r>
            <w:r>
              <w:rPr>
                <w:rFonts w:hint="eastAsia"/>
                <w:sz w:val="18"/>
                <w:szCs w:val="18"/>
                <w:lang w:eastAsia="zh-CN"/>
              </w:rPr>
              <w:t>太阳能</w:t>
            </w:r>
            <w:r>
              <w:rPr>
                <w:rFonts w:hint="eastAsia"/>
                <w:sz w:val="18"/>
                <w:szCs w:val="18"/>
              </w:rPr>
              <w:t>利用设施建设和运营情况符合深圳市</w:t>
            </w:r>
            <w:r>
              <w:rPr>
                <w:rFonts w:hint="eastAsia"/>
                <w:sz w:val="18"/>
                <w:szCs w:val="18"/>
                <w:lang w:eastAsia="zh-CN"/>
              </w:rPr>
              <w:t>绿色低碳产业</w:t>
            </w:r>
            <w:r>
              <w:rPr>
                <w:rFonts w:hint="eastAsia"/>
                <w:sz w:val="18"/>
                <w:szCs w:val="18"/>
              </w:rPr>
              <w:t>认定规则体系规定的技术要求。</w:t>
            </w:r>
          </w:p>
        </w:tc>
        <w:tc>
          <w:tcPr>
            <w:tcW w:w="1037" w:type="dxa"/>
            <w:tcBorders>
              <w:tl2br w:val="nil"/>
              <w:tr2bl w:val="nil"/>
            </w:tcBorders>
            <w:vAlign w:val="center"/>
          </w:tcPr>
          <w:p>
            <w:pPr>
              <w:spacing w:line="440" w:lineRule="exact"/>
              <w:jc w:val="center"/>
              <w:rPr>
                <w:rFonts w:ascii="宋体" w:hAnsi="宋体" w:cs="宋体"/>
                <w:sz w:val="18"/>
                <w:szCs w:val="18"/>
              </w:rPr>
            </w:pPr>
          </w:p>
        </w:tc>
        <w:tc>
          <w:tcPr>
            <w:tcW w:w="1514"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bl>
    <w:p>
      <w:pPr>
        <w:pStyle w:val="89"/>
        <w:numPr>
          <w:ilvl w:val="1"/>
          <w:numId w:val="0"/>
        </w:numPr>
        <w:spacing w:before="156" w:after="156"/>
        <w:rPr>
          <w:rFonts w:hint="eastAsia" w:hAnsi="黑体"/>
        </w:rPr>
      </w:pPr>
      <w:r>
        <w:rPr>
          <w:rFonts w:hint="eastAsia" w:hAnsi="黑体"/>
        </w:rPr>
        <w:t xml:space="preserve">表B.5 </w:t>
      </w:r>
      <w:r>
        <w:rPr>
          <w:rFonts w:hint="eastAsia" w:hAnsi="黑体"/>
          <w:color w:val="auto"/>
        </w:rPr>
        <w:t>综合评价</w:t>
      </w:r>
      <w:r>
        <w:rPr>
          <w:rFonts w:hint="eastAsia" w:ascii="Times New Roman"/>
          <w:color w:val="auto"/>
        </w:rPr>
        <w:t>指标评分表</w:t>
      </w:r>
    </w:p>
    <w:tbl>
      <w:tblPr>
        <w:tblStyle w:val="35"/>
        <w:tblpPr w:leftFromText="180" w:rightFromText="180" w:vertAnchor="text" w:tblpXSpec="center" w:tblpY="1"/>
        <w:tblOverlap w:val="never"/>
        <w:tblW w:w="9131" w:type="dxa"/>
        <w:tblInd w:w="-83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51"/>
        <w:gridCol w:w="1867"/>
        <w:gridCol w:w="978"/>
        <w:gridCol w:w="978"/>
        <w:gridCol w:w="978"/>
        <w:gridCol w:w="978"/>
        <w:gridCol w:w="978"/>
        <w:gridCol w:w="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8" w:space="0"/>
            </w:tcBorders>
            <w:vAlign w:val="center"/>
          </w:tcPr>
          <w:p>
            <w:pPr>
              <w:autoSpaceDE w:val="0"/>
              <w:autoSpaceDN w:val="0"/>
              <w:jc w:val="center"/>
              <w:rPr>
                <w:rFonts w:ascii="宋体"/>
                <w:b/>
                <w:color w:val="auto"/>
                <w:sz w:val="18"/>
                <w:szCs w:val="18"/>
              </w:rPr>
            </w:pPr>
            <w:r>
              <w:rPr>
                <w:rFonts w:ascii="宋体"/>
                <w:b/>
                <w:color w:val="auto"/>
                <w:sz w:val="18"/>
                <w:szCs w:val="18"/>
              </w:rPr>
              <w:t>一级指标</w:t>
            </w:r>
          </w:p>
        </w:tc>
        <w:tc>
          <w:tcPr>
            <w:tcW w:w="751" w:type="dxa"/>
            <w:tcBorders>
              <w:bottom w:val="single" w:color="auto" w:sz="8" w:space="0"/>
            </w:tcBorders>
            <w:vAlign w:val="center"/>
          </w:tcPr>
          <w:p>
            <w:pPr>
              <w:autoSpaceDE w:val="0"/>
              <w:autoSpaceDN w:val="0"/>
              <w:jc w:val="center"/>
              <w:rPr>
                <w:rFonts w:ascii="宋体"/>
                <w:b/>
                <w:color w:val="auto"/>
                <w:sz w:val="18"/>
                <w:szCs w:val="18"/>
              </w:rPr>
            </w:pPr>
            <w:r>
              <w:rPr>
                <w:rFonts w:ascii="宋体"/>
                <w:b/>
                <w:color w:val="auto"/>
                <w:sz w:val="18"/>
                <w:szCs w:val="18"/>
              </w:rPr>
              <w:t>二级指标</w:t>
            </w:r>
          </w:p>
        </w:tc>
        <w:tc>
          <w:tcPr>
            <w:tcW w:w="1867" w:type="dxa"/>
            <w:tcBorders>
              <w:bottom w:val="single" w:color="auto" w:sz="8" w:space="0"/>
            </w:tcBorders>
            <w:vAlign w:val="center"/>
          </w:tcPr>
          <w:p>
            <w:pPr>
              <w:autoSpaceDE w:val="0"/>
              <w:autoSpaceDN w:val="0"/>
              <w:jc w:val="center"/>
              <w:rPr>
                <w:rFonts w:ascii="宋体"/>
                <w:b/>
                <w:color w:val="auto"/>
                <w:sz w:val="18"/>
                <w:szCs w:val="18"/>
              </w:rPr>
            </w:pPr>
            <w:r>
              <w:rPr>
                <w:rFonts w:ascii="宋体"/>
                <w:b/>
                <w:color w:val="auto"/>
                <w:sz w:val="18"/>
                <w:szCs w:val="18"/>
              </w:rPr>
              <w:t>三级指标</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hint="default" w:ascii="宋体" w:eastAsia="宋体"/>
                <w:b/>
                <w:color w:val="auto"/>
                <w:sz w:val="18"/>
                <w:szCs w:val="18"/>
                <w:lang w:val="en-US" w:eastAsia="zh-CN"/>
              </w:rPr>
            </w:pPr>
            <w:r>
              <w:rPr>
                <w:rFonts w:hint="default"/>
                <w:b/>
                <w:color w:val="auto"/>
                <w:kern w:val="0"/>
                <w:sz w:val="18"/>
                <w:szCs w:val="18"/>
                <w:lang w:val="en-US" w:eastAsia="zh-CN"/>
              </w:rPr>
              <w:t>参考标准</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hint="eastAsia" w:ascii="宋体"/>
                <w:b/>
                <w:color w:val="auto"/>
                <w:sz w:val="18"/>
                <w:szCs w:val="18"/>
                <w:lang w:val="en-US" w:eastAsia="zh-CN"/>
              </w:rPr>
            </w:pPr>
            <w:r>
              <w:rPr>
                <w:rFonts w:hint="eastAsia"/>
                <w:b/>
                <w:color w:val="auto"/>
                <w:kern w:val="0"/>
                <w:sz w:val="18"/>
                <w:szCs w:val="18"/>
                <w:lang w:val="en-US" w:eastAsia="zh-CN"/>
              </w:rPr>
              <w:t>标准参考值/要求</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hint="eastAsia" w:ascii="宋体"/>
                <w:b/>
                <w:color w:val="auto"/>
                <w:sz w:val="18"/>
                <w:szCs w:val="18"/>
                <w:lang w:val="en-US" w:eastAsia="zh-CN"/>
              </w:rPr>
            </w:pPr>
            <w:r>
              <w:rPr>
                <w:rFonts w:hint="eastAsia"/>
                <w:b/>
                <w:color w:val="auto"/>
                <w:kern w:val="0"/>
                <w:sz w:val="18"/>
                <w:szCs w:val="18"/>
                <w:lang w:val="en-US" w:eastAsia="zh-CN"/>
              </w:rPr>
              <w:t>自评值/要求</w:t>
            </w:r>
          </w:p>
        </w:tc>
        <w:tc>
          <w:tcPr>
            <w:tcW w:w="978" w:type="dxa"/>
            <w:tcBorders>
              <w:bottom w:val="single" w:color="auto" w:sz="8" w:space="0"/>
            </w:tcBorders>
            <w:vAlign w:val="center"/>
          </w:tcPr>
          <w:p>
            <w:pPr>
              <w:autoSpaceDE w:val="0"/>
              <w:autoSpaceDN w:val="0"/>
              <w:jc w:val="center"/>
              <w:rPr>
                <w:rFonts w:ascii="宋体"/>
                <w:b/>
                <w:color w:val="auto"/>
                <w:sz w:val="18"/>
                <w:szCs w:val="18"/>
              </w:rPr>
            </w:pPr>
            <w:r>
              <w:rPr>
                <w:rFonts w:ascii="宋体"/>
                <w:b/>
                <w:color w:val="auto"/>
                <w:sz w:val="18"/>
                <w:szCs w:val="18"/>
              </w:rPr>
              <w:t>分值</w:t>
            </w:r>
            <w:r>
              <w:rPr>
                <w:rFonts w:hint="eastAsia" w:ascii="宋体"/>
                <w:b/>
                <w:color w:val="auto"/>
                <w:sz w:val="18"/>
                <w:szCs w:val="18"/>
              </w:rPr>
              <w:t>（分）</w:t>
            </w:r>
          </w:p>
        </w:tc>
        <w:tc>
          <w:tcPr>
            <w:tcW w:w="978" w:type="dxa"/>
            <w:tcBorders>
              <w:bottom w:val="single" w:color="auto" w:sz="8" w:space="0"/>
            </w:tcBorders>
            <w:vAlign w:val="center"/>
          </w:tcPr>
          <w:p>
            <w:pPr>
              <w:widowControl/>
              <w:tabs>
                <w:tab w:val="center" w:pos="4201"/>
                <w:tab w:val="right" w:leader="dot" w:pos="9298"/>
              </w:tabs>
              <w:autoSpaceDE w:val="0"/>
              <w:autoSpaceDN w:val="0"/>
              <w:jc w:val="center"/>
              <w:rPr>
                <w:rFonts w:ascii="宋体"/>
                <w:b/>
                <w:color w:val="auto"/>
                <w:sz w:val="18"/>
                <w:szCs w:val="18"/>
              </w:rPr>
            </w:pPr>
            <w:r>
              <w:rPr>
                <w:rFonts w:hint="eastAsia"/>
                <w:b/>
                <w:color w:val="auto"/>
                <w:kern w:val="0"/>
                <w:sz w:val="18"/>
                <w:szCs w:val="18"/>
                <w:lang w:val="en-US" w:eastAsia="zh-CN"/>
              </w:rPr>
              <w:t>自评得分</w:t>
            </w:r>
          </w:p>
        </w:tc>
        <w:tc>
          <w:tcPr>
            <w:tcW w:w="983" w:type="dxa"/>
            <w:tcBorders>
              <w:bottom w:val="single" w:color="auto" w:sz="8" w:space="0"/>
            </w:tcBorders>
            <w:vAlign w:val="center"/>
          </w:tcPr>
          <w:p>
            <w:pPr>
              <w:widowControl/>
              <w:tabs>
                <w:tab w:val="center" w:pos="4201"/>
                <w:tab w:val="right" w:leader="dot" w:pos="9298"/>
              </w:tabs>
              <w:autoSpaceDE w:val="0"/>
              <w:autoSpaceDN w:val="0"/>
              <w:jc w:val="center"/>
              <w:rPr>
                <w:rFonts w:ascii="宋体"/>
                <w:b/>
                <w:color w:val="auto"/>
                <w:sz w:val="18"/>
                <w:szCs w:val="18"/>
              </w:rPr>
            </w:pPr>
            <w:r>
              <w:rPr>
                <w:rFonts w:hint="eastAsia"/>
                <w:b/>
                <w:color w:val="auto"/>
                <w:kern w:val="0"/>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40" w:type="dxa"/>
            <w:vMerge w:val="restart"/>
            <w:tcBorders>
              <w:top w:val="single" w:color="auto" w:sz="8" w:space="0"/>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技术表现</w:t>
            </w:r>
          </w:p>
        </w:tc>
        <w:tc>
          <w:tcPr>
            <w:tcW w:w="751" w:type="dxa"/>
            <w:vMerge w:val="restart"/>
            <w:tcBorders>
              <w:top w:val="single" w:color="auto" w:sz="8" w:space="0"/>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先进性</w:t>
            </w:r>
          </w:p>
        </w:tc>
        <w:tc>
          <w:tcPr>
            <w:tcW w:w="1867" w:type="dxa"/>
            <w:tcBorders>
              <w:top w:val="single" w:color="auto" w:sz="8" w:space="0"/>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有效知识产权</w:t>
            </w:r>
          </w:p>
        </w:tc>
        <w:tc>
          <w:tcPr>
            <w:tcW w:w="978" w:type="dxa"/>
            <w:tcBorders>
              <w:top w:val="single" w:color="auto" w:sz="8" w:space="0"/>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op w:val="single" w:color="auto" w:sz="8" w:space="0"/>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op w:val="single" w:color="auto" w:sz="8" w:space="0"/>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op w:val="single" w:color="auto" w:sz="8" w:space="0"/>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5</w:t>
            </w:r>
          </w:p>
        </w:tc>
        <w:tc>
          <w:tcPr>
            <w:tcW w:w="978" w:type="dxa"/>
            <w:tcBorders>
              <w:top w:val="single" w:color="auto" w:sz="8"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op w:val="single" w:color="auto" w:sz="8" w:space="0"/>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参与制修订标准</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3</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绿电采购占比</w:t>
            </w:r>
          </w:p>
        </w:tc>
        <w:tc>
          <w:tcPr>
            <w:tcW w:w="978" w:type="dxa"/>
            <w:tcBorders>
              <w:tl2br w:val="nil"/>
              <w:tr2bl w:val="nil"/>
            </w:tcBorders>
            <w:vAlign w:val="center"/>
          </w:tcPr>
          <w:p>
            <w:pPr>
              <w:autoSpaceDE w:val="0"/>
              <w:autoSpaceDN w:val="0"/>
              <w:jc w:val="left"/>
              <w:rPr>
                <w:rFonts w:hint="default" w:ascii="宋体" w:eastAsia="宋体"/>
                <w:color w:val="auto"/>
                <w:sz w:val="18"/>
                <w:szCs w:val="18"/>
                <w:lang w:val="en-US" w:eastAsia="zh-CN"/>
              </w:rPr>
            </w:pPr>
          </w:p>
        </w:tc>
        <w:tc>
          <w:tcPr>
            <w:tcW w:w="978" w:type="dxa"/>
            <w:tcBorders>
              <w:tl2br w:val="nil"/>
              <w:tr2bl w:val="nil"/>
            </w:tcBorders>
            <w:vAlign w:val="center"/>
          </w:tcPr>
          <w:p>
            <w:pPr>
              <w:autoSpaceDE w:val="0"/>
              <w:autoSpaceDN w:val="0"/>
              <w:jc w:val="left"/>
              <w:rPr>
                <w:rFonts w:hint="default" w:ascii="宋体" w:eastAsia="宋体"/>
                <w:color w:val="auto"/>
                <w:sz w:val="18"/>
                <w:szCs w:val="18"/>
                <w:lang w:val="en-US" w:eastAsia="zh-CN"/>
              </w:rPr>
            </w:pPr>
          </w:p>
        </w:tc>
        <w:tc>
          <w:tcPr>
            <w:tcW w:w="978" w:type="dxa"/>
            <w:tcBorders>
              <w:tl2br w:val="nil"/>
              <w:tr2bl w:val="nil"/>
            </w:tcBorders>
            <w:vAlign w:val="center"/>
          </w:tcPr>
          <w:p>
            <w:pPr>
              <w:autoSpaceDE w:val="0"/>
              <w:autoSpaceDN w:val="0"/>
              <w:jc w:val="left"/>
              <w:rPr>
                <w:rFonts w:hint="default" w:ascii="宋体" w:eastAsia="宋体"/>
                <w:color w:val="auto"/>
                <w:sz w:val="18"/>
                <w:szCs w:val="18"/>
                <w:lang w:val="en-US" w:eastAsia="zh-CN"/>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hint="eastAsia" w:ascii="宋体"/>
                <w:color w:val="auto"/>
                <w:sz w:val="18"/>
                <w:szCs w:val="18"/>
                <w:lang w:val="en-US" w:eastAsia="zh-CN"/>
              </w:rPr>
            </w:pPr>
            <w:r>
              <w:rPr>
                <w:rFonts w:hint="eastAsia" w:ascii="宋体"/>
                <w:color w:val="auto"/>
                <w:sz w:val="18"/>
                <w:szCs w:val="18"/>
                <w:lang w:val="en-US" w:eastAsia="zh-CN"/>
              </w:rPr>
              <w:t>关键</w:t>
            </w:r>
            <w:r>
              <w:rPr>
                <w:rFonts w:hint="eastAsia" w:ascii="宋体"/>
                <w:color w:val="auto"/>
                <w:sz w:val="18"/>
                <w:szCs w:val="18"/>
              </w:rPr>
              <w:t>技术先进</w:t>
            </w:r>
            <w:r>
              <w:rPr>
                <w:rFonts w:hint="eastAsia" w:ascii="宋体"/>
                <w:color w:val="auto"/>
                <w:sz w:val="18"/>
                <w:szCs w:val="18"/>
                <w:lang w:val="en-US" w:eastAsia="zh-CN"/>
              </w:rPr>
              <w:t>性</w:t>
            </w:r>
          </w:p>
        </w:tc>
        <w:tc>
          <w:tcPr>
            <w:tcW w:w="978" w:type="dxa"/>
            <w:tcBorders>
              <w:tl2br w:val="nil"/>
              <w:tr2bl w:val="nil"/>
            </w:tcBorders>
            <w:vAlign w:val="center"/>
          </w:tcPr>
          <w:p>
            <w:pPr>
              <w:autoSpaceDE w:val="0"/>
              <w:autoSpaceDN w:val="0"/>
              <w:jc w:val="left"/>
              <w:rPr>
                <w:rFonts w:hint="default" w:ascii="宋体" w:eastAsia="宋体"/>
                <w:color w:val="auto"/>
                <w:sz w:val="18"/>
                <w:szCs w:val="18"/>
                <w:lang w:val="en-US" w:eastAsia="zh-CN"/>
              </w:rPr>
            </w:pPr>
          </w:p>
        </w:tc>
        <w:tc>
          <w:tcPr>
            <w:tcW w:w="978" w:type="dxa"/>
            <w:tcBorders>
              <w:tl2br w:val="nil"/>
              <w:tr2bl w:val="nil"/>
            </w:tcBorders>
            <w:vAlign w:val="center"/>
          </w:tcPr>
          <w:p>
            <w:pPr>
              <w:autoSpaceDE w:val="0"/>
              <w:autoSpaceDN w:val="0"/>
              <w:jc w:val="left"/>
              <w:rPr>
                <w:rFonts w:hint="default" w:ascii="宋体" w:eastAsia="宋体"/>
                <w:color w:val="auto"/>
                <w:sz w:val="18"/>
                <w:szCs w:val="18"/>
                <w:lang w:val="en-US" w:eastAsia="zh-CN"/>
              </w:rPr>
            </w:pPr>
          </w:p>
        </w:tc>
        <w:tc>
          <w:tcPr>
            <w:tcW w:w="978" w:type="dxa"/>
            <w:tcBorders>
              <w:tl2br w:val="nil"/>
              <w:tr2bl w:val="nil"/>
            </w:tcBorders>
            <w:vAlign w:val="center"/>
          </w:tcPr>
          <w:p>
            <w:pPr>
              <w:autoSpaceDE w:val="0"/>
              <w:autoSpaceDN w:val="0"/>
              <w:jc w:val="left"/>
              <w:rPr>
                <w:rFonts w:hint="default" w:ascii="宋体" w:eastAsia="宋体"/>
                <w:color w:val="auto"/>
                <w:sz w:val="18"/>
                <w:szCs w:val="18"/>
                <w:lang w:val="en-US" w:eastAsia="zh-CN"/>
              </w:rPr>
            </w:pPr>
          </w:p>
        </w:tc>
        <w:tc>
          <w:tcPr>
            <w:tcW w:w="978" w:type="dxa"/>
            <w:tcBorders>
              <w:tl2br w:val="nil"/>
              <w:tr2bl w:val="nil"/>
            </w:tcBorders>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10</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hint="eastAsia" w:ascii="宋体" w:hAnsi="宋体" w:cs="宋体"/>
                <w:color w:val="auto"/>
                <w:kern w:val="0"/>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环境效益</w:t>
            </w:r>
          </w:p>
        </w:tc>
        <w:tc>
          <w:tcPr>
            <w:tcW w:w="1867" w:type="dxa"/>
            <w:tcBorders>
              <w:tl2br w:val="nil"/>
              <w:tr2bl w:val="nil"/>
            </w:tcBorders>
            <w:vAlign w:val="center"/>
          </w:tcPr>
          <w:p>
            <w:pPr>
              <w:autoSpaceDE w:val="0"/>
              <w:autoSpaceDN w:val="0"/>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降碳效益</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12</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hint="eastAsia" w:ascii="宋体" w:hAnsi="宋体" w:cs="宋体"/>
                <w:color w:val="auto"/>
                <w:kern w:val="0"/>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减污效益</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4</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业务表现</w:t>
            </w:r>
          </w:p>
        </w:tc>
        <w:tc>
          <w:tcPr>
            <w:tcW w:w="751"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发展能力</w:t>
            </w:r>
          </w:p>
        </w:tc>
        <w:tc>
          <w:tcPr>
            <w:tcW w:w="1867" w:type="dxa"/>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团队技术实力</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研发投入</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7</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业务增长率</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lang w:eastAsia="zh-CN"/>
              </w:rPr>
            </w:pPr>
            <w:r>
              <w:rPr>
                <w:rFonts w:hint="eastAsia" w:ascii="宋体" w:hAnsi="宋体" w:cs="宋体"/>
                <w:i w:val="0"/>
                <w:iCs w:val="0"/>
                <w:color w:val="auto"/>
                <w:kern w:val="0"/>
                <w:sz w:val="18"/>
                <w:szCs w:val="18"/>
                <w:u w:val="none"/>
                <w:lang w:val="en-US" w:eastAsia="zh-CN" w:bidi="ar"/>
              </w:rPr>
              <w:t>3</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市场影响</w:t>
            </w:r>
          </w:p>
        </w:tc>
        <w:tc>
          <w:tcPr>
            <w:tcW w:w="1867" w:type="dxa"/>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市场竞争力</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产业影响力</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auto"/>
                <w:kern w:val="0"/>
                <w:sz w:val="18"/>
                <w:szCs w:val="18"/>
                <w:u w:val="none"/>
                <w:lang w:val="en-US" w:eastAsia="zh-CN" w:bidi="ar"/>
              </w:rPr>
              <w:t>7</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1867" w:type="dxa"/>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行业资质荣誉</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4</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环境表现</w:t>
            </w:r>
          </w:p>
        </w:tc>
        <w:tc>
          <w:tcPr>
            <w:tcW w:w="2618" w:type="dxa"/>
            <w:gridSpan w:val="2"/>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设备材料</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2</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能源资源利用</w:t>
            </w:r>
          </w:p>
        </w:tc>
        <w:tc>
          <w:tcPr>
            <w:tcW w:w="1867" w:type="dxa"/>
            <w:tcBorders>
              <w:tl2br w:val="nil"/>
              <w:tr2bl w:val="nil"/>
            </w:tcBorders>
            <w:vAlign w:val="center"/>
          </w:tcPr>
          <w:p>
            <w:pPr>
              <w:autoSpaceDE w:val="0"/>
              <w:autoSpaceDN w:val="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能耗</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7</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751" w:type="dxa"/>
            <w:vMerge w:val="continue"/>
            <w:tcBorders>
              <w:tl2br w:val="nil"/>
              <w:tr2bl w:val="nil"/>
            </w:tcBorders>
            <w:vAlign w:val="center"/>
          </w:tcPr>
          <w:p>
            <w:pPr>
              <w:autoSpaceDE w:val="0"/>
              <w:autoSpaceDN w:val="0"/>
              <w:jc w:val="center"/>
              <w:rPr>
                <w:rFonts w:hint="eastAsia" w:ascii="宋体" w:hAnsi="宋体" w:cs="宋体"/>
                <w:color w:val="auto"/>
                <w:sz w:val="18"/>
                <w:szCs w:val="18"/>
              </w:rPr>
            </w:pPr>
          </w:p>
        </w:tc>
        <w:tc>
          <w:tcPr>
            <w:tcW w:w="1867" w:type="dxa"/>
            <w:tcBorders>
              <w:tl2br w:val="nil"/>
              <w:tr2bl w:val="nil"/>
            </w:tcBorders>
            <w:vAlign w:val="center"/>
          </w:tcPr>
          <w:p>
            <w:pPr>
              <w:autoSpaceDE w:val="0"/>
              <w:autoSpaceDN w:val="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可再生利用率</w:t>
            </w:r>
          </w:p>
        </w:tc>
        <w:tc>
          <w:tcPr>
            <w:tcW w:w="978" w:type="dxa"/>
            <w:tcBorders>
              <w:tl2br w:val="nil"/>
              <w:tr2bl w:val="nil"/>
            </w:tcBorders>
            <w:vAlign w:val="center"/>
          </w:tcPr>
          <w:p>
            <w:pPr>
              <w:autoSpaceDE w:val="0"/>
              <w:autoSpaceDN w:val="0"/>
              <w:jc w:val="left"/>
              <w:rPr>
                <w:rFonts w:hint="eastAsia" w:ascii="宋体" w:hAnsi="宋体" w:cs="宋体"/>
                <w:color w:val="auto"/>
                <w:sz w:val="18"/>
                <w:szCs w:val="18"/>
              </w:rPr>
            </w:pPr>
          </w:p>
        </w:tc>
        <w:tc>
          <w:tcPr>
            <w:tcW w:w="978" w:type="dxa"/>
            <w:tcBorders>
              <w:tl2br w:val="nil"/>
              <w:tr2bl w:val="nil"/>
            </w:tcBorders>
            <w:vAlign w:val="center"/>
          </w:tcPr>
          <w:p>
            <w:pPr>
              <w:autoSpaceDE w:val="0"/>
              <w:autoSpaceDN w:val="0"/>
              <w:jc w:val="left"/>
              <w:rPr>
                <w:rFonts w:hint="eastAsia" w:ascii="宋体" w:hAnsi="宋体" w:cs="宋体"/>
                <w:color w:val="auto"/>
                <w:sz w:val="18"/>
                <w:szCs w:val="18"/>
              </w:rPr>
            </w:pPr>
          </w:p>
        </w:tc>
        <w:tc>
          <w:tcPr>
            <w:tcW w:w="978" w:type="dxa"/>
            <w:tcBorders>
              <w:tl2br w:val="nil"/>
              <w:tr2bl w:val="nil"/>
            </w:tcBorders>
            <w:vAlign w:val="center"/>
          </w:tcPr>
          <w:p>
            <w:pPr>
              <w:autoSpaceDE w:val="0"/>
              <w:autoSpaceDN w:val="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cs="宋体"/>
                <w:i w:val="0"/>
                <w:iCs w:val="0"/>
                <w:color w:val="auto"/>
                <w:kern w:val="0"/>
                <w:sz w:val="18"/>
                <w:szCs w:val="18"/>
                <w:u w:val="none"/>
                <w:lang w:val="en-US" w:eastAsia="zh-CN" w:bidi="ar"/>
              </w:rPr>
              <w:t>2</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2618" w:type="dxa"/>
            <w:gridSpan w:val="2"/>
            <w:tcBorders>
              <w:tl2br w:val="nil"/>
              <w:tr2bl w:val="nil"/>
            </w:tcBorders>
            <w:vAlign w:val="center"/>
          </w:tcPr>
          <w:p>
            <w:pPr>
              <w:autoSpaceDE w:val="0"/>
              <w:autoSpaceDN w:val="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污染物排放水平</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lang w:eastAsia="zh-CN"/>
              </w:rPr>
            </w:pPr>
            <w:r>
              <w:rPr>
                <w:rFonts w:hint="eastAsia" w:ascii="宋体" w:hAnsi="宋体" w:cs="宋体"/>
                <w:i w:val="0"/>
                <w:iCs w:val="0"/>
                <w:color w:val="auto"/>
                <w:kern w:val="0"/>
                <w:sz w:val="18"/>
                <w:szCs w:val="18"/>
                <w:u w:val="none"/>
                <w:lang w:val="en-US" w:eastAsia="zh-CN" w:bidi="ar"/>
              </w:rPr>
              <w:t>3</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hAnsi="Times New Roman" w:eastAsia="宋体" w:cs="Times New Roman"/>
                <w:color w:val="auto"/>
                <w:kern w:val="2"/>
                <w:sz w:val="18"/>
                <w:szCs w:val="18"/>
                <w:lang w:val="en-US" w:eastAsia="zh-CN" w:bidi="ar-SA"/>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2618" w:type="dxa"/>
            <w:gridSpan w:val="2"/>
            <w:tcBorders>
              <w:tl2br w:val="nil"/>
              <w:tr2bl w:val="nil"/>
            </w:tcBorders>
            <w:vAlign w:val="center"/>
          </w:tcPr>
          <w:p>
            <w:pPr>
              <w:autoSpaceDE w:val="0"/>
              <w:autoSpaceDN w:val="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温室气体排放水平</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cs="宋体"/>
                <w:color w:val="auto"/>
                <w:sz w:val="18"/>
                <w:szCs w:val="18"/>
                <w:lang w:val="en-US" w:eastAsia="zh-CN"/>
              </w:rPr>
            </w:pPr>
            <w:r>
              <w:rPr>
                <w:rFonts w:hint="eastAsia" w:ascii="宋体" w:hAnsi="宋体" w:cs="宋体"/>
                <w:i w:val="0"/>
                <w:iCs w:val="0"/>
                <w:color w:val="auto"/>
                <w:kern w:val="0"/>
                <w:sz w:val="18"/>
                <w:szCs w:val="18"/>
                <w:u w:val="none"/>
                <w:lang w:val="en-US" w:eastAsia="zh-CN" w:bidi="ar"/>
              </w:rPr>
              <w:t>5</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hAnsi="Times New Roman" w:eastAsia="宋体" w:cs="Times New Roman"/>
                <w:color w:val="auto"/>
                <w:kern w:val="2"/>
                <w:sz w:val="18"/>
                <w:szCs w:val="18"/>
                <w:lang w:val="en-US" w:eastAsia="zh-CN" w:bidi="ar-SA"/>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0" w:type="dxa"/>
            <w:vMerge w:val="restart"/>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社会表现</w:t>
            </w:r>
          </w:p>
        </w:tc>
        <w:tc>
          <w:tcPr>
            <w:tcW w:w="2618" w:type="dxa"/>
            <w:gridSpan w:val="2"/>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内部行动</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lang w:eastAsia="zh-CN"/>
              </w:rPr>
            </w:pPr>
            <w:r>
              <w:rPr>
                <w:rFonts w:hint="eastAsia" w:ascii="宋体" w:hAnsi="宋体" w:eastAsia="宋体" w:cs="宋体"/>
                <w:i w:val="0"/>
                <w:iCs w:val="0"/>
                <w:color w:val="auto"/>
                <w:kern w:val="0"/>
                <w:sz w:val="18"/>
                <w:szCs w:val="18"/>
                <w:u w:val="none"/>
                <w:lang w:val="en-US" w:eastAsia="zh-CN" w:bidi="ar"/>
              </w:rPr>
              <w:t>3</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hAnsi="Times New Roman" w:eastAsia="宋体" w:cs="Times New Roman"/>
                <w:color w:val="auto"/>
                <w:kern w:val="2"/>
                <w:sz w:val="18"/>
                <w:szCs w:val="18"/>
                <w:lang w:val="en-US" w:eastAsia="zh-CN" w:bidi="ar-SA"/>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0" w:type="dxa"/>
            <w:vMerge w:val="continue"/>
            <w:tcBorders>
              <w:tl2br w:val="nil"/>
              <w:tr2bl w:val="nil"/>
            </w:tcBorders>
            <w:vAlign w:val="center"/>
          </w:tcPr>
          <w:p>
            <w:pPr>
              <w:autoSpaceDE w:val="0"/>
              <w:autoSpaceDN w:val="0"/>
              <w:jc w:val="center"/>
              <w:rPr>
                <w:rFonts w:ascii="宋体" w:hAnsi="宋体" w:cs="宋体"/>
                <w:color w:val="auto"/>
                <w:sz w:val="18"/>
                <w:szCs w:val="18"/>
              </w:rPr>
            </w:pPr>
          </w:p>
        </w:tc>
        <w:tc>
          <w:tcPr>
            <w:tcW w:w="2618" w:type="dxa"/>
            <w:gridSpan w:val="2"/>
            <w:tcBorders>
              <w:tl2br w:val="nil"/>
              <w:tr2bl w:val="nil"/>
            </w:tcBorders>
            <w:vAlign w:val="center"/>
          </w:tcPr>
          <w:p>
            <w:pPr>
              <w:autoSpaceDE w:val="0"/>
              <w:autoSpaceDN w:val="0"/>
              <w:jc w:val="center"/>
              <w:rPr>
                <w:rFonts w:ascii="宋体" w:hAnsi="宋体" w:cs="宋体"/>
                <w:color w:val="auto"/>
                <w:sz w:val="18"/>
                <w:szCs w:val="18"/>
              </w:rPr>
            </w:pPr>
            <w:r>
              <w:rPr>
                <w:rFonts w:hint="eastAsia" w:ascii="宋体" w:hAnsi="宋体" w:cs="宋体"/>
                <w:color w:val="auto"/>
                <w:sz w:val="18"/>
                <w:szCs w:val="18"/>
              </w:rPr>
              <w:t>社会责任</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auto"/>
                <w:kern w:val="0"/>
                <w:sz w:val="18"/>
                <w:szCs w:val="18"/>
                <w:u w:val="none"/>
                <w:lang w:val="en-US" w:eastAsia="zh-CN" w:bidi="ar"/>
              </w:rPr>
              <w:t>3</w:t>
            </w: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r>
              <w:rPr>
                <w:rFonts w:hint="eastAsia" w:ascii="宋体" w:hAnsi="宋体" w:cs="宋体"/>
                <w:color w:val="auto"/>
                <w:kern w:val="0"/>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58" w:type="dxa"/>
            <w:gridSpan w:val="3"/>
            <w:tcBorders>
              <w:tl2br w:val="nil"/>
              <w:tr2bl w:val="nil"/>
            </w:tcBorders>
            <w:vAlign w:val="center"/>
          </w:tcPr>
          <w:p>
            <w:pPr>
              <w:autoSpaceDE w:val="0"/>
              <w:autoSpaceDN w:val="0"/>
              <w:jc w:val="center"/>
              <w:rPr>
                <w:rFonts w:hint="eastAsia" w:ascii="宋体" w:hAnsi="宋体" w:cs="宋体"/>
                <w:color w:val="auto"/>
                <w:sz w:val="18"/>
                <w:szCs w:val="18"/>
              </w:rPr>
            </w:pPr>
            <w:r>
              <w:rPr>
                <w:rFonts w:hint="eastAsia"/>
                <w:b/>
                <w:color w:val="auto"/>
                <w:kern w:val="0"/>
                <w:sz w:val="18"/>
                <w:szCs w:val="18"/>
              </w:rPr>
              <w:t>总得分</w:t>
            </w: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pStyle w:val="24"/>
              <w:ind w:firstLine="0" w:firstLineChars="0"/>
              <w:jc w:val="left"/>
              <w:rPr>
                <w:rFonts w:hint="eastAsia" w:ascii="宋体" w:hAnsi="宋体" w:cs="宋体"/>
                <w:color w:val="auto"/>
                <w:sz w:val="18"/>
                <w:szCs w:val="18"/>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7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983" w:type="dxa"/>
            <w:tcBorders>
              <w:tl2br w:val="nil"/>
              <w:tr2bl w:val="nil"/>
            </w:tcBorders>
            <w:vAlign w:val="center"/>
          </w:tcPr>
          <w:p>
            <w:pPr>
              <w:autoSpaceDE w:val="0"/>
              <w:autoSpaceDN w:val="0"/>
              <w:jc w:val="center"/>
              <w:rPr>
                <w:rFonts w:ascii="宋体"/>
                <w:color w:val="auto"/>
                <w:sz w:val="18"/>
                <w:szCs w:val="18"/>
              </w:rPr>
            </w:pPr>
          </w:p>
        </w:tc>
      </w:tr>
    </w:tbl>
    <w:p>
      <w:pPr>
        <w:pStyle w:val="89"/>
        <w:numPr>
          <w:ilvl w:val="1"/>
          <w:numId w:val="0"/>
        </w:numPr>
        <w:spacing w:before="156" w:after="156"/>
        <w:rPr>
          <w:rFonts w:ascii="Times New Roman" w:eastAsia="Times New Roman"/>
        </w:rPr>
      </w:pPr>
      <w:r>
        <w:rPr>
          <w:rFonts w:hint="eastAsia" w:hAnsi="黑体"/>
        </w:rPr>
        <w:t>表B.</w:t>
      </w:r>
      <w:r>
        <w:rPr>
          <w:rFonts w:hint="eastAsia" w:hAnsi="黑体"/>
          <w:lang w:val="en-US" w:eastAsia="zh-CN"/>
        </w:rPr>
        <w:t>6</w:t>
      </w:r>
      <w:r>
        <w:rPr>
          <w:rFonts w:hint="eastAsia" w:hAnsi="黑体"/>
          <w:lang w:eastAsia="zh-CN"/>
        </w:rPr>
        <w:t>技术先进性</w:t>
      </w:r>
      <w:r>
        <w:rPr>
          <w:rFonts w:hint="eastAsia" w:hAnsi="黑体"/>
        </w:rPr>
        <w:t>指标</w:t>
      </w:r>
      <w:r>
        <w:rPr>
          <w:rFonts w:hint="eastAsia" w:ascii="Times New Roman"/>
        </w:rPr>
        <w:t>评分表</w:t>
      </w:r>
    </w:p>
    <w:tbl>
      <w:tblPr>
        <w:tblStyle w:val="34"/>
        <w:tblW w:w="98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644"/>
        <w:gridCol w:w="663"/>
        <w:gridCol w:w="1162"/>
        <w:gridCol w:w="2098"/>
        <w:gridCol w:w="663"/>
        <w:gridCol w:w="1202"/>
        <w:gridCol w:w="912"/>
        <w:gridCol w:w="850"/>
        <w:gridCol w:w="671"/>
        <w:gridCol w:w="101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4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一级指标</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二级指标</w:t>
            </w:r>
          </w:p>
        </w:tc>
        <w:tc>
          <w:tcPr>
            <w:tcW w:w="11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三级指标</w:t>
            </w:r>
          </w:p>
        </w:tc>
        <w:tc>
          <w:tcPr>
            <w:tcW w:w="2098" w:type="dxa"/>
            <w:tcBorders>
              <w:bottom w:val="single" w:color="000000" w:sz="8" w:space="0"/>
            </w:tcBorders>
            <w:vAlign w:val="center"/>
          </w:tcPr>
          <w:p>
            <w:pPr>
              <w:widowControl/>
              <w:tabs>
                <w:tab w:val="center" w:pos="4201"/>
                <w:tab w:val="right" w:leader="dot" w:pos="9298"/>
              </w:tabs>
              <w:autoSpaceDE w:val="0"/>
              <w:autoSpaceDN w:val="0"/>
              <w:jc w:val="center"/>
              <w:rPr>
                <w:rFonts w:hint="eastAsia" w:eastAsia="宋体"/>
                <w:b/>
                <w:kern w:val="0"/>
                <w:sz w:val="18"/>
                <w:szCs w:val="18"/>
                <w:lang w:eastAsia="zh-CN"/>
              </w:rPr>
            </w:pPr>
            <w:r>
              <w:rPr>
                <w:rFonts w:hint="eastAsia"/>
                <w:b/>
                <w:kern w:val="0"/>
                <w:sz w:val="18"/>
                <w:szCs w:val="18"/>
                <w:lang w:eastAsia="zh-CN"/>
              </w:rPr>
              <w:t>评价方向</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kern w:val="0"/>
                <w:sz w:val="18"/>
                <w:szCs w:val="18"/>
              </w:rPr>
            </w:pPr>
            <w:r>
              <w:rPr>
                <w:rFonts w:hint="default"/>
                <w:b/>
                <w:kern w:val="0"/>
                <w:sz w:val="18"/>
                <w:szCs w:val="18"/>
                <w:lang w:val="en-US" w:eastAsia="zh-CN"/>
              </w:rPr>
              <w:t>参考标准</w:t>
            </w:r>
          </w:p>
        </w:tc>
        <w:tc>
          <w:tcPr>
            <w:tcW w:w="1202"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kern w:val="0"/>
                <w:sz w:val="18"/>
                <w:szCs w:val="18"/>
              </w:rPr>
            </w:pPr>
            <w:r>
              <w:rPr>
                <w:rFonts w:hint="eastAsia"/>
                <w:b/>
                <w:kern w:val="0"/>
                <w:sz w:val="18"/>
                <w:szCs w:val="18"/>
                <w:lang w:val="en-US" w:eastAsia="zh-CN"/>
              </w:rPr>
              <w:t>标准参考值/要求</w:t>
            </w:r>
          </w:p>
        </w:tc>
        <w:tc>
          <w:tcPr>
            <w:tcW w:w="91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lang w:val="en-US" w:eastAsia="zh-CN"/>
              </w:rPr>
              <w:t>自评值/要求</w:t>
            </w:r>
          </w:p>
        </w:tc>
        <w:tc>
          <w:tcPr>
            <w:tcW w:w="850"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kern w:val="0"/>
                <w:sz w:val="18"/>
                <w:szCs w:val="18"/>
              </w:rPr>
            </w:pPr>
            <w:r>
              <w:rPr>
                <w:rFonts w:hint="eastAsia"/>
                <w:b/>
                <w:kern w:val="0"/>
                <w:sz w:val="18"/>
                <w:szCs w:val="18"/>
                <w:lang w:val="en-US" w:eastAsia="zh-CN"/>
              </w:rPr>
              <w:t>分值</w:t>
            </w:r>
          </w:p>
        </w:tc>
        <w:tc>
          <w:tcPr>
            <w:tcW w:w="671"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kern w:val="0"/>
                <w:sz w:val="18"/>
                <w:szCs w:val="18"/>
              </w:rPr>
            </w:pPr>
            <w:r>
              <w:rPr>
                <w:rFonts w:hint="eastAsia"/>
                <w:b/>
                <w:kern w:val="0"/>
                <w:sz w:val="18"/>
                <w:szCs w:val="18"/>
                <w:lang w:val="en-US" w:eastAsia="zh-CN"/>
              </w:rPr>
              <w:t>自评得分</w:t>
            </w:r>
          </w:p>
        </w:tc>
        <w:tc>
          <w:tcPr>
            <w:tcW w:w="1017"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kern w:val="0"/>
                <w:sz w:val="18"/>
                <w:szCs w:val="18"/>
                <w:lang w:val="en-US" w:eastAsia="zh-CN"/>
              </w:rPr>
            </w:pPr>
            <w:r>
              <w:rPr>
                <w:rFonts w:hint="eastAsia"/>
                <w:b/>
                <w:kern w:val="0"/>
                <w:sz w:val="18"/>
                <w:szCs w:val="18"/>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44" w:type="dxa"/>
            <w:tcBorders>
              <w:bottom w:val="single" w:color="000000" w:sz="8" w:space="0"/>
            </w:tcBorders>
            <w:vAlign w:val="center"/>
          </w:tcPr>
          <w:p>
            <w:pPr>
              <w:widowControl/>
              <w:tabs>
                <w:tab w:val="center" w:pos="4201"/>
                <w:tab w:val="right" w:leader="dot" w:pos="9298"/>
              </w:tabs>
              <w:autoSpaceDE w:val="0"/>
              <w:autoSpaceDN w:val="0"/>
              <w:jc w:val="center"/>
              <w:rPr>
                <w:rFonts w:hint="eastAsia" w:eastAsia="宋体"/>
                <w:b w:val="0"/>
                <w:bCs/>
                <w:kern w:val="0"/>
                <w:sz w:val="18"/>
                <w:szCs w:val="18"/>
                <w:lang w:eastAsia="zh-CN"/>
              </w:rPr>
            </w:pPr>
            <w:r>
              <w:rPr>
                <w:rFonts w:hint="eastAsia"/>
                <w:b w:val="0"/>
                <w:bCs/>
                <w:kern w:val="0"/>
                <w:sz w:val="18"/>
                <w:szCs w:val="18"/>
                <w:lang w:eastAsia="zh-CN"/>
              </w:rPr>
              <w:t>技术表现</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rFonts w:hint="eastAsia" w:eastAsia="宋体"/>
                <w:b w:val="0"/>
                <w:bCs/>
                <w:kern w:val="0"/>
                <w:sz w:val="18"/>
                <w:szCs w:val="18"/>
                <w:lang w:eastAsia="zh-CN"/>
              </w:rPr>
            </w:pPr>
            <w:r>
              <w:rPr>
                <w:rFonts w:hint="eastAsia"/>
                <w:b w:val="0"/>
                <w:bCs/>
                <w:kern w:val="0"/>
                <w:sz w:val="18"/>
                <w:szCs w:val="18"/>
                <w:lang w:eastAsia="zh-CN"/>
              </w:rPr>
              <w:t>先进性</w:t>
            </w:r>
          </w:p>
        </w:tc>
        <w:tc>
          <w:tcPr>
            <w:tcW w:w="1162" w:type="dxa"/>
            <w:tcBorders>
              <w:bottom w:val="single" w:color="000000" w:sz="8" w:space="0"/>
            </w:tcBorders>
            <w:vAlign w:val="center"/>
          </w:tcPr>
          <w:p>
            <w:pPr>
              <w:widowControl/>
              <w:tabs>
                <w:tab w:val="center" w:pos="4201"/>
                <w:tab w:val="right" w:leader="dot" w:pos="9298"/>
              </w:tabs>
              <w:autoSpaceDE w:val="0"/>
              <w:autoSpaceDN w:val="0"/>
              <w:jc w:val="center"/>
              <w:rPr>
                <w:rFonts w:hint="eastAsia" w:eastAsia="宋体"/>
                <w:b w:val="0"/>
                <w:bCs/>
                <w:kern w:val="0"/>
                <w:sz w:val="18"/>
                <w:szCs w:val="18"/>
                <w:lang w:eastAsia="zh-CN"/>
              </w:rPr>
            </w:pPr>
            <w:r>
              <w:rPr>
                <w:rFonts w:hint="eastAsia"/>
                <w:b w:val="0"/>
                <w:bCs/>
                <w:kern w:val="0"/>
                <w:sz w:val="18"/>
                <w:szCs w:val="18"/>
                <w:lang w:eastAsia="zh-CN"/>
              </w:rPr>
              <w:t>核心技术先进水平</w:t>
            </w:r>
          </w:p>
        </w:tc>
        <w:tc>
          <w:tcPr>
            <w:tcW w:w="2098" w:type="dxa"/>
            <w:tcBorders>
              <w:bottom w:val="single" w:color="000000" w:sz="8" w:space="0"/>
            </w:tcBorders>
            <w:vAlign w:val="center"/>
          </w:tcPr>
          <w:p>
            <w:pPr>
              <w:widowControl/>
              <w:tabs>
                <w:tab w:val="center" w:pos="4201"/>
                <w:tab w:val="right" w:leader="dot" w:pos="9298"/>
              </w:tabs>
              <w:autoSpaceDE w:val="0"/>
              <w:autoSpaceDN w:val="0"/>
              <w:jc w:val="center"/>
              <w:rPr>
                <w:rFonts w:hint="eastAsia" w:eastAsia="宋体"/>
                <w:b w:val="0"/>
                <w:bCs/>
                <w:kern w:val="0"/>
                <w:sz w:val="18"/>
                <w:szCs w:val="18"/>
                <w:lang w:eastAsia="zh-CN"/>
              </w:rPr>
            </w:pPr>
            <w:r>
              <w:rPr>
                <w:rFonts w:hint="eastAsia"/>
                <w:b w:val="0"/>
                <w:bCs/>
                <w:kern w:val="0"/>
                <w:sz w:val="18"/>
                <w:szCs w:val="18"/>
                <w:lang w:eastAsia="zh-CN"/>
              </w:rPr>
              <w:t>企业参评的太阳能产品、装备或太阳能利用设施建设和运营等本标准规定的方向</w:t>
            </w:r>
          </w:p>
        </w:tc>
        <w:tc>
          <w:tcPr>
            <w:tcW w:w="663"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val="0"/>
                <w:bCs/>
                <w:kern w:val="0"/>
                <w:sz w:val="18"/>
                <w:szCs w:val="18"/>
              </w:rPr>
            </w:pPr>
          </w:p>
        </w:tc>
        <w:tc>
          <w:tcPr>
            <w:tcW w:w="1202"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val="0"/>
                <w:bCs/>
                <w:kern w:val="0"/>
                <w:sz w:val="18"/>
                <w:szCs w:val="18"/>
              </w:rPr>
            </w:pPr>
          </w:p>
        </w:tc>
        <w:tc>
          <w:tcPr>
            <w:tcW w:w="912"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val="0"/>
                <w:bCs/>
                <w:kern w:val="0"/>
                <w:sz w:val="18"/>
                <w:szCs w:val="18"/>
              </w:rPr>
            </w:pPr>
          </w:p>
        </w:tc>
        <w:tc>
          <w:tcPr>
            <w:tcW w:w="850" w:type="dxa"/>
            <w:tcBorders>
              <w:bottom w:val="single" w:color="000000" w:sz="8" w:space="0"/>
            </w:tcBorders>
            <w:vAlign w:val="center"/>
          </w:tcPr>
          <w:p>
            <w:pPr>
              <w:widowControl/>
              <w:tabs>
                <w:tab w:val="center" w:pos="4201"/>
                <w:tab w:val="right" w:leader="dot" w:pos="9298"/>
              </w:tabs>
              <w:autoSpaceDE w:val="0"/>
              <w:autoSpaceDN w:val="0"/>
              <w:jc w:val="center"/>
              <w:rPr>
                <w:rFonts w:hint="default" w:eastAsia="宋体"/>
                <w:b w:val="0"/>
                <w:bCs/>
                <w:kern w:val="0"/>
                <w:sz w:val="18"/>
                <w:szCs w:val="18"/>
                <w:lang w:val="en-US" w:eastAsia="zh-CN"/>
              </w:rPr>
            </w:pPr>
            <w:r>
              <w:rPr>
                <w:rFonts w:hint="eastAsia"/>
                <w:b w:val="0"/>
                <w:bCs/>
                <w:kern w:val="0"/>
                <w:sz w:val="18"/>
                <w:szCs w:val="18"/>
                <w:lang w:val="en-US" w:eastAsia="zh-CN"/>
              </w:rPr>
              <w:t>10</w:t>
            </w:r>
          </w:p>
        </w:tc>
        <w:tc>
          <w:tcPr>
            <w:tcW w:w="671"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val="0"/>
                <w:bCs/>
                <w:kern w:val="0"/>
                <w:sz w:val="18"/>
                <w:szCs w:val="18"/>
              </w:rPr>
            </w:pPr>
          </w:p>
        </w:tc>
        <w:tc>
          <w:tcPr>
            <w:tcW w:w="1017" w:type="dxa"/>
            <w:tcBorders>
              <w:bottom w:val="single" w:color="000000" w:sz="8" w:space="0"/>
            </w:tcBorders>
            <w:vAlign w:val="center"/>
          </w:tcPr>
          <w:p>
            <w:pPr>
              <w:widowControl/>
              <w:tabs>
                <w:tab w:val="center" w:pos="4201"/>
                <w:tab w:val="right" w:leader="dot" w:pos="9298"/>
              </w:tabs>
              <w:autoSpaceDE w:val="0"/>
              <w:autoSpaceDN w:val="0"/>
              <w:jc w:val="center"/>
              <w:rPr>
                <w:rFonts w:hint="eastAsia"/>
                <w:b w:val="0"/>
                <w:bCs/>
                <w:kern w:val="0"/>
                <w:sz w:val="18"/>
                <w:szCs w:val="18"/>
              </w:rPr>
            </w:pPr>
            <w:r>
              <w:rPr>
                <w:rFonts w:hint="eastAsia" w:ascii="宋体" w:hAnsi="宋体" w:cs="宋体"/>
                <w:bCs/>
                <w:kern w:val="0"/>
                <w:sz w:val="18"/>
                <w:szCs w:val="18"/>
              </w:rPr>
              <w:t>见 P  页</w:t>
            </w:r>
          </w:p>
        </w:tc>
      </w:tr>
    </w:tbl>
    <w:p>
      <w:pPr>
        <w:pStyle w:val="89"/>
        <w:numPr>
          <w:ilvl w:val="1"/>
          <w:numId w:val="0"/>
        </w:numPr>
        <w:spacing w:before="156" w:after="156"/>
        <w:jc w:val="both"/>
        <w:rPr>
          <w:rFonts w:hAnsi="黑体" w:cs="黑体"/>
        </w:rPr>
      </w:pPr>
      <w:r>
        <w:rPr>
          <w:rFonts w:hint="eastAsia" w:hAnsi="黑体" w:cs="黑体"/>
        </w:rPr>
        <w:t>B.6 评价结论</w:t>
      </w:r>
    </w:p>
    <w:p>
      <w:pPr>
        <w:pStyle w:val="24"/>
        <w:rPr>
          <w:rFonts w:ascii="Times New Roman" w:eastAsia="Times New Roman"/>
          <w:szCs w:val="24"/>
        </w:rPr>
      </w:pPr>
      <w:r>
        <w:rPr>
          <w:rFonts w:hint="eastAsia" w:ascii="Times New Roman"/>
          <w:szCs w:val="24"/>
        </w:rPr>
        <w:t>说明依据本文件实施</w:t>
      </w:r>
      <w:r>
        <w:rPr>
          <w:rFonts w:hint="eastAsia" w:ascii="Times New Roman"/>
          <w:szCs w:val="24"/>
          <w:lang w:eastAsia="zh-CN"/>
        </w:rPr>
        <w:t>绿色低碳产业</w:t>
      </w:r>
      <w:r>
        <w:rPr>
          <w:rFonts w:hint="eastAsia" w:ascii="Times New Roman"/>
          <w:szCs w:val="24"/>
        </w:rPr>
        <w:t>认定评价后的总得分情况以及后续值得关注的可能影响环境风险控制和太阳能绿色业务发展的重大影响因素。</w:t>
      </w:r>
    </w:p>
    <w:p>
      <w:pPr>
        <w:pStyle w:val="89"/>
        <w:numPr>
          <w:ilvl w:val="1"/>
          <w:numId w:val="0"/>
        </w:numPr>
        <w:spacing w:before="156" w:after="156"/>
        <w:jc w:val="both"/>
        <w:rPr>
          <w:rFonts w:hAnsi="黑体" w:cs="黑体"/>
        </w:rPr>
      </w:pPr>
      <w:r>
        <w:rPr>
          <w:rFonts w:hint="eastAsia" w:hAnsi="黑体" w:cs="黑体"/>
        </w:rPr>
        <w:t>B.7 附录</w:t>
      </w:r>
    </w:p>
    <w:p>
      <w:pPr>
        <w:pStyle w:val="24"/>
        <w:rPr>
          <w:rFonts w:hint="eastAsia"/>
          <w:szCs w:val="24"/>
        </w:rPr>
      </w:pPr>
      <w:r>
        <w:rPr>
          <w:rFonts w:hint="eastAsia"/>
          <w:szCs w:val="24"/>
        </w:rPr>
        <w:t>列明上述章节所述情况及评分表涉及的佐证材料。</w:t>
      </w: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24"/>
        <w:rPr>
          <w:rFonts w:hint="eastAsia"/>
          <w:szCs w:val="24"/>
        </w:rPr>
      </w:pPr>
    </w:p>
    <w:p>
      <w:pPr>
        <w:pStyle w:val="86"/>
        <w:rPr>
          <w:rFonts w:hint="eastAsia"/>
        </w:rPr>
      </w:pPr>
      <w:bookmarkStart w:id="124" w:name="_Toc4336"/>
      <w:bookmarkEnd w:id="124"/>
    </w:p>
    <w:p>
      <w:pPr>
        <w:jc w:val="center"/>
        <w:rPr>
          <w:rFonts w:hint="eastAsia" w:ascii="黑体" w:hAnsi="黑体" w:eastAsia="黑体" w:cs="黑体"/>
        </w:rPr>
      </w:pPr>
      <w:r>
        <w:rPr>
          <w:rFonts w:hint="eastAsia" w:ascii="黑体" w:hAnsi="黑体" w:eastAsia="黑体" w:cs="黑体"/>
          <w:lang w:eastAsia="zh-CN"/>
        </w:rPr>
        <w:t>（资料性）</w:t>
      </w:r>
    </w:p>
    <w:p>
      <w:pPr>
        <w:jc w:val="center"/>
        <w:rPr>
          <w:rFonts w:hint="eastAsia"/>
          <w:szCs w:val="24"/>
        </w:rPr>
      </w:pPr>
      <w:r>
        <w:rPr>
          <w:rFonts w:hint="eastAsia" w:ascii="黑体" w:hAnsi="黑体" w:eastAsia="黑体" w:cs="黑体"/>
        </w:rPr>
        <w:t>太阳能行业</w:t>
      </w:r>
      <w:r>
        <w:rPr>
          <w:rFonts w:hint="eastAsia" w:ascii="黑体" w:hAnsi="黑体" w:eastAsia="黑体" w:cs="黑体"/>
          <w:lang w:eastAsia="zh-CN"/>
        </w:rPr>
        <w:t>绿色低碳产业项目</w:t>
      </w:r>
      <w:r>
        <w:rPr>
          <w:rFonts w:hint="eastAsia" w:ascii="黑体" w:hAnsi="黑体" w:eastAsia="黑体" w:cs="黑体"/>
        </w:rPr>
        <w:t>认定评价报告模板</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szCs w:val="24"/>
          <w:lang w:val="en-US" w:eastAsia="zh-CN"/>
        </w:rPr>
        <w:t>C</w:t>
      </w:r>
      <w:r>
        <w:rPr>
          <w:rFonts w:hint="eastAsia" w:ascii="黑体" w:hAnsi="黑体" w:eastAsia="黑体" w:cs="黑体"/>
          <w:kern w:val="2"/>
          <w:sz w:val="21"/>
          <w:szCs w:val="21"/>
          <w:lang w:val="en-US" w:eastAsia="zh-CN" w:bidi="ar-SA"/>
        </w:rPr>
        <w:t>.1  封面</w:t>
      </w:r>
    </w:p>
    <w:p>
      <w:pPr>
        <w:pStyle w:val="24"/>
        <w:rPr>
          <w:rFonts w:ascii="Times New Roman"/>
        </w:rPr>
      </w:pPr>
      <w:r>
        <w:rPr>
          <w:rFonts w:hint="eastAsia" w:ascii="Times New Roman"/>
        </w:rPr>
        <w:t>太阳能行业</w:t>
      </w:r>
      <w:r>
        <w:rPr>
          <w:rFonts w:hint="eastAsia" w:ascii="Times New Roman"/>
          <w:lang w:eastAsia="zh-CN"/>
        </w:rPr>
        <w:t>绿色低碳产业项目</w:t>
      </w:r>
      <w:r>
        <w:rPr>
          <w:rFonts w:ascii="Times New Roman"/>
        </w:rPr>
        <w:t>认定评价报告的封面要求见</w:t>
      </w:r>
      <w:r>
        <w:rPr>
          <w:rFonts w:hint="eastAsia" w:hAnsi="宋体" w:cs="宋体"/>
        </w:rPr>
        <w:t>表</w:t>
      </w:r>
      <w:r>
        <w:rPr>
          <w:rFonts w:hint="eastAsia" w:hAnsi="宋体" w:cs="宋体"/>
          <w:lang w:val="en-US" w:eastAsia="zh-CN"/>
        </w:rPr>
        <w:t>C</w:t>
      </w:r>
      <w:r>
        <w:rPr>
          <w:rFonts w:hint="eastAsia" w:hAnsi="宋体" w:cs="宋体"/>
        </w:rPr>
        <w:t>.1</w:t>
      </w:r>
      <w:r>
        <w:rPr>
          <w:rFonts w:ascii="Times New Roman"/>
        </w:rPr>
        <w:t>。</w:t>
      </w:r>
    </w:p>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mc:AlternateContent>
          <mc:Choice Requires="wps">
            <w:drawing>
              <wp:anchor distT="45720" distB="45720" distL="114300" distR="114300" simplePos="0" relativeHeight="251667456"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wps:spPr>
                      <wps:txb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rFonts w:hint="eastAsia"/>
                                <w:b/>
                              </w:rPr>
                              <w:t>太阳能行业</w:t>
                            </w:r>
                            <w:r>
                              <w:rPr>
                                <w:rFonts w:hint="eastAsia"/>
                                <w:b/>
                                <w:lang w:eastAsia="zh-CN"/>
                              </w:rPr>
                              <w:t>绿色低碳产业项目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2pt;margin-top:36.95pt;height:288.8pt;width:416.9pt;mso-wrap-distance-bottom:3.6pt;mso-wrap-distance-left:9pt;mso-wrap-distance-right:9pt;mso-wrap-distance-top:3.6pt;z-index:251667456;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BkVN2gAAAAkBAAAPAAAAAAAAAAEAIAAAACIAAABkcnMvZG93&#10;bnJldi54bWxQSwECFAAUAAAACACHTuJAiSiemTcCAABUBAAADgAAAAAAAAABACAAAAApAQAAZHJz&#10;L2Uyb0RvYy54bWxQSwUGAAAAAAYABgBZAQAA0gU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rFonts w:hint="eastAsia"/>
                          <w:b/>
                        </w:rPr>
                        <w:t>太阳能行业</w:t>
                      </w:r>
                      <w:r>
                        <w:rPr>
                          <w:rFonts w:hint="eastAsia"/>
                          <w:b/>
                          <w:lang w:eastAsia="zh-CN"/>
                        </w:rPr>
                        <w:t>绿色低碳产业项目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v:textbox>
                <w10:wrap type="square"/>
              </v:shape>
            </w:pict>
          </mc:Fallback>
        </mc:AlternateContent>
      </w:r>
      <w:r>
        <w:rPr>
          <w:rFonts w:hint="eastAsia" w:ascii="黑体" w:hAnsi="黑体" w:eastAsia="黑体" w:cs="黑体"/>
          <w:kern w:val="2"/>
          <w:sz w:val="21"/>
          <w:szCs w:val="21"/>
          <w:lang w:val="en-US" w:eastAsia="zh-CN" w:bidi="ar-SA"/>
        </w:rPr>
        <w:t xml:space="preserve">表C.1  </w:t>
      </w:r>
      <w:r>
        <w:rPr>
          <w:rFonts w:hint="eastAsia" w:ascii="Times New Roman"/>
        </w:rPr>
        <w:t>太阳能行业</w:t>
      </w:r>
      <w:r>
        <w:rPr>
          <w:rFonts w:hint="eastAsia" w:ascii="Times New Roman"/>
          <w:lang w:eastAsia="zh-CN"/>
        </w:rPr>
        <w:t>绿色低碳产业项目</w:t>
      </w:r>
      <w:r>
        <w:rPr>
          <w:rFonts w:hint="eastAsia" w:ascii="黑体" w:hAnsi="黑体" w:eastAsia="黑体" w:cs="黑体"/>
          <w:kern w:val="2"/>
          <w:sz w:val="21"/>
          <w:szCs w:val="21"/>
          <w:lang w:val="en-US" w:eastAsia="zh-CN" w:bidi="ar-SA"/>
        </w:rPr>
        <w:t>认定评价报告封面</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C.2  基本信息</w:t>
      </w:r>
    </w:p>
    <w:p>
      <w:pPr>
        <w:pStyle w:val="24"/>
        <w:rPr>
          <w:rFonts w:ascii="Times New Roman"/>
        </w:rPr>
      </w:pPr>
      <w:r>
        <w:rPr>
          <w:rFonts w:hint="eastAsia" w:ascii="Times New Roman"/>
          <w:lang w:eastAsia="zh-CN"/>
        </w:rPr>
        <w:t>项目</w:t>
      </w:r>
      <w:r>
        <w:rPr>
          <w:rFonts w:ascii="Times New Roman"/>
        </w:rPr>
        <w:t>基本信息的填报要求见</w:t>
      </w:r>
      <w:r>
        <w:rPr>
          <w:rFonts w:hint="eastAsia" w:hAnsi="宋体" w:cs="宋体"/>
        </w:rPr>
        <w:t>表</w:t>
      </w:r>
      <w:r>
        <w:rPr>
          <w:rFonts w:hint="eastAsia" w:hAnsi="宋体" w:cs="宋体"/>
          <w:lang w:val="en-US" w:eastAsia="zh-CN"/>
        </w:rPr>
        <w:t>C</w:t>
      </w:r>
      <w:r>
        <w:rPr>
          <w:rFonts w:hint="eastAsia" w:hAnsi="宋体" w:cs="宋体"/>
        </w:rPr>
        <w:t>.2</w:t>
      </w:r>
      <w:r>
        <w:rPr>
          <w:rFonts w:ascii="Times New Roman"/>
        </w:rPr>
        <w:t>。</w:t>
      </w:r>
    </w:p>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表C.2  基本信息</w:t>
      </w:r>
    </w:p>
    <w:tbl>
      <w:tblPr>
        <w:tblStyle w:val="34"/>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2775"/>
        <w:gridCol w:w="1350"/>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7"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lang w:val="en-US" w:eastAsia="zh-CN"/>
              </w:rPr>
              <w:t>项目</w:t>
            </w:r>
            <w:r>
              <w:rPr>
                <w:rFonts w:eastAsiaTheme="minorEastAsia"/>
                <w:color w:val="000000"/>
                <w:kern w:val="0"/>
                <w:sz w:val="18"/>
                <w:szCs w:val="18"/>
              </w:rPr>
              <w:t>名称</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1957" w:type="dxa"/>
            <w:tcBorders>
              <w:tl2br w:val="nil"/>
              <w:tr2bl w:val="nil"/>
            </w:tcBorders>
            <w:vAlign w:val="center"/>
          </w:tcPr>
          <w:p>
            <w:pPr>
              <w:widowControl/>
              <w:jc w:val="center"/>
              <w:rPr>
                <w:rFonts w:hint="default" w:eastAsiaTheme="minorEastAsia"/>
                <w:color w:val="000000"/>
                <w:kern w:val="0"/>
                <w:sz w:val="18"/>
                <w:szCs w:val="18"/>
                <w:lang w:val="en-US" w:eastAsia="zh-CN"/>
              </w:rPr>
            </w:pPr>
            <w:r>
              <w:rPr>
                <w:rFonts w:hint="eastAsia" w:eastAsiaTheme="minorEastAsia"/>
                <w:color w:val="000000"/>
                <w:kern w:val="0"/>
                <w:sz w:val="18"/>
                <w:szCs w:val="18"/>
                <w:lang w:val="en-US" w:eastAsia="zh-CN"/>
              </w:rPr>
              <w:t>申报单位名称</w:t>
            </w:r>
          </w:p>
        </w:tc>
        <w:tc>
          <w:tcPr>
            <w:tcW w:w="6460" w:type="dxa"/>
            <w:gridSpan w:val="3"/>
            <w:tcBorders>
              <w:tl2br w:val="nil"/>
              <w:tr2bl w:val="nil"/>
            </w:tcBorders>
            <w:vAlign w:val="center"/>
          </w:tcPr>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1957" w:type="dxa"/>
            <w:tcBorders>
              <w:tl2br w:val="nil"/>
              <w:tr2bl w:val="nil"/>
            </w:tcBorders>
            <w:vAlign w:val="center"/>
          </w:tcPr>
          <w:p>
            <w:pPr>
              <w:widowControl/>
              <w:jc w:val="center"/>
              <w:rPr>
                <w:rFonts w:hint="eastAsia" w:ascii="Times New Roman" w:hAnsi="Times New Roman" w:cs="Times New Roman" w:eastAsiaTheme="minorEastAsia"/>
                <w:color w:val="000000"/>
                <w:kern w:val="0"/>
                <w:sz w:val="18"/>
                <w:szCs w:val="18"/>
                <w:lang w:val="en-US" w:eastAsia="zh-CN" w:bidi="ar-SA"/>
              </w:rPr>
            </w:pPr>
            <w:r>
              <w:rPr>
                <w:rFonts w:eastAsiaTheme="minorEastAsia"/>
                <w:color w:val="000000"/>
                <w:kern w:val="0"/>
                <w:sz w:val="18"/>
                <w:szCs w:val="18"/>
              </w:rPr>
              <w:t>联系人</w:t>
            </w:r>
          </w:p>
        </w:tc>
        <w:tc>
          <w:tcPr>
            <w:tcW w:w="2775" w:type="dxa"/>
            <w:tcBorders>
              <w:tl2br w:val="nil"/>
              <w:tr2bl w:val="nil"/>
            </w:tcBorders>
            <w:vAlign w:val="center"/>
          </w:tcPr>
          <w:p>
            <w:pPr>
              <w:widowControl/>
              <w:jc w:val="left"/>
              <w:rPr>
                <w:rFonts w:hint="eastAsia" w:ascii="Times New Roman" w:hAnsi="Times New Roman" w:cs="Times New Roman" w:eastAsiaTheme="minorEastAsia"/>
                <w:color w:val="000000"/>
                <w:kern w:val="0"/>
                <w:sz w:val="18"/>
                <w:szCs w:val="18"/>
                <w:lang w:val="en-US" w:eastAsia="zh-CN" w:bidi="ar-SA"/>
              </w:rPr>
            </w:pPr>
          </w:p>
        </w:tc>
        <w:tc>
          <w:tcPr>
            <w:tcW w:w="1350" w:type="dxa"/>
            <w:tcBorders>
              <w:tl2br w:val="nil"/>
              <w:tr2bl w:val="nil"/>
            </w:tcBorders>
            <w:vAlign w:val="center"/>
          </w:tcPr>
          <w:p>
            <w:pPr>
              <w:widowControl/>
              <w:jc w:val="center"/>
              <w:rPr>
                <w:rFonts w:hint="eastAsia" w:ascii="Times New Roman" w:hAnsi="Times New Roman" w:cs="Times New Roman" w:eastAsiaTheme="minorEastAsia"/>
                <w:color w:val="000000"/>
                <w:kern w:val="0"/>
                <w:sz w:val="18"/>
                <w:szCs w:val="18"/>
                <w:lang w:val="en-US" w:eastAsia="zh-CN" w:bidi="ar-SA"/>
              </w:rPr>
            </w:pPr>
            <w:r>
              <w:rPr>
                <w:rFonts w:eastAsiaTheme="minorEastAsia"/>
                <w:color w:val="000000"/>
                <w:kern w:val="0"/>
                <w:sz w:val="18"/>
                <w:szCs w:val="18"/>
              </w:rPr>
              <w:t>联系电话</w:t>
            </w:r>
          </w:p>
        </w:tc>
        <w:tc>
          <w:tcPr>
            <w:tcW w:w="2335" w:type="dxa"/>
            <w:tcBorders>
              <w:tl2br w:val="nil"/>
              <w:tr2bl w:val="nil"/>
            </w:tcBorders>
            <w:vAlign w:val="center"/>
          </w:tcPr>
          <w:p>
            <w:pPr>
              <w:widowControl/>
              <w:rPr>
                <w:rFonts w:hint="eastAsia" w:ascii="Times New Roman" w:hAnsi="Times New Roman" w:cs="Times New Roman" w:eastAsiaTheme="minorEastAsia"/>
                <w:color w:val="000000"/>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417" w:type="dxa"/>
            <w:gridSpan w:val="4"/>
            <w:tcBorders>
              <w:tl2br w:val="nil"/>
              <w:tr2bl w:val="nil"/>
            </w:tcBorders>
            <w:vAlign w:val="center"/>
          </w:tcPr>
          <w:p>
            <w:pPr>
              <w:widowControl/>
              <w:jc w:val="center"/>
              <w:rPr>
                <w:rFonts w:eastAsiaTheme="minorEastAsia"/>
                <w:color w:val="000000"/>
                <w:kern w:val="0"/>
                <w:sz w:val="18"/>
                <w:szCs w:val="18"/>
              </w:rPr>
            </w:pPr>
            <w:r>
              <w:rPr>
                <w:rFonts w:hint="eastAsia" w:ascii="宋体" w:hAnsi="宋体" w:cs="宋体"/>
                <w:color w:val="000000"/>
                <w:kern w:val="0"/>
                <w:sz w:val="18"/>
                <w:szCs w:val="18"/>
              </w:rPr>
              <w:t>表</w:t>
            </w:r>
            <w:r>
              <w:rPr>
                <w:rFonts w:hint="eastAsia" w:ascii="宋体" w:hAnsi="宋体" w:cs="宋体"/>
                <w:color w:val="000000"/>
                <w:kern w:val="0"/>
                <w:sz w:val="18"/>
                <w:szCs w:val="18"/>
                <w:lang w:val="en-US" w:eastAsia="zh-CN"/>
              </w:rPr>
              <w:t>C</w:t>
            </w:r>
            <w:r>
              <w:rPr>
                <w:rFonts w:hint="eastAsia" w:ascii="宋体" w:hAnsi="宋体" w:cs="宋体"/>
                <w:color w:val="000000"/>
                <w:kern w:val="0"/>
                <w:sz w:val="18"/>
                <w:szCs w:val="18"/>
              </w:rPr>
              <w:t>.2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957" w:type="dxa"/>
            <w:tcBorders>
              <w:tl2br w:val="nil"/>
              <w:tr2bl w:val="nil"/>
            </w:tcBorders>
            <w:vAlign w:val="center"/>
          </w:tcPr>
          <w:p>
            <w:pPr>
              <w:widowControl/>
              <w:jc w:val="center"/>
              <w:rPr>
                <w:rFonts w:eastAsiaTheme="minorEastAsia"/>
                <w:color w:val="000000"/>
                <w:kern w:val="0"/>
                <w:sz w:val="18"/>
                <w:szCs w:val="18"/>
              </w:rPr>
            </w:pPr>
            <w:r>
              <w:rPr>
                <w:rFonts w:hint="eastAsia" w:eastAsiaTheme="minorEastAsia"/>
                <w:color w:val="000000"/>
                <w:kern w:val="0"/>
                <w:sz w:val="18"/>
                <w:szCs w:val="18"/>
                <w:lang w:val="en-US" w:eastAsia="zh-CN"/>
              </w:rPr>
              <w:t>项目</w:t>
            </w:r>
            <w:r>
              <w:rPr>
                <w:rFonts w:eastAsiaTheme="minorEastAsia"/>
                <w:color w:val="000000"/>
                <w:kern w:val="0"/>
                <w:sz w:val="18"/>
                <w:szCs w:val="18"/>
              </w:rPr>
              <w:t>简介</w:t>
            </w:r>
          </w:p>
        </w:tc>
        <w:tc>
          <w:tcPr>
            <w:tcW w:w="6460" w:type="dxa"/>
            <w:gridSpan w:val="3"/>
            <w:tcBorders>
              <w:tl2br w:val="nil"/>
              <w:tr2bl w:val="nil"/>
            </w:tcBorders>
            <w:vAlign w:val="center"/>
          </w:tcPr>
          <w:p>
            <w:pPr>
              <w:widowControl/>
              <w:rPr>
                <w:rFonts w:eastAsiaTheme="minorEastAsia"/>
                <w:color w:val="000000"/>
                <w:kern w:val="0"/>
                <w:sz w:val="18"/>
                <w:szCs w:val="18"/>
              </w:rPr>
            </w:pPr>
            <w:r>
              <w:rPr>
                <w:rFonts w:eastAsiaTheme="minorEastAsia"/>
                <w:color w:val="000000"/>
                <w:kern w:val="0"/>
                <w:sz w:val="18"/>
                <w:szCs w:val="18"/>
              </w:rPr>
              <w:t>（</w:t>
            </w:r>
            <w:r>
              <w:rPr>
                <w:rFonts w:hint="eastAsia" w:eastAsiaTheme="minorEastAsia"/>
                <w:color w:val="000000"/>
                <w:kern w:val="0"/>
                <w:sz w:val="18"/>
                <w:szCs w:val="18"/>
                <w:lang w:val="en-US" w:eastAsia="zh-CN"/>
              </w:rPr>
              <w:t>项目建设、运营</w:t>
            </w:r>
            <w:r>
              <w:rPr>
                <w:rFonts w:eastAsiaTheme="minorEastAsia"/>
                <w:color w:val="000000"/>
                <w:kern w:val="0"/>
                <w:sz w:val="18"/>
                <w:szCs w:val="18"/>
              </w:rPr>
              <w:t>情况介绍）</w:t>
            </w:r>
          </w:p>
          <w:p>
            <w:pPr>
              <w:widowControl/>
              <w:rPr>
                <w:rFonts w:eastAsiaTheme="minorEastAsia"/>
                <w:color w:val="000000"/>
                <w:kern w:val="0"/>
                <w:sz w:val="18"/>
                <w:szCs w:val="18"/>
              </w:rPr>
            </w:pPr>
          </w:p>
          <w:p>
            <w:pPr>
              <w:widowControl/>
              <w:rPr>
                <w:rFonts w:eastAsiaTheme="minorEastAsia"/>
                <w:color w:val="000000"/>
                <w:kern w:val="0"/>
                <w:sz w:val="18"/>
                <w:szCs w:val="18"/>
              </w:rPr>
            </w:pPr>
          </w:p>
          <w:p>
            <w:pPr>
              <w:pStyle w:val="2"/>
            </w:pPr>
          </w:p>
          <w:p>
            <w:pPr>
              <w:widowControl/>
              <w:rPr>
                <w:rFonts w:eastAsiaTheme="minorEastAsia"/>
                <w:color w:val="000000"/>
                <w:kern w:val="0"/>
                <w:sz w:val="18"/>
                <w:szCs w:val="18"/>
              </w:rPr>
            </w:pPr>
          </w:p>
          <w:p>
            <w:pPr>
              <w:widowControl/>
              <w:rPr>
                <w:rFonts w:eastAsiaTheme="minorEastAsia"/>
                <w:color w:val="000000"/>
                <w:kern w:val="0"/>
                <w:sz w:val="18"/>
                <w:szCs w:val="18"/>
              </w:rPr>
            </w:pPr>
          </w:p>
          <w:p>
            <w:pPr>
              <w:widowControl/>
              <w:rPr>
                <w:rFonts w:eastAsiaTheme="minorEastAsia"/>
                <w:color w:val="000000"/>
                <w:kern w:val="0"/>
                <w:sz w:val="18"/>
                <w:szCs w:val="18"/>
              </w:rPr>
            </w:pPr>
          </w:p>
          <w:p>
            <w:pPr>
              <w:pStyle w:val="2"/>
            </w:pPr>
          </w:p>
          <w:p>
            <w:pPr>
              <w:pStyle w:val="2"/>
            </w:pPr>
          </w:p>
          <w:p>
            <w:pPr>
              <w:widowControl/>
              <w:rPr>
                <w:rFonts w:eastAsiaTheme="minor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l2br w:val="nil"/>
              <w:tr2bl w:val="nil"/>
            </w:tcBorders>
            <w:vAlign w:val="center"/>
          </w:tcPr>
          <w:p>
            <w:pPr>
              <w:widowControl/>
              <w:rPr>
                <w:rFonts w:eastAsiaTheme="minorEastAsia"/>
                <w:b/>
                <w:kern w:val="0"/>
                <w:sz w:val="18"/>
                <w:szCs w:val="18"/>
              </w:rPr>
            </w:pPr>
            <w:r>
              <w:rPr>
                <w:rFonts w:eastAsiaTheme="minorEastAsia"/>
                <w:b/>
                <w:kern w:val="0"/>
                <w:sz w:val="18"/>
                <w:szCs w:val="18"/>
              </w:rPr>
              <w:t>材料真实性承诺:</w:t>
            </w:r>
          </w:p>
          <w:p>
            <w:pPr>
              <w:widowControl/>
              <w:ind w:firstLine="372" w:firstLineChars="207"/>
              <w:rPr>
                <w:rFonts w:eastAsiaTheme="minorEastAsia"/>
                <w:kern w:val="0"/>
                <w:sz w:val="18"/>
                <w:szCs w:val="18"/>
              </w:rPr>
            </w:pPr>
          </w:p>
          <w:p>
            <w:pPr>
              <w:pStyle w:val="2"/>
            </w:pPr>
          </w:p>
          <w:p>
            <w:pPr>
              <w:widowControl/>
              <w:ind w:firstLine="372" w:firstLineChars="207"/>
              <w:rPr>
                <w:rFonts w:eastAsiaTheme="minorEastAsia"/>
                <w:kern w:val="0"/>
                <w:sz w:val="18"/>
                <w:szCs w:val="18"/>
              </w:rPr>
            </w:pPr>
            <w:r>
              <w:rPr>
                <w:rFonts w:eastAsiaTheme="minorEastAsia"/>
                <w:kern w:val="0"/>
                <w:sz w:val="18"/>
                <w:szCs w:val="18"/>
              </w:rPr>
              <w:t>我单位郑重承诺：本次申报</w:t>
            </w:r>
            <w:r>
              <w:rPr>
                <w:rFonts w:hint="eastAsia" w:eastAsiaTheme="minorEastAsia"/>
                <w:kern w:val="0"/>
                <w:sz w:val="18"/>
                <w:szCs w:val="18"/>
                <w:lang w:eastAsia="zh-CN"/>
              </w:rPr>
              <w:t>绿色低碳产业</w:t>
            </w:r>
            <w:r>
              <w:rPr>
                <w:rFonts w:eastAsiaTheme="minorEastAsia"/>
                <w:kern w:val="0"/>
                <w:sz w:val="18"/>
                <w:szCs w:val="18"/>
              </w:rPr>
              <w:t>认定所提交的相关数据和信息均真实、有效，愿接受并积极配合主管部门的跟踪抽查。如有违反，愿承担由此产生的相应责任。</w:t>
            </w:r>
          </w:p>
          <w:p>
            <w:pPr>
              <w:widowControl/>
              <w:ind w:firstLine="372" w:firstLineChars="207"/>
              <w:rPr>
                <w:rFonts w:eastAsiaTheme="minorEastAsia"/>
                <w:kern w:val="0"/>
                <w:sz w:val="18"/>
                <w:szCs w:val="18"/>
              </w:rPr>
            </w:pPr>
          </w:p>
          <w:p>
            <w:pPr>
              <w:pStyle w:val="2"/>
              <w:rPr>
                <w:rFonts w:eastAsiaTheme="minorEastAsia"/>
                <w:sz w:val="18"/>
                <w:szCs w:val="18"/>
              </w:rPr>
            </w:pPr>
          </w:p>
          <w:p>
            <w:pPr>
              <w:pStyle w:val="2"/>
            </w:pPr>
          </w:p>
          <w:p>
            <w:pPr>
              <w:widowControl/>
              <w:wordWrap w:val="0"/>
              <w:jc w:val="center"/>
              <w:rPr>
                <w:rFonts w:eastAsiaTheme="minorEastAsia"/>
                <w:b/>
                <w:kern w:val="0"/>
                <w:sz w:val="18"/>
                <w:szCs w:val="18"/>
              </w:rPr>
            </w:pPr>
            <w:r>
              <w:rPr>
                <w:rFonts w:eastAsiaTheme="minorEastAsia"/>
                <w:b/>
                <w:kern w:val="0"/>
                <w:sz w:val="18"/>
                <w:szCs w:val="18"/>
              </w:rPr>
              <w:t xml:space="preserve">                           法人或单位负责人签字：          </w:t>
            </w:r>
          </w:p>
          <w:p>
            <w:pPr>
              <w:widowControl/>
              <w:rPr>
                <w:rFonts w:eastAsiaTheme="minorEastAsia"/>
                <w:b/>
                <w:kern w:val="0"/>
                <w:sz w:val="18"/>
                <w:szCs w:val="18"/>
              </w:rPr>
            </w:pPr>
            <w:r>
              <w:rPr>
                <w:rFonts w:eastAsiaTheme="minorEastAsia"/>
                <w:b/>
                <w:kern w:val="0"/>
                <w:sz w:val="18"/>
                <w:szCs w:val="18"/>
              </w:rPr>
              <w:t xml:space="preserve">                                            （公章）</w:t>
            </w:r>
          </w:p>
          <w:p>
            <w:pPr>
              <w:widowControl/>
              <w:wordWrap w:val="0"/>
              <w:jc w:val="center"/>
              <w:rPr>
                <w:rFonts w:eastAsiaTheme="minorEastAsia"/>
                <w:b/>
                <w:kern w:val="0"/>
                <w:sz w:val="18"/>
                <w:szCs w:val="18"/>
              </w:rPr>
            </w:pPr>
            <w:r>
              <w:rPr>
                <w:rFonts w:eastAsiaTheme="minorEastAsia"/>
                <w:b/>
                <w:kern w:val="0"/>
                <w:sz w:val="18"/>
                <w:szCs w:val="18"/>
              </w:rPr>
              <w:t xml:space="preserve">                                            日期：           </w:t>
            </w:r>
          </w:p>
        </w:tc>
      </w:tr>
    </w:tbl>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C.3  评价工作概述</w:t>
      </w:r>
    </w:p>
    <w:p>
      <w:pPr>
        <w:pStyle w:val="24"/>
        <w:rPr>
          <w:rFonts w:ascii="Times New Roman"/>
        </w:rPr>
      </w:pPr>
      <w:r>
        <w:rPr>
          <w:rFonts w:ascii="Times New Roman"/>
        </w:rPr>
        <w:t>概述</w:t>
      </w:r>
      <w:r>
        <w:rPr>
          <w:rFonts w:hint="eastAsia" w:ascii="Times New Roman"/>
          <w:lang w:eastAsia="zh-CN"/>
        </w:rPr>
        <w:t>太阳能行业</w:t>
      </w:r>
      <w:r>
        <w:rPr>
          <w:rFonts w:ascii="Times New Roman"/>
        </w:rPr>
        <w:t>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认定评价工作具体开展情况，包括但不限于工作组设立情况、工作组成员专业背景、评价方式、查看资料类型等等。</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C.4  绿色低碳产业项目认定情况</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C.4.1  基本要求</w:t>
      </w:r>
    </w:p>
    <w:p>
      <w:pPr>
        <w:pStyle w:val="24"/>
        <w:rPr>
          <w:rFonts w:hAnsi="宋体" w:cs="宋体"/>
        </w:rPr>
      </w:pPr>
      <w:r>
        <w:rPr>
          <w:rFonts w:hint="eastAsia" w:hAnsi="宋体" w:cs="宋体"/>
        </w:rPr>
        <w:t>依据本文件及</w:t>
      </w:r>
      <w:r>
        <w:rPr>
          <w:rFonts w:hint="eastAsia" w:hAnsi="宋体" w:cs="宋体"/>
          <w:lang w:eastAsia="zh-CN"/>
        </w:rPr>
        <w:t>《深圳市绿色低碳产业认定评价导则》</w:t>
      </w:r>
      <w:r>
        <w:rPr>
          <w:rFonts w:hint="eastAsia" w:hAnsi="宋体" w:cs="宋体"/>
        </w:rPr>
        <w:t>对基本要求符合情况进行具体描述，包括但不限于：</w:t>
      </w:r>
    </w:p>
    <w:p>
      <w:pPr>
        <w:pStyle w:val="24"/>
        <w:rPr>
          <w:rFonts w:hAnsi="宋体" w:cs="宋体"/>
        </w:rPr>
      </w:pPr>
      <w:r>
        <w:rPr>
          <w:rFonts w:hint="eastAsia" w:hAnsi="宋体" w:cs="宋体"/>
        </w:rPr>
        <w:t>——经营范围；</w:t>
      </w:r>
    </w:p>
    <w:p>
      <w:pPr>
        <w:pStyle w:val="24"/>
        <w:rPr>
          <w:rFonts w:hAnsi="宋体" w:cs="宋体"/>
        </w:rPr>
      </w:pPr>
      <w:r>
        <w:rPr>
          <w:rFonts w:hint="eastAsia" w:hAnsi="宋体" w:cs="宋体"/>
        </w:rPr>
        <w:t>——使用工艺和设备的先进性；</w:t>
      </w:r>
    </w:p>
    <w:p>
      <w:pPr>
        <w:pStyle w:val="24"/>
        <w:rPr>
          <w:rFonts w:hAnsi="宋体" w:cs="宋体"/>
        </w:rPr>
      </w:pPr>
      <w:r>
        <w:rPr>
          <w:rFonts w:hint="eastAsia" w:hAnsi="宋体" w:cs="宋体"/>
        </w:rPr>
        <w:t>——安全生产情况；</w:t>
      </w:r>
    </w:p>
    <w:p>
      <w:pPr>
        <w:pStyle w:val="24"/>
        <w:rPr>
          <w:rFonts w:hAnsi="宋体" w:cs="宋体"/>
        </w:rPr>
      </w:pPr>
      <w:r>
        <w:rPr>
          <w:rFonts w:hint="eastAsia" w:hAnsi="宋体" w:cs="宋体"/>
        </w:rPr>
        <w:t>——是否属于环境信用评价红牌名单。</w:t>
      </w:r>
    </w:p>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C.4.2  符合性评价</w:t>
      </w:r>
    </w:p>
    <w:p>
      <w:pPr>
        <w:pStyle w:val="24"/>
        <w:rPr>
          <w:rFonts w:hAnsi="宋体" w:cs="宋体"/>
        </w:rPr>
      </w:pPr>
      <w:r>
        <w:rPr>
          <w:rFonts w:hint="eastAsia" w:hAnsi="宋体" w:cs="宋体"/>
        </w:rPr>
        <w:t>依据本文件及</w:t>
      </w:r>
      <w:r>
        <w:rPr>
          <w:rFonts w:hint="eastAsia" w:hAnsi="宋体" w:cs="宋体"/>
          <w:lang w:eastAsia="zh-CN"/>
        </w:rPr>
        <w:t>《深圳市绿色低碳产业认定评价导则》</w:t>
      </w:r>
      <w:r>
        <w:rPr>
          <w:rFonts w:hint="eastAsia" w:hAnsi="宋体" w:cs="宋体"/>
        </w:rPr>
        <w:t>对目录符合和技术符合进行具体描述。</w:t>
      </w:r>
    </w:p>
    <w:p>
      <w:pPr>
        <w:pStyle w:val="24"/>
        <w:ind w:left="840" w:leftChars="200" w:hanging="420" w:hangingChars="200"/>
        <w:rPr>
          <w:rFonts w:hAnsi="宋体" w:cs="宋体"/>
        </w:rPr>
      </w:pPr>
      <w:r>
        <w:rPr>
          <w:rFonts w:hint="eastAsia" w:hAnsi="宋体" w:cs="宋体"/>
        </w:rPr>
        <w:t>——目录符合：主要描述申请认定评价的绿色</w:t>
      </w:r>
      <w:r>
        <w:rPr>
          <w:rFonts w:hint="eastAsia" w:hAnsi="宋体" w:cs="宋体"/>
          <w:lang w:val="en-US" w:eastAsia="zh-CN"/>
        </w:rPr>
        <w:t>项目</w:t>
      </w:r>
      <w:r>
        <w:rPr>
          <w:rFonts w:hint="eastAsia" w:hAnsi="宋体" w:cs="宋体"/>
        </w:rPr>
        <w:t>，明确其满足《</w:t>
      </w:r>
      <w:r>
        <w:rPr>
          <w:rFonts w:hint="eastAsia" w:hAnsi="宋体" w:cs="宋体"/>
          <w:lang w:val="en-US" w:eastAsia="zh-CN"/>
        </w:rPr>
        <w:t>深圳市</w:t>
      </w:r>
      <w:r>
        <w:rPr>
          <w:rFonts w:hint="eastAsia" w:hAnsi="宋体" w:cs="宋体"/>
        </w:rPr>
        <w:t>绿色</w:t>
      </w:r>
      <w:r>
        <w:rPr>
          <w:rFonts w:hint="eastAsia" w:hAnsi="宋体" w:cs="宋体"/>
          <w:lang w:val="en-US" w:eastAsia="zh-CN"/>
        </w:rPr>
        <w:t>低碳</w:t>
      </w:r>
      <w:r>
        <w:rPr>
          <w:rFonts w:hint="eastAsia" w:hAnsi="宋体" w:cs="宋体"/>
        </w:rPr>
        <w:t>产业指导目录》</w:t>
      </w:r>
      <w:r>
        <w:rPr>
          <w:rFonts w:hint="eastAsia" w:hAnsi="宋体" w:cs="宋体"/>
          <w:lang w:val="en-US" w:eastAsia="zh-CN"/>
        </w:rPr>
        <w:t>，且符合安全、环保、质量相关法规政策、强制性标准等的要求，描述包括但不限于环境影响评价、社会影响评价、固定资产投资节能审查等相关项目情况</w:t>
      </w:r>
      <w:r>
        <w:rPr>
          <w:rFonts w:hint="eastAsia" w:hAnsi="宋体" w:cs="宋体"/>
        </w:rPr>
        <w:t>。</w:t>
      </w:r>
    </w:p>
    <w:p>
      <w:pPr>
        <w:pStyle w:val="24"/>
        <w:rPr>
          <w:rFonts w:hAnsi="宋体" w:cs="宋体"/>
        </w:rPr>
      </w:pPr>
      <w:r>
        <w:rPr>
          <w:rFonts w:hint="eastAsia" w:hAnsi="宋体" w:cs="宋体"/>
        </w:rPr>
        <w:t>——技术符合：列明</w:t>
      </w:r>
      <w:r>
        <w:rPr>
          <w:rFonts w:hint="eastAsia" w:hAnsi="宋体" w:cs="宋体"/>
          <w:lang w:val="en-US" w:eastAsia="zh-CN"/>
        </w:rPr>
        <w:t>项目执行所</w:t>
      </w:r>
      <w:r>
        <w:rPr>
          <w:rFonts w:hint="eastAsia" w:hAnsi="宋体" w:cs="宋体"/>
        </w:rPr>
        <w:t>符合相关的法律法规、政策、标准中等技术要求。</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C.4.3  综合评价</w:t>
      </w:r>
    </w:p>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C.4.3.1  技术表现</w:t>
      </w:r>
    </w:p>
    <w:p>
      <w:pPr>
        <w:pStyle w:val="24"/>
        <w:rPr>
          <w:rFonts w:hAnsi="宋体" w:cs="宋体"/>
        </w:rPr>
      </w:pPr>
      <w:r>
        <w:rPr>
          <w:rFonts w:hint="eastAsia" w:hAnsi="宋体" w:cs="宋体"/>
        </w:rPr>
        <w:t>依据本文件及</w:t>
      </w:r>
      <w:r>
        <w:rPr>
          <w:rFonts w:hint="eastAsia" w:hAnsi="宋体" w:cs="宋体"/>
          <w:lang w:eastAsia="zh-CN"/>
        </w:rPr>
        <w:t>《深圳市绿色低碳产业认定评价导则》</w:t>
      </w:r>
      <w:r>
        <w:rPr>
          <w:rFonts w:hint="eastAsia" w:hAnsi="宋体" w:cs="宋体"/>
        </w:rPr>
        <w:t>对</w:t>
      </w:r>
      <w:r>
        <w:rPr>
          <w:rFonts w:hint="eastAsia" w:hAnsi="宋体" w:cs="宋体"/>
          <w:lang w:val="en-US" w:eastAsia="zh-CN"/>
        </w:rPr>
        <w:t>有效知识产权、关键技术先进性</w:t>
      </w:r>
      <w:r>
        <w:rPr>
          <w:rFonts w:hint="eastAsia" w:hAnsi="宋体" w:cs="宋体"/>
        </w:rPr>
        <w:t>和环境效益进行具体描述。</w:t>
      </w:r>
    </w:p>
    <w:p>
      <w:pPr>
        <w:pStyle w:val="24"/>
        <w:ind w:left="840" w:leftChars="200" w:hanging="420" w:hangingChars="200"/>
        <w:rPr>
          <w:rFonts w:hAnsi="宋体" w:cs="宋体"/>
        </w:rPr>
      </w:pPr>
      <w:r>
        <w:rPr>
          <w:rFonts w:hint="eastAsia" w:hAnsi="宋体" w:cs="宋体"/>
        </w:rPr>
        <w:t>——</w:t>
      </w:r>
      <w:r>
        <w:rPr>
          <w:rFonts w:hint="eastAsia" w:hAnsi="宋体" w:cs="宋体"/>
          <w:lang w:val="en-US" w:eastAsia="zh-CN"/>
        </w:rPr>
        <w:t>有效知识产权</w:t>
      </w:r>
      <w:r>
        <w:rPr>
          <w:rFonts w:hint="eastAsia" w:hAnsi="宋体" w:cs="宋体"/>
        </w:rPr>
        <w:t>：</w:t>
      </w:r>
      <w:r>
        <w:rPr>
          <w:rFonts w:hint="eastAsia" w:hAnsi="宋体" w:cs="宋体"/>
          <w:lang w:val="en-US" w:eastAsia="zh-CN"/>
        </w:rPr>
        <w:t>主要描述在项目拥有并直接应用的有效知识产权数量的</w:t>
      </w:r>
      <w:r>
        <w:rPr>
          <w:rFonts w:hint="eastAsia" w:hAnsi="宋体" w:cs="宋体"/>
        </w:rPr>
        <w:t>情况。</w:t>
      </w:r>
    </w:p>
    <w:p>
      <w:pPr>
        <w:pStyle w:val="24"/>
        <w:ind w:left="840" w:leftChars="200" w:hanging="420" w:hangingChars="200"/>
        <w:rPr>
          <w:rFonts w:hint="eastAsia" w:hAnsi="宋体" w:cs="宋体"/>
        </w:rPr>
      </w:pPr>
      <w:r>
        <w:rPr>
          <w:rFonts w:hint="eastAsia" w:hAnsi="宋体" w:cs="宋体"/>
        </w:rPr>
        <w:t>——</w:t>
      </w:r>
      <w:r>
        <w:rPr>
          <w:rFonts w:hint="eastAsia" w:hAnsi="宋体" w:cs="宋体"/>
          <w:lang w:val="en-US" w:eastAsia="zh-CN"/>
        </w:rPr>
        <w:t>关键技术先进性</w:t>
      </w:r>
      <w:r>
        <w:rPr>
          <w:rFonts w:hint="eastAsia" w:hAnsi="宋体" w:cs="宋体"/>
        </w:rPr>
        <w:t>：主要描述</w:t>
      </w:r>
      <w:r>
        <w:rPr>
          <w:rFonts w:hint="eastAsia" w:ascii="Times New Roman"/>
          <w:lang w:val="en-US" w:eastAsia="zh-CN"/>
        </w:rPr>
        <w:t>项目应用的关键技术在行业内或地区内能达到的领先水平情况</w:t>
      </w:r>
      <w:r>
        <w:rPr>
          <w:rFonts w:hint="eastAsia" w:hAnsi="宋体" w:cs="宋体"/>
        </w:rPr>
        <w:t>。</w:t>
      </w:r>
    </w:p>
    <w:p>
      <w:pPr>
        <w:pStyle w:val="24"/>
        <w:ind w:left="840" w:leftChars="200" w:hanging="420" w:hangingChars="200"/>
        <w:rPr>
          <w:rFonts w:hint="default" w:hAnsi="宋体" w:eastAsia="宋体" w:cs="宋体"/>
          <w:lang w:val="en-US" w:eastAsia="zh-CN"/>
        </w:rPr>
      </w:pPr>
      <w:r>
        <w:rPr>
          <w:rFonts w:hint="eastAsia" w:hAnsi="宋体" w:cs="宋体"/>
          <w:lang w:eastAsia="zh-CN"/>
        </w:rPr>
        <w:t>——</w:t>
      </w:r>
      <w:r>
        <w:rPr>
          <w:rFonts w:hint="eastAsia" w:hAnsi="宋体" w:cs="宋体"/>
          <w:lang w:val="en-US" w:eastAsia="zh-CN"/>
        </w:rPr>
        <w:t>环境效益。主要描述项目取得的资源节约、环境友好、生态良好相关实际环境效益贡献量的情况。</w:t>
      </w:r>
    </w:p>
    <w:p>
      <w:pPr>
        <w:widowControl w:val="0"/>
        <w:numPr>
          <w:ilvl w:val="1"/>
          <w:numId w:val="0"/>
        </w:numPr>
        <w:spacing w:before="156" w:beforeLines="50" w:after="156" w:afterLines="50"/>
        <w:jc w:val="both"/>
        <w:rPr>
          <w:rFonts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C.4.3.2  环境表现</w:t>
      </w:r>
    </w:p>
    <w:p>
      <w:pPr>
        <w:pStyle w:val="24"/>
        <w:rPr>
          <w:rFonts w:hAnsi="宋体" w:cs="宋体"/>
        </w:rPr>
      </w:pPr>
      <w:r>
        <w:rPr>
          <w:rFonts w:hint="eastAsia" w:hAnsi="宋体" w:cs="宋体"/>
        </w:rPr>
        <w:t>依据本文件及</w:t>
      </w:r>
      <w:r>
        <w:rPr>
          <w:rFonts w:hint="eastAsia" w:hAnsi="宋体" w:cs="宋体"/>
          <w:lang w:eastAsia="zh-CN"/>
        </w:rPr>
        <w:t>《深圳市绿色低碳产业认定评价导则》</w:t>
      </w:r>
      <w:r>
        <w:rPr>
          <w:rFonts w:hint="eastAsia" w:hAnsi="宋体" w:cs="宋体"/>
        </w:rPr>
        <w:t>对</w:t>
      </w:r>
      <w:r>
        <w:rPr>
          <w:rFonts w:hint="eastAsia" w:hAnsi="宋体" w:cs="宋体"/>
          <w:lang w:val="en-US" w:eastAsia="zh-CN"/>
        </w:rPr>
        <w:t>设备材料</w:t>
      </w:r>
      <w:r>
        <w:rPr>
          <w:rFonts w:hint="eastAsia" w:hAnsi="宋体" w:cs="宋体"/>
        </w:rPr>
        <w:t>、</w:t>
      </w:r>
      <w:r>
        <w:rPr>
          <w:rFonts w:hint="eastAsia" w:hAnsi="宋体" w:cs="宋体"/>
          <w:lang w:eastAsia="zh-CN"/>
        </w:rPr>
        <w:t>绿色低碳运营和污染物排放水平</w:t>
      </w:r>
      <w:r>
        <w:rPr>
          <w:rFonts w:hint="eastAsia" w:hAnsi="宋体" w:cs="宋体"/>
        </w:rPr>
        <w:t>进行具体描述。</w:t>
      </w:r>
    </w:p>
    <w:p>
      <w:pPr>
        <w:pStyle w:val="24"/>
        <w:ind w:left="850" w:leftChars="204" w:hanging="422" w:hangingChars="201"/>
        <w:rPr>
          <w:rFonts w:hAnsi="宋体" w:cs="宋体"/>
        </w:rPr>
      </w:pPr>
      <w:r>
        <w:rPr>
          <w:rFonts w:hint="eastAsia" w:hAnsi="宋体" w:cs="宋体"/>
        </w:rPr>
        <w:t>——</w:t>
      </w:r>
      <w:r>
        <w:rPr>
          <w:rFonts w:hint="eastAsia" w:hAnsi="宋体" w:cs="宋体"/>
          <w:lang w:val="en-US" w:eastAsia="zh-CN"/>
        </w:rPr>
        <w:t>设备材料</w:t>
      </w:r>
      <w:r>
        <w:rPr>
          <w:rFonts w:hint="eastAsia" w:hAnsi="宋体" w:cs="宋体"/>
        </w:rPr>
        <w:t>：主要描述</w:t>
      </w:r>
      <w:r>
        <w:rPr>
          <w:rFonts w:hint="eastAsia" w:hAnsi="宋体" w:cs="宋体"/>
          <w:lang w:val="en-US" w:eastAsia="zh-CN"/>
        </w:rPr>
        <w:t>项目采用的设备、材料绿色化水平的</w:t>
      </w:r>
      <w:r>
        <w:rPr>
          <w:rFonts w:hint="eastAsia" w:hAnsi="宋体" w:cs="宋体"/>
        </w:rPr>
        <w:t>情况。</w:t>
      </w:r>
    </w:p>
    <w:p>
      <w:pPr>
        <w:pStyle w:val="24"/>
        <w:rPr>
          <w:rFonts w:hint="eastAsia" w:hAnsi="宋体" w:cs="宋体"/>
          <w:lang w:val="en-US" w:eastAsia="zh-CN"/>
        </w:rPr>
      </w:pPr>
      <w:r>
        <w:rPr>
          <w:rFonts w:hint="eastAsia" w:hAnsi="宋体" w:cs="宋体"/>
        </w:rPr>
        <w:t>——</w:t>
      </w:r>
      <w:r>
        <w:rPr>
          <w:rFonts w:hint="eastAsia" w:hAnsi="宋体" w:cs="宋体"/>
          <w:lang w:val="en-US" w:eastAsia="zh-CN"/>
        </w:rPr>
        <w:t>绿色低碳运营</w:t>
      </w:r>
      <w:r>
        <w:rPr>
          <w:rFonts w:hint="eastAsia" w:hAnsi="宋体" w:cs="宋体"/>
        </w:rPr>
        <w:t>：主要描述</w:t>
      </w:r>
      <w:r>
        <w:rPr>
          <w:rFonts w:hint="eastAsia" w:hAnsi="宋体" w:cs="宋体"/>
          <w:lang w:val="en-US" w:eastAsia="zh-CN"/>
        </w:rPr>
        <w:t>项目单位总投资综合能耗、单位总投资用水量、单位总投资用地面积、</w:t>
      </w:r>
    </w:p>
    <w:p>
      <w:pPr>
        <w:pStyle w:val="24"/>
        <w:ind w:firstLine="840" w:firstLineChars="400"/>
        <w:rPr>
          <w:rFonts w:hAnsi="宋体" w:cs="宋体"/>
        </w:rPr>
      </w:pPr>
      <w:r>
        <w:rPr>
          <w:rFonts w:hint="eastAsia" w:hAnsi="宋体" w:cs="宋体"/>
          <w:lang w:val="en-US" w:eastAsia="zh-CN"/>
        </w:rPr>
        <w:t>单位总投资碳排放量、可再生利用率等方面的</w:t>
      </w:r>
      <w:r>
        <w:rPr>
          <w:rFonts w:hint="eastAsia" w:hAnsi="宋体" w:cs="宋体"/>
        </w:rPr>
        <w:t>情况。</w:t>
      </w:r>
    </w:p>
    <w:p>
      <w:pPr>
        <w:pStyle w:val="24"/>
        <w:rPr>
          <w:rFonts w:hAnsi="宋体" w:cs="宋体"/>
        </w:rPr>
      </w:pPr>
      <w:r>
        <w:rPr>
          <w:rFonts w:hint="eastAsia" w:hAnsi="宋体" w:cs="宋体"/>
        </w:rPr>
        <w:t>——</w:t>
      </w:r>
      <w:r>
        <w:rPr>
          <w:rFonts w:hint="eastAsia" w:hAnsi="宋体" w:cs="宋体"/>
          <w:lang w:val="en-US" w:eastAsia="zh-CN"/>
        </w:rPr>
        <w:t>污染物排放水平</w:t>
      </w:r>
      <w:r>
        <w:rPr>
          <w:rFonts w:hint="eastAsia" w:hAnsi="宋体" w:cs="宋体"/>
        </w:rPr>
        <w:t>：</w:t>
      </w:r>
      <w:r>
        <w:rPr>
          <w:rFonts w:hint="eastAsia" w:hAnsi="宋体" w:cs="宋体"/>
          <w:lang w:val="en-US" w:eastAsia="zh-CN"/>
        </w:rPr>
        <w:t>主要描述项目自身生产运营过程向环境排放污染物的情况</w:t>
      </w:r>
      <w:r>
        <w:rPr>
          <w:rFonts w:hint="eastAsia" w:hAnsi="宋体" w:cs="宋体"/>
        </w:rPr>
        <w:t>。</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C.5  评价表</w:t>
      </w:r>
    </w:p>
    <w:p>
      <w:pPr>
        <w:pStyle w:val="24"/>
        <w:rPr>
          <w:rFonts w:hAnsi="宋体" w:cs="宋体"/>
        </w:rPr>
      </w:pPr>
      <w:r>
        <w:rPr>
          <w:rFonts w:ascii="Times New Roman"/>
        </w:rPr>
        <w:t>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w:t>
      </w:r>
      <w:r>
        <w:rPr>
          <w:rFonts w:hint="eastAsia" w:ascii="Times New Roman"/>
        </w:rPr>
        <w:t>评价</w:t>
      </w:r>
      <w:r>
        <w:rPr>
          <w:rFonts w:hint="eastAsia" w:hAnsi="宋体" w:cs="宋体"/>
        </w:rPr>
        <w:t>表见表</w:t>
      </w:r>
      <w:r>
        <w:rPr>
          <w:rFonts w:hint="eastAsia" w:hAnsi="宋体" w:cs="宋体"/>
          <w:lang w:val="en-US" w:eastAsia="zh-CN"/>
        </w:rPr>
        <w:t>C</w:t>
      </w:r>
      <w:r>
        <w:rPr>
          <w:rFonts w:hint="eastAsia" w:hAnsi="宋体" w:cs="宋体"/>
        </w:rPr>
        <w:t>.3、表</w:t>
      </w:r>
      <w:r>
        <w:rPr>
          <w:rFonts w:hint="eastAsia" w:hAnsi="宋体" w:cs="宋体"/>
          <w:lang w:val="en-US" w:eastAsia="zh-CN"/>
        </w:rPr>
        <w:t>C</w:t>
      </w:r>
      <w:r>
        <w:rPr>
          <w:rFonts w:hint="eastAsia" w:hAnsi="宋体" w:cs="宋体"/>
        </w:rPr>
        <w:t>.4和表</w:t>
      </w:r>
      <w:r>
        <w:rPr>
          <w:rFonts w:hint="eastAsia" w:hAnsi="宋体" w:cs="宋体"/>
          <w:lang w:val="en-US" w:eastAsia="zh-CN"/>
        </w:rPr>
        <w:t>C</w:t>
      </w:r>
      <w:r>
        <w:rPr>
          <w:rFonts w:hint="eastAsia" w:hAnsi="宋体" w:cs="宋体"/>
        </w:rPr>
        <w:t>.5。</w:t>
      </w:r>
    </w:p>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表C.3</w:t>
      </w:r>
      <w:r>
        <w:rPr>
          <w:rFonts w:ascii="Times New Roman" w:hAnsi="Times New Roman" w:eastAsia="黑体" w:cs="Times New Roman"/>
          <w:kern w:val="2"/>
          <w:sz w:val="21"/>
          <w:szCs w:val="21"/>
          <w:lang w:val="en-US" w:eastAsia="zh-CN" w:bidi="ar-SA"/>
        </w:rPr>
        <w:t xml:space="preserve">  基本要求</w:t>
      </w:r>
      <w:r>
        <w:rPr>
          <w:rFonts w:hint="eastAsia" w:ascii="Times New Roman" w:hAnsi="Times New Roman" w:eastAsia="黑体" w:cs="Times New Roman"/>
          <w:kern w:val="2"/>
          <w:sz w:val="21"/>
          <w:szCs w:val="21"/>
          <w:lang w:val="en-US" w:eastAsia="zh-CN" w:bidi="ar-SA"/>
        </w:rPr>
        <w:t>评价</w:t>
      </w:r>
      <w:r>
        <w:rPr>
          <w:rFonts w:ascii="Times New Roman" w:hAnsi="Times New Roman" w:eastAsia="黑体" w:cs="Times New Roman"/>
          <w:kern w:val="2"/>
          <w:sz w:val="21"/>
          <w:szCs w:val="21"/>
          <w:lang w:val="en-US" w:eastAsia="zh-CN" w:bidi="ar-SA"/>
        </w:rPr>
        <w:t>表</w:t>
      </w:r>
    </w:p>
    <w:tbl>
      <w:tblPr>
        <w:tblStyle w:val="34"/>
        <w:tblW w:w="89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559"/>
        <w:gridCol w:w="2711"/>
        <w:gridCol w:w="1647"/>
        <w:gridCol w:w="1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653"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2559" w:type="dxa"/>
            <w:tcBorders>
              <w:bottom w:val="single" w:color="auto" w:sz="8"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基本要求内容</w:t>
            </w:r>
          </w:p>
        </w:tc>
        <w:tc>
          <w:tcPr>
            <w:tcW w:w="2711"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评分依据</w:t>
            </w:r>
          </w:p>
        </w:tc>
        <w:tc>
          <w:tcPr>
            <w:tcW w:w="1647"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评价结果（是/否）</w:t>
            </w:r>
          </w:p>
        </w:tc>
        <w:tc>
          <w:tcPr>
            <w:tcW w:w="1402" w:type="dxa"/>
            <w:tcBorders>
              <w:bottom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3" w:type="dxa"/>
            <w:tcBorders>
              <w:top w:val="single" w:color="auto" w:sz="8" w:space="0"/>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2559" w:type="dxa"/>
            <w:tcBorders>
              <w:top w:val="single" w:color="auto" w:sz="8" w:space="0"/>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在深圳市（含深汕特别合作区）行政辖区内注册满一年的法人企业或事业单位法人，总部设立在深圳的集团公司可联合深圳市行政辖区外的控股子公司共同申报</w:t>
            </w:r>
            <w:r>
              <w:rPr>
                <w:rFonts w:hint="eastAsia" w:cs="宋体" w:asciiTheme="minorEastAsia" w:hAnsiTheme="minorEastAsia" w:eastAsiaTheme="minorEastAsia"/>
                <w:color w:val="000000"/>
                <w:kern w:val="0"/>
                <w:sz w:val="18"/>
                <w:szCs w:val="18"/>
                <w:lang w:eastAsia="zh-CN"/>
              </w:rPr>
              <w:t>。</w:t>
            </w:r>
          </w:p>
        </w:tc>
        <w:tc>
          <w:tcPr>
            <w:tcW w:w="2711" w:type="dxa"/>
            <w:tcBorders>
              <w:top w:val="single" w:color="auto" w:sz="8" w:space="0"/>
              <w:tl2br w:val="nil"/>
              <w:tr2bl w:val="nil"/>
            </w:tcBorders>
            <w:vAlign w:val="center"/>
          </w:tcPr>
          <w:p>
            <w:pPr>
              <w:widowControl/>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营业执照或事业单位法人证书。</w:t>
            </w:r>
          </w:p>
        </w:tc>
        <w:tc>
          <w:tcPr>
            <w:tcW w:w="1647" w:type="dxa"/>
            <w:tcBorders>
              <w:top w:val="single" w:color="auto" w:sz="8" w:space="0"/>
              <w:tl2br w:val="nil"/>
              <w:tr2bl w:val="nil"/>
            </w:tcBorders>
            <w:vAlign w:val="center"/>
          </w:tcPr>
          <w:p>
            <w:pPr>
              <w:spacing w:line="280" w:lineRule="exact"/>
              <w:jc w:val="center"/>
              <w:rPr>
                <w:rFonts w:asciiTheme="minorEastAsia" w:hAnsiTheme="minorEastAsia" w:eastAsiaTheme="minorEastAsia"/>
                <w:sz w:val="18"/>
                <w:szCs w:val="18"/>
              </w:rPr>
            </w:pPr>
          </w:p>
        </w:tc>
        <w:tc>
          <w:tcPr>
            <w:tcW w:w="1402" w:type="dxa"/>
            <w:tcBorders>
              <w:top w:val="single" w:color="auto" w:sz="8" w:space="0"/>
              <w:tl2br w:val="nil"/>
              <w:tr2bl w:val="nil"/>
            </w:tcBorders>
            <w:vAlign w:val="center"/>
          </w:tcPr>
          <w:p>
            <w:pPr>
              <w:spacing w:line="28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3"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2</w:t>
            </w:r>
          </w:p>
        </w:tc>
        <w:tc>
          <w:tcPr>
            <w:tcW w:w="255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在申报、认定及结果公示期结束之前均未被列入失信联合惩戒黑名单及失信被执行人名单。</w:t>
            </w:r>
          </w:p>
        </w:tc>
        <w:tc>
          <w:tcPr>
            <w:tcW w:w="2711" w:type="dxa"/>
            <w:tcBorders>
              <w:tl2br w:val="nil"/>
              <w:tr2bl w:val="nil"/>
            </w:tcBorders>
            <w:vAlign w:val="center"/>
          </w:tcPr>
          <w:p>
            <w:pPr>
              <w:widowControl/>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中国执行信息公开网</w:t>
            </w:r>
            <w:r>
              <w:rPr>
                <w:rFonts w:hint="eastAsia" w:cs="宋体" w:asciiTheme="minorEastAsia" w:hAnsiTheme="minorEastAsia" w:eastAsiaTheme="minorEastAsia"/>
                <w:sz w:val="18"/>
                <w:szCs w:val="18"/>
                <w:lang w:eastAsia="zh-CN"/>
              </w:rPr>
              <w:t>、</w:t>
            </w:r>
            <w:r>
              <w:rPr>
                <w:rFonts w:hint="eastAsia" w:cs="宋体" w:asciiTheme="minorEastAsia" w:hAnsiTheme="minorEastAsia" w:eastAsiaTheme="minorEastAsia"/>
                <w:sz w:val="18"/>
                <w:szCs w:val="18"/>
                <w:lang w:val="en-US" w:eastAsia="zh-CN"/>
              </w:rPr>
              <w:t>中国信用信息共享平台发布结果。</w:t>
            </w:r>
          </w:p>
        </w:tc>
        <w:tc>
          <w:tcPr>
            <w:tcW w:w="1647" w:type="dxa"/>
            <w:tcBorders>
              <w:tl2br w:val="nil"/>
              <w:tr2bl w:val="nil"/>
            </w:tcBorders>
            <w:vAlign w:val="center"/>
          </w:tcPr>
          <w:p>
            <w:pPr>
              <w:spacing w:line="280" w:lineRule="exact"/>
              <w:jc w:val="center"/>
              <w:rPr>
                <w:rFonts w:asciiTheme="minorEastAsia" w:hAnsiTheme="minorEastAsia" w:eastAsiaTheme="minorEastAsia"/>
                <w:sz w:val="18"/>
                <w:szCs w:val="18"/>
              </w:rPr>
            </w:pPr>
          </w:p>
        </w:tc>
        <w:tc>
          <w:tcPr>
            <w:tcW w:w="1402" w:type="dxa"/>
            <w:tcBorders>
              <w:tl2br w:val="nil"/>
              <w:tr2bl w:val="nil"/>
            </w:tcBorders>
            <w:vAlign w:val="center"/>
          </w:tcPr>
          <w:p>
            <w:pPr>
              <w:spacing w:line="28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3"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3</w:t>
            </w:r>
          </w:p>
        </w:tc>
        <w:tc>
          <w:tcPr>
            <w:tcW w:w="255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申报前三年内未发生重大安全、重大质量事故或严重环境违法行为。</w:t>
            </w:r>
          </w:p>
        </w:tc>
        <w:tc>
          <w:tcPr>
            <w:tcW w:w="2711" w:type="dxa"/>
            <w:tcBorders>
              <w:tl2br w:val="nil"/>
              <w:tr2bl w:val="nil"/>
            </w:tcBorders>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val="en-US" w:eastAsia="zh-CN"/>
              </w:rPr>
              <w:t>国家、省、市政府的市场监督管理部门、安全生产监督管理部门、环境监督管理部门等相关部门网站发布结果，自我申明</w:t>
            </w:r>
            <w:r>
              <w:rPr>
                <w:rFonts w:hint="eastAsia" w:cs="宋体" w:asciiTheme="minorEastAsia" w:hAnsiTheme="minorEastAsia" w:eastAsiaTheme="minorEastAsia"/>
                <w:color w:val="000000"/>
                <w:kern w:val="0"/>
                <w:sz w:val="18"/>
                <w:szCs w:val="18"/>
              </w:rPr>
              <w:t>。</w:t>
            </w:r>
          </w:p>
        </w:tc>
        <w:tc>
          <w:tcPr>
            <w:tcW w:w="1647" w:type="dxa"/>
            <w:tcBorders>
              <w:tl2br w:val="nil"/>
              <w:tr2bl w:val="nil"/>
            </w:tcBorders>
            <w:vAlign w:val="center"/>
          </w:tcPr>
          <w:p>
            <w:pPr>
              <w:spacing w:line="440" w:lineRule="exact"/>
              <w:jc w:val="center"/>
              <w:rPr>
                <w:rFonts w:asciiTheme="minorEastAsia" w:hAnsiTheme="minorEastAsia" w:eastAsiaTheme="minorEastAsia"/>
                <w:sz w:val="18"/>
                <w:szCs w:val="18"/>
              </w:rPr>
            </w:pPr>
          </w:p>
        </w:tc>
        <w:tc>
          <w:tcPr>
            <w:tcW w:w="1402" w:type="dxa"/>
            <w:tcBorders>
              <w:tl2br w:val="nil"/>
              <w:tr2bl w:val="nil"/>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3" w:type="dxa"/>
            <w:tcBorders>
              <w:tl2br w:val="nil"/>
              <w:tr2bl w:val="nil"/>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4</w:t>
            </w:r>
          </w:p>
        </w:tc>
        <w:tc>
          <w:tcPr>
            <w:tcW w:w="2559" w:type="dxa"/>
            <w:tcBorders>
              <w:tl2br w:val="nil"/>
              <w:tr2bl w:val="nil"/>
            </w:tcBorders>
            <w:shd w:val="clear" w:color="auto" w:fill="auto"/>
            <w:vAlign w:val="center"/>
          </w:tcPr>
          <w:p>
            <w:pPr>
              <w:widowControl/>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《深圳市绿色</w:t>
            </w:r>
            <w:r>
              <w:rPr>
                <w:rFonts w:hint="eastAsia" w:cs="宋体" w:asciiTheme="minorEastAsia" w:hAnsiTheme="minorEastAsia" w:eastAsiaTheme="minorEastAsia"/>
                <w:color w:val="000000"/>
                <w:kern w:val="0"/>
                <w:sz w:val="18"/>
                <w:szCs w:val="18"/>
                <w:lang w:val="en-US" w:eastAsia="zh-CN"/>
              </w:rPr>
              <w:t>低碳</w:t>
            </w:r>
            <w:r>
              <w:rPr>
                <w:rFonts w:hint="eastAsia" w:cs="宋体" w:asciiTheme="minorEastAsia" w:hAnsiTheme="minorEastAsia" w:eastAsiaTheme="minorEastAsia"/>
                <w:color w:val="000000"/>
                <w:kern w:val="0"/>
                <w:sz w:val="18"/>
                <w:szCs w:val="18"/>
              </w:rPr>
              <w:t>产业认定管理办法》所规定的其他要求</w:t>
            </w:r>
          </w:p>
        </w:tc>
        <w:tc>
          <w:tcPr>
            <w:tcW w:w="2711" w:type="dxa"/>
            <w:tcBorders>
              <w:tl2br w:val="nil"/>
              <w:tr2bl w:val="nil"/>
            </w:tcBorders>
            <w:vAlign w:val="center"/>
          </w:tcPr>
          <w:p>
            <w:pPr>
              <w:widowControl/>
              <w:rPr>
                <w:rFonts w:cs="宋体" w:asciiTheme="minorEastAsia" w:hAnsiTheme="minorEastAsia" w:eastAsiaTheme="minorEastAsia"/>
                <w:color w:val="000000"/>
                <w:kern w:val="0"/>
                <w:sz w:val="18"/>
                <w:szCs w:val="18"/>
              </w:rPr>
            </w:pPr>
            <w:r>
              <w:rPr>
                <w:rFonts w:hint="default" w:cs="宋体" w:asciiTheme="minorEastAsia" w:hAnsiTheme="minorEastAsia" w:eastAsiaTheme="minorEastAsia"/>
                <w:color w:val="000000"/>
                <w:kern w:val="0"/>
                <w:sz w:val="18"/>
                <w:szCs w:val="18"/>
                <w:lang w:val="en-US"/>
              </w:rPr>
              <w:t>《深圳市绿色</w:t>
            </w:r>
            <w:r>
              <w:rPr>
                <w:rFonts w:hint="default" w:cs="宋体" w:asciiTheme="minorEastAsia" w:hAnsiTheme="minorEastAsia" w:eastAsiaTheme="minorEastAsia"/>
                <w:color w:val="000000"/>
                <w:kern w:val="0"/>
                <w:sz w:val="18"/>
                <w:szCs w:val="18"/>
                <w:lang w:val="en-US" w:eastAsia="zh-CN"/>
              </w:rPr>
              <w:t>低碳</w:t>
            </w:r>
            <w:r>
              <w:rPr>
                <w:rFonts w:hint="default" w:cs="宋体" w:asciiTheme="minorEastAsia" w:hAnsiTheme="minorEastAsia" w:eastAsiaTheme="minorEastAsia"/>
                <w:color w:val="000000"/>
                <w:kern w:val="0"/>
                <w:sz w:val="18"/>
                <w:szCs w:val="18"/>
                <w:lang w:val="en-US"/>
              </w:rPr>
              <w:t>产业认定管理办法》</w:t>
            </w:r>
            <w:r>
              <w:rPr>
                <w:rFonts w:hint="eastAsia" w:cs="宋体" w:asciiTheme="minorEastAsia" w:hAnsiTheme="minorEastAsia" w:eastAsiaTheme="minorEastAsia"/>
                <w:color w:val="000000"/>
                <w:kern w:val="0"/>
                <w:sz w:val="18"/>
                <w:szCs w:val="18"/>
              </w:rPr>
              <w:t>。</w:t>
            </w:r>
          </w:p>
        </w:tc>
        <w:tc>
          <w:tcPr>
            <w:tcW w:w="1647" w:type="dxa"/>
            <w:tcBorders>
              <w:tl2br w:val="nil"/>
              <w:tr2bl w:val="nil"/>
            </w:tcBorders>
            <w:vAlign w:val="center"/>
          </w:tcPr>
          <w:p>
            <w:pPr>
              <w:spacing w:line="440" w:lineRule="exact"/>
              <w:jc w:val="center"/>
              <w:rPr>
                <w:rFonts w:asciiTheme="minorEastAsia" w:hAnsiTheme="minorEastAsia" w:eastAsiaTheme="minorEastAsia"/>
                <w:sz w:val="18"/>
                <w:szCs w:val="18"/>
              </w:rPr>
            </w:pPr>
          </w:p>
        </w:tc>
        <w:tc>
          <w:tcPr>
            <w:tcW w:w="1402" w:type="dxa"/>
            <w:tcBorders>
              <w:tl2br w:val="nil"/>
              <w:tr2bl w:val="nil"/>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bl>
    <w:p>
      <w:pPr>
        <w:widowControl w:val="0"/>
        <w:numPr>
          <w:ilvl w:val="1"/>
          <w:numId w:val="0"/>
        </w:numPr>
        <w:spacing w:before="156" w:beforeLines="50" w:after="156" w:afterLines="50"/>
        <w:jc w:val="center"/>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表C.4  符合性指标评价表</w:t>
      </w:r>
    </w:p>
    <w:tbl>
      <w:tblPr>
        <w:tblStyle w:val="34"/>
        <w:tblW w:w="874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47"/>
        <w:gridCol w:w="945"/>
        <w:gridCol w:w="4055"/>
        <w:gridCol w:w="1726"/>
        <w:gridCol w:w="136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47" w:type="dxa"/>
            <w:tcBorders>
              <w:top w:val="single" w:color="auto" w:sz="8" w:space="0"/>
              <w:left w:val="single" w:color="auto" w:sz="8" w:space="0"/>
              <w:bottom w:val="single" w:color="auto" w:sz="8" w:space="0"/>
              <w:right w:val="single" w:color="auto" w:sz="4"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序号</w:t>
            </w:r>
          </w:p>
        </w:tc>
        <w:tc>
          <w:tcPr>
            <w:tcW w:w="945" w:type="dxa"/>
            <w:tcBorders>
              <w:top w:val="single" w:color="auto" w:sz="8" w:space="0"/>
              <w:left w:val="single" w:color="auto" w:sz="4" w:space="0"/>
              <w:bottom w:val="single" w:color="auto" w:sz="8" w:space="0"/>
              <w:right w:val="single" w:color="auto" w:sz="4"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指标</w:t>
            </w:r>
          </w:p>
        </w:tc>
        <w:tc>
          <w:tcPr>
            <w:tcW w:w="4055" w:type="dxa"/>
            <w:tcBorders>
              <w:top w:val="single" w:color="auto" w:sz="8" w:space="0"/>
              <w:left w:val="single" w:color="auto" w:sz="4" w:space="0"/>
              <w:bottom w:val="single" w:color="auto" w:sz="8" w:space="0"/>
              <w:right w:val="single" w:color="auto" w:sz="4" w:space="0"/>
            </w:tcBorders>
            <w:vAlign w:val="center"/>
          </w:tcPr>
          <w:p>
            <w:pPr>
              <w:spacing w:line="36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符合性评价内容</w:t>
            </w:r>
          </w:p>
        </w:tc>
        <w:tc>
          <w:tcPr>
            <w:tcW w:w="1726"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评价结果（是/否）</w:t>
            </w:r>
          </w:p>
        </w:tc>
        <w:tc>
          <w:tcPr>
            <w:tcW w:w="1369" w:type="dxa"/>
            <w:tcBorders>
              <w:top w:val="single" w:color="auto" w:sz="8" w:space="0"/>
              <w:left w:val="single" w:color="auto" w:sz="4" w:space="0"/>
              <w:bottom w:val="single" w:color="auto" w:sz="8" w:space="0"/>
              <w:right w:val="single" w:color="auto" w:sz="8" w:space="0"/>
            </w:tcBorders>
            <w:vAlign w:val="center"/>
          </w:tcPr>
          <w:p>
            <w:pPr>
              <w:spacing w:line="280" w:lineRule="exact"/>
              <w:jc w:val="center"/>
              <w:rPr>
                <w:rFonts w:asciiTheme="minorEastAsia" w:hAnsiTheme="minorEastAsia" w:eastAsiaTheme="minorEastAsia"/>
                <w:b/>
                <w:sz w:val="18"/>
                <w:szCs w:val="18"/>
              </w:rPr>
            </w:pPr>
            <w:r>
              <w:rPr>
                <w:rFonts w:asciiTheme="minorEastAsia" w:hAnsiTheme="minorEastAsia" w:eastAsiaTheme="minorEastAsia"/>
                <w:b/>
                <w:sz w:val="18"/>
                <w:szCs w:val="18"/>
              </w:rPr>
              <w:t>佐证材料备注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47"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1</w:t>
            </w:r>
          </w:p>
        </w:tc>
        <w:tc>
          <w:tcPr>
            <w:tcW w:w="94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目录符合</w:t>
            </w:r>
          </w:p>
        </w:tc>
        <w:tc>
          <w:tcPr>
            <w:tcW w:w="405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4"/>
              <w:ind w:firstLine="0" w:firstLineChars="0"/>
              <w:rPr>
                <w:rFonts w:hint="default" w:asciiTheme="minorEastAsia" w:hAnsiTheme="minorEastAsia" w:eastAsiaTheme="minorEastAsia"/>
                <w:color w:val="000000"/>
                <w:kern w:val="0"/>
                <w:sz w:val="18"/>
                <w:szCs w:val="18"/>
                <w:lang w:val="en-US"/>
              </w:rPr>
            </w:pPr>
            <w:r>
              <w:rPr>
                <w:rFonts w:hint="eastAsia" w:hAnsi="宋体" w:cs="宋体"/>
                <w:sz w:val="18"/>
                <w:szCs w:val="18"/>
              </w:rPr>
              <w:t>申报绿色低碳产业认定的项目应属于太阳能产品、太阳能生产装备、太阳能利用设施建设和运营等太阳能产业，且符合安全、环保、质量相关法规政策、强制性标准等的要求</w:t>
            </w:r>
          </w:p>
        </w:tc>
        <w:tc>
          <w:tcPr>
            <w:tcW w:w="1726" w:type="dxa"/>
            <w:tcBorders>
              <w:top w:val="single" w:color="auto" w:sz="8"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 w:val="18"/>
                <w:szCs w:val="18"/>
              </w:rPr>
            </w:pPr>
          </w:p>
        </w:tc>
        <w:tc>
          <w:tcPr>
            <w:tcW w:w="1369" w:type="dxa"/>
            <w:tcBorders>
              <w:top w:val="single" w:color="auto" w:sz="8" w:space="0"/>
              <w:left w:val="single" w:color="auto" w:sz="4" w:space="0"/>
              <w:bottom w:val="single" w:color="auto" w:sz="4" w:space="0"/>
              <w:right w:val="single" w:color="auto" w:sz="8" w:space="0"/>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64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2</w:t>
            </w:r>
          </w:p>
        </w:tc>
        <w:tc>
          <w:tcPr>
            <w:tcW w:w="945"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18"/>
                <w:szCs w:val="18"/>
              </w:rPr>
            </w:pPr>
            <w:r>
              <w:rPr>
                <w:rFonts w:asciiTheme="minorEastAsia" w:hAnsiTheme="minorEastAsia" w:eastAsiaTheme="minorEastAsia"/>
                <w:kern w:val="0"/>
                <w:sz w:val="18"/>
                <w:szCs w:val="18"/>
              </w:rPr>
              <w:t>技术符合</w:t>
            </w:r>
          </w:p>
        </w:tc>
        <w:tc>
          <w:tcPr>
            <w:tcW w:w="4055" w:type="dxa"/>
            <w:tcBorders>
              <w:top w:val="single" w:color="auto" w:sz="4" w:space="0"/>
              <w:left w:val="single" w:color="auto" w:sz="4" w:space="0"/>
              <w:bottom w:val="single" w:color="auto" w:sz="8" w:space="0"/>
              <w:right w:val="single" w:color="auto" w:sz="4" w:space="0"/>
            </w:tcBorders>
            <w:shd w:val="clear" w:color="auto" w:fill="auto"/>
            <w:vAlign w:val="center"/>
          </w:tcPr>
          <w:p>
            <w:pPr>
              <w:pStyle w:val="24"/>
              <w:ind w:firstLine="0" w:firstLineChars="0"/>
              <w:rPr>
                <w:rFonts w:asciiTheme="minorEastAsia" w:hAnsiTheme="minorEastAsia" w:eastAsiaTheme="minorEastAsia"/>
                <w:color w:val="000000"/>
                <w:kern w:val="0"/>
                <w:sz w:val="18"/>
                <w:szCs w:val="18"/>
              </w:rPr>
            </w:pPr>
            <w:r>
              <w:rPr>
                <w:rFonts w:hint="eastAsia" w:hAnsi="宋体" w:cs="宋体"/>
                <w:sz w:val="18"/>
                <w:szCs w:val="18"/>
              </w:rPr>
              <w:t>提供的产品或服务应符合国家、广东省及深圳市相关主管部门发布的法律法规和政策标准要求，相关太阳能产品及装备制造活动、太阳能利用设施建设和运营情况符合深圳市绿色低碳产业认定规则体系规定的技术要求。</w:t>
            </w:r>
          </w:p>
        </w:tc>
        <w:tc>
          <w:tcPr>
            <w:tcW w:w="1726" w:type="dxa"/>
            <w:tcBorders>
              <w:top w:val="single" w:color="auto" w:sz="4" w:space="0"/>
              <w:left w:val="single" w:color="auto" w:sz="4" w:space="0"/>
              <w:bottom w:val="single" w:color="auto" w:sz="8" w:space="0"/>
              <w:right w:val="single" w:color="auto" w:sz="4" w:space="0"/>
            </w:tcBorders>
            <w:vAlign w:val="center"/>
          </w:tcPr>
          <w:p>
            <w:pPr>
              <w:spacing w:line="440" w:lineRule="exact"/>
              <w:jc w:val="center"/>
              <w:rPr>
                <w:rFonts w:asciiTheme="minorEastAsia" w:hAnsiTheme="minorEastAsia" w:eastAsiaTheme="minorEastAsia"/>
                <w:sz w:val="18"/>
                <w:szCs w:val="18"/>
              </w:rPr>
            </w:pPr>
          </w:p>
        </w:tc>
        <w:tc>
          <w:tcPr>
            <w:tcW w:w="1369" w:type="dxa"/>
            <w:tcBorders>
              <w:top w:val="single" w:color="auto" w:sz="4" w:space="0"/>
              <w:left w:val="single" w:color="auto" w:sz="4" w:space="0"/>
              <w:bottom w:val="single" w:color="auto" w:sz="8" w:space="0"/>
              <w:right w:val="single" w:color="auto" w:sz="8" w:space="0"/>
            </w:tcBorders>
            <w:vAlign w:val="center"/>
          </w:tcPr>
          <w:p>
            <w:pPr>
              <w:spacing w:line="4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见第X页</w:t>
            </w:r>
          </w:p>
        </w:tc>
      </w:tr>
    </w:tbl>
    <w:p>
      <w:pPr>
        <w:widowControl w:val="0"/>
        <w:numPr>
          <w:ilvl w:val="1"/>
          <w:numId w:val="0"/>
        </w:numPr>
        <w:spacing w:before="156" w:beforeLines="50" w:after="156" w:afterLines="5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表C.5  综合评价指标评分表</w:t>
      </w:r>
    </w:p>
    <w:tbl>
      <w:tblPr>
        <w:tblStyle w:val="35"/>
        <w:tblpPr w:leftFromText="180" w:rightFromText="180" w:vertAnchor="text" w:tblpXSpec="center" w:tblpY="1"/>
        <w:tblOverlap w:val="never"/>
        <w:tblW w:w="0" w:type="auto"/>
        <w:tblInd w:w="-85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196"/>
        <w:gridCol w:w="1051"/>
        <w:gridCol w:w="1516"/>
        <w:gridCol w:w="2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1306"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一级指标</w:t>
            </w:r>
          </w:p>
        </w:tc>
        <w:tc>
          <w:tcPr>
            <w:tcW w:w="2196"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二级指标</w:t>
            </w:r>
          </w:p>
        </w:tc>
        <w:tc>
          <w:tcPr>
            <w:tcW w:w="1051"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分值</w:t>
            </w:r>
            <w:r>
              <w:rPr>
                <w:rFonts w:hint="eastAsia" w:ascii="Times New Roman"/>
                <w:b/>
                <w:sz w:val="18"/>
                <w:szCs w:val="18"/>
              </w:rPr>
              <w:t>（分）</w:t>
            </w:r>
          </w:p>
        </w:tc>
        <w:tc>
          <w:tcPr>
            <w:tcW w:w="1516"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rPr>
            </w:pPr>
            <w:r>
              <w:rPr>
                <w:rFonts w:ascii="Times New Roman"/>
                <w:b/>
                <w:sz w:val="18"/>
                <w:szCs w:val="18"/>
              </w:rPr>
              <w:t>评价得分</w:t>
            </w:r>
            <w:r>
              <w:rPr>
                <w:rFonts w:hint="eastAsia" w:ascii="Times New Roman"/>
                <w:b/>
                <w:sz w:val="18"/>
                <w:szCs w:val="18"/>
              </w:rPr>
              <w:t>（分）</w:t>
            </w:r>
          </w:p>
        </w:tc>
        <w:tc>
          <w:tcPr>
            <w:tcW w:w="2288" w:type="dxa"/>
            <w:tcBorders>
              <w:bottom w:val="single" w:color="auto" w:sz="8" w:space="0"/>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hAnsi="Times New Roman" w:eastAsia="宋体" w:cs="Times New Roman"/>
                <w:b/>
                <w:sz w:val="18"/>
                <w:szCs w:val="18"/>
                <w:lang w:val="en-US" w:eastAsia="zh-CN" w:bidi="ar-SA"/>
              </w:rPr>
            </w:pPr>
            <w:r>
              <w:rPr>
                <w:rFonts w:ascii="Times New Roman"/>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eastAsia="宋体" w:cs="宋体"/>
                <w:sz w:val="18"/>
                <w:szCs w:val="18"/>
                <w:lang w:val="en-US" w:eastAsia="zh-CN"/>
              </w:rPr>
            </w:pPr>
            <w:r>
              <w:rPr>
                <w:rFonts w:hint="eastAsia" w:hAnsi="宋体" w:cs="宋体"/>
                <w:sz w:val="18"/>
                <w:szCs w:val="18"/>
                <w:lang w:val="en-US" w:eastAsia="zh-CN"/>
              </w:rPr>
              <w:t>基础得分</w:t>
            </w: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通过符合性评价</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30</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eastAsia="宋体" w:cs="宋体"/>
                <w:sz w:val="18"/>
                <w:szCs w:val="18"/>
                <w:lang w:eastAsia="zh-CN"/>
              </w:rPr>
            </w:pPr>
            <w:r>
              <w:rPr>
                <w:rFonts w:hint="eastAsia"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Ansi="宋体" w:cs="宋体"/>
                <w:sz w:val="18"/>
                <w:szCs w:val="18"/>
              </w:rPr>
            </w:pPr>
            <w:r>
              <w:rPr>
                <w:rFonts w:hint="eastAsia" w:hAnsi="宋体" w:cs="宋体"/>
                <w:sz w:val="18"/>
                <w:szCs w:val="18"/>
              </w:rPr>
              <w:t>技术表现</w:t>
            </w: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eastAsia="宋体" w:cs="宋体"/>
                <w:sz w:val="18"/>
                <w:szCs w:val="18"/>
                <w:lang w:val="en-US" w:eastAsia="zh-CN"/>
              </w:rPr>
            </w:pPr>
            <w:r>
              <w:rPr>
                <w:rFonts w:hint="eastAsia" w:hAnsi="宋体" w:cs="宋体"/>
                <w:sz w:val="18"/>
                <w:szCs w:val="18"/>
                <w:lang w:val="en-US" w:eastAsia="zh-CN"/>
              </w:rPr>
              <w:t>有效知识产权</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Ansi="宋体" w:cs="宋体"/>
                <w:sz w:val="18"/>
                <w:szCs w:val="18"/>
              </w:rPr>
            </w:pPr>
            <w:r>
              <w:rPr>
                <w:rFonts w:hint="eastAsia" w:hAnsi="宋体" w:cs="宋体"/>
                <w:sz w:val="18"/>
                <w:szCs w:val="18"/>
                <w:lang w:val="en-US" w:eastAsia="zh-CN"/>
              </w:rPr>
              <w:t>5</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rPr>
            </w:pP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关键技术先进性</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15</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rPr>
            </w:pP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环境效益</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20</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环境表现</w:t>
            </w: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工艺设备材料</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10</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绿色低碳运营</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sz w:val="18"/>
                <w:szCs w:val="18"/>
                <w:lang w:val="en-US" w:eastAsia="zh-CN"/>
              </w:rPr>
              <w:t>15</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19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污染物排放水平</w:t>
            </w:r>
          </w:p>
        </w:tc>
        <w:tc>
          <w:tcPr>
            <w:tcW w:w="1051"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5</w:t>
            </w:r>
          </w:p>
        </w:tc>
        <w:tc>
          <w:tcPr>
            <w:tcW w:w="1516"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c>
          <w:tcPr>
            <w:tcW w:w="2288" w:type="dxa"/>
            <w:tcBorders>
              <w:top w:val="single" w:color="auto" w:sz="8" w:space="0"/>
              <w:bottom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53" w:type="dxa"/>
            <w:gridSpan w:val="3"/>
            <w:tcBorders>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lang w:val="en-US" w:eastAsia="zh-CN"/>
              </w:rPr>
            </w:pPr>
            <w:r>
              <w:rPr>
                <w:rFonts w:hint="eastAsia" w:hAnsi="宋体" w:cs="宋体"/>
                <w:b/>
                <w:bCs/>
                <w:sz w:val="18"/>
                <w:szCs w:val="18"/>
                <w:lang w:val="en-US" w:eastAsia="zh-CN"/>
              </w:rPr>
              <w:t>总得分</w:t>
            </w:r>
          </w:p>
        </w:tc>
        <w:tc>
          <w:tcPr>
            <w:tcW w:w="3804" w:type="dxa"/>
            <w:gridSpan w:val="2"/>
            <w:tcBorders>
              <w:top w:val="single" w:color="auto" w:sz="8" w:space="0"/>
              <w:tl2br w:val="nil"/>
              <w:tr2bl w:val="nil"/>
            </w:tcBorders>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lang w:val="en-US" w:eastAsia="zh-CN"/>
              </w:rPr>
            </w:pPr>
          </w:p>
        </w:tc>
      </w:tr>
    </w:tbl>
    <w:p>
      <w:pPr>
        <w:widowControl w:val="0"/>
        <w:numPr>
          <w:ilvl w:val="1"/>
          <w:numId w:val="0"/>
        </w:numPr>
        <w:spacing w:before="312" w:beforeLines="100" w:after="156" w:afterLines="50"/>
        <w:jc w:val="left"/>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C.6 评价结论</w:t>
      </w:r>
    </w:p>
    <w:p>
      <w:pPr>
        <w:pStyle w:val="24"/>
        <w:rPr>
          <w:rFonts w:ascii="Times New Roman"/>
        </w:rPr>
      </w:pPr>
      <w:r>
        <w:rPr>
          <w:rFonts w:ascii="Times New Roman"/>
        </w:rPr>
        <w:t>说明绿色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认定评价结论以及后续值得关注的可能影响环境风险控制的重大影响因素。</w:t>
      </w:r>
    </w:p>
    <w:p>
      <w:pPr>
        <w:widowControl w:val="0"/>
        <w:numPr>
          <w:ilvl w:val="1"/>
          <w:numId w:val="0"/>
        </w:numPr>
        <w:spacing w:before="156" w:beforeLines="50" w:after="156" w:afterLines="50"/>
        <w:jc w:val="both"/>
        <w:rPr>
          <w:rFonts w:ascii="Times New Roman" w:hAnsi="Times New Roman" w:eastAsia="黑体" w:cs="Times New Roman"/>
          <w:kern w:val="2"/>
          <w:sz w:val="21"/>
          <w:szCs w:val="21"/>
          <w:lang w:val="en-US" w:eastAsia="zh-CN" w:bidi="ar-SA"/>
        </w:rPr>
      </w:pPr>
      <w:r>
        <w:rPr>
          <w:rFonts w:hint="eastAsia" w:ascii="黑体" w:hAnsi="黑体" w:eastAsia="黑体" w:cs="黑体"/>
          <w:kern w:val="2"/>
          <w:sz w:val="21"/>
          <w:szCs w:val="21"/>
          <w:lang w:val="en-US" w:eastAsia="zh-CN" w:bidi="ar-SA"/>
        </w:rPr>
        <w:t>C.7  附录</w:t>
      </w:r>
    </w:p>
    <w:p>
      <w:pPr>
        <w:pStyle w:val="24"/>
        <w:ind w:firstLine="420" w:firstLineChars="200"/>
        <w:rPr>
          <w:rFonts w:hint="eastAsia" w:eastAsia="宋体"/>
          <w:lang w:val="en-US" w:eastAsia="zh-CN"/>
        </w:rPr>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r>
        <w:rPr>
          <w:rFonts w:ascii="Times New Roman"/>
        </w:rPr>
        <w:t>列明上述章节所述情况及</w:t>
      </w:r>
      <w:r>
        <w:rPr>
          <w:rFonts w:hint="eastAsia" w:ascii="Times New Roman"/>
        </w:rPr>
        <w:t>评价</w:t>
      </w:r>
      <w:r>
        <w:rPr>
          <w:rFonts w:ascii="Times New Roman"/>
        </w:rPr>
        <w:t>表涉及的佐证材</w:t>
      </w:r>
      <w:r>
        <w:rPr>
          <w:rFonts w:hint="eastAsia" w:ascii="Times New Roman"/>
          <w:lang w:eastAsia="zh-CN"/>
        </w:rPr>
        <w:t>。</w:t>
      </w:r>
    </w:p>
    <w:p>
      <w:pPr>
        <w:pStyle w:val="73"/>
        <w:rPr>
          <w:rFonts w:ascii="Times New Roman"/>
        </w:rPr>
      </w:pPr>
      <w:bookmarkStart w:id="125" w:name="_Toc118282052"/>
      <w:bookmarkStart w:id="126" w:name="_Toc16102"/>
      <w:bookmarkStart w:id="127" w:name="_Toc102992471"/>
      <w:r>
        <w:rPr>
          <w:rFonts w:ascii="Times New Roman"/>
        </w:rPr>
        <w:t>参 考 文 献</w:t>
      </w:r>
      <w:bookmarkEnd w:id="121"/>
      <w:bookmarkEnd w:id="125"/>
      <w:bookmarkEnd w:id="126"/>
      <w:bookmarkEnd w:id="127"/>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rPr>
      </w:pPr>
      <w:r>
        <w:rPr>
          <w:rFonts w:hint="eastAsia" w:ascii="宋体" w:hAnsi="宋体" w:cs="宋体"/>
          <w:sz w:val="21"/>
          <w:lang w:val="en-US" w:eastAsia="zh-CN"/>
        </w:rPr>
        <w:t xml:space="preserve"> </w:t>
      </w:r>
      <w:r>
        <w:rPr>
          <w:rFonts w:ascii="宋体" w:hAnsi="宋体" w:cs="宋体"/>
          <w:sz w:val="21"/>
        </w:rPr>
        <w:t>国家统计局.关于印发《研究与试验发展（R&amp;D）投入统计规范（试行）》的通知[EB/OL].</w:t>
      </w:r>
      <w:r>
        <w:rPr>
          <w:rFonts w:hint="eastAsia" w:ascii="宋体" w:hAnsi="宋体" w:cs="宋体"/>
          <w:sz w:val="21"/>
          <w:lang w:eastAsia="zh-CN"/>
        </w:rPr>
        <w:t>（2019-04-19）</w:t>
      </w:r>
      <w:r>
        <w:rPr>
          <w:rFonts w:ascii="宋体" w:hAnsi="宋体" w:cs="宋体"/>
          <w:sz w:val="21"/>
        </w:rPr>
        <w:t>[20</w:t>
      </w:r>
      <w:r>
        <w:rPr>
          <w:rFonts w:hint="eastAsia" w:ascii="宋体" w:hAnsi="宋体" w:cs="宋体"/>
          <w:sz w:val="21"/>
          <w:lang w:val="en-US" w:eastAsia="zh-CN"/>
        </w:rPr>
        <w:t>23</w:t>
      </w:r>
      <w:r>
        <w:rPr>
          <w:rFonts w:ascii="宋体" w:hAnsi="宋体" w:cs="宋体"/>
          <w:sz w:val="21"/>
        </w:rPr>
        <w:t>-0</w:t>
      </w:r>
      <w:r>
        <w:rPr>
          <w:rFonts w:hint="eastAsia" w:ascii="宋体" w:hAnsi="宋体" w:cs="宋体"/>
          <w:sz w:val="21"/>
          <w:lang w:val="en-US" w:eastAsia="zh-CN"/>
        </w:rPr>
        <w:t>1</w:t>
      </w:r>
      <w:r>
        <w:rPr>
          <w:rFonts w:ascii="宋体" w:hAnsi="宋体" w:cs="宋体"/>
          <w:sz w:val="21"/>
        </w:rPr>
        <w:t>-</w:t>
      </w:r>
      <w:r>
        <w:rPr>
          <w:rFonts w:hint="eastAsia" w:ascii="宋体" w:hAnsi="宋体" w:cs="宋体"/>
          <w:sz w:val="21"/>
          <w:lang w:val="en-US" w:eastAsia="zh-CN"/>
        </w:rPr>
        <w:t>16</w:t>
      </w:r>
      <w:r>
        <w:rPr>
          <w:rFonts w:ascii="宋体" w:hAnsi="宋体" w:cs="宋体"/>
          <w:sz w:val="21"/>
        </w:rPr>
        <w:t>].http://www.stats.gov.cn/tjgz/tzgb/201905/t20190507_1663326.html.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rPr>
      </w:pPr>
      <w:r>
        <w:rPr>
          <w:rFonts w:ascii="宋体" w:hAnsi="宋体" w:cs="宋体"/>
          <w:sz w:val="21"/>
        </w:rPr>
        <w:t xml:space="preserve"> 国家统计局.关于印发《统计上大中小微型企业划分办法(2017)》的通知[EB/OL].</w:t>
      </w:r>
      <w:r>
        <w:rPr>
          <w:rFonts w:hint="eastAsia" w:ascii="宋体" w:hAnsi="宋体" w:cs="宋体"/>
          <w:sz w:val="21"/>
          <w:lang w:eastAsia="zh-CN"/>
        </w:rPr>
        <w:t>（2017-12-28）</w:t>
      </w:r>
      <w:r>
        <w:rPr>
          <w:rFonts w:ascii="宋体" w:hAnsi="宋体" w:cs="宋体"/>
          <w:sz w:val="21"/>
        </w:rPr>
        <w:t>[20</w:t>
      </w:r>
      <w:r>
        <w:rPr>
          <w:rFonts w:hint="eastAsia" w:ascii="宋体" w:hAnsi="宋体" w:cs="宋体"/>
          <w:sz w:val="21"/>
          <w:lang w:val="en-US" w:eastAsia="zh-CN"/>
        </w:rPr>
        <w:t>23</w:t>
      </w:r>
      <w:r>
        <w:rPr>
          <w:rFonts w:ascii="宋体" w:hAnsi="宋体" w:cs="宋体"/>
          <w:sz w:val="21"/>
        </w:rPr>
        <w:t>-0</w:t>
      </w:r>
      <w:r>
        <w:rPr>
          <w:rFonts w:hint="eastAsia" w:ascii="宋体" w:hAnsi="宋体" w:cs="宋体"/>
          <w:sz w:val="21"/>
          <w:lang w:val="en-US" w:eastAsia="zh-CN"/>
        </w:rPr>
        <w:t>1</w:t>
      </w:r>
      <w:r>
        <w:rPr>
          <w:rFonts w:ascii="宋体" w:hAnsi="宋体" w:cs="宋体"/>
          <w:sz w:val="21"/>
        </w:rPr>
        <w:t>-</w:t>
      </w:r>
      <w:r>
        <w:rPr>
          <w:rFonts w:hint="eastAsia" w:ascii="宋体" w:hAnsi="宋体" w:cs="宋体"/>
          <w:sz w:val="21"/>
          <w:lang w:val="en-US" w:eastAsia="zh-CN"/>
        </w:rPr>
        <w:t>16</w:t>
      </w:r>
      <w:r>
        <w:rPr>
          <w:rFonts w:ascii="宋体" w:hAnsi="宋体" w:cs="宋体"/>
          <w:sz w:val="21"/>
        </w:rPr>
        <w:t>].http://www.stats.gov.cn/xxgk/tjbz/gjtjbz/202008/t20200811_1782335.html.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sz w:val="21"/>
        </w:rPr>
      </w:pPr>
      <w:r>
        <w:rPr>
          <w:rFonts w:hint="eastAsia" w:ascii="宋体" w:hAnsi="宋体" w:cs="宋体"/>
          <w:sz w:val="21"/>
          <w:lang w:val="en-US" w:eastAsia="zh-CN"/>
        </w:rPr>
        <w:t xml:space="preserve"> </w:t>
      </w:r>
      <w:r>
        <w:rPr>
          <w:rFonts w:ascii="宋体" w:hAnsi="宋体" w:cs="宋体"/>
          <w:sz w:val="21"/>
        </w:rPr>
        <w:t>科技部 财政部 国家税务总局</w:t>
      </w:r>
      <w:r>
        <w:rPr>
          <w:rFonts w:hint="eastAsia" w:ascii="宋体" w:hAnsi="宋体" w:cs="宋体"/>
          <w:sz w:val="21"/>
        </w:rPr>
        <w:t>.</w:t>
      </w:r>
      <w:r>
        <w:rPr>
          <w:rFonts w:ascii="宋体" w:hAnsi="宋体" w:cs="宋体"/>
          <w:sz w:val="21"/>
        </w:rPr>
        <w:t>关于修订印发《高新技术企业认定管理办法》的通知</w:t>
      </w:r>
      <w:r>
        <w:rPr>
          <w:rFonts w:hint="eastAsia" w:ascii="宋体" w:hAnsi="宋体" w:cs="宋体"/>
          <w:sz w:val="21"/>
        </w:rPr>
        <w:t>[EB/OL].</w:t>
      </w:r>
      <w:r>
        <w:rPr>
          <w:rFonts w:hint="eastAsia" w:ascii="宋体" w:hAnsi="宋体" w:cs="宋体"/>
          <w:sz w:val="21"/>
          <w:lang w:eastAsia="zh-CN"/>
        </w:rPr>
        <w:t>（2016-02-04）</w:t>
      </w:r>
      <w:r>
        <w:rPr>
          <w:rFonts w:hint="eastAsia" w:ascii="宋体" w:hAnsi="宋体" w:cs="宋体"/>
          <w:sz w:val="21"/>
        </w:rPr>
        <w:t>[20</w:t>
      </w:r>
      <w:r>
        <w:rPr>
          <w:rFonts w:hint="eastAsia" w:ascii="宋体" w:hAnsi="宋体" w:cs="宋体"/>
          <w:sz w:val="21"/>
          <w:lang w:val="en-US" w:eastAsia="zh-CN"/>
        </w:rPr>
        <w:t>23</w:t>
      </w:r>
      <w:r>
        <w:rPr>
          <w:rFonts w:hint="eastAsia" w:ascii="宋体" w:hAnsi="宋体" w:cs="宋体"/>
          <w:sz w:val="21"/>
        </w:rPr>
        <w:t>-0</w:t>
      </w:r>
      <w:r>
        <w:rPr>
          <w:rFonts w:hint="eastAsia" w:ascii="宋体" w:hAnsi="宋体" w:cs="宋体"/>
          <w:sz w:val="21"/>
          <w:lang w:val="en-US" w:eastAsia="zh-CN"/>
        </w:rPr>
        <w:t>1</w:t>
      </w:r>
      <w:r>
        <w:rPr>
          <w:rFonts w:hint="eastAsia" w:ascii="宋体" w:hAnsi="宋体" w:cs="宋体"/>
          <w:sz w:val="21"/>
        </w:rPr>
        <w:t>-</w:t>
      </w:r>
      <w:r>
        <w:rPr>
          <w:rFonts w:hint="eastAsia" w:ascii="宋体" w:hAnsi="宋体" w:cs="宋体"/>
          <w:sz w:val="21"/>
          <w:lang w:val="en-US" w:eastAsia="zh-CN"/>
        </w:rPr>
        <w:t>16</w:t>
      </w:r>
      <w:r>
        <w:rPr>
          <w:rFonts w:hint="eastAsia" w:ascii="宋体" w:hAnsi="宋体" w:cs="宋体"/>
          <w:sz w:val="21"/>
        </w:rPr>
        <w:t>].https://www.most.gov.cn/xxgk/xinxifenlei/fdzdgknr/fgzc/gfxwj/gfxwj2016/201602/t20160205_123998.html.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sz w:val="21"/>
        </w:rPr>
      </w:pPr>
      <w:r>
        <w:rPr>
          <w:rFonts w:hint="eastAsia"/>
          <w:sz w:val="21"/>
        </w:rPr>
        <w:t xml:space="preserve"> </w:t>
      </w:r>
      <w:r>
        <w:rPr>
          <w:rFonts w:hint="eastAsia" w:ascii="宋体" w:hAnsi="宋体" w:cs="宋体"/>
          <w:sz w:val="21"/>
        </w:rPr>
        <w:t>工业和信息化部.关于印发《优质中小企业梯度培育管理暂行办法》的通知[EB/OL].</w:t>
      </w:r>
      <w:r>
        <w:rPr>
          <w:rFonts w:hint="eastAsia" w:ascii="宋体" w:hAnsi="宋体" w:cs="宋体"/>
          <w:sz w:val="21"/>
          <w:lang w:eastAsia="zh-CN"/>
        </w:rPr>
        <w:t>（2022-06-01）</w:t>
      </w:r>
      <w:r>
        <w:rPr>
          <w:rFonts w:hint="eastAsia" w:ascii="宋体" w:hAnsi="宋体" w:cs="宋体"/>
          <w:sz w:val="21"/>
        </w:rPr>
        <w:t>[20</w:t>
      </w:r>
      <w:r>
        <w:rPr>
          <w:rFonts w:hint="eastAsia" w:ascii="宋体" w:hAnsi="宋体" w:cs="宋体"/>
          <w:sz w:val="21"/>
          <w:lang w:val="en-US" w:eastAsia="zh-CN"/>
        </w:rPr>
        <w:t>23</w:t>
      </w:r>
      <w:r>
        <w:rPr>
          <w:rFonts w:hint="eastAsia" w:ascii="宋体" w:hAnsi="宋体" w:cs="宋体"/>
          <w:sz w:val="21"/>
        </w:rPr>
        <w:t>-0</w:t>
      </w:r>
      <w:r>
        <w:rPr>
          <w:rFonts w:hint="eastAsia" w:ascii="宋体" w:hAnsi="宋体" w:cs="宋体"/>
          <w:sz w:val="21"/>
          <w:lang w:val="en-US" w:eastAsia="zh-CN"/>
        </w:rPr>
        <w:t>1</w:t>
      </w:r>
      <w:r>
        <w:rPr>
          <w:rFonts w:hint="eastAsia" w:ascii="宋体" w:hAnsi="宋体" w:cs="宋体"/>
          <w:sz w:val="21"/>
        </w:rPr>
        <w:t>-</w:t>
      </w:r>
      <w:r>
        <w:rPr>
          <w:rFonts w:hint="eastAsia" w:ascii="宋体" w:hAnsi="宋体" w:cs="宋体"/>
          <w:sz w:val="21"/>
          <w:lang w:val="en-US" w:eastAsia="zh-CN"/>
        </w:rPr>
        <w:t>16</w:t>
      </w:r>
      <w:r>
        <w:rPr>
          <w:rFonts w:hint="eastAsia" w:ascii="宋体" w:hAnsi="宋体" w:cs="宋体"/>
          <w:sz w:val="21"/>
        </w:rPr>
        <w:t>].https://ythxxfb.miit.gov.cn/ythzxfwpt/hlwmh/tzgg/sbfw/qyshzr/art/2022/art_7e837e1f401c43a2990d82cf36b624bb.html.</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jc w:val="left"/>
        <w:textAlignment w:val="auto"/>
        <w:rPr>
          <w:rFonts w:hint="eastAsia" w:ascii="宋体" w:hAnsi="宋体" w:cs="宋体"/>
          <w:sz w:val="21"/>
        </w:rPr>
      </w:pPr>
      <w:r>
        <w:rPr>
          <w:rFonts w:hint="eastAsia"/>
          <w:sz w:val="21"/>
        </w:rPr>
        <w:t xml:space="preserve"> </w:t>
      </w:r>
      <w:r>
        <w:rPr>
          <w:rFonts w:hint="eastAsia" w:hAnsi="宋体" w:cs="宋体"/>
          <w:sz w:val="21"/>
        </w:rPr>
        <w:t>深圳市市场监督管理局.关于印发《深圳市市场监督管理局深圳标准领域专项资金资助奖励操作规程》的通知[EB/OL].</w:t>
      </w:r>
      <w:r>
        <w:rPr>
          <w:rFonts w:hint="eastAsia" w:hAnsi="宋体" w:cs="宋体"/>
          <w:sz w:val="21"/>
          <w:lang w:eastAsia="zh-CN"/>
        </w:rPr>
        <w:t>（2021-11-22）</w:t>
      </w:r>
      <w:r>
        <w:rPr>
          <w:rFonts w:hint="eastAsia" w:hAnsi="宋体" w:cs="宋体"/>
          <w:sz w:val="21"/>
        </w:rPr>
        <w:t>[20</w:t>
      </w:r>
      <w:r>
        <w:rPr>
          <w:rFonts w:hint="eastAsia" w:hAnsi="宋体" w:cs="宋体"/>
          <w:sz w:val="21"/>
          <w:lang w:val="en-US" w:eastAsia="zh-CN"/>
        </w:rPr>
        <w:t>23</w:t>
      </w:r>
      <w:r>
        <w:rPr>
          <w:rFonts w:hint="eastAsia" w:hAnsi="宋体" w:cs="宋体"/>
          <w:sz w:val="21"/>
        </w:rPr>
        <w:t>-0</w:t>
      </w:r>
      <w:r>
        <w:rPr>
          <w:rFonts w:hint="eastAsia" w:hAnsi="宋体" w:cs="宋体"/>
          <w:sz w:val="21"/>
          <w:lang w:val="en-US" w:eastAsia="zh-CN"/>
        </w:rPr>
        <w:t>1</w:t>
      </w:r>
      <w:r>
        <w:rPr>
          <w:rFonts w:hint="eastAsia" w:hAnsi="宋体" w:cs="宋体"/>
          <w:sz w:val="21"/>
        </w:rPr>
        <w:t>-</w:t>
      </w:r>
      <w:r>
        <w:rPr>
          <w:rFonts w:hint="eastAsia" w:hAnsi="宋体" w:cs="宋体"/>
          <w:sz w:val="21"/>
          <w:lang w:val="en-US" w:eastAsia="zh-CN"/>
        </w:rPr>
        <w:t>16</w:t>
      </w:r>
      <w:r>
        <w:rPr>
          <w:rFonts w:hint="eastAsia" w:hAnsi="宋体" w:cs="宋体"/>
          <w:sz w:val="21"/>
        </w:rPr>
        <w:t>].http://amr.sz.gov.cn/xxgk/zcwj/scjgfg/bzh/bzhgf/content</w:t>
      </w:r>
      <w:r>
        <w:rPr>
          <w:rFonts w:hint="eastAsia" w:ascii="宋体" w:hAnsi="宋体" w:cs="宋体"/>
          <w:sz w:val="21"/>
        </w:rPr>
        <w:t>/post_9386928.html.</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jc w:val="left"/>
        <w:textAlignment w:val="auto"/>
        <w:rPr>
          <w:rFonts w:hint="eastAsia"/>
          <w:sz w:val="21"/>
        </w:rPr>
      </w:pPr>
      <w:r>
        <w:rPr>
          <w:rFonts w:hint="eastAsia"/>
          <w:sz w:val="21"/>
          <w:lang w:val="en-US" w:eastAsia="zh-CN"/>
        </w:rPr>
        <w:t xml:space="preserve"> </w:t>
      </w:r>
      <w:r>
        <w:rPr>
          <w:rFonts w:hint="eastAsia"/>
          <w:sz w:val="21"/>
        </w:rPr>
        <w:t>裴庆冰,谷立静,白泉.绿色发展背景下绿色产业内涵探析[J].环境保护,2018,46(Z1):86-89.DOI:10.14026/j.cnki.0253-9705.2018.z1.017.</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jc w:val="left"/>
        <w:textAlignment w:val="auto"/>
        <w:rPr>
          <w:sz w:val="21"/>
        </w:rPr>
      </w:pPr>
      <w:r>
        <w:rPr>
          <w:rFonts w:hint="eastAsia"/>
          <w:sz w:val="21"/>
          <w:lang w:val="en-US" w:eastAsia="zh-CN"/>
        </w:rPr>
        <w:t xml:space="preserve"> </w:t>
      </w:r>
      <w:r>
        <w:rPr>
          <w:sz w:val="21"/>
        </w:rPr>
        <w:t>工业和信息化部</w:t>
      </w:r>
      <w:r>
        <w:rPr>
          <w:rFonts w:hint="eastAsia"/>
          <w:sz w:val="21"/>
          <w:lang w:val="en-US" w:eastAsia="zh-CN"/>
        </w:rPr>
        <w:t>.中华人民共和国工业和信息化部公告：2021年</w:t>
      </w:r>
      <w:r>
        <w:rPr>
          <w:rFonts w:hint="eastAsia"/>
          <w:sz w:val="21"/>
        </w:rPr>
        <w:t>公告第5号[EB/OL].</w:t>
      </w:r>
      <w:r>
        <w:rPr>
          <w:rFonts w:hint="eastAsia"/>
          <w:sz w:val="21"/>
          <w:lang w:eastAsia="zh-CN"/>
        </w:rPr>
        <w:t>（2021-</w:t>
      </w:r>
      <w:r>
        <w:rPr>
          <w:rFonts w:hint="eastAsia"/>
          <w:sz w:val="21"/>
          <w:lang w:val="en-US" w:eastAsia="zh-CN"/>
        </w:rPr>
        <w:t>03</w:t>
      </w:r>
      <w:r>
        <w:rPr>
          <w:rFonts w:hint="eastAsia"/>
          <w:sz w:val="21"/>
          <w:lang w:eastAsia="zh-CN"/>
        </w:rPr>
        <w:t>-</w:t>
      </w:r>
      <w:r>
        <w:rPr>
          <w:rFonts w:hint="eastAsia"/>
          <w:sz w:val="21"/>
          <w:lang w:val="en-US" w:eastAsia="zh-CN"/>
        </w:rPr>
        <w:t>11</w:t>
      </w:r>
      <w:r>
        <w:rPr>
          <w:rFonts w:hint="eastAsia"/>
          <w:sz w:val="21"/>
          <w:lang w:eastAsia="zh-CN"/>
        </w:rPr>
        <w:t>）</w:t>
      </w:r>
      <w:r>
        <w:rPr>
          <w:rFonts w:hint="eastAsia"/>
          <w:sz w:val="21"/>
        </w:rPr>
        <w:t>[20</w:t>
      </w:r>
      <w:r>
        <w:rPr>
          <w:rFonts w:hint="eastAsia"/>
          <w:sz w:val="21"/>
          <w:lang w:val="en-US" w:eastAsia="zh-CN"/>
        </w:rPr>
        <w:t>23</w:t>
      </w:r>
      <w:r>
        <w:rPr>
          <w:rFonts w:hint="eastAsia"/>
          <w:sz w:val="21"/>
        </w:rPr>
        <w:t>-0</w:t>
      </w:r>
      <w:r>
        <w:rPr>
          <w:rFonts w:hint="eastAsia"/>
          <w:sz w:val="21"/>
          <w:lang w:val="en-US" w:eastAsia="zh-CN"/>
        </w:rPr>
        <w:t>1</w:t>
      </w:r>
      <w:r>
        <w:rPr>
          <w:rFonts w:hint="eastAsia"/>
          <w:sz w:val="21"/>
        </w:rPr>
        <w:t>-</w:t>
      </w:r>
      <w:r>
        <w:rPr>
          <w:rFonts w:hint="eastAsia"/>
          <w:sz w:val="21"/>
          <w:lang w:val="en-US" w:eastAsia="zh-CN"/>
        </w:rPr>
        <w:t>16</w:t>
      </w:r>
      <w:r>
        <w:rPr>
          <w:rFonts w:hint="eastAsia"/>
          <w:sz w:val="21"/>
        </w:rPr>
        <w:t>].https://www.miit.gov.cn/jgsj/dzs/wjfb/art/2021/art_f4ad5ce6359a457395cfe931c69bd777.html.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rPr>
      </w:pPr>
      <w:r>
        <w:rPr>
          <w:rFonts w:hint="eastAsia" w:ascii="宋体" w:hAnsi="宋体" w:cs="宋体"/>
          <w:sz w:val="21"/>
        </w:rPr>
        <w:t xml:space="preserve"> GB/T 36132—2018  绿色工厂评价通则</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rPr>
      </w:pPr>
      <w:r>
        <w:rPr>
          <w:rFonts w:hint="eastAsia" w:ascii="宋体" w:hAnsi="宋体" w:cs="宋体"/>
          <w:sz w:val="21"/>
        </w:rPr>
        <w:t xml:space="preserve"> GB/T 39966—2021  废弃资源综合利用业环境绩效评价导则</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rPr>
      </w:pPr>
      <w:r>
        <w:rPr>
          <w:rFonts w:hint="eastAsia" w:ascii="宋体" w:hAnsi="宋体" w:cs="宋体"/>
          <w:sz w:val="21"/>
        </w:rPr>
        <w:t xml:space="preserve"> DB 3305/T 62—2018  绿色融资企业评价规范</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hint="eastAsia" w:ascii="宋体" w:hAnsi="宋体" w:cs="宋体"/>
          <w:sz w:val="21"/>
        </w:rPr>
        <w:t xml:space="preserve"> DB 3308/T 69—2020</w:t>
      </w:r>
      <w:r>
        <w:rPr>
          <w:rFonts w:hint="eastAsia" w:ascii="宋体" w:hAnsi="宋体" w:cs="宋体"/>
          <w:sz w:val="21"/>
          <w:highlight w:val="none"/>
        </w:rPr>
        <w:t xml:space="preserve">  绿色企业评价规范</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textAlignment w:val="auto"/>
        <w:rPr>
          <w:rFonts w:ascii="Times New Roman"/>
          <w:highlight w:val="none"/>
        </w:rPr>
      </w:pPr>
      <w:r>
        <w:rPr>
          <w:rFonts w:hint="eastAsia" w:hAnsi="宋体" w:cs="宋体"/>
          <w:sz w:val="21"/>
          <w:highlight w:val="none"/>
        </w:rPr>
        <w:t xml:space="preserve"> T/CGDF 00002—2018  绿色企业评选标准</w:t>
      </w:r>
    </w:p>
    <w:p>
      <w:pPr>
        <w:pStyle w:val="24"/>
        <w:numPr>
          <w:ilvl w:val="-1"/>
          <w:numId w:val="0"/>
        </w:numPr>
        <w:ind w:firstLine="0" w:firstLineChars="0"/>
        <w:rPr>
          <w:rFonts w:ascii="Times New Roman"/>
        </w:rPr>
      </w:pPr>
    </w:p>
    <w:p>
      <w:pPr>
        <w:pStyle w:val="131"/>
        <w:framePr w:wrap="notBeside" w:hAnchor="page" w:x="4898" w:y="496"/>
        <w:rPr>
          <w:u w:val="thick"/>
        </w:rPr>
      </w:pPr>
      <w:r>
        <w:rPr>
          <w:u w:val="thick"/>
        </w:rPr>
        <w:t>______________________</w:t>
      </w:r>
    </w:p>
    <w:p>
      <w:pPr>
        <w:pStyle w:val="24"/>
        <w:ind w:firstLine="0" w:firstLineChars="0"/>
        <w:jc w:val="center"/>
        <w:rPr>
          <w:rFonts w:ascii="Times New Roman"/>
        </w:rPr>
      </w:pPr>
    </w:p>
    <w:p/>
    <w:p/>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Ansi="黑体"/>
      </w:rPr>
    </w:pPr>
    <w:r>
      <w:rPr>
        <w:rFonts w:hint="eastAsia" w:hAnsi="黑体"/>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 xml:space="preserve">DB4403/T </w:t>
    </w:r>
    <w:r>
      <w:rPr>
        <w:rFonts w:hint="eastAsia"/>
      </w:rPr>
      <w:t>XXX</w:t>
    </w:r>
    <w:r>
      <w:t>—20</w:t>
    </w:r>
    <w:r>
      <w:rPr>
        <w:rFonts w:hint="eastAsia"/>
      </w:rPr>
      <w:t>XX</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0"/>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1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0"/>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266"/>
    <w:rsid w:val="00094440"/>
    <w:rsid w:val="00095EDC"/>
    <w:rsid w:val="00097A05"/>
    <w:rsid w:val="000A1CC1"/>
    <w:rsid w:val="000A20A9"/>
    <w:rsid w:val="000A20B1"/>
    <w:rsid w:val="000A37D0"/>
    <w:rsid w:val="000A3885"/>
    <w:rsid w:val="000A48B1"/>
    <w:rsid w:val="000A4CE2"/>
    <w:rsid w:val="000A6E08"/>
    <w:rsid w:val="000A74B2"/>
    <w:rsid w:val="000A76ED"/>
    <w:rsid w:val="000B0077"/>
    <w:rsid w:val="000B0D77"/>
    <w:rsid w:val="000B1515"/>
    <w:rsid w:val="000B28C1"/>
    <w:rsid w:val="000B3143"/>
    <w:rsid w:val="000B4064"/>
    <w:rsid w:val="000B44E8"/>
    <w:rsid w:val="000B539E"/>
    <w:rsid w:val="000B5B75"/>
    <w:rsid w:val="000B6178"/>
    <w:rsid w:val="000B6DC9"/>
    <w:rsid w:val="000B6E51"/>
    <w:rsid w:val="000B70B8"/>
    <w:rsid w:val="000B7ABE"/>
    <w:rsid w:val="000B7BBD"/>
    <w:rsid w:val="000C0D65"/>
    <w:rsid w:val="000C155D"/>
    <w:rsid w:val="000C161F"/>
    <w:rsid w:val="000C5437"/>
    <w:rsid w:val="000C6616"/>
    <w:rsid w:val="000C6B05"/>
    <w:rsid w:val="000C6DA7"/>
    <w:rsid w:val="000C6DD6"/>
    <w:rsid w:val="000C73D4"/>
    <w:rsid w:val="000C74BE"/>
    <w:rsid w:val="000C7B36"/>
    <w:rsid w:val="000D03FC"/>
    <w:rsid w:val="000D11CC"/>
    <w:rsid w:val="000D1C3A"/>
    <w:rsid w:val="000D206D"/>
    <w:rsid w:val="000D27F9"/>
    <w:rsid w:val="000D2CF3"/>
    <w:rsid w:val="000D3C99"/>
    <w:rsid w:val="000D3D4C"/>
    <w:rsid w:val="000D44A6"/>
    <w:rsid w:val="000D4BEC"/>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541B"/>
    <w:rsid w:val="000F7C27"/>
    <w:rsid w:val="000F7F4A"/>
    <w:rsid w:val="00100C31"/>
    <w:rsid w:val="00101A79"/>
    <w:rsid w:val="00102F17"/>
    <w:rsid w:val="00104737"/>
    <w:rsid w:val="001048E3"/>
    <w:rsid w:val="001056DE"/>
    <w:rsid w:val="0011022C"/>
    <w:rsid w:val="00110D99"/>
    <w:rsid w:val="00110F96"/>
    <w:rsid w:val="001124C0"/>
    <w:rsid w:val="001135E1"/>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EAB"/>
    <w:rsid w:val="00140C38"/>
    <w:rsid w:val="0014163F"/>
    <w:rsid w:val="00141F35"/>
    <w:rsid w:val="00143D18"/>
    <w:rsid w:val="00145A77"/>
    <w:rsid w:val="00146EEB"/>
    <w:rsid w:val="0014710E"/>
    <w:rsid w:val="001472AA"/>
    <w:rsid w:val="00147DBF"/>
    <w:rsid w:val="00147FB0"/>
    <w:rsid w:val="0015047D"/>
    <w:rsid w:val="00151022"/>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7B85"/>
    <w:rsid w:val="00171704"/>
    <w:rsid w:val="00171D3D"/>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4428"/>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96742"/>
    <w:rsid w:val="001A0353"/>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4B3D"/>
    <w:rsid w:val="001F5CDA"/>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521"/>
    <w:rsid w:val="00280678"/>
    <w:rsid w:val="00281397"/>
    <w:rsid w:val="002824B5"/>
    <w:rsid w:val="0028269A"/>
    <w:rsid w:val="00282CD4"/>
    <w:rsid w:val="00282F39"/>
    <w:rsid w:val="00283590"/>
    <w:rsid w:val="0028372B"/>
    <w:rsid w:val="00284F6B"/>
    <w:rsid w:val="0028594E"/>
    <w:rsid w:val="00286973"/>
    <w:rsid w:val="002905CA"/>
    <w:rsid w:val="002919A8"/>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AC2"/>
    <w:rsid w:val="002B0F12"/>
    <w:rsid w:val="002B1308"/>
    <w:rsid w:val="002B3377"/>
    <w:rsid w:val="002B3B8E"/>
    <w:rsid w:val="002B4554"/>
    <w:rsid w:val="002B530C"/>
    <w:rsid w:val="002B5A00"/>
    <w:rsid w:val="002B6212"/>
    <w:rsid w:val="002B631C"/>
    <w:rsid w:val="002B6F3F"/>
    <w:rsid w:val="002B77FF"/>
    <w:rsid w:val="002B7E7E"/>
    <w:rsid w:val="002C2E75"/>
    <w:rsid w:val="002C33C6"/>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A14"/>
    <w:rsid w:val="00317051"/>
    <w:rsid w:val="0031752B"/>
    <w:rsid w:val="00320C0A"/>
    <w:rsid w:val="0032162C"/>
    <w:rsid w:val="00322056"/>
    <w:rsid w:val="00322DFE"/>
    <w:rsid w:val="00323ED4"/>
    <w:rsid w:val="003244C9"/>
    <w:rsid w:val="0032488E"/>
    <w:rsid w:val="00325926"/>
    <w:rsid w:val="00327A8A"/>
    <w:rsid w:val="003309EF"/>
    <w:rsid w:val="00330B24"/>
    <w:rsid w:val="00332D1C"/>
    <w:rsid w:val="003347BA"/>
    <w:rsid w:val="003348F3"/>
    <w:rsid w:val="00334C5A"/>
    <w:rsid w:val="00335535"/>
    <w:rsid w:val="00335FF2"/>
    <w:rsid w:val="00336610"/>
    <w:rsid w:val="00340342"/>
    <w:rsid w:val="0034084B"/>
    <w:rsid w:val="00343F73"/>
    <w:rsid w:val="00343FAD"/>
    <w:rsid w:val="0034406D"/>
    <w:rsid w:val="00344515"/>
    <w:rsid w:val="00345060"/>
    <w:rsid w:val="00345BA6"/>
    <w:rsid w:val="00346478"/>
    <w:rsid w:val="00350987"/>
    <w:rsid w:val="00350BF9"/>
    <w:rsid w:val="00350FA1"/>
    <w:rsid w:val="00351566"/>
    <w:rsid w:val="00351B45"/>
    <w:rsid w:val="00352170"/>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FB"/>
    <w:rsid w:val="003A0746"/>
    <w:rsid w:val="003A16CA"/>
    <w:rsid w:val="003A198E"/>
    <w:rsid w:val="003A2275"/>
    <w:rsid w:val="003A2F32"/>
    <w:rsid w:val="003A4B55"/>
    <w:rsid w:val="003A5095"/>
    <w:rsid w:val="003A54B1"/>
    <w:rsid w:val="003A561F"/>
    <w:rsid w:val="003A6A4F"/>
    <w:rsid w:val="003A7088"/>
    <w:rsid w:val="003A72BF"/>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F0D03"/>
    <w:rsid w:val="003F20E6"/>
    <w:rsid w:val="003F38EA"/>
    <w:rsid w:val="003F4EE0"/>
    <w:rsid w:val="003F738A"/>
    <w:rsid w:val="003F7C80"/>
    <w:rsid w:val="004003F4"/>
    <w:rsid w:val="004010CE"/>
    <w:rsid w:val="0040157B"/>
    <w:rsid w:val="00402153"/>
    <w:rsid w:val="00402FC1"/>
    <w:rsid w:val="0040354F"/>
    <w:rsid w:val="004128D2"/>
    <w:rsid w:val="00413602"/>
    <w:rsid w:val="004149B6"/>
    <w:rsid w:val="004153BB"/>
    <w:rsid w:val="00415FB8"/>
    <w:rsid w:val="00417665"/>
    <w:rsid w:val="004201F2"/>
    <w:rsid w:val="004205FC"/>
    <w:rsid w:val="00420CA6"/>
    <w:rsid w:val="00421C03"/>
    <w:rsid w:val="00421D4D"/>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3AD3"/>
    <w:rsid w:val="00434D9B"/>
    <w:rsid w:val="004350B9"/>
    <w:rsid w:val="00436416"/>
    <w:rsid w:val="00437308"/>
    <w:rsid w:val="00437638"/>
    <w:rsid w:val="00441F79"/>
    <w:rsid w:val="00442B5F"/>
    <w:rsid w:val="00443BA6"/>
    <w:rsid w:val="0044401B"/>
    <w:rsid w:val="00446B29"/>
    <w:rsid w:val="0045275A"/>
    <w:rsid w:val="00453611"/>
    <w:rsid w:val="00453F9A"/>
    <w:rsid w:val="00455F28"/>
    <w:rsid w:val="004568A6"/>
    <w:rsid w:val="00456988"/>
    <w:rsid w:val="00457105"/>
    <w:rsid w:val="00460AD5"/>
    <w:rsid w:val="0046108D"/>
    <w:rsid w:val="004635B1"/>
    <w:rsid w:val="00464219"/>
    <w:rsid w:val="004653D9"/>
    <w:rsid w:val="00466694"/>
    <w:rsid w:val="0046670D"/>
    <w:rsid w:val="00466AEB"/>
    <w:rsid w:val="0046772D"/>
    <w:rsid w:val="00470B76"/>
    <w:rsid w:val="00471E91"/>
    <w:rsid w:val="00472308"/>
    <w:rsid w:val="00472762"/>
    <w:rsid w:val="00472822"/>
    <w:rsid w:val="00474675"/>
    <w:rsid w:val="0047470C"/>
    <w:rsid w:val="00476AC1"/>
    <w:rsid w:val="004778B7"/>
    <w:rsid w:val="00477A86"/>
    <w:rsid w:val="004808E8"/>
    <w:rsid w:val="004809E1"/>
    <w:rsid w:val="00484364"/>
    <w:rsid w:val="004854BB"/>
    <w:rsid w:val="00485DCB"/>
    <w:rsid w:val="00487FF3"/>
    <w:rsid w:val="00490AA4"/>
    <w:rsid w:val="0049165A"/>
    <w:rsid w:val="00491D81"/>
    <w:rsid w:val="00493692"/>
    <w:rsid w:val="00493699"/>
    <w:rsid w:val="00494CF2"/>
    <w:rsid w:val="00495290"/>
    <w:rsid w:val="00495889"/>
    <w:rsid w:val="0049662E"/>
    <w:rsid w:val="00497A1B"/>
    <w:rsid w:val="00497D41"/>
    <w:rsid w:val="00497EEE"/>
    <w:rsid w:val="004A09C2"/>
    <w:rsid w:val="004A0D7F"/>
    <w:rsid w:val="004A2F78"/>
    <w:rsid w:val="004A3120"/>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665F"/>
    <w:rsid w:val="004E7A8A"/>
    <w:rsid w:val="004F0CF7"/>
    <w:rsid w:val="004F10EF"/>
    <w:rsid w:val="004F1D1E"/>
    <w:rsid w:val="004F6993"/>
    <w:rsid w:val="004F70F3"/>
    <w:rsid w:val="004F7B74"/>
    <w:rsid w:val="00500859"/>
    <w:rsid w:val="0050098B"/>
    <w:rsid w:val="0050189F"/>
    <w:rsid w:val="0050239B"/>
    <w:rsid w:val="00502F57"/>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2FAB"/>
    <w:rsid w:val="0053480B"/>
    <w:rsid w:val="00534C02"/>
    <w:rsid w:val="0054080A"/>
    <w:rsid w:val="0054145C"/>
    <w:rsid w:val="0054264B"/>
    <w:rsid w:val="00542D62"/>
    <w:rsid w:val="00543786"/>
    <w:rsid w:val="00543DB0"/>
    <w:rsid w:val="005440E0"/>
    <w:rsid w:val="00545804"/>
    <w:rsid w:val="00545F3A"/>
    <w:rsid w:val="005467C0"/>
    <w:rsid w:val="005479EF"/>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A17"/>
    <w:rsid w:val="005E19E7"/>
    <w:rsid w:val="005E2EF0"/>
    <w:rsid w:val="005E489A"/>
    <w:rsid w:val="005E5121"/>
    <w:rsid w:val="005E7D94"/>
    <w:rsid w:val="005F0D35"/>
    <w:rsid w:val="005F53B5"/>
    <w:rsid w:val="005F69D1"/>
    <w:rsid w:val="005F76C3"/>
    <w:rsid w:val="006019B4"/>
    <w:rsid w:val="00602BE7"/>
    <w:rsid w:val="00602E15"/>
    <w:rsid w:val="00602EEB"/>
    <w:rsid w:val="0060344E"/>
    <w:rsid w:val="00603EDF"/>
    <w:rsid w:val="00604C8C"/>
    <w:rsid w:val="006059BE"/>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E34"/>
    <w:rsid w:val="00624EDB"/>
    <w:rsid w:val="00625DB1"/>
    <w:rsid w:val="0062628F"/>
    <w:rsid w:val="00631A78"/>
    <w:rsid w:val="00631D28"/>
    <w:rsid w:val="00631E5B"/>
    <w:rsid w:val="00632E56"/>
    <w:rsid w:val="00632E5A"/>
    <w:rsid w:val="006339F0"/>
    <w:rsid w:val="00633A50"/>
    <w:rsid w:val="00633E4C"/>
    <w:rsid w:val="00634DC8"/>
    <w:rsid w:val="00635CBA"/>
    <w:rsid w:val="0064080A"/>
    <w:rsid w:val="00641244"/>
    <w:rsid w:val="006413F3"/>
    <w:rsid w:val="00642855"/>
    <w:rsid w:val="0064338B"/>
    <w:rsid w:val="0064355C"/>
    <w:rsid w:val="00643988"/>
    <w:rsid w:val="006457DB"/>
    <w:rsid w:val="00646448"/>
    <w:rsid w:val="00646542"/>
    <w:rsid w:val="00647B07"/>
    <w:rsid w:val="00650497"/>
    <w:rsid w:val="006504F4"/>
    <w:rsid w:val="00650BA2"/>
    <w:rsid w:val="006511D8"/>
    <w:rsid w:val="0065201C"/>
    <w:rsid w:val="00654588"/>
    <w:rsid w:val="00654BC9"/>
    <w:rsid w:val="00654DA7"/>
    <w:rsid w:val="006552FD"/>
    <w:rsid w:val="00655343"/>
    <w:rsid w:val="006557D1"/>
    <w:rsid w:val="006563BE"/>
    <w:rsid w:val="00656408"/>
    <w:rsid w:val="00656AE2"/>
    <w:rsid w:val="00663AF3"/>
    <w:rsid w:val="00664013"/>
    <w:rsid w:val="00665BE1"/>
    <w:rsid w:val="00665C37"/>
    <w:rsid w:val="00666B6C"/>
    <w:rsid w:val="00667571"/>
    <w:rsid w:val="006678B0"/>
    <w:rsid w:val="00670662"/>
    <w:rsid w:val="00670A17"/>
    <w:rsid w:val="00670A8E"/>
    <w:rsid w:val="0067215E"/>
    <w:rsid w:val="0067526D"/>
    <w:rsid w:val="00675D28"/>
    <w:rsid w:val="00677941"/>
    <w:rsid w:val="00677A2F"/>
    <w:rsid w:val="006808DE"/>
    <w:rsid w:val="00681E8A"/>
    <w:rsid w:val="00682682"/>
    <w:rsid w:val="00682702"/>
    <w:rsid w:val="00682CAE"/>
    <w:rsid w:val="0068535B"/>
    <w:rsid w:val="00685C05"/>
    <w:rsid w:val="00685E45"/>
    <w:rsid w:val="00690C9B"/>
    <w:rsid w:val="006921CF"/>
    <w:rsid w:val="00692368"/>
    <w:rsid w:val="006927EA"/>
    <w:rsid w:val="0069307E"/>
    <w:rsid w:val="00693633"/>
    <w:rsid w:val="006957D2"/>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7ABA"/>
    <w:rsid w:val="006D0D60"/>
    <w:rsid w:val="006D1122"/>
    <w:rsid w:val="006D2504"/>
    <w:rsid w:val="006D28A9"/>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26D7"/>
    <w:rsid w:val="0070465F"/>
    <w:rsid w:val="00704DF6"/>
    <w:rsid w:val="00704E08"/>
    <w:rsid w:val="007057AA"/>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F22"/>
    <w:rsid w:val="007450CF"/>
    <w:rsid w:val="007464A0"/>
    <w:rsid w:val="007467A7"/>
    <w:rsid w:val="007469DD"/>
    <w:rsid w:val="00746DFC"/>
    <w:rsid w:val="0074741B"/>
    <w:rsid w:val="0074759E"/>
    <w:rsid w:val="007478EA"/>
    <w:rsid w:val="00747C54"/>
    <w:rsid w:val="00750982"/>
    <w:rsid w:val="0075119E"/>
    <w:rsid w:val="00751AA5"/>
    <w:rsid w:val="007536E4"/>
    <w:rsid w:val="00753802"/>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673CF"/>
    <w:rsid w:val="0077051B"/>
    <w:rsid w:val="0077245E"/>
    <w:rsid w:val="00772927"/>
    <w:rsid w:val="007729BC"/>
    <w:rsid w:val="00772F03"/>
    <w:rsid w:val="00773408"/>
    <w:rsid w:val="00773A5C"/>
    <w:rsid w:val="00777D49"/>
    <w:rsid w:val="00780071"/>
    <w:rsid w:val="00780963"/>
    <w:rsid w:val="007814B7"/>
    <w:rsid w:val="00783100"/>
    <w:rsid w:val="007832A9"/>
    <w:rsid w:val="007844E6"/>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A63"/>
    <w:rsid w:val="0079680C"/>
    <w:rsid w:val="007A09A4"/>
    <w:rsid w:val="007A0D87"/>
    <w:rsid w:val="007A0E21"/>
    <w:rsid w:val="007A1C03"/>
    <w:rsid w:val="007A2CA7"/>
    <w:rsid w:val="007A36FF"/>
    <w:rsid w:val="007A483E"/>
    <w:rsid w:val="007A5CC8"/>
    <w:rsid w:val="007A6CAA"/>
    <w:rsid w:val="007B1625"/>
    <w:rsid w:val="007B194A"/>
    <w:rsid w:val="007B1B55"/>
    <w:rsid w:val="007B1F56"/>
    <w:rsid w:val="007B351D"/>
    <w:rsid w:val="007B3681"/>
    <w:rsid w:val="007B5FAD"/>
    <w:rsid w:val="007B697F"/>
    <w:rsid w:val="007B706E"/>
    <w:rsid w:val="007B71EB"/>
    <w:rsid w:val="007C1F0B"/>
    <w:rsid w:val="007C27A4"/>
    <w:rsid w:val="007C2AB4"/>
    <w:rsid w:val="007C2D39"/>
    <w:rsid w:val="007C402D"/>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162"/>
    <w:rsid w:val="007D6E4F"/>
    <w:rsid w:val="007D718E"/>
    <w:rsid w:val="007D7A06"/>
    <w:rsid w:val="007D7B1A"/>
    <w:rsid w:val="007E03BD"/>
    <w:rsid w:val="007E0D0C"/>
    <w:rsid w:val="007E12EC"/>
    <w:rsid w:val="007E185B"/>
    <w:rsid w:val="007E1980"/>
    <w:rsid w:val="007E2895"/>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22CD"/>
    <w:rsid w:val="00822646"/>
    <w:rsid w:val="00823F3F"/>
    <w:rsid w:val="00824476"/>
    <w:rsid w:val="0082733E"/>
    <w:rsid w:val="00827CB6"/>
    <w:rsid w:val="00830716"/>
    <w:rsid w:val="00833269"/>
    <w:rsid w:val="00834B43"/>
    <w:rsid w:val="00834E39"/>
    <w:rsid w:val="00835DB3"/>
    <w:rsid w:val="0083617B"/>
    <w:rsid w:val="008371BD"/>
    <w:rsid w:val="0083724E"/>
    <w:rsid w:val="00840385"/>
    <w:rsid w:val="008404FC"/>
    <w:rsid w:val="008410D1"/>
    <w:rsid w:val="0084210C"/>
    <w:rsid w:val="00842BEB"/>
    <w:rsid w:val="008434C5"/>
    <w:rsid w:val="00844A28"/>
    <w:rsid w:val="00846EE0"/>
    <w:rsid w:val="008504A8"/>
    <w:rsid w:val="00850B78"/>
    <w:rsid w:val="00852118"/>
    <w:rsid w:val="0085282E"/>
    <w:rsid w:val="00852D68"/>
    <w:rsid w:val="00855952"/>
    <w:rsid w:val="00855BF6"/>
    <w:rsid w:val="0085651C"/>
    <w:rsid w:val="00856A38"/>
    <w:rsid w:val="00856BDB"/>
    <w:rsid w:val="0085722E"/>
    <w:rsid w:val="0085758A"/>
    <w:rsid w:val="00857820"/>
    <w:rsid w:val="00860435"/>
    <w:rsid w:val="00863B90"/>
    <w:rsid w:val="00864D27"/>
    <w:rsid w:val="00865754"/>
    <w:rsid w:val="00867BD7"/>
    <w:rsid w:val="008704C5"/>
    <w:rsid w:val="0087198C"/>
    <w:rsid w:val="008723C3"/>
    <w:rsid w:val="00872C1F"/>
    <w:rsid w:val="008730D3"/>
    <w:rsid w:val="00873B42"/>
    <w:rsid w:val="0087623A"/>
    <w:rsid w:val="00877203"/>
    <w:rsid w:val="008776D9"/>
    <w:rsid w:val="00880036"/>
    <w:rsid w:val="00880552"/>
    <w:rsid w:val="008813F7"/>
    <w:rsid w:val="0088315D"/>
    <w:rsid w:val="00884998"/>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2245"/>
    <w:rsid w:val="008B24EF"/>
    <w:rsid w:val="008B2714"/>
    <w:rsid w:val="008B2791"/>
    <w:rsid w:val="008B2AD3"/>
    <w:rsid w:val="008B4CC1"/>
    <w:rsid w:val="008B5A3A"/>
    <w:rsid w:val="008B5F0B"/>
    <w:rsid w:val="008B74D7"/>
    <w:rsid w:val="008C0928"/>
    <w:rsid w:val="008C1147"/>
    <w:rsid w:val="008C12C8"/>
    <w:rsid w:val="008C1B58"/>
    <w:rsid w:val="008C1E79"/>
    <w:rsid w:val="008C2C1A"/>
    <w:rsid w:val="008C37FB"/>
    <w:rsid w:val="008C39AE"/>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691F"/>
    <w:rsid w:val="008E7029"/>
    <w:rsid w:val="008E72FC"/>
    <w:rsid w:val="008E7CD5"/>
    <w:rsid w:val="008E7EF6"/>
    <w:rsid w:val="008F03ED"/>
    <w:rsid w:val="008F0926"/>
    <w:rsid w:val="008F1335"/>
    <w:rsid w:val="008F1F98"/>
    <w:rsid w:val="008F1FDB"/>
    <w:rsid w:val="008F2928"/>
    <w:rsid w:val="008F32DA"/>
    <w:rsid w:val="008F50F9"/>
    <w:rsid w:val="008F58DA"/>
    <w:rsid w:val="008F649B"/>
    <w:rsid w:val="008F6758"/>
    <w:rsid w:val="008F6FFF"/>
    <w:rsid w:val="008F75EF"/>
    <w:rsid w:val="008F77FF"/>
    <w:rsid w:val="00901754"/>
    <w:rsid w:val="00902962"/>
    <w:rsid w:val="009040DD"/>
    <w:rsid w:val="00904228"/>
    <w:rsid w:val="00904E50"/>
    <w:rsid w:val="00905B47"/>
    <w:rsid w:val="00906956"/>
    <w:rsid w:val="00913168"/>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87B"/>
    <w:rsid w:val="009528CE"/>
    <w:rsid w:val="00953018"/>
    <w:rsid w:val="00954689"/>
    <w:rsid w:val="00954B93"/>
    <w:rsid w:val="009556E9"/>
    <w:rsid w:val="009558EF"/>
    <w:rsid w:val="009559FB"/>
    <w:rsid w:val="00955DF7"/>
    <w:rsid w:val="00955F23"/>
    <w:rsid w:val="0095681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1169"/>
    <w:rsid w:val="009912CB"/>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2A6E"/>
    <w:rsid w:val="009A36BC"/>
    <w:rsid w:val="009A3A7C"/>
    <w:rsid w:val="009A518C"/>
    <w:rsid w:val="009A68DE"/>
    <w:rsid w:val="009A78A0"/>
    <w:rsid w:val="009A7A54"/>
    <w:rsid w:val="009B20DF"/>
    <w:rsid w:val="009B2ADB"/>
    <w:rsid w:val="009B55D1"/>
    <w:rsid w:val="009B5CE9"/>
    <w:rsid w:val="009B603A"/>
    <w:rsid w:val="009B6BC5"/>
    <w:rsid w:val="009B75EB"/>
    <w:rsid w:val="009C0D6E"/>
    <w:rsid w:val="009C2D0E"/>
    <w:rsid w:val="009C3DAC"/>
    <w:rsid w:val="009C42E0"/>
    <w:rsid w:val="009C54A8"/>
    <w:rsid w:val="009C78EA"/>
    <w:rsid w:val="009D0BA6"/>
    <w:rsid w:val="009D1A00"/>
    <w:rsid w:val="009D30F6"/>
    <w:rsid w:val="009D3A47"/>
    <w:rsid w:val="009D3C53"/>
    <w:rsid w:val="009D43AA"/>
    <w:rsid w:val="009D5362"/>
    <w:rsid w:val="009D5F6B"/>
    <w:rsid w:val="009E1415"/>
    <w:rsid w:val="009E1DE7"/>
    <w:rsid w:val="009E37D3"/>
    <w:rsid w:val="009E3ECC"/>
    <w:rsid w:val="009E3F07"/>
    <w:rsid w:val="009E3F43"/>
    <w:rsid w:val="009E60C1"/>
    <w:rsid w:val="009E6116"/>
    <w:rsid w:val="009E7C63"/>
    <w:rsid w:val="009E7D3D"/>
    <w:rsid w:val="009F0597"/>
    <w:rsid w:val="009F38C5"/>
    <w:rsid w:val="009F4FF8"/>
    <w:rsid w:val="009F58FB"/>
    <w:rsid w:val="009F6380"/>
    <w:rsid w:val="00A01000"/>
    <w:rsid w:val="00A02E43"/>
    <w:rsid w:val="00A038E3"/>
    <w:rsid w:val="00A0583E"/>
    <w:rsid w:val="00A05FE7"/>
    <w:rsid w:val="00A065F9"/>
    <w:rsid w:val="00A07BB9"/>
    <w:rsid w:val="00A07F34"/>
    <w:rsid w:val="00A110A0"/>
    <w:rsid w:val="00A13EA9"/>
    <w:rsid w:val="00A150B6"/>
    <w:rsid w:val="00A1584C"/>
    <w:rsid w:val="00A162B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F4B"/>
    <w:rsid w:val="00A362DC"/>
    <w:rsid w:val="00A36BBE"/>
    <w:rsid w:val="00A36CFE"/>
    <w:rsid w:val="00A37F2B"/>
    <w:rsid w:val="00A40931"/>
    <w:rsid w:val="00A40B40"/>
    <w:rsid w:val="00A40D8D"/>
    <w:rsid w:val="00A4307A"/>
    <w:rsid w:val="00A47EBB"/>
    <w:rsid w:val="00A50092"/>
    <w:rsid w:val="00A51B4C"/>
    <w:rsid w:val="00A51CD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539"/>
    <w:rsid w:val="00A8263F"/>
    <w:rsid w:val="00A826AC"/>
    <w:rsid w:val="00A826FA"/>
    <w:rsid w:val="00A8352F"/>
    <w:rsid w:val="00A838DB"/>
    <w:rsid w:val="00A85224"/>
    <w:rsid w:val="00A85806"/>
    <w:rsid w:val="00A859C5"/>
    <w:rsid w:val="00A86EF2"/>
    <w:rsid w:val="00A87844"/>
    <w:rsid w:val="00A90883"/>
    <w:rsid w:val="00A9365B"/>
    <w:rsid w:val="00A93B81"/>
    <w:rsid w:val="00A94291"/>
    <w:rsid w:val="00A96162"/>
    <w:rsid w:val="00A96F9C"/>
    <w:rsid w:val="00A973E9"/>
    <w:rsid w:val="00A97470"/>
    <w:rsid w:val="00A978CB"/>
    <w:rsid w:val="00A97F7B"/>
    <w:rsid w:val="00AA038C"/>
    <w:rsid w:val="00AA041F"/>
    <w:rsid w:val="00AA0CC1"/>
    <w:rsid w:val="00AA11CF"/>
    <w:rsid w:val="00AA2EBF"/>
    <w:rsid w:val="00AA5E3C"/>
    <w:rsid w:val="00AA6575"/>
    <w:rsid w:val="00AA6C2B"/>
    <w:rsid w:val="00AA6FCA"/>
    <w:rsid w:val="00AA7A09"/>
    <w:rsid w:val="00AB14EF"/>
    <w:rsid w:val="00AB1C92"/>
    <w:rsid w:val="00AB2CFE"/>
    <w:rsid w:val="00AB3B50"/>
    <w:rsid w:val="00AB459A"/>
    <w:rsid w:val="00AB4ABE"/>
    <w:rsid w:val="00AB507F"/>
    <w:rsid w:val="00AB7E55"/>
    <w:rsid w:val="00AC04FC"/>
    <w:rsid w:val="00AC05B1"/>
    <w:rsid w:val="00AC279D"/>
    <w:rsid w:val="00AC27AA"/>
    <w:rsid w:val="00AC336D"/>
    <w:rsid w:val="00AC345E"/>
    <w:rsid w:val="00AC5493"/>
    <w:rsid w:val="00AD0FB1"/>
    <w:rsid w:val="00AD1DAB"/>
    <w:rsid w:val="00AD1E65"/>
    <w:rsid w:val="00AD356C"/>
    <w:rsid w:val="00AD3B3A"/>
    <w:rsid w:val="00AD4B9D"/>
    <w:rsid w:val="00AD58F9"/>
    <w:rsid w:val="00AD5C0B"/>
    <w:rsid w:val="00AD67C4"/>
    <w:rsid w:val="00AE1927"/>
    <w:rsid w:val="00AE2914"/>
    <w:rsid w:val="00AE2E1A"/>
    <w:rsid w:val="00AE46D4"/>
    <w:rsid w:val="00AE5EB4"/>
    <w:rsid w:val="00AE6D15"/>
    <w:rsid w:val="00AF03F5"/>
    <w:rsid w:val="00AF14F2"/>
    <w:rsid w:val="00AF3474"/>
    <w:rsid w:val="00AF3A3D"/>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5B26"/>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151"/>
    <w:rsid w:val="00B665C6"/>
    <w:rsid w:val="00B67063"/>
    <w:rsid w:val="00B67155"/>
    <w:rsid w:val="00B67AC5"/>
    <w:rsid w:val="00B70482"/>
    <w:rsid w:val="00B70D37"/>
    <w:rsid w:val="00B70DF4"/>
    <w:rsid w:val="00B73017"/>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40E2"/>
    <w:rsid w:val="00B869EC"/>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50F0"/>
    <w:rsid w:val="00BA5AAE"/>
    <w:rsid w:val="00BA6E1A"/>
    <w:rsid w:val="00BA7F79"/>
    <w:rsid w:val="00BB0F28"/>
    <w:rsid w:val="00BB11EA"/>
    <w:rsid w:val="00BB323E"/>
    <w:rsid w:val="00BB4093"/>
    <w:rsid w:val="00BB446F"/>
    <w:rsid w:val="00BB453A"/>
    <w:rsid w:val="00BB458A"/>
    <w:rsid w:val="00BB4EAF"/>
    <w:rsid w:val="00BB54DF"/>
    <w:rsid w:val="00BC1229"/>
    <w:rsid w:val="00BC1480"/>
    <w:rsid w:val="00BC1D54"/>
    <w:rsid w:val="00BC2A83"/>
    <w:rsid w:val="00BC2E53"/>
    <w:rsid w:val="00BC3BCC"/>
    <w:rsid w:val="00BC5AFE"/>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290B"/>
    <w:rsid w:val="00C42B91"/>
    <w:rsid w:val="00C43D16"/>
    <w:rsid w:val="00C446A5"/>
    <w:rsid w:val="00C46C4C"/>
    <w:rsid w:val="00C4713B"/>
    <w:rsid w:val="00C478C5"/>
    <w:rsid w:val="00C502CF"/>
    <w:rsid w:val="00C51774"/>
    <w:rsid w:val="00C52B6B"/>
    <w:rsid w:val="00C577F5"/>
    <w:rsid w:val="00C601D2"/>
    <w:rsid w:val="00C61010"/>
    <w:rsid w:val="00C623DE"/>
    <w:rsid w:val="00C6282F"/>
    <w:rsid w:val="00C62FD9"/>
    <w:rsid w:val="00C633F0"/>
    <w:rsid w:val="00C6349B"/>
    <w:rsid w:val="00C653FA"/>
    <w:rsid w:val="00C65BCC"/>
    <w:rsid w:val="00C66970"/>
    <w:rsid w:val="00C71B49"/>
    <w:rsid w:val="00C7284C"/>
    <w:rsid w:val="00C74BFF"/>
    <w:rsid w:val="00C74F8D"/>
    <w:rsid w:val="00C75853"/>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1AB"/>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1ABC"/>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9F1"/>
    <w:rsid w:val="00D55F2E"/>
    <w:rsid w:val="00D57396"/>
    <w:rsid w:val="00D6041A"/>
    <w:rsid w:val="00D606EF"/>
    <w:rsid w:val="00D60B12"/>
    <w:rsid w:val="00D60D94"/>
    <w:rsid w:val="00D62B4F"/>
    <w:rsid w:val="00D633EB"/>
    <w:rsid w:val="00D641A2"/>
    <w:rsid w:val="00D64799"/>
    <w:rsid w:val="00D65C53"/>
    <w:rsid w:val="00D65CCC"/>
    <w:rsid w:val="00D65E6C"/>
    <w:rsid w:val="00D67C51"/>
    <w:rsid w:val="00D67E06"/>
    <w:rsid w:val="00D719C2"/>
    <w:rsid w:val="00D73503"/>
    <w:rsid w:val="00D7438B"/>
    <w:rsid w:val="00D769BF"/>
    <w:rsid w:val="00D77459"/>
    <w:rsid w:val="00D77E0A"/>
    <w:rsid w:val="00D82FF7"/>
    <w:rsid w:val="00D83078"/>
    <w:rsid w:val="00D838E8"/>
    <w:rsid w:val="00D84729"/>
    <w:rsid w:val="00D847FE"/>
    <w:rsid w:val="00D84B08"/>
    <w:rsid w:val="00D918D5"/>
    <w:rsid w:val="00D937BB"/>
    <w:rsid w:val="00D9392D"/>
    <w:rsid w:val="00D95462"/>
    <w:rsid w:val="00D95A0B"/>
    <w:rsid w:val="00D964EA"/>
    <w:rsid w:val="00D966D0"/>
    <w:rsid w:val="00D966D6"/>
    <w:rsid w:val="00D976B3"/>
    <w:rsid w:val="00D97DF3"/>
    <w:rsid w:val="00DA0384"/>
    <w:rsid w:val="00DA05AC"/>
    <w:rsid w:val="00DA0C59"/>
    <w:rsid w:val="00DA12CA"/>
    <w:rsid w:val="00DA1C75"/>
    <w:rsid w:val="00DA1CE8"/>
    <w:rsid w:val="00DA33A9"/>
    <w:rsid w:val="00DA3991"/>
    <w:rsid w:val="00DA58D1"/>
    <w:rsid w:val="00DA662C"/>
    <w:rsid w:val="00DA7C3A"/>
    <w:rsid w:val="00DB0067"/>
    <w:rsid w:val="00DB0335"/>
    <w:rsid w:val="00DB0990"/>
    <w:rsid w:val="00DB0B25"/>
    <w:rsid w:val="00DB1632"/>
    <w:rsid w:val="00DB23C1"/>
    <w:rsid w:val="00DB4941"/>
    <w:rsid w:val="00DB5051"/>
    <w:rsid w:val="00DB776D"/>
    <w:rsid w:val="00DB7782"/>
    <w:rsid w:val="00DB7E6C"/>
    <w:rsid w:val="00DC0D7F"/>
    <w:rsid w:val="00DC10DE"/>
    <w:rsid w:val="00DC18CD"/>
    <w:rsid w:val="00DC27E1"/>
    <w:rsid w:val="00DC3582"/>
    <w:rsid w:val="00DC3F86"/>
    <w:rsid w:val="00DC6ADF"/>
    <w:rsid w:val="00DC6D39"/>
    <w:rsid w:val="00DD09D1"/>
    <w:rsid w:val="00DD0B43"/>
    <w:rsid w:val="00DD254D"/>
    <w:rsid w:val="00DD2707"/>
    <w:rsid w:val="00DD3F19"/>
    <w:rsid w:val="00DD4458"/>
    <w:rsid w:val="00DD4697"/>
    <w:rsid w:val="00DD5A29"/>
    <w:rsid w:val="00DD5D9D"/>
    <w:rsid w:val="00DE06E4"/>
    <w:rsid w:val="00DE14FA"/>
    <w:rsid w:val="00DE1E94"/>
    <w:rsid w:val="00DE1F7D"/>
    <w:rsid w:val="00DE265F"/>
    <w:rsid w:val="00DE35CB"/>
    <w:rsid w:val="00DE3686"/>
    <w:rsid w:val="00DE3DDF"/>
    <w:rsid w:val="00DE5284"/>
    <w:rsid w:val="00DE5DC0"/>
    <w:rsid w:val="00DE677A"/>
    <w:rsid w:val="00DE76CE"/>
    <w:rsid w:val="00DF21E9"/>
    <w:rsid w:val="00DF281A"/>
    <w:rsid w:val="00DF360C"/>
    <w:rsid w:val="00DF5E04"/>
    <w:rsid w:val="00DF7081"/>
    <w:rsid w:val="00E00F14"/>
    <w:rsid w:val="00E01639"/>
    <w:rsid w:val="00E02801"/>
    <w:rsid w:val="00E03C38"/>
    <w:rsid w:val="00E04CDF"/>
    <w:rsid w:val="00E06386"/>
    <w:rsid w:val="00E07ABE"/>
    <w:rsid w:val="00E07C88"/>
    <w:rsid w:val="00E11C2A"/>
    <w:rsid w:val="00E11CCF"/>
    <w:rsid w:val="00E11F71"/>
    <w:rsid w:val="00E13DCF"/>
    <w:rsid w:val="00E1506C"/>
    <w:rsid w:val="00E15F6E"/>
    <w:rsid w:val="00E16012"/>
    <w:rsid w:val="00E2081D"/>
    <w:rsid w:val="00E20BDF"/>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3156"/>
    <w:rsid w:val="00E64240"/>
    <w:rsid w:val="00E651FC"/>
    <w:rsid w:val="00E675FB"/>
    <w:rsid w:val="00E67A6B"/>
    <w:rsid w:val="00E70FD5"/>
    <w:rsid w:val="00E70FF7"/>
    <w:rsid w:val="00E712E2"/>
    <w:rsid w:val="00E72908"/>
    <w:rsid w:val="00E72C40"/>
    <w:rsid w:val="00E7421E"/>
    <w:rsid w:val="00E74C1A"/>
    <w:rsid w:val="00E77901"/>
    <w:rsid w:val="00E816B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5E4"/>
    <w:rsid w:val="00EA72CF"/>
    <w:rsid w:val="00EA72EC"/>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1ACF"/>
    <w:rsid w:val="00EF2024"/>
    <w:rsid w:val="00EF23A6"/>
    <w:rsid w:val="00EF2CDE"/>
    <w:rsid w:val="00EF2E84"/>
    <w:rsid w:val="00EF3A96"/>
    <w:rsid w:val="00EF53C8"/>
    <w:rsid w:val="00EF7EDA"/>
    <w:rsid w:val="00F01680"/>
    <w:rsid w:val="00F024B0"/>
    <w:rsid w:val="00F05BDB"/>
    <w:rsid w:val="00F06D31"/>
    <w:rsid w:val="00F07661"/>
    <w:rsid w:val="00F1119B"/>
    <w:rsid w:val="00F11BB5"/>
    <w:rsid w:val="00F12290"/>
    <w:rsid w:val="00F13058"/>
    <w:rsid w:val="00F13777"/>
    <w:rsid w:val="00F1417B"/>
    <w:rsid w:val="00F151EA"/>
    <w:rsid w:val="00F15234"/>
    <w:rsid w:val="00F1573B"/>
    <w:rsid w:val="00F1610E"/>
    <w:rsid w:val="00F16A4A"/>
    <w:rsid w:val="00F16C1F"/>
    <w:rsid w:val="00F20A14"/>
    <w:rsid w:val="00F225AF"/>
    <w:rsid w:val="00F23C30"/>
    <w:rsid w:val="00F2438D"/>
    <w:rsid w:val="00F26A19"/>
    <w:rsid w:val="00F2710F"/>
    <w:rsid w:val="00F303FC"/>
    <w:rsid w:val="00F30E50"/>
    <w:rsid w:val="00F31232"/>
    <w:rsid w:val="00F330C9"/>
    <w:rsid w:val="00F343E5"/>
    <w:rsid w:val="00F34B99"/>
    <w:rsid w:val="00F356F4"/>
    <w:rsid w:val="00F36160"/>
    <w:rsid w:val="00F36E67"/>
    <w:rsid w:val="00F37AEC"/>
    <w:rsid w:val="00F37C3F"/>
    <w:rsid w:val="00F42BF9"/>
    <w:rsid w:val="00F43E5C"/>
    <w:rsid w:val="00F44267"/>
    <w:rsid w:val="00F44F36"/>
    <w:rsid w:val="00F458F9"/>
    <w:rsid w:val="00F4651D"/>
    <w:rsid w:val="00F46570"/>
    <w:rsid w:val="00F520AB"/>
    <w:rsid w:val="00F52D2E"/>
    <w:rsid w:val="00F52DAB"/>
    <w:rsid w:val="00F52E05"/>
    <w:rsid w:val="00F533EF"/>
    <w:rsid w:val="00F534FA"/>
    <w:rsid w:val="00F54079"/>
    <w:rsid w:val="00F543F0"/>
    <w:rsid w:val="00F54F6C"/>
    <w:rsid w:val="00F55087"/>
    <w:rsid w:val="00F56B35"/>
    <w:rsid w:val="00F57311"/>
    <w:rsid w:val="00F57A6F"/>
    <w:rsid w:val="00F57D68"/>
    <w:rsid w:val="00F60875"/>
    <w:rsid w:val="00F62D87"/>
    <w:rsid w:val="00F64569"/>
    <w:rsid w:val="00F649A1"/>
    <w:rsid w:val="00F66D76"/>
    <w:rsid w:val="00F67B30"/>
    <w:rsid w:val="00F67D39"/>
    <w:rsid w:val="00F70310"/>
    <w:rsid w:val="00F70582"/>
    <w:rsid w:val="00F70EBC"/>
    <w:rsid w:val="00F727C2"/>
    <w:rsid w:val="00F74087"/>
    <w:rsid w:val="00F756B8"/>
    <w:rsid w:val="00F76165"/>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4B75"/>
    <w:rsid w:val="00F95073"/>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E7C"/>
    <w:rsid w:val="00FB3074"/>
    <w:rsid w:val="00FB39FC"/>
    <w:rsid w:val="00FB5756"/>
    <w:rsid w:val="00FB581D"/>
    <w:rsid w:val="00FB5F8F"/>
    <w:rsid w:val="00FB6757"/>
    <w:rsid w:val="00FC17DB"/>
    <w:rsid w:val="00FC1C83"/>
    <w:rsid w:val="00FC2872"/>
    <w:rsid w:val="00FC2A14"/>
    <w:rsid w:val="00FC3064"/>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5C8A"/>
    <w:rsid w:val="00FF0460"/>
    <w:rsid w:val="00FF0B48"/>
    <w:rsid w:val="00FF0B73"/>
    <w:rsid w:val="00FF1456"/>
    <w:rsid w:val="00FF31A9"/>
    <w:rsid w:val="00FF37DB"/>
    <w:rsid w:val="00FF56A8"/>
    <w:rsid w:val="00FF6EB4"/>
    <w:rsid w:val="00FF7A7D"/>
    <w:rsid w:val="00FF7A7E"/>
    <w:rsid w:val="029F4130"/>
    <w:rsid w:val="02AB1FCD"/>
    <w:rsid w:val="031B4284"/>
    <w:rsid w:val="032712EA"/>
    <w:rsid w:val="03E0239E"/>
    <w:rsid w:val="03E46318"/>
    <w:rsid w:val="044A7DD6"/>
    <w:rsid w:val="050F18E6"/>
    <w:rsid w:val="054D10EA"/>
    <w:rsid w:val="0598453C"/>
    <w:rsid w:val="05A351AD"/>
    <w:rsid w:val="06232261"/>
    <w:rsid w:val="07CD50A1"/>
    <w:rsid w:val="08DD09B2"/>
    <w:rsid w:val="090D074B"/>
    <w:rsid w:val="0AF76B39"/>
    <w:rsid w:val="0B2A37F4"/>
    <w:rsid w:val="0BB9732C"/>
    <w:rsid w:val="0CAE43B6"/>
    <w:rsid w:val="0D357C3B"/>
    <w:rsid w:val="0D6C3ABE"/>
    <w:rsid w:val="0DB137C5"/>
    <w:rsid w:val="0E204A31"/>
    <w:rsid w:val="0E402372"/>
    <w:rsid w:val="0E4445E9"/>
    <w:rsid w:val="0E484838"/>
    <w:rsid w:val="0F0377C4"/>
    <w:rsid w:val="0F3C0933"/>
    <w:rsid w:val="0F63675F"/>
    <w:rsid w:val="0FEC0E5A"/>
    <w:rsid w:val="10453175"/>
    <w:rsid w:val="10A25DC2"/>
    <w:rsid w:val="114E1850"/>
    <w:rsid w:val="119414F7"/>
    <w:rsid w:val="11A51CF0"/>
    <w:rsid w:val="11FF22A6"/>
    <w:rsid w:val="125D575C"/>
    <w:rsid w:val="12AA5DA4"/>
    <w:rsid w:val="13412F41"/>
    <w:rsid w:val="13536972"/>
    <w:rsid w:val="137D3482"/>
    <w:rsid w:val="14605247"/>
    <w:rsid w:val="14622FC1"/>
    <w:rsid w:val="14C64F73"/>
    <w:rsid w:val="159F1212"/>
    <w:rsid w:val="15D55DDC"/>
    <w:rsid w:val="163B6E70"/>
    <w:rsid w:val="16793EEF"/>
    <w:rsid w:val="167A3ACC"/>
    <w:rsid w:val="1715758D"/>
    <w:rsid w:val="178A62F8"/>
    <w:rsid w:val="184075AC"/>
    <w:rsid w:val="18954E2A"/>
    <w:rsid w:val="18A137C7"/>
    <w:rsid w:val="18DC2535"/>
    <w:rsid w:val="19BF5263"/>
    <w:rsid w:val="19E73930"/>
    <w:rsid w:val="1AF77413"/>
    <w:rsid w:val="1B007F1A"/>
    <w:rsid w:val="1B177D78"/>
    <w:rsid w:val="1BF54CD5"/>
    <w:rsid w:val="1C2342B8"/>
    <w:rsid w:val="1C2F4C4D"/>
    <w:rsid w:val="1C6E3C9B"/>
    <w:rsid w:val="1C6F7CCB"/>
    <w:rsid w:val="1D5F0324"/>
    <w:rsid w:val="1D9A259A"/>
    <w:rsid w:val="1DB47B00"/>
    <w:rsid w:val="1DC15BB7"/>
    <w:rsid w:val="1E95700C"/>
    <w:rsid w:val="1F40308E"/>
    <w:rsid w:val="1F472262"/>
    <w:rsid w:val="1FCB54A6"/>
    <w:rsid w:val="1FF14949"/>
    <w:rsid w:val="205C3E85"/>
    <w:rsid w:val="20CE5434"/>
    <w:rsid w:val="211D601B"/>
    <w:rsid w:val="21B079AA"/>
    <w:rsid w:val="21C94D14"/>
    <w:rsid w:val="220C05CD"/>
    <w:rsid w:val="225A1705"/>
    <w:rsid w:val="225B68F3"/>
    <w:rsid w:val="23931070"/>
    <w:rsid w:val="23B047DA"/>
    <w:rsid w:val="24217795"/>
    <w:rsid w:val="24BA637B"/>
    <w:rsid w:val="251C53CB"/>
    <w:rsid w:val="252E3B0A"/>
    <w:rsid w:val="26530D33"/>
    <w:rsid w:val="26CA3C25"/>
    <w:rsid w:val="270C275B"/>
    <w:rsid w:val="272C23FA"/>
    <w:rsid w:val="276A495A"/>
    <w:rsid w:val="295976A1"/>
    <w:rsid w:val="29730A6A"/>
    <w:rsid w:val="2A1C5CBB"/>
    <w:rsid w:val="2A753876"/>
    <w:rsid w:val="2A996C08"/>
    <w:rsid w:val="2AD5250D"/>
    <w:rsid w:val="2B6B4C7E"/>
    <w:rsid w:val="2B6D1979"/>
    <w:rsid w:val="2BDD3B9A"/>
    <w:rsid w:val="2C1A5641"/>
    <w:rsid w:val="2CD87AC9"/>
    <w:rsid w:val="2D5012D2"/>
    <w:rsid w:val="2D5239AB"/>
    <w:rsid w:val="2D527E4D"/>
    <w:rsid w:val="2D7352E2"/>
    <w:rsid w:val="2D8E1801"/>
    <w:rsid w:val="2E431935"/>
    <w:rsid w:val="2EBC77DC"/>
    <w:rsid w:val="2ED7364E"/>
    <w:rsid w:val="2FDA38B8"/>
    <w:rsid w:val="30044FAD"/>
    <w:rsid w:val="313B622E"/>
    <w:rsid w:val="317C5755"/>
    <w:rsid w:val="32340DB8"/>
    <w:rsid w:val="324361A3"/>
    <w:rsid w:val="324E3C27"/>
    <w:rsid w:val="327A33B7"/>
    <w:rsid w:val="32911EEE"/>
    <w:rsid w:val="32D66D21"/>
    <w:rsid w:val="32F07FE6"/>
    <w:rsid w:val="33261FCC"/>
    <w:rsid w:val="33465323"/>
    <w:rsid w:val="33491A3C"/>
    <w:rsid w:val="33F20F2A"/>
    <w:rsid w:val="348322B5"/>
    <w:rsid w:val="348F0527"/>
    <w:rsid w:val="35143F5C"/>
    <w:rsid w:val="35E66C42"/>
    <w:rsid w:val="36AA4C29"/>
    <w:rsid w:val="37285E75"/>
    <w:rsid w:val="372A2284"/>
    <w:rsid w:val="372D1AA0"/>
    <w:rsid w:val="37F93C55"/>
    <w:rsid w:val="38AE1388"/>
    <w:rsid w:val="396E1A8A"/>
    <w:rsid w:val="3A6E6C6A"/>
    <w:rsid w:val="3A8E7CF0"/>
    <w:rsid w:val="3AEA44E5"/>
    <w:rsid w:val="3B09455A"/>
    <w:rsid w:val="3BBB1B47"/>
    <w:rsid w:val="3BE4702D"/>
    <w:rsid w:val="3C3A346E"/>
    <w:rsid w:val="3C5F339E"/>
    <w:rsid w:val="3C6D51CF"/>
    <w:rsid w:val="3C893C3F"/>
    <w:rsid w:val="3C940DD1"/>
    <w:rsid w:val="3C9D7BC1"/>
    <w:rsid w:val="3CB971A8"/>
    <w:rsid w:val="3D5C18C8"/>
    <w:rsid w:val="3D7071F9"/>
    <w:rsid w:val="3D8726E3"/>
    <w:rsid w:val="3DBE7CA0"/>
    <w:rsid w:val="3DDB6F2B"/>
    <w:rsid w:val="3E10477F"/>
    <w:rsid w:val="3E542E5E"/>
    <w:rsid w:val="3F1E4982"/>
    <w:rsid w:val="3F891A0D"/>
    <w:rsid w:val="3FA815CC"/>
    <w:rsid w:val="3FE74022"/>
    <w:rsid w:val="406A1FFE"/>
    <w:rsid w:val="4081341A"/>
    <w:rsid w:val="40BD0183"/>
    <w:rsid w:val="40F77B80"/>
    <w:rsid w:val="411B22D3"/>
    <w:rsid w:val="42272F93"/>
    <w:rsid w:val="42472441"/>
    <w:rsid w:val="43032287"/>
    <w:rsid w:val="439266CD"/>
    <w:rsid w:val="43E954D4"/>
    <w:rsid w:val="440A0005"/>
    <w:rsid w:val="44812823"/>
    <w:rsid w:val="4481793B"/>
    <w:rsid w:val="45677F55"/>
    <w:rsid w:val="45C94763"/>
    <w:rsid w:val="45CA13BF"/>
    <w:rsid w:val="45E87A97"/>
    <w:rsid w:val="46181616"/>
    <w:rsid w:val="46252AD3"/>
    <w:rsid w:val="465D0B70"/>
    <w:rsid w:val="4667140B"/>
    <w:rsid w:val="46753001"/>
    <w:rsid w:val="467C1D76"/>
    <w:rsid w:val="46F07F12"/>
    <w:rsid w:val="46FC67E9"/>
    <w:rsid w:val="47207F90"/>
    <w:rsid w:val="476350EE"/>
    <w:rsid w:val="47705CE5"/>
    <w:rsid w:val="478447E3"/>
    <w:rsid w:val="47A36A64"/>
    <w:rsid w:val="47AF2F63"/>
    <w:rsid w:val="48002BEA"/>
    <w:rsid w:val="48D300E4"/>
    <w:rsid w:val="48DD3AFF"/>
    <w:rsid w:val="49474C41"/>
    <w:rsid w:val="499B0397"/>
    <w:rsid w:val="49BB3501"/>
    <w:rsid w:val="49C838A0"/>
    <w:rsid w:val="49EB6E9A"/>
    <w:rsid w:val="49F64E79"/>
    <w:rsid w:val="4A1754B0"/>
    <w:rsid w:val="4AB51373"/>
    <w:rsid w:val="4ADB4956"/>
    <w:rsid w:val="4B0378FD"/>
    <w:rsid w:val="4BF6116E"/>
    <w:rsid w:val="4C5114D1"/>
    <w:rsid w:val="4C96649F"/>
    <w:rsid w:val="4CA615C2"/>
    <w:rsid w:val="4CE61EA6"/>
    <w:rsid w:val="4D5F7344"/>
    <w:rsid w:val="4EBC600C"/>
    <w:rsid w:val="4EC87325"/>
    <w:rsid w:val="4ECE5844"/>
    <w:rsid w:val="4F0E28FD"/>
    <w:rsid w:val="4FB31F60"/>
    <w:rsid w:val="4FC4043D"/>
    <w:rsid w:val="508526B5"/>
    <w:rsid w:val="50F55FFE"/>
    <w:rsid w:val="52454C06"/>
    <w:rsid w:val="528D13CE"/>
    <w:rsid w:val="53135DC6"/>
    <w:rsid w:val="53235413"/>
    <w:rsid w:val="533911DE"/>
    <w:rsid w:val="537D2167"/>
    <w:rsid w:val="53F245D9"/>
    <w:rsid w:val="54887FF0"/>
    <w:rsid w:val="54B42F0B"/>
    <w:rsid w:val="54EB6DB8"/>
    <w:rsid w:val="55321DEF"/>
    <w:rsid w:val="555A1BA0"/>
    <w:rsid w:val="559C0ECE"/>
    <w:rsid w:val="55DB478F"/>
    <w:rsid w:val="561B5CB7"/>
    <w:rsid w:val="56244B1C"/>
    <w:rsid w:val="56472525"/>
    <w:rsid w:val="56A12098"/>
    <w:rsid w:val="56BD3FCD"/>
    <w:rsid w:val="57601025"/>
    <w:rsid w:val="579F6A0D"/>
    <w:rsid w:val="57B37C72"/>
    <w:rsid w:val="582E57DE"/>
    <w:rsid w:val="58441AF2"/>
    <w:rsid w:val="598270A0"/>
    <w:rsid w:val="59D56FCB"/>
    <w:rsid w:val="59DF2621"/>
    <w:rsid w:val="5A1E5BC9"/>
    <w:rsid w:val="5B107B27"/>
    <w:rsid w:val="5C6E03E4"/>
    <w:rsid w:val="5CFE7E2F"/>
    <w:rsid w:val="5D881E34"/>
    <w:rsid w:val="5DF3666D"/>
    <w:rsid w:val="5E0E1F3A"/>
    <w:rsid w:val="5E167440"/>
    <w:rsid w:val="5E457C97"/>
    <w:rsid w:val="5E550ABC"/>
    <w:rsid w:val="5F206F37"/>
    <w:rsid w:val="5F50072F"/>
    <w:rsid w:val="5F797C86"/>
    <w:rsid w:val="5F7F1523"/>
    <w:rsid w:val="60615A71"/>
    <w:rsid w:val="6201510C"/>
    <w:rsid w:val="627A0579"/>
    <w:rsid w:val="62C4493B"/>
    <w:rsid w:val="631C2492"/>
    <w:rsid w:val="638031CA"/>
    <w:rsid w:val="64A82A4B"/>
    <w:rsid w:val="64F02C8A"/>
    <w:rsid w:val="6569254B"/>
    <w:rsid w:val="65DC2700"/>
    <w:rsid w:val="660D2ED6"/>
    <w:rsid w:val="662B7800"/>
    <w:rsid w:val="666D20C5"/>
    <w:rsid w:val="66F05529"/>
    <w:rsid w:val="674D72CB"/>
    <w:rsid w:val="67ED5EA9"/>
    <w:rsid w:val="67FD1FC9"/>
    <w:rsid w:val="68AB1361"/>
    <w:rsid w:val="68C42C20"/>
    <w:rsid w:val="68FC7232"/>
    <w:rsid w:val="69280ABE"/>
    <w:rsid w:val="69B045E4"/>
    <w:rsid w:val="69BF2E9B"/>
    <w:rsid w:val="6A1E618D"/>
    <w:rsid w:val="6A235458"/>
    <w:rsid w:val="6A6830C7"/>
    <w:rsid w:val="6A703CE4"/>
    <w:rsid w:val="6B4E4A42"/>
    <w:rsid w:val="6B4F27BB"/>
    <w:rsid w:val="6B6271EC"/>
    <w:rsid w:val="6BB169FA"/>
    <w:rsid w:val="6BC0308D"/>
    <w:rsid w:val="6BC169DB"/>
    <w:rsid w:val="6C507E9E"/>
    <w:rsid w:val="6CBD219B"/>
    <w:rsid w:val="6CDE6539"/>
    <w:rsid w:val="6D1250B4"/>
    <w:rsid w:val="6D4167E4"/>
    <w:rsid w:val="6D4578FD"/>
    <w:rsid w:val="6D5B5009"/>
    <w:rsid w:val="6DB82D84"/>
    <w:rsid w:val="6DC07BE1"/>
    <w:rsid w:val="6E4C770B"/>
    <w:rsid w:val="6EDA324E"/>
    <w:rsid w:val="6EDC1FE0"/>
    <w:rsid w:val="6EF62573"/>
    <w:rsid w:val="6F0A3A71"/>
    <w:rsid w:val="6FAA7DC7"/>
    <w:rsid w:val="6FFF53CD"/>
    <w:rsid w:val="70383B5E"/>
    <w:rsid w:val="7046345D"/>
    <w:rsid w:val="70781FA7"/>
    <w:rsid w:val="70DB5C50"/>
    <w:rsid w:val="71283A40"/>
    <w:rsid w:val="71D50C08"/>
    <w:rsid w:val="728B2D64"/>
    <w:rsid w:val="72CA40A3"/>
    <w:rsid w:val="73AB01D2"/>
    <w:rsid w:val="742548C6"/>
    <w:rsid w:val="742F4960"/>
    <w:rsid w:val="74395B62"/>
    <w:rsid w:val="74B56F83"/>
    <w:rsid w:val="74B60001"/>
    <w:rsid w:val="752B04F1"/>
    <w:rsid w:val="753B1786"/>
    <w:rsid w:val="75535F16"/>
    <w:rsid w:val="75F31DC5"/>
    <w:rsid w:val="76980946"/>
    <w:rsid w:val="76E40F21"/>
    <w:rsid w:val="77171CF2"/>
    <w:rsid w:val="774E340D"/>
    <w:rsid w:val="776808B4"/>
    <w:rsid w:val="7784595D"/>
    <w:rsid w:val="77FF49FF"/>
    <w:rsid w:val="781661DD"/>
    <w:rsid w:val="7958272C"/>
    <w:rsid w:val="79AB4DB8"/>
    <w:rsid w:val="7A3D682E"/>
    <w:rsid w:val="7B50738B"/>
    <w:rsid w:val="7B5B37C9"/>
    <w:rsid w:val="7BC609BA"/>
    <w:rsid w:val="7C607E09"/>
    <w:rsid w:val="7D913864"/>
    <w:rsid w:val="7DC21FBB"/>
    <w:rsid w:val="7E814130"/>
    <w:rsid w:val="7EED5B43"/>
    <w:rsid w:val="7F78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4"/>
    <w:qFormat/>
    <w:uiPriority w:val="0"/>
    <w:pPr>
      <w:keepNext/>
      <w:keepLines/>
      <w:spacing w:before="340" w:after="330" w:line="578" w:lineRule="auto"/>
      <w:outlineLvl w:val="0"/>
    </w:pPr>
    <w:rPr>
      <w:b/>
      <w:bCs/>
      <w:kern w:val="44"/>
      <w:sz w:val="44"/>
      <w:szCs w:val="4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9"/>
    <w:qFormat/>
    <w:uiPriority w:val="0"/>
    <w:pPr>
      <w:autoSpaceDE w:val="0"/>
      <w:autoSpaceDN w:val="0"/>
      <w:jc w:val="left"/>
    </w:pPr>
    <w:rPr>
      <w:rFonts w:ascii="宋体" w:hAnsi="宋体" w:cs="宋体"/>
      <w:kern w:val="0"/>
      <w:szCs w:val="21"/>
      <w:lang w:val="zh-CN" w:bidi="zh-CN"/>
    </w:r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8"/>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6"/>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9"/>
    <w:next w:val="9"/>
    <w:link w:val="149"/>
    <w:qFormat/>
    <w:uiPriority w:val="0"/>
    <w:rPr>
      <w:b/>
      <w:bCs/>
    </w:rPr>
  </w:style>
  <w:style w:type="table" w:styleId="35">
    <w:name w:val="Table Grid"/>
    <w:basedOn w:val="3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basedOn w:val="36"/>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0"/>
        <w:numId w:val="0"/>
      </w:numPr>
      <w:outlineLvl w:val="4"/>
    </w:pPr>
  </w:style>
  <w:style w:type="paragraph" w:customStyle="1" w:styleId="54">
    <w:name w:val="示例"/>
    <w:next w:val="5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Id w:val="2"/>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0" w:beforeLines="0" w:after="0" w:afterLines="0"/>
      <w:outlineLvl w:val="9"/>
    </w:pPr>
    <w:rPr>
      <w:rFonts w:ascii="宋体" w:eastAsia="宋体"/>
      <w:sz w:val="18"/>
      <w:szCs w:val="18"/>
    </w:rPr>
  </w:style>
  <w:style w:type="paragraph" w:customStyle="1" w:styleId="65">
    <w:name w:val="二级无"/>
    <w:basedOn w:val="48"/>
    <w:qFormat/>
    <w:uiPriority w:val="0"/>
    <w:pPr>
      <w:spacing w:before="0" w:beforeLines="0" w:after="0" w:afterLines="0"/>
    </w:pPr>
    <w:rPr>
      <w:rFonts w:ascii="宋体" w:eastAsia="宋体"/>
    </w:rPr>
  </w:style>
  <w:style w:type="paragraph" w:customStyle="1" w:styleId="66">
    <w:name w:val="注：（正文）"/>
    <w:basedOn w:val="59"/>
    <w:next w:val="24"/>
    <w:qFormat/>
    <w:uiPriority w:val="0"/>
    <w:pPr>
      <w:numPr>
        <w:ilvl w:val="0"/>
        <w:numId w:val="9"/>
      </w:numPr>
    </w:pPr>
  </w:style>
  <w:style w:type="paragraph" w:customStyle="1" w:styleId="6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wrap="around"/>
      <w:spacing w:before="370" w:line="400" w:lineRule="exact"/>
    </w:pPr>
    <w:rPr>
      <w:rFonts w:ascii="Times New Roman"/>
      <w:sz w:val="28"/>
      <w:szCs w:val="28"/>
    </w:rPr>
  </w:style>
  <w:style w:type="paragraph" w:customStyle="1" w:styleId="82">
    <w:name w:val="封面一致性程度标识"/>
    <w:basedOn w:val="81"/>
    <w:qFormat/>
    <w:uiPriority w:val="0"/>
    <w:pPr>
      <w:framePr w:wrap="around"/>
      <w:spacing w:before="440"/>
    </w:pPr>
    <w:rPr>
      <w:rFonts w:ascii="宋体" w:eastAsia="宋体"/>
    </w:rPr>
  </w:style>
  <w:style w:type="paragraph" w:customStyle="1" w:styleId="83">
    <w:name w:val="封面标准文稿类别"/>
    <w:basedOn w:val="82"/>
    <w:qFormat/>
    <w:uiPriority w:val="0"/>
    <w:pPr>
      <w:framePr w:wrap="around"/>
      <w:spacing w:after="160" w:line="240" w:lineRule="auto"/>
    </w:pPr>
    <w:rPr>
      <w:sz w:val="24"/>
    </w:rPr>
  </w:style>
  <w:style w:type="paragraph" w:customStyle="1" w:styleId="84">
    <w:name w:val="封面标准文稿编辑信息"/>
    <w:basedOn w:val="83"/>
    <w:qFormat/>
    <w:uiPriority w:val="0"/>
    <w:pPr>
      <w:framePr w:wrap="around"/>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2"/>
      </w:numPr>
      <w:tabs>
        <w:tab w:val="left" w:pos="0"/>
        <w:tab w:val="left" w:pos="180"/>
      </w:tabs>
      <w:spacing w:before="50" w:beforeLines="50" w:after="50" w:afterLines="50"/>
      <w:jc w:val="center"/>
    </w:pPr>
    <w:rPr>
      <w:rFonts w:ascii="黑体" w:eastAsia="黑体"/>
      <w:szCs w:val="21"/>
    </w:rPr>
  </w:style>
  <w:style w:type="paragraph" w:customStyle="1" w:styleId="90">
    <w:name w:val="附录二级条标题"/>
    <w:basedOn w:val="1"/>
    <w:next w:val="24"/>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0" w:beforeLines="0" w:after="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0" w:beforeLines="0" w:after="0" w:afterLines="0"/>
    </w:pPr>
    <w:rPr>
      <w:rFonts w:ascii="宋体" w:eastAsia="宋体"/>
      <w:szCs w:val="21"/>
    </w:rPr>
  </w:style>
  <w:style w:type="paragraph" w:customStyle="1" w:styleId="97">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0" w:beforeLines="0" w:after="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章标题"/>
    <w:next w:val="24"/>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50" w:beforeLines="50" w:after="50" w:afterLines="50"/>
      <w:outlineLvl w:val="2"/>
    </w:pPr>
  </w:style>
  <w:style w:type="paragraph" w:customStyle="1" w:styleId="106">
    <w:name w:val="附录一级无"/>
    <w:basedOn w:val="105"/>
    <w:qFormat/>
    <w:uiPriority w:val="0"/>
    <w:pPr>
      <w:tabs>
        <w:tab w:val="clear" w:pos="360"/>
      </w:tabs>
      <w:spacing w:before="0" w:beforeLines="0" w:after="0" w:afterLines="0"/>
    </w:pPr>
    <w:rPr>
      <w:rFonts w:ascii="宋体" w:eastAsia="宋体"/>
      <w:szCs w:val="21"/>
    </w:rPr>
  </w:style>
  <w:style w:type="paragraph" w:customStyle="1" w:styleId="107">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wrap="around"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0" w:beforeLines="0" w:after="0" w:afterLines="0"/>
    </w:pPr>
    <w:rPr>
      <w:rFonts w:ascii="宋体" w:eastAsia="宋体"/>
    </w:rPr>
  </w:style>
  <w:style w:type="paragraph" w:customStyle="1" w:styleId="116">
    <w:name w:val="实施日期"/>
    <w:basedOn w:val="77"/>
    <w:qFormat/>
    <w:uiPriority w:val="0"/>
    <w:pPr>
      <w:framePr w:wrap="around" w:vAnchor="page" w:hAnchor="text"/>
      <w:jc w:val="right"/>
    </w:p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0" w:beforeLines="0" w:after="0" w:afterLines="0"/>
    </w:pPr>
    <w:rPr>
      <w:rFonts w:ascii="宋体" w:eastAsia="宋体"/>
    </w:rPr>
  </w:style>
  <w:style w:type="paragraph" w:customStyle="1" w:styleId="121">
    <w:name w:val="条文脚注"/>
    <w:basedOn w:val="25"/>
    <w:qFormat/>
    <w:uiPriority w:val="0"/>
    <w:pPr>
      <w:numPr>
        <w:numId w:val="0"/>
      </w:numPr>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6"/>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0" w:beforeLines="0" w:after="0" w:afterLines="0"/>
    </w:pPr>
    <w:rPr>
      <w:rFonts w:ascii="宋体" w:eastAsia="宋体"/>
    </w:rPr>
  </w:style>
  <w:style w:type="paragraph" w:customStyle="1" w:styleId="127">
    <w:name w:val="一级无"/>
    <w:basedOn w:val="44"/>
    <w:qFormat/>
    <w:uiPriority w:val="0"/>
    <w:pPr>
      <w:spacing w:before="0" w:beforeLines="0" w:after="0" w:afterLines="0"/>
    </w:pPr>
    <w:rPr>
      <w:rFonts w:ascii="宋体" w:eastAsia="宋体"/>
    </w:rPr>
  </w:style>
  <w:style w:type="paragraph" w:customStyle="1" w:styleId="128">
    <w:name w:val="正文表标题"/>
    <w:next w:val="24"/>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7"/>
    <w:qFormat/>
    <w:uiPriority w:val="0"/>
    <w:pPr>
      <w:framePr w:wrap="around" w:vAnchor="page" w:hAnchor="text" w:x="1419"/>
    </w:pPr>
  </w:style>
  <w:style w:type="paragraph" w:customStyle="1" w:styleId="133">
    <w:name w:val="其他实施日期"/>
    <w:basedOn w:val="116"/>
    <w:qFormat/>
    <w:uiPriority w:val="0"/>
    <w:pPr>
      <w:framePr w:wrap="around"/>
    </w:pPr>
  </w:style>
  <w:style w:type="paragraph" w:customStyle="1" w:styleId="134">
    <w:name w:val="封面标准名称2"/>
    <w:basedOn w:val="80"/>
    <w:qFormat/>
    <w:uiPriority w:val="0"/>
    <w:pPr>
      <w:framePr w:wrap="around" w:y="4469"/>
      <w:spacing w:before="630" w:beforeLines="630"/>
    </w:pPr>
  </w:style>
  <w:style w:type="paragraph" w:customStyle="1" w:styleId="135">
    <w:name w:val="封面标准英文名称2"/>
    <w:basedOn w:val="81"/>
    <w:qFormat/>
    <w:uiPriority w:val="0"/>
    <w:pPr>
      <w:framePr w:wrap="around" w:y="4469"/>
    </w:pPr>
  </w:style>
  <w:style w:type="paragraph" w:customStyle="1" w:styleId="136">
    <w:name w:val="封面一致性程度标识2"/>
    <w:basedOn w:val="82"/>
    <w:qFormat/>
    <w:uiPriority w:val="0"/>
    <w:pPr>
      <w:framePr w:wrap="around" w:y="4469"/>
    </w:pPr>
  </w:style>
  <w:style w:type="paragraph" w:customStyle="1" w:styleId="137">
    <w:name w:val="封面标准文稿类别2"/>
    <w:basedOn w:val="83"/>
    <w:qFormat/>
    <w:uiPriority w:val="0"/>
    <w:pPr>
      <w:framePr w:wrap="around" w:y="4469"/>
    </w:pPr>
  </w:style>
  <w:style w:type="paragraph" w:customStyle="1" w:styleId="138">
    <w:name w:val="封面标准文稿编辑信息2"/>
    <w:basedOn w:val="84"/>
    <w:qFormat/>
    <w:uiPriority w:val="0"/>
    <w:pPr>
      <w:framePr w:wrap="around" w:y="4469"/>
    </w:pPr>
  </w:style>
  <w:style w:type="character" w:customStyle="1" w:styleId="139">
    <w:name w:val="正文文本 Char"/>
    <w:link w:val="2"/>
    <w:qFormat/>
    <w:uiPriority w:val="0"/>
    <w:rPr>
      <w:rFonts w:ascii="宋体" w:hAnsi="宋体" w:cs="宋体"/>
      <w:sz w:val="21"/>
      <w:szCs w:val="21"/>
      <w:lang w:val="zh-CN" w:bidi="zh-CN"/>
    </w:rPr>
  </w:style>
  <w:style w:type="paragraph" w:customStyle="1" w:styleId="140">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1">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2">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3">
    <w:name w:val="List Paragraph"/>
    <w:basedOn w:val="1"/>
    <w:qFormat/>
    <w:uiPriority w:val="34"/>
    <w:pPr>
      <w:ind w:firstLine="420" w:firstLineChars="200"/>
    </w:pPr>
  </w:style>
  <w:style w:type="character" w:customStyle="1" w:styleId="144">
    <w:name w:val="标题 1 Char"/>
    <w:link w:val="3"/>
    <w:qFormat/>
    <w:uiPriority w:val="0"/>
    <w:rPr>
      <w:b/>
      <w:bCs/>
      <w:kern w:val="44"/>
      <w:sz w:val="44"/>
      <w:szCs w:val="44"/>
    </w:rPr>
  </w:style>
  <w:style w:type="paragraph" w:customStyle="1" w:styleId="145">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6">
    <w:name w:val="批注框文本 Char"/>
    <w:link w:val="17"/>
    <w:qFormat/>
    <w:uiPriority w:val="0"/>
    <w:rPr>
      <w:kern w:val="2"/>
      <w:sz w:val="18"/>
      <w:szCs w:val="18"/>
    </w:rPr>
  </w:style>
  <w:style w:type="character" w:styleId="147">
    <w:name w:val="Placeholder Text"/>
    <w:semiHidden/>
    <w:qFormat/>
    <w:uiPriority w:val="99"/>
    <w:rPr>
      <w:color w:val="808080"/>
    </w:rPr>
  </w:style>
  <w:style w:type="character" w:customStyle="1" w:styleId="148">
    <w:name w:val="批注文字 Char"/>
    <w:basedOn w:val="36"/>
    <w:link w:val="9"/>
    <w:qFormat/>
    <w:uiPriority w:val="0"/>
    <w:rPr>
      <w:kern w:val="2"/>
      <w:sz w:val="21"/>
      <w:szCs w:val="24"/>
    </w:rPr>
  </w:style>
  <w:style w:type="character" w:customStyle="1" w:styleId="149">
    <w:name w:val="批注主题 Char"/>
    <w:basedOn w:val="148"/>
    <w:link w:val="33"/>
    <w:qFormat/>
    <w:uiPriority w:val="0"/>
    <w:rPr>
      <w:b/>
      <w:bCs/>
      <w:kern w:val="2"/>
      <w:sz w:val="21"/>
      <w:szCs w:val="24"/>
    </w:rPr>
  </w:style>
  <w:style w:type="paragraph" w:customStyle="1" w:styleId="150">
    <w:name w:val="列出段落2"/>
    <w:basedOn w:val="1"/>
    <w:qFormat/>
    <w:uiPriority w:val="99"/>
    <w:pPr>
      <w:ind w:firstLine="420" w:firstLineChars="200"/>
    </w:pPr>
    <w:rPr>
      <w:rFonts w:ascii="Calibri" w:hAnsi="Calibri" w:cs="黑体"/>
      <w:szCs w:val="22"/>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WPSOffice手动目录 2"/>
    <w:qFormat/>
    <w:uiPriority w:val="0"/>
    <w:pPr>
      <w:ind w:left="200" w:leftChars="200"/>
    </w:pPr>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F48FD-C505-4CA3-A337-589651B0862E}">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41</Pages>
  <Words>23271</Words>
  <Characters>26031</Characters>
  <Lines>115</Lines>
  <Paragraphs>32</Paragraphs>
  <TotalTime>2</TotalTime>
  <ScaleCrop>false</ScaleCrop>
  <LinksUpToDate>false</LinksUpToDate>
  <CharactersWithSpaces>26725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2022-11-02T03:48:00Z</dcterms:created>
  <dc:creator>CNIS</dc:creator>
  <cp:lastModifiedBy>Dai</cp:lastModifiedBy>
  <cp:lastPrinted>2022-10-28T08:41:00Z</cp:lastPrinted>
  <dcterms:modified xsi:type="dcterms:W3CDTF">2023-04-07T02:46:29Z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6FCE66C2661D4615BE71F12768A92A65_13</vt:lpwstr>
  </property>
</Properties>
</file>