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0" w:firstLineChars="0"/>
        <w:jc w:val="both"/>
        <w:rPr>
          <w:rFonts w:eastAsia="黑体" w:cs="Times New Roman"/>
          <w:b/>
          <w:bCs/>
          <w:sz w:val="36"/>
          <w:szCs w:val="36"/>
        </w:rPr>
      </w:pPr>
      <w:bookmarkStart w:id="88" w:name="_GoBack"/>
      <w:bookmarkEnd w:id="88"/>
    </w:p>
    <w:p>
      <w:pPr>
        <w:spacing w:beforeLines="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rPr>
        <w:t>团体</w:t>
      </w:r>
      <w:r>
        <w:rPr>
          <w:rFonts w:eastAsia="黑体" w:cs="Times New Roman"/>
          <w:b/>
          <w:bCs/>
          <w:sz w:val="36"/>
          <w:szCs w:val="36"/>
        </w:rPr>
        <w:t>标准</w:t>
      </w:r>
    </w:p>
    <w:p>
      <w:pPr>
        <w:spacing w:before="156" w:after="156" w:line="276" w:lineRule="auto"/>
        <w:ind w:right="560" w:firstLine="0" w:firstLineChars="0"/>
        <w:jc w:val="center"/>
        <w:rPr>
          <w:rFonts w:eastAsia="黑体" w:cs="Times New Roman"/>
          <w:b/>
          <w:sz w:val="36"/>
          <w:szCs w:val="36"/>
        </w:rPr>
      </w:pPr>
    </w:p>
    <w:p>
      <w:pPr>
        <w:spacing w:before="156" w:after="156" w:line="276" w:lineRule="auto"/>
        <w:ind w:right="560" w:firstLine="0" w:firstLineChars="0"/>
        <w:jc w:val="center"/>
        <w:rPr>
          <w:rFonts w:eastAsia="黑体" w:cs="Times New Roman"/>
          <w:b/>
          <w:sz w:val="36"/>
          <w:szCs w:val="36"/>
        </w:rPr>
      </w:pPr>
    </w:p>
    <w:p>
      <w:pPr>
        <w:pStyle w:val="3"/>
        <w:ind w:firstLine="0" w:firstLineChars="0"/>
        <w:jc w:val="center"/>
        <w:rPr>
          <w:rFonts w:eastAsia="黑体" w:cs="Times New Roman"/>
          <w:b/>
          <w:sz w:val="32"/>
          <w:szCs w:val="32"/>
        </w:rPr>
      </w:pPr>
      <w:r>
        <w:rPr>
          <w:rFonts w:eastAsia="黑体" w:cs="Times New Roman"/>
          <w:b/>
          <w:sz w:val="32"/>
          <w:szCs w:val="32"/>
        </w:rPr>
        <w:t>绿色</w:t>
      </w:r>
      <w:r>
        <w:rPr>
          <w:rFonts w:hint="eastAsia" w:eastAsia="黑体" w:cs="Times New Roman"/>
          <w:b/>
          <w:sz w:val="32"/>
          <w:szCs w:val="32"/>
        </w:rPr>
        <w:t>低碳</w:t>
      </w:r>
      <w:r>
        <w:rPr>
          <w:rFonts w:eastAsia="黑体" w:cs="Times New Roman"/>
          <w:b/>
          <w:sz w:val="32"/>
          <w:szCs w:val="32"/>
        </w:rPr>
        <w:t>产业</w:t>
      </w:r>
      <w:r>
        <w:rPr>
          <w:rFonts w:hint="eastAsia" w:eastAsia="黑体" w:cs="Times New Roman"/>
          <w:b/>
          <w:sz w:val="32"/>
          <w:szCs w:val="32"/>
        </w:rPr>
        <w:t>认定行业技术规范</w:t>
      </w:r>
      <w:r>
        <w:rPr>
          <w:rFonts w:hint="eastAsia" w:eastAsia="黑体" w:cs="Times New Roman"/>
          <w:b/>
          <w:sz w:val="32"/>
          <w:szCs w:val="32"/>
          <w:lang w:val="en-US" w:eastAsia="zh-CN"/>
        </w:rPr>
        <w:t xml:space="preserve"> </w:t>
      </w:r>
      <w:r>
        <w:rPr>
          <w:rFonts w:hint="eastAsia" w:eastAsia="黑体" w:cs="Times New Roman"/>
          <w:b/>
          <w:sz w:val="32"/>
          <w:szCs w:val="32"/>
          <w:lang w:val="en-US" w:eastAsia="zh-CN"/>
        </w:rPr>
        <w:t>充电、换电设施设备制造与运营</w:t>
      </w:r>
    </w:p>
    <w:p>
      <w:pPr>
        <w:spacing w:before="156" w:beforeLines="-2147483648" w:after="156" w:afterLines="-2147483648" w:line="417" w:lineRule="auto"/>
        <w:ind w:right="560" w:firstLine="0" w:firstLineChars="0"/>
        <w:jc w:val="center"/>
        <w:rPr>
          <w:rFonts w:hint="eastAsia" w:cs="Times New Roman"/>
          <w:b/>
          <w:sz w:val="32"/>
          <w:szCs w:val="32"/>
        </w:rPr>
      </w:pPr>
      <w:r>
        <w:rPr>
          <w:rFonts w:hint="eastAsia" w:cs="Times New Roman"/>
          <w:b/>
          <w:sz w:val="32"/>
          <w:szCs w:val="32"/>
        </w:rPr>
        <w:t>Technical specifications of green and Low-carbon</w:t>
      </w:r>
      <w:r>
        <w:rPr>
          <w:rFonts w:hint="eastAsia" w:cs="Times New Roman"/>
          <w:b/>
          <w:sz w:val="32"/>
          <w:szCs w:val="32"/>
          <w:lang w:val="en-US" w:eastAsia="zh-CN"/>
        </w:rPr>
        <w:t xml:space="preserve"> </w:t>
      </w:r>
      <w:r>
        <w:rPr>
          <w:rFonts w:hint="eastAsia" w:cs="Times New Roman"/>
          <w:b/>
          <w:sz w:val="32"/>
          <w:szCs w:val="32"/>
        </w:rPr>
        <w:t xml:space="preserve">industries identification </w:t>
      </w:r>
      <w:r>
        <w:rPr>
          <w:rFonts w:hint="eastAsia" w:ascii="Times New Roman" w:hAnsi="Times New Roman" w:eastAsia="宋体" w:cs="Times New Roman"/>
          <w:b/>
          <w:sz w:val="32"/>
          <w:szCs w:val="32"/>
        </w:rPr>
        <w:t>Manufacturing and operation of charging and changing facilities</w:t>
      </w:r>
    </w:p>
    <w:p>
      <w:pPr>
        <w:spacing w:beforeLines="0" w:afterLines="0" w:line="417" w:lineRule="auto"/>
        <w:ind w:right="560" w:firstLine="0" w:firstLineChars="0"/>
        <w:jc w:val="center"/>
        <w:rPr>
          <w:rFonts w:cs="Times New Roman"/>
          <w:b/>
          <w:sz w:val="32"/>
          <w:szCs w:val="32"/>
        </w:rPr>
      </w:pPr>
      <w:r>
        <w:rPr>
          <w:rFonts w:hint="eastAsia" w:cs="Times New Roman"/>
          <w:b/>
          <w:sz w:val="32"/>
          <w:szCs w:val="32"/>
        </w:rPr>
        <w:t>（征求意见稿）</w:t>
      </w:r>
    </w:p>
    <w:p>
      <w:pPr>
        <w:spacing w:beforeLines="0" w:afterLines="0" w:line="360" w:lineRule="auto"/>
        <w:ind w:firstLine="0" w:firstLineChars="0"/>
        <w:rPr>
          <w:rFonts w:eastAsia="黑体" w:cs="Times New Roman"/>
          <w:b/>
          <w:bCs/>
          <w:sz w:val="36"/>
          <w:szCs w:val="36"/>
        </w:rPr>
      </w:pPr>
    </w:p>
    <w:p>
      <w:pPr>
        <w:spacing w:beforeLines="0" w:afterLines="0" w:line="360" w:lineRule="auto"/>
        <w:ind w:firstLine="0" w:firstLineChars="0"/>
        <w:jc w:val="center"/>
        <w:rPr>
          <w:rFonts w:eastAsia="黑体" w:cs="Times New Roman"/>
          <w:b/>
          <w:bCs/>
          <w:sz w:val="36"/>
          <w:szCs w:val="36"/>
        </w:rPr>
      </w:pPr>
    </w:p>
    <w:p>
      <w:pPr>
        <w:spacing w:beforeLines="0" w:afterLines="0" w:line="360" w:lineRule="auto"/>
        <w:ind w:firstLine="0" w:firstLineChars="0"/>
        <w:jc w:val="center"/>
        <w:rPr>
          <w:rFonts w:eastAsia="黑体" w:cs="Times New Roman"/>
          <w:b/>
          <w:bCs/>
          <w:sz w:val="36"/>
          <w:szCs w:val="36"/>
        </w:rPr>
      </w:pPr>
      <w:r>
        <w:rPr>
          <w:rFonts w:eastAsia="黑体" w:cs="Times New Roman"/>
          <w:b/>
          <w:bCs/>
          <w:sz w:val="36"/>
          <w:szCs w:val="36"/>
        </w:rPr>
        <w:t>编制说明</w:t>
      </w:r>
    </w:p>
    <w:p>
      <w:pPr>
        <w:spacing w:beforeLines="0" w:afterLines="0" w:line="360" w:lineRule="auto"/>
        <w:ind w:firstLine="0" w:firstLineChars="0"/>
        <w:rPr>
          <w:rFonts w:cs="Times New Roman"/>
          <w:sz w:val="32"/>
          <w:szCs w:val="32"/>
        </w:rPr>
      </w:pPr>
    </w:p>
    <w:p>
      <w:pPr>
        <w:spacing w:beforeLines="0" w:afterLines="0" w:line="360" w:lineRule="auto"/>
        <w:ind w:firstLine="0" w:firstLineChars="0"/>
        <w:rPr>
          <w:rFonts w:cs="Times New Roman"/>
          <w:sz w:val="32"/>
          <w:szCs w:val="32"/>
        </w:rPr>
      </w:pPr>
    </w:p>
    <w:p>
      <w:pPr>
        <w:spacing w:beforeLines="0" w:afterLines="0" w:line="360" w:lineRule="auto"/>
        <w:ind w:firstLine="0" w:firstLineChars="0"/>
        <w:jc w:val="both"/>
        <w:rPr>
          <w:rFonts w:cs="Times New Roman"/>
          <w:b/>
          <w:sz w:val="28"/>
          <w:szCs w:val="28"/>
        </w:rPr>
      </w:pPr>
    </w:p>
    <w:p>
      <w:pPr>
        <w:spacing w:beforeLines="0" w:afterLines="0" w:line="360" w:lineRule="auto"/>
        <w:ind w:firstLine="0" w:firstLineChars="0"/>
        <w:jc w:val="center"/>
        <w:rPr>
          <w:rFonts w:cs="Times New Roman"/>
          <w:b/>
          <w:sz w:val="28"/>
          <w:szCs w:val="28"/>
        </w:rPr>
      </w:pPr>
    </w:p>
    <w:p>
      <w:pPr>
        <w:spacing w:beforeLines="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 xml:space="preserve">绿色低碳产业认定技术规范  </w:t>
      </w:r>
      <w:r>
        <w:rPr>
          <w:rFonts w:hint="eastAsia" w:cs="Times New Roman"/>
          <w:b/>
          <w:sz w:val="28"/>
          <w:szCs w:val="28"/>
          <w:lang w:eastAsia="zh-CN"/>
        </w:rPr>
        <w:t>充电、换电设施设备制造与运营</w:t>
      </w:r>
      <w:r>
        <w:rPr>
          <w:rFonts w:cs="Times New Roman"/>
          <w:b/>
          <w:sz w:val="28"/>
          <w:szCs w:val="28"/>
        </w:rPr>
        <w:t>》标准编制组</w:t>
      </w:r>
    </w:p>
    <w:p>
      <w:pPr>
        <w:spacing w:beforeLines="0" w:afterLines="0" w:line="360" w:lineRule="auto"/>
        <w:ind w:firstLine="0" w:firstLineChars="0"/>
        <w:jc w:val="center"/>
        <w:rPr>
          <w:rFonts w:cs="Times New Roman"/>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fmt="decimal" w:start="0"/>
          <w:cols w:space="425" w:num="1"/>
          <w:titlePg/>
          <w:docGrid w:type="lines" w:linePitch="312" w:charSpace="0"/>
        </w:sectPr>
      </w:pPr>
      <w:r>
        <w:rPr>
          <w:rFonts w:cs="Times New Roman"/>
          <w:b/>
          <w:sz w:val="28"/>
          <w:szCs w:val="28"/>
        </w:rPr>
        <w:t>二〇二</w:t>
      </w:r>
      <w:r>
        <w:rPr>
          <w:rFonts w:hint="eastAsia" w:cs="Times New Roman"/>
          <w:b/>
          <w:sz w:val="28"/>
          <w:szCs w:val="28"/>
        </w:rPr>
        <w:t>三</w:t>
      </w:r>
      <w:r>
        <w:rPr>
          <w:rFonts w:cs="Times New Roman"/>
          <w:b/>
          <w:sz w:val="28"/>
          <w:szCs w:val="28"/>
        </w:rPr>
        <w:t>年</w:t>
      </w:r>
      <w:r>
        <w:rPr>
          <w:rFonts w:hint="eastAsia" w:cs="Times New Roman"/>
          <w:b/>
          <w:sz w:val="28"/>
          <w:szCs w:val="28"/>
        </w:rPr>
        <w:t>四</w:t>
      </w:r>
      <w:r>
        <w:rPr>
          <w:rFonts w:cs="Times New Roman"/>
          <w:b/>
          <w:sz w:val="28"/>
          <w:szCs w:val="28"/>
        </w:rPr>
        <w:t>月</w:t>
      </w:r>
    </w:p>
    <w:p>
      <w:pPr>
        <w:spacing w:beforeLines="0" w:afterLines="0" w:line="360" w:lineRule="auto"/>
        <w:ind w:firstLine="0" w:firstLineChars="0"/>
        <w:rPr>
          <w:rFonts w:cs="Times New Roman"/>
          <w:b/>
          <w:sz w:val="28"/>
          <w:szCs w:val="28"/>
        </w:rPr>
        <w:sectPr>
          <w:pgSz w:w="11906" w:h="16838"/>
          <w:pgMar w:top="1247" w:right="1469" w:bottom="1440" w:left="1440" w:header="851" w:footer="992" w:gutter="0"/>
          <w:pgNumType w:fmt="decimal" w:start="0"/>
          <w:cols w:space="425" w:num="1"/>
          <w:titlePg/>
          <w:docGrid w:type="lines" w:linePitch="312" w:charSpace="0"/>
        </w:sectPr>
      </w:pP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spacing w:before="0" w:beforeLines="0" w:after="0" w:afterLines="0" w:line="360" w:lineRule="auto"/>
            <w:ind w:firstLine="0" w:firstLineChars="0"/>
          </w:pPr>
          <w:r>
            <w:rPr>
              <w:rFonts w:cs="Times New Roman"/>
              <w:b/>
            </w:rPr>
            <w:fldChar w:fldCharType="begin"/>
          </w:r>
          <w:r>
            <w:rPr>
              <w:rFonts w:cs="Times New Roman"/>
              <w:b/>
            </w:rPr>
            <w:instrText xml:space="preserve"> TOC \o "1-3" \h \z \u </w:instrText>
          </w:r>
          <w:r>
            <w:rPr>
              <w:rFonts w:cs="Times New Roman"/>
              <w:b/>
            </w:rPr>
            <w:fldChar w:fldCharType="separate"/>
          </w:r>
          <w:r>
            <w:fldChar w:fldCharType="begin"/>
          </w:r>
          <w:r>
            <w:instrText xml:space="preserve"> HYPERLINK \l "_Toc11165" </w:instrText>
          </w:r>
          <w:r>
            <w:fldChar w:fldCharType="separate"/>
          </w:r>
          <w:r>
            <w:rPr>
              <w:rFonts w:cs="Times New Roman"/>
            </w:rPr>
            <w:t>一、 任务背景</w:t>
          </w:r>
          <w:r>
            <w:tab/>
          </w:r>
          <w:r>
            <w:fldChar w:fldCharType="begin"/>
          </w:r>
          <w:r>
            <w:instrText xml:space="preserve"> PAGEREF _Toc11165 \h </w:instrText>
          </w:r>
          <w:r>
            <w:fldChar w:fldCharType="separate"/>
          </w:r>
          <w:r>
            <w:t>1</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"_Toc922" </w:instrText>
          </w:r>
          <w:r>
            <w:fldChar w:fldCharType="separate"/>
          </w:r>
          <w:r>
            <w:rPr>
              <w:rFonts w:cs="Times New Roman"/>
            </w:rPr>
            <w:t>二、 任务来源</w:t>
          </w:r>
          <w:r>
            <w:tab/>
          </w:r>
          <w:r>
            <w:fldChar w:fldCharType="begin"/>
          </w:r>
          <w:r>
            <w:instrText xml:space="preserve"> PAGEREF _Toc922 \h </w:instrText>
          </w:r>
          <w:r>
            <w:fldChar w:fldCharType="separate"/>
          </w:r>
          <w:r>
            <w:t>2</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"_Toc2515" </w:instrText>
          </w:r>
          <w:r>
            <w:fldChar w:fldCharType="separate"/>
          </w:r>
          <w:r>
            <w:rPr>
              <w:rFonts w:cs="Times New Roman"/>
            </w:rPr>
            <w:t>三、 目的和意义</w:t>
          </w:r>
          <w:r>
            <w:tab/>
          </w:r>
          <w:r>
            <w:fldChar w:fldCharType="begin"/>
          </w:r>
          <w:r>
            <w:instrText xml:space="preserve"> PAGEREF _Toc2515 \h </w:instrText>
          </w:r>
          <w:r>
            <w:fldChar w:fldCharType="separate"/>
          </w:r>
          <w:r>
            <w:t>2</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"_Toc21260" </w:instrText>
          </w:r>
          <w:r>
            <w:fldChar w:fldCharType="separate"/>
          </w:r>
          <w:r>
            <w:rPr>
              <w:rFonts w:cs="Times New Roman"/>
            </w:rPr>
            <w:t>四、 编制原则及技术依据</w:t>
          </w:r>
          <w:r>
            <w:tab/>
          </w:r>
          <w:r>
            <w:fldChar w:fldCharType="begin"/>
          </w:r>
          <w:r>
            <w:instrText xml:space="preserve"> PAGEREF _Toc21260 \h </w:instrText>
          </w:r>
          <w:r>
            <w:fldChar w:fldCharType="separate"/>
          </w:r>
          <w:r>
            <w:t>2</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"_Toc4199" </w:instrText>
          </w:r>
          <w:r>
            <w:fldChar w:fldCharType="separate"/>
          </w:r>
          <w:r>
            <w:rPr>
              <w:rFonts w:cs="Times New Roman"/>
            </w:rPr>
            <w:t>（一）编制原则</w:t>
          </w:r>
          <w:r>
            <w:tab/>
          </w:r>
          <w:r>
            <w:fldChar w:fldCharType="begin"/>
          </w:r>
          <w:r>
            <w:instrText xml:space="preserve"> PAGEREF _Toc4199 \h </w:instrText>
          </w:r>
          <w:r>
            <w:fldChar w:fldCharType="separate"/>
          </w:r>
          <w:r>
            <w:t>2</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"_Toc18227" </w:instrText>
          </w:r>
          <w:r>
            <w:fldChar w:fldCharType="separate"/>
          </w:r>
          <w:r>
            <w:rPr>
              <w:rFonts w:cs="Times New Roman"/>
            </w:rPr>
            <w:t>（二）技术依据</w:t>
          </w:r>
          <w:r>
            <w:tab/>
          </w:r>
          <w:r>
            <w:fldChar w:fldCharType="begin"/>
          </w:r>
          <w:r>
            <w:instrText xml:space="preserve"> PAGEREF _Toc18227 \h </w:instrText>
          </w:r>
          <w:r>
            <w:fldChar w:fldCharType="separate"/>
          </w:r>
          <w:r>
            <w:t>2</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"_Toc26723" </w:instrText>
          </w:r>
          <w:r>
            <w:fldChar w:fldCharType="separate"/>
          </w:r>
          <w:r>
            <w:rPr>
              <w:rFonts w:cs="Times New Roman"/>
            </w:rPr>
            <w:t>五、 主要编制过程</w:t>
          </w:r>
          <w:r>
            <w:tab/>
          </w:r>
          <w:r>
            <w:fldChar w:fldCharType="begin"/>
          </w:r>
          <w:r>
            <w:instrText xml:space="preserve"> PAGEREF _Toc26723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"_Toc15751" </w:instrText>
          </w:r>
          <w:r>
            <w:fldChar w:fldCharType="separate"/>
          </w:r>
          <w:r>
            <w:rPr>
              <w:rFonts w:cs="Times New Roman"/>
            </w:rPr>
            <w:t>（一）前期准备</w:t>
          </w:r>
          <w:r>
            <w:tab/>
          </w:r>
          <w:r>
            <w:fldChar w:fldCharType="begin"/>
          </w:r>
          <w:r>
            <w:instrText xml:space="preserve"> PAGEREF _Toc15751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"_Toc14252" </w:instrText>
          </w:r>
          <w:r>
            <w:fldChar w:fldCharType="separate"/>
          </w:r>
          <w:r>
            <w:rPr>
              <w:rFonts w:cs="Times New Roman"/>
            </w:rPr>
            <w:t>（</w:t>
          </w:r>
          <w:r>
            <w:rPr>
              <w:rFonts w:hint="eastAsia" w:cs="Times New Roman"/>
            </w:rPr>
            <w:t>二</w:t>
          </w:r>
          <w:r>
            <w:rPr>
              <w:rFonts w:cs="Times New Roman"/>
            </w:rPr>
            <w:t>）确定标准</w:t>
          </w:r>
          <w:r>
            <w:rPr>
              <w:rFonts w:hint="eastAsia" w:cs="Times New Roman"/>
            </w:rPr>
            <w:t>编制</w:t>
          </w:r>
          <w:r>
            <w:rPr>
              <w:rFonts w:cs="Times New Roman"/>
            </w:rPr>
            <w:t>原则</w:t>
          </w:r>
          <w:r>
            <w:tab/>
          </w:r>
          <w:r>
            <w:fldChar w:fldCharType="begin"/>
          </w:r>
          <w:r>
            <w:instrText xml:space="preserve"> PAGEREF _Toc14252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"_Toc12668" </w:instrText>
          </w:r>
          <w:r>
            <w:fldChar w:fldCharType="separate"/>
          </w:r>
          <w:r>
            <w:rPr>
              <w:rFonts w:cs="Times New Roman"/>
            </w:rPr>
            <w:t>（</w:t>
          </w:r>
          <w:r>
            <w:rPr>
              <w:rFonts w:hint="eastAsia" w:cs="Times New Roman"/>
            </w:rPr>
            <w:t>三</w:t>
          </w:r>
          <w:r>
            <w:rPr>
              <w:rFonts w:cs="Times New Roman"/>
            </w:rPr>
            <w:t>）标准起草过程</w:t>
          </w:r>
          <w:r>
            <w:tab/>
          </w:r>
          <w:r>
            <w:fldChar w:fldCharType="begin"/>
          </w:r>
          <w:r>
            <w:instrText xml:space="preserve"> PAGEREF _Toc12668 \h </w:instrText>
          </w:r>
          <w:r>
            <w:fldChar w:fldCharType="separate"/>
          </w:r>
          <w:r>
            <w:t>3</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"_Toc19586" </w:instrText>
          </w:r>
          <w:r>
            <w:fldChar w:fldCharType="separate"/>
          </w:r>
          <w:r>
            <w:rPr>
              <w:rFonts w:cs="Times New Roman"/>
            </w:rPr>
            <w:t>六、 主要内容</w:t>
          </w:r>
          <w:r>
            <w:tab/>
          </w:r>
          <w:r>
            <w:fldChar w:fldCharType="begin"/>
          </w:r>
          <w:r>
            <w:instrText xml:space="preserve"> PAGEREF _Toc19586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"_Toc24195" </w:instrText>
          </w:r>
          <w:r>
            <w:fldChar w:fldCharType="separate"/>
          </w:r>
          <w:r>
            <w:rPr>
              <w:rFonts w:cs="Times New Roman"/>
            </w:rPr>
            <w:t>（一）标准属性</w:t>
          </w:r>
          <w:r>
            <w:tab/>
          </w:r>
          <w:r>
            <w:fldChar w:fldCharType="begin"/>
          </w:r>
          <w:r>
            <w:instrText xml:space="preserve"> PAGEREF _Toc24195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"_Toc18935" </w:instrText>
          </w:r>
          <w:r>
            <w:fldChar w:fldCharType="separate"/>
          </w:r>
          <w:r>
            <w:rPr>
              <w:rFonts w:hint="eastAsia" w:cs="Times New Roman"/>
            </w:rPr>
            <w:t>（二）</w:t>
          </w:r>
          <w:r>
            <w:rPr>
              <w:rFonts w:cs="Times New Roman"/>
            </w:rPr>
            <w:t>标准架构</w:t>
          </w:r>
          <w:r>
            <w:tab/>
          </w:r>
          <w:r>
            <w:fldChar w:fldCharType="begin"/>
          </w:r>
          <w:r>
            <w:instrText xml:space="preserve"> PAGEREF _Toc18935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"_Toc805" </w:instrText>
          </w:r>
          <w:r>
            <w:fldChar w:fldCharType="separate"/>
          </w:r>
          <w:r>
            <w:rPr>
              <w:rFonts w:cs="Times New Roman"/>
            </w:rPr>
            <w:t>（</w:t>
          </w:r>
          <w:r>
            <w:rPr>
              <w:rFonts w:hint="eastAsia" w:cs="Times New Roman"/>
            </w:rPr>
            <w:t>三</w:t>
          </w:r>
          <w:r>
            <w:rPr>
              <w:rFonts w:cs="Times New Roman"/>
            </w:rPr>
            <w:t>）范围</w:t>
          </w:r>
          <w:r>
            <w:tab/>
          </w:r>
          <w:r>
            <w:fldChar w:fldCharType="begin"/>
          </w:r>
          <w:r>
            <w:instrText xml:space="preserve"> PAGEREF _Toc805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"_Toc1323" </w:instrText>
          </w:r>
          <w:r>
            <w:fldChar w:fldCharType="separate"/>
          </w:r>
          <w:r>
            <w:rPr>
              <w:rFonts w:cs="Times New Roman"/>
            </w:rPr>
            <w:t>（</w:t>
          </w:r>
          <w:r>
            <w:rPr>
              <w:rFonts w:hint="eastAsia" w:cs="Times New Roman"/>
            </w:rPr>
            <w:t>四</w:t>
          </w:r>
          <w:r>
            <w:rPr>
              <w:rFonts w:cs="Times New Roman"/>
            </w:rPr>
            <w:t>）</w:t>
          </w:r>
          <w:r>
            <w:rPr>
              <w:rFonts w:hint="eastAsia" w:cs="Times New Roman"/>
            </w:rPr>
            <w:t>术语和定义</w:t>
          </w:r>
          <w:r>
            <w:tab/>
          </w:r>
          <w:r>
            <w:fldChar w:fldCharType="begin"/>
          </w:r>
          <w:r>
            <w:instrText xml:space="preserve"> PAGEREF _Toc1323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"_Toc21975" </w:instrText>
          </w:r>
          <w:r>
            <w:fldChar w:fldCharType="separate"/>
          </w:r>
          <w:r>
            <w:rPr>
              <w:rFonts w:hint="eastAsia" w:cs="Times New Roman"/>
            </w:rPr>
            <w:t>（五） 评价原则</w:t>
          </w:r>
          <w:r>
            <w:tab/>
          </w:r>
          <w:r>
            <w:fldChar w:fldCharType="begin"/>
          </w:r>
          <w:r>
            <w:instrText xml:space="preserve"> PAGEREF _Toc21975 \h </w:instrText>
          </w:r>
          <w:r>
            <w:fldChar w:fldCharType="separate"/>
          </w:r>
          <w:r>
            <w:t>4</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"_Toc331" </w:instrText>
          </w:r>
          <w:r>
            <w:fldChar w:fldCharType="separate"/>
          </w:r>
          <w:r>
            <w:rPr>
              <w:rFonts w:hint="eastAsia" w:cs="Times New Roman" w:eastAsiaTheme="majorEastAsia"/>
            </w:rPr>
            <w:t xml:space="preserve">（六） </w:t>
          </w:r>
          <w:r>
            <w:rPr>
              <w:rFonts w:cs="Times New Roman" w:eastAsiaTheme="majorEastAsia"/>
            </w:rPr>
            <w:t>基本要求</w:t>
          </w:r>
          <w:r>
            <w:tab/>
          </w:r>
          <w:r>
            <w:fldChar w:fldCharType="begin"/>
          </w:r>
          <w:r>
            <w:instrText xml:space="preserve"> PAGEREF _Toc331 \h </w:instrText>
          </w:r>
          <w:r>
            <w:fldChar w:fldCharType="separate"/>
          </w:r>
          <w:r>
            <w:t>5</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"_Toc370" </w:instrText>
          </w:r>
          <w:r>
            <w:fldChar w:fldCharType="separate"/>
          </w:r>
          <w:r>
            <w:rPr>
              <w:rFonts w:hint="eastAsia" w:cs="Times New Roman"/>
            </w:rPr>
            <w:t xml:space="preserve">（七） </w:t>
          </w:r>
          <w:r>
            <w:rPr>
              <w:rFonts w:cs="Times New Roman"/>
            </w:rPr>
            <w:t>评价方法</w:t>
          </w:r>
          <w:r>
            <w:tab/>
          </w:r>
          <w:r>
            <w:fldChar w:fldCharType="begin"/>
          </w:r>
          <w:r>
            <w:instrText xml:space="preserve"> PAGEREF _Toc370 \h </w:instrText>
          </w:r>
          <w:r>
            <w:fldChar w:fldCharType="separate"/>
          </w:r>
          <w:r>
            <w:t>5</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"_Toc10407" </w:instrText>
          </w:r>
          <w:r>
            <w:fldChar w:fldCharType="separate"/>
          </w:r>
          <w:r>
            <w:rPr>
              <w:rFonts w:hint="eastAsia" w:cs="Times New Roman"/>
            </w:rPr>
            <w:t xml:space="preserve">（八） </w:t>
          </w:r>
          <w:r>
            <w:rPr>
              <w:rFonts w:cs="Times New Roman"/>
            </w:rPr>
            <w:t>评价</w:t>
          </w:r>
          <w:r>
            <w:rPr>
              <w:rFonts w:hint="eastAsia" w:cs="Times New Roman"/>
            </w:rPr>
            <w:t>指标</w:t>
          </w:r>
          <w:r>
            <w:tab/>
          </w:r>
          <w:r>
            <w:fldChar w:fldCharType="begin"/>
          </w:r>
          <w:r>
            <w:instrText xml:space="preserve"> PAGEREF _Toc10407 \h </w:instrText>
          </w:r>
          <w:r>
            <w:fldChar w:fldCharType="separate"/>
          </w:r>
          <w:r>
            <w:t>6</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"_Toc28281" </w:instrText>
          </w:r>
          <w:r>
            <w:fldChar w:fldCharType="separate"/>
          </w:r>
          <w:r>
            <w:rPr>
              <w:rFonts w:hint="eastAsia" w:cs="Times New Roman"/>
            </w:rPr>
            <w:t xml:space="preserve">（九） </w:t>
          </w:r>
          <w:r>
            <w:rPr>
              <w:rFonts w:cs="Times New Roman" w:eastAsiaTheme="majorEastAsia"/>
              <w:bCs/>
              <w:szCs w:val="32"/>
            </w:rPr>
            <w:t>评价程序</w:t>
          </w:r>
          <w:r>
            <w:tab/>
          </w:r>
          <w:r>
            <w:fldChar w:fldCharType="begin"/>
          </w:r>
          <w:r>
            <w:instrText xml:space="preserve"> PAGEREF _Toc28281 \h </w:instrText>
          </w:r>
          <w:r>
            <w:fldChar w:fldCharType="separate"/>
          </w:r>
          <w:r>
            <w:t>7</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"_Toc4956" </w:instrText>
          </w:r>
          <w:r>
            <w:fldChar w:fldCharType="separate"/>
          </w:r>
          <w:r>
            <w:rPr>
              <w:rFonts w:hint="eastAsia" w:cs="Times New Roman"/>
            </w:rPr>
            <w:t>（十） 附录</w:t>
          </w:r>
          <w:r>
            <w:tab/>
          </w:r>
          <w:r>
            <w:fldChar w:fldCharType="begin"/>
          </w:r>
          <w:r>
            <w:instrText xml:space="preserve"> PAGEREF _Toc4956 \h </w:instrText>
          </w:r>
          <w:r>
            <w:fldChar w:fldCharType="separate"/>
          </w:r>
          <w:r>
            <w:t>8</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"_Toc1945" </w:instrText>
          </w:r>
          <w:r>
            <w:fldChar w:fldCharType="separate"/>
          </w:r>
          <w:r>
            <w:rPr>
              <w:rFonts w:cs="Times New Roman"/>
            </w:rPr>
            <w:t xml:space="preserve">七、 </w:t>
          </w:r>
          <w:r>
            <w:rPr>
              <w:rFonts w:hint="eastAsia" w:cs="Times New Roman"/>
            </w:rPr>
            <w:t>是否涉及专利</w:t>
          </w:r>
          <w:r>
            <w:tab/>
          </w:r>
          <w:r>
            <w:fldChar w:fldCharType="begin"/>
          </w:r>
          <w:r>
            <w:instrText xml:space="preserve"> PAGEREF _Toc1945 \h </w:instrText>
          </w:r>
          <w:r>
            <w:fldChar w:fldCharType="separate"/>
          </w:r>
          <w:r>
            <w:t>9</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"_Toc28770" </w:instrText>
          </w:r>
          <w:r>
            <w:fldChar w:fldCharType="separate"/>
          </w:r>
          <w:r>
            <w:rPr>
              <w:rFonts w:cs="Times New Roman"/>
            </w:rPr>
            <w:t>八、 与有关的现行法律、法规和强制性国家标准的关系</w:t>
          </w:r>
          <w:r>
            <w:tab/>
          </w:r>
          <w:r>
            <w:fldChar w:fldCharType="begin"/>
          </w:r>
          <w:r>
            <w:instrText xml:space="preserve"> PAGEREF _Toc28770 \h </w:instrText>
          </w:r>
          <w:r>
            <w:fldChar w:fldCharType="separate"/>
          </w:r>
          <w:r>
            <w:t>9</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"_Toc23292" </w:instrText>
          </w:r>
          <w: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_Toc23292 \h </w:instrText>
          </w:r>
          <w:r>
            <w:fldChar w:fldCharType="separate"/>
          </w:r>
          <w:r>
            <w:t>9</w:t>
          </w:r>
          <w:r>
            <w:fldChar w:fldCharType="end"/>
          </w:r>
          <w:r>
            <w:fldChar w:fldCharType="end"/>
          </w:r>
        </w:p>
        <w:p>
          <w:pPr>
            <w:spacing w:beforeLines="0" w:afterLines="0" w:line="360" w:lineRule="auto"/>
            <w:ind w:firstLine="569"/>
            <w:rPr>
              <w:rFonts w:cs="Times New Roman"/>
            </w:rPr>
          </w:pPr>
          <w:r>
            <w:rPr>
              <w:rFonts w:cs="Times New Roman"/>
              <w:b/>
              <w:bCs/>
              <w:lang w:val="zh-CN"/>
            </w:rPr>
            <w:fldChar w:fldCharType="end"/>
          </w:r>
        </w:p>
      </w:sdtContent>
    </w:sdt>
    <w:p>
      <w:pPr>
        <w:spacing w:beforeLines="0" w:afterLines="0" w:line="360" w:lineRule="auto"/>
        <w:rPr>
          <w:rFonts w:cs="Times New Roman"/>
        </w:rPr>
      </w:pPr>
    </w:p>
    <w:p>
      <w:pPr>
        <w:pStyle w:val="2"/>
        <w:numPr>
          <w:ilvl w:val="0"/>
          <w:numId w:val="3"/>
        </w:numPr>
        <w:spacing w:beforeLines="0" w:afterLines="0" w:line="360" w:lineRule="auto"/>
        <w:ind w:left="567" w:firstLineChars="0"/>
        <w:rPr>
          <w:rFonts w:cs="Times New Roman"/>
          <w:sz w:val="24"/>
        </w:rPr>
        <w:sectPr>
          <w:footerReference r:id="rId12" w:type="first"/>
          <w:headerReference r:id="rId11" w:type="default"/>
          <w:pgSz w:w="11906" w:h="16838"/>
          <w:pgMar w:top="1247" w:right="1469" w:bottom="1247" w:left="1440" w:header="851" w:footer="567" w:gutter="0"/>
          <w:pgNumType w:fmt="decimal" w:start="1"/>
          <w:cols w:space="425" w:num="1"/>
          <w:titlePg/>
          <w:docGrid w:type="lines" w:linePitch="312" w:charSpace="0"/>
        </w:sectPr>
      </w:pPr>
    </w:p>
    <w:p>
      <w:pPr>
        <w:pStyle w:val="2"/>
        <w:numPr>
          <w:ilvl w:val="0"/>
          <w:numId w:val="3"/>
        </w:numPr>
        <w:spacing w:beforeLines="0" w:afterLines="0" w:line="360" w:lineRule="auto"/>
        <w:ind w:left="567" w:firstLineChars="0"/>
        <w:rPr>
          <w:rFonts w:cs="Times New Roman"/>
          <w:sz w:val="24"/>
        </w:rPr>
      </w:pPr>
      <w:bookmarkStart w:id="0" w:name="_Toc10127"/>
      <w:bookmarkStart w:id="1" w:name="_Toc11165"/>
      <w:bookmarkStart w:id="2" w:name="_Toc80949155"/>
      <w:bookmarkStart w:id="3" w:name="_Toc27639"/>
      <w:r>
        <w:rPr>
          <w:rFonts w:cs="Times New Roman"/>
          <w:sz w:val="24"/>
        </w:rPr>
        <w:t>任务背景</w:t>
      </w:r>
      <w:bookmarkEnd w:id="0"/>
      <w:bookmarkEnd w:id="1"/>
      <w:bookmarkEnd w:id="2"/>
      <w:bookmarkEnd w:id="3"/>
    </w:p>
    <w:p>
      <w:pPr>
        <w:spacing w:beforeLines="0" w:afterLines="0" w:line="360" w:lineRule="auto"/>
        <w:ind w:firstLine="480" w:firstLineChars="200"/>
        <w:rPr>
          <w:rFonts w:cs="Times New Roman"/>
        </w:rPr>
      </w:pPr>
      <w:r>
        <w:rPr>
          <w:rFonts w:hint="eastAsia"/>
        </w:rPr>
        <w:t>在碳达峰、碳中和目标下，我国经济结构、能源结构、产业结构等都面临着深度的低碳转型需求。</w:t>
      </w:r>
      <w:r>
        <w:rPr>
          <w:rFonts w:hint="eastAsia" w:cs="Times New Roman"/>
        </w:rPr>
        <w:t>发展绿色低碳产业，既是推进生态文明建设、打赢污染防治攻坚战、落实双碳目标行动的有力支撑，也是培育绿色发展新动能、实现高质量发展的重要内容。为解决绿色低碳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要求深圳市“大力发展绿色产业”“建立绿色产业认定规则体系”。建立符合深圳实际情况的绿色产业认定评价标准体系是构建绿色产业认定规则体系的重要前提。</w:t>
      </w:r>
    </w:p>
    <w:p>
      <w:pPr>
        <w:spacing w:beforeLines="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国际多侧重于绿色债券</w:t>
      </w:r>
      <w:r>
        <w:rPr>
          <w:rFonts w:hint="eastAsia" w:cs="Times New Roman"/>
        </w:rPr>
        <w:t>、</w:t>
      </w:r>
      <w:r>
        <w:rPr>
          <w:rFonts w:cs="Times New Roman"/>
        </w:rPr>
        <w:t>气候债券等绿色项目主体评价标准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产业评价角度的，目前只有一些文献是站在城市或区域角度进行的绿色生产、绿色消费等维度的综合指数评价研究，与绿色产业认定规则体系的方向完全不同。整体来说，国内外对于指导本标准制定具有较大参考意义的规范性文件较少。</w:t>
      </w:r>
    </w:p>
    <w:p>
      <w:pPr>
        <w:spacing w:beforeLines="0" w:afterLines="0" w:line="360" w:lineRule="auto"/>
        <w:ind w:firstLine="480" w:firstLineChars="200"/>
        <w:rPr>
          <w:rFonts w:hint="eastAsia" w:cs="Times New Roman"/>
          <w:lang w:val="en-US" w:eastAsia="zh-CN"/>
        </w:rPr>
      </w:pPr>
      <w:r>
        <w:rPr>
          <w:rFonts w:hint="eastAsia" w:cs="Times New Roman"/>
        </w:rPr>
        <w:t>因此，为有效建立绿色低碳产业认定规则体系，有必要建立以《绿色低碳产业认定评价导则》为认定评价基础，多项技术规范深化评价指标的“1+N”绿色产业认定评价体系。本标准以《绿色低碳产业认定评价导则》为基础，结合国家《绿色产业指导目录》、《深圳市绿色低碳产业指导目录》相关内容，确定</w:t>
      </w:r>
      <w:r>
        <w:rPr>
          <w:rFonts w:hint="eastAsia" w:cs="Times New Roman"/>
          <w:lang w:eastAsia="zh-CN"/>
        </w:rPr>
        <w:t>充电、换电设施设备制造与运营</w:t>
      </w:r>
      <w:r>
        <w:rPr>
          <w:rFonts w:hint="eastAsia" w:cs="Times New Roman"/>
        </w:rPr>
        <w:t>领域涵盖的行业范围，通过大量相关行业实地调研，结合深圳实际情况，规定了</w:t>
      </w:r>
      <w:r>
        <w:rPr>
          <w:rFonts w:hint="eastAsia" w:cs="Times New Roman"/>
          <w:lang w:eastAsia="zh-CN"/>
        </w:rPr>
        <w:t>充电、换电设施设备制造与运营</w:t>
      </w:r>
      <w:r>
        <w:rPr>
          <w:rFonts w:hint="eastAsia" w:cs="Times New Roman"/>
        </w:rPr>
        <w:t>领域产业认定评价工作的原则与基本要求，给出了</w:t>
      </w:r>
      <w:r>
        <w:rPr>
          <w:rFonts w:hint="eastAsia" w:cs="Times New Roman"/>
          <w:lang w:eastAsia="zh-CN"/>
        </w:rPr>
        <w:t>充电、换电设施设备制造与运营</w:t>
      </w:r>
      <w:r>
        <w:rPr>
          <w:rFonts w:hint="eastAsia" w:cs="Times New Roman"/>
        </w:rPr>
        <w:t>行业绿色低碳产业认定评价的指标体系框架及评价通用要求，并结合</w:t>
      </w:r>
      <w:r>
        <w:rPr>
          <w:rFonts w:hint="eastAsia" w:cs="Times New Roman"/>
          <w:lang w:eastAsia="zh-CN"/>
        </w:rPr>
        <w:t>充电、换电设施设备制造与运营</w:t>
      </w:r>
      <w:r>
        <w:rPr>
          <w:rFonts w:hint="eastAsia" w:cs="Times New Roman"/>
        </w:rPr>
        <w:t>领域的产业特点，细化关键技术先进性的评价内容及评价方法，确保各</w:t>
      </w:r>
      <w:r>
        <w:rPr>
          <w:rFonts w:hint="eastAsia" w:cs="Times New Roman"/>
          <w:lang w:eastAsia="zh-CN"/>
        </w:rPr>
        <w:t>充电、换电设施设备制造与运营</w:t>
      </w:r>
      <w:r>
        <w:rPr>
          <w:rFonts w:hint="eastAsia" w:cs="Times New Roman"/>
        </w:rPr>
        <w:t>领域中各行业开展绿色低碳产业认定评价工作的科学性、一致性和准确性，为建立绿色低碳产业认定规</w:t>
      </w:r>
    </w:p>
    <w:p>
      <w:pPr>
        <w:spacing w:beforeLines="0" w:afterLines="0" w:line="360" w:lineRule="auto"/>
        <w:ind w:firstLine="0" w:firstLineChars="0"/>
        <w:rPr>
          <w:rFonts w:hint="eastAsia" w:ascii="Times New Roman" w:hAnsi="Times New Roman" w:eastAsia="宋体" w:cs="Times New Roman"/>
          <w:lang w:val="en-US" w:eastAsia="zh-CN"/>
        </w:rPr>
        <w:sectPr>
          <w:footerReference r:id="rId14" w:type="first"/>
          <w:footerReference r:id="rId13" w:type="default"/>
          <w:pgSz w:w="11906" w:h="16838"/>
          <w:pgMar w:top="1247" w:right="1469" w:bottom="1247" w:left="1440" w:header="510" w:footer="510" w:gutter="0"/>
          <w:pgNumType w:fmt="decimal" w:start="1"/>
          <w:cols w:space="425" w:num="1"/>
          <w:titlePg/>
          <w:docGrid w:type="lines" w:linePitch="312" w:charSpace="0"/>
        </w:sectPr>
      </w:pPr>
      <w:r>
        <w:rPr>
          <w:rFonts w:hint="eastAsia" w:cs="Times New Roman"/>
          <w:lang w:val="en-US" w:eastAsia="zh-CN"/>
        </w:rPr>
        <w:t>规则体系奠定坚实的工作基础</w:t>
      </w:r>
      <w:r>
        <w:rPr>
          <w:rFonts w:hint="eastAsia" w:ascii="Times New Roman" w:hAnsi="Times New Roman" w:eastAsia="宋体" w:cs="Times New Roman"/>
          <w:lang w:val="en-US" w:eastAsia="zh-CN"/>
        </w:rPr>
        <w:t>。</w:t>
      </w:r>
    </w:p>
    <w:p>
      <w:pPr>
        <w:pStyle w:val="2"/>
        <w:numPr>
          <w:ilvl w:val="0"/>
          <w:numId w:val="3"/>
        </w:numPr>
        <w:spacing w:beforeLines="0" w:afterLines="0" w:line="360" w:lineRule="auto"/>
        <w:ind w:left="567" w:firstLine="723" w:firstLineChars="0"/>
        <w:rPr>
          <w:rFonts w:cs="Times New Roman"/>
          <w:sz w:val="24"/>
        </w:rPr>
      </w:pPr>
      <w:bookmarkStart w:id="4" w:name="_Toc29291"/>
      <w:bookmarkStart w:id="5" w:name="_Toc19127"/>
      <w:bookmarkStart w:id="6" w:name="_Toc922"/>
      <w:bookmarkStart w:id="7" w:name="_Toc80949156"/>
      <w:r>
        <w:rPr>
          <w:rFonts w:cs="Times New Roman"/>
          <w:sz w:val="24"/>
        </w:rPr>
        <w:t>任务来源</w:t>
      </w:r>
      <w:bookmarkEnd w:id="4"/>
      <w:bookmarkEnd w:id="5"/>
      <w:bookmarkEnd w:id="6"/>
      <w:bookmarkEnd w:id="7"/>
    </w:p>
    <w:p>
      <w:pPr>
        <w:spacing w:beforeLines="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“深圳市绿色产业认定规则体系建设技术服务（二期）”项目</w:t>
      </w:r>
      <w:r>
        <w:rPr>
          <w:rFonts w:cs="Times New Roman"/>
        </w:rPr>
        <w:t>，</w:t>
      </w:r>
      <w:r>
        <w:rPr>
          <w:rFonts w:hint="eastAsia" w:cs="Times New Roman"/>
        </w:rPr>
        <w:t>选定</w:t>
      </w:r>
      <w:r>
        <w:rPr>
          <w:rFonts w:hint="eastAsia" w:cs="Times New Roman"/>
          <w:lang w:eastAsia="zh-CN"/>
        </w:rPr>
        <w:t>充电、换电设施设备制造与运营</w:t>
      </w:r>
      <w:r>
        <w:rPr>
          <w:rFonts w:hint="eastAsia" w:cs="Times New Roman"/>
        </w:rPr>
        <w:t>领域编制相关技术规范，</w:t>
      </w:r>
      <w:r>
        <w:rPr>
          <w:rFonts w:cs="Times New Roman"/>
        </w:rPr>
        <w:t>由</w:t>
      </w:r>
      <w:r>
        <w:rPr>
          <w:rFonts w:hint="eastAsia" w:hAnsi="宋体"/>
        </w:rPr>
        <w:t>深圳市计量质量检测研究院提出，由</w:t>
      </w:r>
      <w:r>
        <w:rPr>
          <w:rFonts w:hint="eastAsia" w:cs="Times New Roman"/>
        </w:rPr>
        <w:t>深圳标准促进会</w:t>
      </w:r>
      <w:r>
        <w:rPr>
          <w:rFonts w:cs="Times New Roman"/>
        </w:rPr>
        <w:t>归口</w:t>
      </w:r>
      <w:r>
        <w:rPr>
          <w:rFonts w:hint="eastAsia" w:cs="Times New Roman"/>
        </w:rPr>
        <w:t>，</w:t>
      </w:r>
      <w:r>
        <w:rPr>
          <w:rFonts w:cs="Times New Roman"/>
        </w:rPr>
        <w:t>制定《</w:t>
      </w:r>
      <w:r>
        <w:rPr>
          <w:rFonts w:hint="eastAsia" w:cs="Times New Roman"/>
        </w:rPr>
        <w:t xml:space="preserve">绿色低碳产业认定行业技术规范 </w:t>
      </w:r>
      <w:r>
        <w:rPr>
          <w:rFonts w:hint="eastAsia" w:cs="Times New Roman"/>
          <w:lang w:eastAsia="zh-CN"/>
        </w:rPr>
        <w:t>充电、换电设施设备制造与运营</w:t>
      </w:r>
      <w:r>
        <w:rPr>
          <w:rFonts w:cs="Times New Roman"/>
        </w:rPr>
        <w:t>》。</w:t>
      </w:r>
    </w:p>
    <w:p>
      <w:pPr>
        <w:spacing w:beforeLines="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X</w:t>
      </w:r>
      <w:r>
        <w:rPr>
          <w:rFonts w:cs="Times New Roman"/>
        </w:rPr>
        <w:t>年</w:t>
      </w:r>
      <w:r>
        <w:rPr>
          <w:rFonts w:hint="eastAsia" w:cs="Times New Roman"/>
        </w:rPr>
        <w:t>X</w:t>
      </w:r>
      <w:r>
        <w:rPr>
          <w:rFonts w:cs="Times New Roman"/>
        </w:rPr>
        <w:t>月。</w:t>
      </w:r>
    </w:p>
    <w:p>
      <w:pPr>
        <w:spacing w:beforeLines="0" w:afterLines="0" w:line="360" w:lineRule="auto"/>
        <w:ind w:firstLine="48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本标准的提出</w:t>
      </w:r>
      <w:r>
        <w:rPr>
          <w:rFonts w:hint="eastAsia" w:cs="Times New Roman"/>
          <w:color w:val="000000" w:themeColor="text1"/>
          <w14:textFill>
            <w14:solidFill>
              <w14:schemeClr w14:val="tx1"/>
            </w14:solidFill>
          </w14:textFill>
        </w:rPr>
        <w:t>单位为</w:t>
      </w:r>
      <w:r>
        <w:rPr>
          <w:rFonts w:hint="eastAsia" w:hAnsi="宋体"/>
        </w:rPr>
        <w:t>深圳市计量质量检测研究院</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归口单位为</w:t>
      </w:r>
      <w:r>
        <w:rPr>
          <w:rFonts w:hint="eastAsia" w:cs="Times New Roman"/>
          <w:color w:val="000000" w:themeColor="text1"/>
          <w14:textFill>
            <w14:solidFill>
              <w14:schemeClr w14:val="tx1"/>
            </w14:solidFill>
          </w14:textFill>
        </w:rPr>
        <w:t>深圳标准促进会</w:t>
      </w:r>
      <w:r>
        <w:rPr>
          <w:rFonts w:cs="Times New Roman"/>
          <w:color w:val="000000" w:themeColor="text1"/>
          <w14:textFill>
            <w14:solidFill>
              <w14:schemeClr w14:val="tx1"/>
            </w14:solidFill>
          </w14:textFill>
        </w:rPr>
        <w:t>。</w:t>
      </w:r>
    </w:p>
    <w:p>
      <w:pPr>
        <w:pStyle w:val="2"/>
        <w:numPr>
          <w:ilvl w:val="0"/>
          <w:numId w:val="3"/>
        </w:numPr>
        <w:spacing w:beforeLines="0" w:afterLines="0" w:line="360" w:lineRule="auto"/>
        <w:ind w:left="567" w:firstLineChars="0"/>
        <w:rPr>
          <w:rFonts w:cs="Times New Roman"/>
          <w:sz w:val="24"/>
        </w:rPr>
      </w:pPr>
      <w:bookmarkStart w:id="8" w:name="_Toc1358"/>
      <w:bookmarkStart w:id="9" w:name="_Toc2515"/>
      <w:bookmarkStart w:id="10" w:name="_Toc2927"/>
      <w:bookmarkStart w:id="11" w:name="_Toc80949157"/>
      <w:r>
        <w:rPr>
          <w:rFonts w:cs="Times New Roman"/>
          <w:sz w:val="24"/>
        </w:rPr>
        <w:t>目的和意义</w:t>
      </w:r>
      <w:bookmarkEnd w:id="8"/>
      <w:bookmarkEnd w:id="9"/>
      <w:bookmarkEnd w:id="10"/>
      <w:bookmarkEnd w:id="11"/>
    </w:p>
    <w:p>
      <w:pPr>
        <w:spacing w:beforeLines="0" w:afterLines="0" w:line="360" w:lineRule="auto"/>
        <w:ind w:firstLine="480" w:firstLineChars="200"/>
        <w:rPr>
          <w:rFonts w:cs="Times New Roman"/>
        </w:rPr>
      </w:pPr>
      <w:r>
        <w:rPr>
          <w:rFonts w:hint="eastAsia" w:cs="Times New Roman"/>
        </w:rPr>
        <w:t>本标准规定了</w:t>
      </w:r>
      <w:r>
        <w:rPr>
          <w:rFonts w:hint="eastAsia" w:cs="Times New Roman"/>
          <w:lang w:eastAsia="zh-CN"/>
        </w:rPr>
        <w:t>充电、换电设施设备制造与运营</w:t>
      </w:r>
      <w:r>
        <w:rPr>
          <w:rFonts w:hint="eastAsia" w:cs="Times New Roman"/>
        </w:rPr>
        <w:t>行业绿色低碳产业认定评价的评价原则、基本要求、评价方法、评价指标及评价程序。绿色低碳产业认定评价分为绿色低碳产业企业评价和绿色低碳产业项目评价两种类型。本标准结合了</w:t>
      </w:r>
      <w:r>
        <w:rPr>
          <w:rFonts w:hint="eastAsia" w:cs="Times New Roman"/>
          <w:lang w:eastAsia="zh-CN"/>
        </w:rPr>
        <w:t>充电、换电设施设备制造与运营</w:t>
      </w:r>
      <w:r>
        <w:rPr>
          <w:rFonts w:hint="eastAsia" w:cs="Times New Roman"/>
        </w:rPr>
        <w:t>领域的特性要求，设置了具体的指标分值和评分标准。标准发布实施后，可即刻指导</w:t>
      </w:r>
      <w:r>
        <w:rPr>
          <w:rFonts w:hint="eastAsia" w:cs="Times New Roman"/>
          <w:lang w:eastAsia="zh-CN"/>
        </w:rPr>
        <w:t>充电、换电设施设备制造与运营</w:t>
      </w:r>
      <w:r>
        <w:rPr>
          <w:rFonts w:hint="eastAsia" w:cs="Times New Roman"/>
        </w:rPr>
        <w:t>领域绿色低碳产业认定评价工作的推进，为构建绿色低碳产业认定规则体系奠定技术依据，进而为进一步厘清绿色低碳产业边界，将现有政策和资金引导到对推动绿色发展最重要、最关键、最紧迫的产业上发挥重要作用。</w:t>
      </w:r>
    </w:p>
    <w:p>
      <w:pPr>
        <w:pStyle w:val="2"/>
        <w:numPr>
          <w:ilvl w:val="0"/>
          <w:numId w:val="3"/>
        </w:numPr>
        <w:spacing w:beforeLines="0" w:afterLines="0" w:line="360" w:lineRule="auto"/>
        <w:ind w:left="567" w:firstLineChars="0"/>
        <w:rPr>
          <w:rFonts w:cs="Times New Roman"/>
          <w:sz w:val="24"/>
        </w:rPr>
      </w:pPr>
      <w:bookmarkStart w:id="12" w:name="_Toc29237"/>
      <w:bookmarkStart w:id="13" w:name="_Toc522"/>
      <w:bookmarkStart w:id="14" w:name="_Toc21260"/>
      <w:bookmarkStart w:id="15" w:name="_Toc80949158"/>
      <w:r>
        <w:rPr>
          <w:rFonts w:cs="Times New Roman"/>
          <w:sz w:val="24"/>
        </w:rPr>
        <w:t>编制原则及技术依据</w:t>
      </w:r>
      <w:bookmarkEnd w:id="12"/>
      <w:bookmarkEnd w:id="13"/>
      <w:bookmarkEnd w:id="14"/>
      <w:bookmarkEnd w:id="15"/>
    </w:p>
    <w:p>
      <w:pPr>
        <w:pStyle w:val="3"/>
        <w:spacing w:beforeLines="0" w:afterLines="0" w:line="360" w:lineRule="auto"/>
        <w:ind w:firstLine="569"/>
        <w:rPr>
          <w:rFonts w:ascii="Times New Roman" w:hAnsi="Times New Roman" w:cs="Times New Roman"/>
          <w:sz w:val="24"/>
        </w:rPr>
      </w:pPr>
      <w:bookmarkStart w:id="16" w:name="_Toc3576"/>
      <w:bookmarkStart w:id="17" w:name="_Toc4199"/>
      <w:bookmarkStart w:id="18" w:name="_Toc12779"/>
      <w:bookmarkStart w:id="19" w:name="_Toc80949159"/>
      <w:r>
        <w:rPr>
          <w:rFonts w:ascii="Times New Roman" w:hAnsi="Times New Roman" w:cs="Times New Roman"/>
          <w:sz w:val="24"/>
        </w:rPr>
        <w:t>（一）编制原则</w:t>
      </w:r>
      <w:bookmarkEnd w:id="16"/>
      <w:bookmarkEnd w:id="17"/>
      <w:bookmarkEnd w:id="18"/>
      <w:bookmarkEnd w:id="19"/>
    </w:p>
    <w:p>
      <w:pPr>
        <w:spacing w:beforeLines="0" w:afterLines="0" w:line="360" w:lineRule="auto"/>
        <w:rPr>
          <w:rFonts w:cs="Times New Roman"/>
        </w:rPr>
      </w:pPr>
      <w:r>
        <w:rPr>
          <w:rFonts w:cs="Times New Roman"/>
        </w:rPr>
        <w:t>积极参考国内外现有的相关标准，充分考虑</w:t>
      </w:r>
      <w:r>
        <w:rPr>
          <w:rFonts w:hint="eastAsia" w:cs="Times New Roman"/>
        </w:rPr>
        <w:t>绿色低碳</w:t>
      </w:r>
      <w:r>
        <w:rPr>
          <w:rFonts w:cs="Times New Roman"/>
        </w:rPr>
        <w:t>产业认定评价实际情况，明确</w:t>
      </w:r>
      <w:r>
        <w:rPr>
          <w:rFonts w:hint="eastAsia" w:cs="Times New Roman"/>
          <w:lang w:eastAsia="zh-CN"/>
        </w:rPr>
        <w:t>充电、换电设施设备制造与运营</w:t>
      </w:r>
      <w:r>
        <w:rPr>
          <w:rFonts w:hint="eastAsia" w:cs="Times New Roman"/>
        </w:rPr>
        <w:t>领域技术规范的总分原则，</w:t>
      </w:r>
      <w:r>
        <w:rPr>
          <w:rFonts w:cs="Times New Roman"/>
        </w:rPr>
        <w:t>突出体现深圳市</w:t>
      </w:r>
      <w:r>
        <w:rPr>
          <w:rFonts w:hint="eastAsia" w:cs="Times New Roman"/>
        </w:rPr>
        <w:t>团体</w:t>
      </w:r>
      <w:r>
        <w:rPr>
          <w:rFonts w:cs="Times New Roman"/>
        </w:rPr>
        <w:t>标准《</w:t>
      </w:r>
      <w:r>
        <w:rPr>
          <w:rFonts w:hint="eastAsia" w:cs="Times New Roman"/>
        </w:rPr>
        <w:t>绿色低碳产业认定技术规范</w:t>
      </w:r>
      <w:r>
        <w:rPr>
          <w:rFonts w:hint="eastAsia" w:cs="Times New Roman"/>
          <w:lang w:val="en-US" w:eastAsia="zh-CN"/>
        </w:rPr>
        <w:t xml:space="preserve"> </w:t>
      </w:r>
      <w:r>
        <w:rPr>
          <w:rFonts w:hint="eastAsia" w:cs="Times New Roman"/>
          <w:lang w:eastAsia="zh-CN"/>
        </w:rPr>
        <w:t>充电、换电设施设备制造与运营</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Lines="0" w:afterLines="0" w:line="360" w:lineRule="auto"/>
        <w:ind w:firstLine="569"/>
        <w:rPr>
          <w:rFonts w:ascii="Times New Roman" w:hAnsi="Times New Roman" w:cs="Times New Roman"/>
          <w:sz w:val="24"/>
        </w:rPr>
      </w:pPr>
      <w:bookmarkStart w:id="20" w:name="_Toc80949160"/>
      <w:bookmarkStart w:id="21" w:name="_Toc15582"/>
      <w:bookmarkStart w:id="22" w:name="_Toc18227"/>
      <w:bookmarkStart w:id="23" w:name="_Toc2616"/>
      <w:r>
        <w:rPr>
          <w:rFonts w:ascii="Times New Roman" w:hAnsi="Times New Roman" w:cs="Times New Roman"/>
          <w:sz w:val="24"/>
        </w:rPr>
        <w:t>（二）技术依据</w:t>
      </w:r>
      <w:bookmarkEnd w:id="20"/>
      <w:bookmarkEnd w:id="21"/>
      <w:bookmarkEnd w:id="22"/>
      <w:bookmarkEnd w:id="23"/>
    </w:p>
    <w:p>
      <w:pPr>
        <w:spacing w:beforeLines="0" w:afterLines="0" w:line="360" w:lineRule="auto"/>
        <w:rPr>
          <w:rFonts w:cs="Times New Roman"/>
          <w:color w:val="000000"/>
        </w:rPr>
      </w:pPr>
      <w:r>
        <w:rPr>
          <w:rFonts w:cs="Times New Roman"/>
        </w:rPr>
        <w:t>1</w:t>
      </w:r>
      <w:r>
        <w:rPr>
          <w:rFonts w:cs="Times New Roman"/>
          <w:color w:val="000000"/>
        </w:rPr>
        <w:t>．</w:t>
      </w:r>
      <w:r>
        <w:rPr>
          <w:rFonts w:cs="Times New Roman"/>
        </w:rPr>
        <w:t>编写规则</w:t>
      </w:r>
      <w:r>
        <w:rPr>
          <w:rFonts w:cs="Times New Roman"/>
          <w:color w:val="000000"/>
        </w:rPr>
        <w:t>是按照GB/T 1.1-2020《标准化工作导则  第1部分：标准的结构和编写规则》及GB/T 1.2-2020 《标准化工作导则  第2部分：标准中规范性技术要素内容的确定方法》的要求进行。</w:t>
      </w:r>
    </w:p>
    <w:p>
      <w:pPr>
        <w:spacing w:beforeLines="0" w:afterLines="0" w:line="360" w:lineRule="auto"/>
        <w:ind w:firstLine="480" w:firstLineChars="200"/>
        <w:rPr>
          <w:rFonts w:cs="Times New Roman"/>
        </w:rPr>
      </w:pPr>
      <w:r>
        <w:rPr>
          <w:rFonts w:cs="Times New Roman"/>
          <w:color w:val="000000"/>
        </w:rPr>
        <w:t>2．以《绿色</w:t>
      </w:r>
      <w:r>
        <w:rPr>
          <w:rFonts w:hint="eastAsia" w:cs="Times New Roman"/>
          <w:color w:val="000000"/>
        </w:rPr>
        <w:t>低碳</w:t>
      </w:r>
      <w:r>
        <w:rPr>
          <w:rFonts w:cs="Times New Roman"/>
          <w:color w:val="000000"/>
        </w:rPr>
        <w:t>产业认定评价导则》为基础，通过大量相关行业实地调研，结合深圳实际情况，规定了深圳</w:t>
      </w:r>
      <w:r>
        <w:rPr>
          <w:rFonts w:hint="eastAsia" w:cs="Times New Roman"/>
        </w:rPr>
        <w:t>市</w:t>
      </w:r>
      <w:r>
        <w:rPr>
          <w:rFonts w:hint="eastAsia" w:cs="Times New Roman"/>
          <w:lang w:eastAsia="zh-CN"/>
        </w:rPr>
        <w:t>充电、换电设施设备制造与运营</w:t>
      </w:r>
      <w:r>
        <w:rPr>
          <w:rFonts w:hint="eastAsia" w:cs="Times New Roman"/>
        </w:rPr>
        <w:t>领域绿色低碳产业认定评价工作的原则与要求，给出了</w:t>
      </w:r>
      <w:r>
        <w:rPr>
          <w:rFonts w:hint="eastAsia" w:cs="Times New Roman"/>
          <w:lang w:eastAsia="zh-CN"/>
        </w:rPr>
        <w:t>充电、换电设施设备制造与运营</w:t>
      </w:r>
      <w:r>
        <w:rPr>
          <w:rFonts w:hint="eastAsia" w:cs="Times New Roman"/>
        </w:rPr>
        <w:t>绿色低碳产业认定评价的指标体系框架及评价要求，重点对</w:t>
      </w:r>
      <w:r>
        <w:rPr>
          <w:rFonts w:hint="eastAsia" w:cs="Times New Roman"/>
          <w:lang w:eastAsia="zh-CN"/>
        </w:rPr>
        <w:t>充电、换电设施设备制造与运营</w:t>
      </w:r>
      <w:r>
        <w:rPr>
          <w:rFonts w:hint="eastAsia" w:cs="Times New Roman"/>
        </w:rPr>
        <w:t>产业的关键技术先进性进行详细展开，结合不同行业特点，明确</w:t>
      </w:r>
      <w:r>
        <w:rPr>
          <w:rFonts w:hint="eastAsia" w:cs="Times New Roman"/>
          <w:lang w:eastAsia="zh-CN"/>
        </w:rPr>
        <w:t>充电、换电设施设备制造与运营</w:t>
      </w:r>
      <w:r>
        <w:rPr>
          <w:rFonts w:hint="eastAsia" w:cs="Times New Roman"/>
        </w:rPr>
        <w:t>产业的各行业核心评价指标及评价方法，为深圳市</w:t>
      </w:r>
      <w:r>
        <w:rPr>
          <w:rFonts w:hint="eastAsia" w:cs="Times New Roman"/>
          <w:lang w:eastAsia="zh-CN"/>
        </w:rPr>
        <w:t>充电、换电设施设备制造与运营</w:t>
      </w:r>
      <w:r>
        <w:rPr>
          <w:rFonts w:hint="eastAsia" w:cs="Times New Roman"/>
        </w:rPr>
        <w:t>绿色低碳产业的认定奠定坚实的工作基础。</w:t>
      </w:r>
    </w:p>
    <w:p>
      <w:pPr>
        <w:pStyle w:val="2"/>
        <w:numPr>
          <w:ilvl w:val="0"/>
          <w:numId w:val="3"/>
        </w:numPr>
        <w:spacing w:beforeLines="0" w:afterLines="0" w:line="360" w:lineRule="auto"/>
        <w:ind w:left="567" w:firstLineChars="0"/>
        <w:rPr>
          <w:rFonts w:cs="Times New Roman"/>
          <w:sz w:val="24"/>
        </w:rPr>
      </w:pPr>
      <w:bookmarkStart w:id="24" w:name="_Toc80949161"/>
      <w:bookmarkStart w:id="25" w:name="_Toc31476"/>
      <w:bookmarkStart w:id="26" w:name="_Toc26723"/>
      <w:bookmarkStart w:id="27" w:name="_Toc4683"/>
      <w:r>
        <w:rPr>
          <w:rFonts w:cs="Times New Roman"/>
          <w:sz w:val="24"/>
        </w:rPr>
        <w:t>主要编制过程</w:t>
      </w:r>
      <w:bookmarkEnd w:id="24"/>
      <w:bookmarkEnd w:id="25"/>
      <w:bookmarkEnd w:id="26"/>
      <w:bookmarkEnd w:id="27"/>
    </w:p>
    <w:p>
      <w:pPr>
        <w:pStyle w:val="3"/>
        <w:spacing w:beforeLines="0" w:afterLines="0" w:line="360" w:lineRule="auto"/>
        <w:ind w:firstLine="569"/>
        <w:rPr>
          <w:rFonts w:ascii="Times New Roman" w:hAnsi="Times New Roman" w:cs="Times New Roman"/>
          <w:sz w:val="24"/>
        </w:rPr>
      </w:pPr>
      <w:bookmarkStart w:id="28" w:name="_Toc15368"/>
      <w:bookmarkStart w:id="29" w:name="_Toc15751"/>
      <w:bookmarkStart w:id="30" w:name="_Toc7449"/>
      <w:bookmarkStart w:id="31" w:name="_Toc80949162"/>
      <w:r>
        <w:rPr>
          <w:rFonts w:ascii="Times New Roman" w:hAnsi="Times New Roman" w:cs="Times New Roman"/>
          <w:sz w:val="24"/>
        </w:rPr>
        <w:t>（一）前期准备</w:t>
      </w:r>
      <w:bookmarkEnd w:id="28"/>
      <w:bookmarkEnd w:id="29"/>
      <w:bookmarkEnd w:id="30"/>
      <w:bookmarkEnd w:id="31"/>
    </w:p>
    <w:p>
      <w:pPr>
        <w:spacing w:beforeLines="0" w:afterLines="0" w:line="360" w:lineRule="auto"/>
        <w:rPr>
          <w:rFonts w:cs="Times New Roman"/>
        </w:rPr>
      </w:pPr>
      <w:bookmarkStart w:id="32" w:name="OLE_LINK1"/>
      <w:r>
        <w:rPr>
          <w:rFonts w:cs="Times New Roman"/>
        </w:rPr>
        <w:t>202</w:t>
      </w:r>
      <w:r>
        <w:rPr>
          <w:rFonts w:hint="eastAsia" w:cs="Times New Roman"/>
          <w:lang w:val="en-US" w:eastAsia="zh-CN"/>
        </w:rPr>
        <w:t>2</w:t>
      </w:r>
      <w:r>
        <w:rPr>
          <w:rFonts w:cs="Times New Roman"/>
        </w:rPr>
        <w:t>年</w:t>
      </w:r>
      <w:r>
        <w:rPr>
          <w:rFonts w:hint="eastAsia" w:cs="Times New Roman"/>
          <w:lang w:val="en-US" w:eastAsia="zh-CN"/>
        </w:rPr>
        <w:t>12</w:t>
      </w:r>
      <w:r>
        <w:rPr>
          <w:rFonts w:cs="Times New Roman"/>
        </w:rPr>
        <w:t>月</w:t>
      </w:r>
      <w:r>
        <w:rPr>
          <w:rFonts w:hint="eastAsia" w:cs="Times New Roman"/>
        </w:rPr>
        <w:t>-</w:t>
      </w:r>
      <w:r>
        <w:rPr>
          <w:rFonts w:hint="eastAsia" w:cs="Times New Roman"/>
          <w:lang w:val="en-US" w:eastAsia="zh-CN"/>
        </w:rPr>
        <w:t>2023年2</w:t>
      </w:r>
      <w:r>
        <w:rPr>
          <w:rFonts w:hint="eastAsia" w:cs="Times New Roman"/>
        </w:rPr>
        <w:t>月</w:t>
      </w:r>
      <w:r>
        <w:rPr>
          <w:rFonts w:cs="Times New Roman"/>
        </w:rPr>
        <w:t>，结合深圳市绿色</w:t>
      </w:r>
      <w:r>
        <w:rPr>
          <w:rFonts w:hint="eastAsia" w:cs="Times New Roman"/>
        </w:rPr>
        <w:t>低碳</w:t>
      </w:r>
      <w:r>
        <w:rPr>
          <w:rFonts w:cs="Times New Roman"/>
        </w:rPr>
        <w:t>产业认定综合改革试点项目工作要求</w:t>
      </w:r>
      <w:r>
        <w:rPr>
          <w:rFonts w:hint="eastAsia" w:cs="Times New Roman"/>
        </w:rPr>
        <w:t>，</w:t>
      </w:r>
      <w:r>
        <w:rPr>
          <w:rFonts w:cs="Times New Roman"/>
        </w:rPr>
        <w:t>在文献调研的基础上，通过</w:t>
      </w:r>
      <w:r>
        <w:rPr>
          <w:rFonts w:hint="eastAsia" w:cs="Times New Roman"/>
        </w:rPr>
        <w:t>线下调研和专家讨论</w:t>
      </w:r>
      <w:r>
        <w:rPr>
          <w:rFonts w:cs="Times New Roman"/>
        </w:rPr>
        <w:t>的形式，探讨本标准编制的目的和方向，</w:t>
      </w:r>
      <w:r>
        <w:rPr>
          <w:rFonts w:hint="eastAsia" w:cs="Times New Roman"/>
        </w:rPr>
        <w:t>提炼技术规范评价指标，</w:t>
      </w:r>
      <w:r>
        <w:rPr>
          <w:rFonts w:cs="Times New Roman"/>
        </w:rPr>
        <w:t>要求</w:t>
      </w:r>
      <w:r>
        <w:rPr>
          <w:rFonts w:hint="eastAsia" w:cs="Times New Roman"/>
        </w:rPr>
        <w:t>编制</w:t>
      </w:r>
      <w:r>
        <w:rPr>
          <w:rFonts w:cs="Times New Roman"/>
        </w:rPr>
        <w:t>内容应符合深圳</w:t>
      </w:r>
      <w:r>
        <w:rPr>
          <w:rFonts w:hint="eastAsia" w:cs="Times New Roman"/>
          <w:lang w:eastAsia="zh-CN"/>
        </w:rPr>
        <w:t>充电、换电设施设备制造与运营</w:t>
      </w:r>
      <w:r>
        <w:rPr>
          <w:rFonts w:hint="eastAsia" w:cs="Times New Roman"/>
        </w:rPr>
        <w:t>领域</w:t>
      </w:r>
      <w:r>
        <w:rPr>
          <w:rFonts w:cs="Times New Roman"/>
        </w:rPr>
        <w:t>实际情况并有较强的可操作性。</w:t>
      </w:r>
    </w:p>
    <w:bookmarkEnd w:id="32"/>
    <w:p>
      <w:pPr>
        <w:pStyle w:val="3"/>
        <w:spacing w:beforeLines="0" w:afterLines="0" w:line="360" w:lineRule="auto"/>
        <w:ind w:firstLine="569"/>
        <w:rPr>
          <w:rFonts w:ascii="Times New Roman" w:hAnsi="Times New Roman" w:cs="Times New Roman"/>
          <w:sz w:val="24"/>
        </w:rPr>
      </w:pPr>
      <w:bookmarkStart w:id="33" w:name="_Toc14252"/>
      <w:bookmarkStart w:id="34" w:name="_Toc1817"/>
      <w:bookmarkStart w:id="35" w:name="_Toc32355"/>
      <w:bookmarkStart w:id="36" w:name="_Toc80949164"/>
      <w:r>
        <w:rPr>
          <w:rFonts w:ascii="Times New Roman" w:hAnsi="Times New Roman" w:cs="Times New Roman"/>
          <w:sz w:val="24"/>
        </w:rPr>
        <w:t>（</w:t>
      </w:r>
      <w:r>
        <w:rPr>
          <w:rFonts w:hint="eastAsia" w:ascii="Times New Roman" w:hAnsi="Times New Roman" w:cs="Times New Roman"/>
          <w:sz w:val="24"/>
        </w:rPr>
        <w:t>二</w:t>
      </w:r>
      <w:r>
        <w:rPr>
          <w:rFonts w:ascii="Times New Roman" w:hAnsi="Times New Roman" w:cs="Times New Roman"/>
          <w:sz w:val="24"/>
        </w:rPr>
        <w:t>）确定标准</w:t>
      </w:r>
      <w:r>
        <w:rPr>
          <w:rFonts w:hint="eastAsia" w:ascii="Times New Roman" w:hAnsi="Times New Roman" w:cs="Times New Roman"/>
          <w:sz w:val="24"/>
        </w:rPr>
        <w:t>编制</w:t>
      </w:r>
      <w:r>
        <w:rPr>
          <w:rFonts w:ascii="Times New Roman" w:hAnsi="Times New Roman" w:cs="Times New Roman"/>
          <w:sz w:val="24"/>
        </w:rPr>
        <w:t>原则</w:t>
      </w:r>
      <w:bookmarkEnd w:id="33"/>
      <w:bookmarkEnd w:id="34"/>
      <w:bookmarkEnd w:id="35"/>
      <w:bookmarkEnd w:id="36"/>
    </w:p>
    <w:p>
      <w:pPr>
        <w:spacing w:beforeLines="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充分查阅、对比并分析国内外绿色低碳产业相关研究文献，结合深圳市绿色低碳产业认定评价导则总体要求以及技术框架，</w:t>
      </w:r>
      <w:r>
        <w:rPr>
          <w:rFonts w:cs="Times New Roman"/>
        </w:rPr>
        <w:t>确定了本标准的</w:t>
      </w:r>
      <w:r>
        <w:rPr>
          <w:rFonts w:hint="eastAsia" w:cs="Times New Roman"/>
        </w:rPr>
        <w:t>编制</w:t>
      </w:r>
      <w:r>
        <w:rPr>
          <w:rFonts w:cs="Times New Roman"/>
        </w:rPr>
        <w:t>原则。</w:t>
      </w:r>
    </w:p>
    <w:p>
      <w:pPr>
        <w:pStyle w:val="3"/>
        <w:spacing w:beforeLines="0" w:afterLines="0" w:line="360" w:lineRule="auto"/>
        <w:ind w:firstLine="569"/>
        <w:rPr>
          <w:rFonts w:ascii="Times New Roman" w:hAnsi="Times New Roman" w:cs="Times New Roman"/>
          <w:sz w:val="24"/>
        </w:rPr>
      </w:pPr>
      <w:bookmarkStart w:id="37" w:name="_Toc10307"/>
      <w:bookmarkStart w:id="38" w:name="_Toc80949165"/>
      <w:bookmarkStart w:id="39" w:name="_Toc12668"/>
      <w:bookmarkStart w:id="40" w:name="_Toc26315"/>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）标准起草过程</w:t>
      </w:r>
      <w:bookmarkEnd w:id="37"/>
      <w:bookmarkEnd w:id="38"/>
      <w:bookmarkEnd w:id="39"/>
      <w:bookmarkEnd w:id="40"/>
    </w:p>
    <w:p>
      <w:pPr>
        <w:spacing w:beforeLines="0" w:afterLines="0" w:line="360" w:lineRule="auto"/>
        <w:rPr>
          <w:rFonts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3</w:t>
      </w:r>
      <w:r>
        <w:rPr>
          <w:rFonts w:hint="eastAsia" w:cs="Times New Roman"/>
        </w:rPr>
        <w:t>月-</w:t>
      </w:r>
      <w:r>
        <w:rPr>
          <w:rFonts w:hint="eastAsia" w:cs="Times New Roman"/>
          <w:lang w:val="en-US" w:eastAsia="zh-CN"/>
        </w:rPr>
        <w:t>6</w:t>
      </w:r>
      <w:r>
        <w:rPr>
          <w:rFonts w:cs="Times New Roman"/>
        </w:rPr>
        <w:t>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rPr>
        <w:t>首先，对相关行业的龙头企业开展调研，了解行业现状及评价指标；其次，大量查阅与</w:t>
      </w:r>
      <w:r>
        <w:rPr>
          <w:rFonts w:hint="eastAsia" w:cs="Times New Roman"/>
          <w:lang w:eastAsia="zh-CN"/>
        </w:rPr>
        <w:t>充电、换电设施设备制造与运营</w:t>
      </w:r>
      <w:r>
        <w:rPr>
          <w:rFonts w:hint="eastAsia" w:cs="Times New Roman"/>
        </w:rPr>
        <w:t>产业相关的文献和标准资料的基础上，形成标准草案。</w:t>
      </w:r>
    </w:p>
    <w:p>
      <w:pPr>
        <w:pStyle w:val="2"/>
        <w:numPr>
          <w:ilvl w:val="0"/>
          <w:numId w:val="3"/>
        </w:numPr>
        <w:spacing w:beforeLines="0" w:afterLines="0" w:line="360" w:lineRule="auto"/>
        <w:ind w:left="567" w:firstLineChars="0"/>
        <w:rPr>
          <w:rFonts w:cs="Times New Roman"/>
          <w:sz w:val="24"/>
        </w:rPr>
      </w:pPr>
      <w:bookmarkStart w:id="41" w:name="_Toc30677"/>
      <w:bookmarkStart w:id="42" w:name="_Toc80949166"/>
      <w:bookmarkStart w:id="43" w:name="_Toc4796"/>
      <w:bookmarkStart w:id="44" w:name="_Toc19586"/>
      <w:r>
        <w:rPr>
          <w:rFonts w:cs="Times New Roman"/>
          <w:sz w:val="24"/>
        </w:rPr>
        <w:t>主要内容</w:t>
      </w:r>
      <w:bookmarkEnd w:id="41"/>
      <w:bookmarkEnd w:id="42"/>
      <w:bookmarkEnd w:id="43"/>
      <w:bookmarkEnd w:id="44"/>
    </w:p>
    <w:p>
      <w:pPr>
        <w:pStyle w:val="3"/>
        <w:spacing w:beforeLines="0" w:afterLines="0" w:line="360" w:lineRule="auto"/>
        <w:ind w:firstLine="569"/>
        <w:rPr>
          <w:rFonts w:ascii="Times New Roman" w:hAnsi="Times New Roman" w:cs="Times New Roman"/>
          <w:sz w:val="24"/>
        </w:rPr>
      </w:pPr>
      <w:bookmarkStart w:id="45" w:name="_Toc22731"/>
      <w:bookmarkStart w:id="46" w:name="_Toc10802"/>
      <w:bookmarkStart w:id="47" w:name="_Toc24195"/>
      <w:bookmarkStart w:id="48" w:name="_Toc80949167"/>
      <w:r>
        <w:rPr>
          <w:rFonts w:ascii="Times New Roman" w:hAnsi="Times New Roman" w:cs="Times New Roman"/>
          <w:sz w:val="24"/>
        </w:rPr>
        <w:t>（一）标准属性</w:t>
      </w:r>
      <w:bookmarkEnd w:id="45"/>
      <w:bookmarkEnd w:id="46"/>
      <w:bookmarkEnd w:id="47"/>
      <w:bookmarkEnd w:id="48"/>
    </w:p>
    <w:p>
      <w:pPr>
        <w:spacing w:beforeLines="0" w:afterLines="0" w:line="360" w:lineRule="auto"/>
        <w:rPr>
          <w:rFonts w:cs="Times New Roman"/>
        </w:rPr>
      </w:pPr>
      <w:r>
        <w:rPr>
          <w:rFonts w:cs="Times New Roman"/>
        </w:rPr>
        <w:t>本标准为深圳市</w:t>
      </w:r>
      <w:r>
        <w:rPr>
          <w:rFonts w:hint="eastAsia" w:cs="Times New Roman"/>
        </w:rPr>
        <w:t>团体</w:t>
      </w:r>
      <w:r>
        <w:rPr>
          <w:rFonts w:cs="Times New Roman"/>
        </w:rPr>
        <w:t>标准。</w:t>
      </w:r>
    </w:p>
    <w:p>
      <w:pPr>
        <w:pStyle w:val="3"/>
        <w:spacing w:beforeLines="0" w:afterLines="0" w:line="360" w:lineRule="auto"/>
        <w:ind w:firstLine="569"/>
        <w:rPr>
          <w:rFonts w:ascii="Times New Roman" w:hAnsi="Times New Roman" w:cs="Times New Roman"/>
          <w:sz w:val="24"/>
        </w:rPr>
      </w:pPr>
      <w:bookmarkStart w:id="49" w:name="_Toc29082"/>
      <w:bookmarkStart w:id="50" w:name="_Toc19546"/>
      <w:bookmarkStart w:id="51" w:name="_Toc18935"/>
      <w:bookmarkStart w:id="52" w:name="_Toc80949168"/>
      <w:r>
        <w:rPr>
          <w:rFonts w:hint="eastAsia" w:ascii="Times New Roman" w:hAnsi="Times New Roman" w:cs="Times New Roman"/>
          <w:sz w:val="24"/>
        </w:rPr>
        <w:t>（二）</w:t>
      </w:r>
      <w:r>
        <w:rPr>
          <w:rFonts w:ascii="Times New Roman" w:hAnsi="Times New Roman" w:cs="Times New Roman"/>
          <w:sz w:val="24"/>
        </w:rPr>
        <w:t>标准架构</w:t>
      </w:r>
      <w:bookmarkEnd w:id="49"/>
      <w:bookmarkEnd w:id="50"/>
      <w:bookmarkEnd w:id="51"/>
      <w:bookmarkEnd w:id="52"/>
    </w:p>
    <w:p>
      <w:pPr>
        <w:spacing w:beforeLines="0" w:afterLines="0" w:line="360" w:lineRule="auto"/>
        <w:rPr>
          <w:rFonts w:cs="Times New Roman"/>
        </w:rPr>
      </w:pPr>
      <w:r>
        <w:rPr>
          <w:rFonts w:hint="eastAsia" w:cs="Times New Roman"/>
        </w:rPr>
        <w:t>标准主体内容由范围、规范性引用文件、术语和定义、评价总则、评价指标、评价程序和附录组成。</w:t>
      </w:r>
    </w:p>
    <w:p>
      <w:pPr>
        <w:pStyle w:val="3"/>
        <w:spacing w:beforeLines="0" w:afterLines="0" w:line="360" w:lineRule="auto"/>
        <w:ind w:firstLine="569"/>
        <w:rPr>
          <w:rFonts w:ascii="Times New Roman" w:hAnsi="Times New Roman" w:cs="Times New Roman"/>
          <w:sz w:val="24"/>
        </w:rPr>
      </w:pPr>
      <w:bookmarkStart w:id="53" w:name="_Toc30281"/>
      <w:bookmarkStart w:id="54" w:name="_Toc80949169"/>
      <w:bookmarkStart w:id="55" w:name="_Toc805"/>
      <w:bookmarkStart w:id="56" w:name="_Toc31412"/>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53"/>
      <w:bookmarkEnd w:id="54"/>
      <w:bookmarkEnd w:id="55"/>
      <w:bookmarkEnd w:id="56"/>
    </w:p>
    <w:p>
      <w:pPr>
        <w:spacing w:beforeLines="0" w:afterLines="0" w:line="360" w:lineRule="auto"/>
        <w:rPr>
          <w:rFonts w:cs="Times New Roman"/>
        </w:rPr>
      </w:pPr>
      <w:r>
        <w:rPr>
          <w:rFonts w:hint="eastAsia" w:cs="Times New Roman"/>
        </w:rPr>
        <w:t>本标准规定了深圳市</w:t>
      </w:r>
      <w:r>
        <w:rPr>
          <w:rFonts w:hint="eastAsia" w:cs="Times New Roman"/>
          <w:lang w:eastAsia="zh-CN"/>
        </w:rPr>
        <w:t>充电、换电设施设备制造与运营</w:t>
      </w:r>
      <w:r>
        <w:rPr>
          <w:rFonts w:hint="eastAsia" w:cs="Times New Roman"/>
        </w:rPr>
        <w:t>行业开展绿色低碳产业认定评价的</w:t>
      </w:r>
      <w:r>
        <w:t>术语和定义</w:t>
      </w:r>
      <w:r>
        <w:rPr>
          <w:rFonts w:hint="eastAsia"/>
        </w:rPr>
        <w:t>、</w:t>
      </w:r>
      <w:r>
        <w:rPr>
          <w:rFonts w:hint="eastAsia" w:cs="Times New Roman"/>
        </w:rPr>
        <w:t>评价原则及基本要求、评价指标和评价程序。本标准适用于深圳市行政区域内的</w:t>
      </w:r>
      <w:r>
        <w:rPr>
          <w:rFonts w:hint="eastAsia" w:cs="Times New Roman"/>
          <w:lang w:eastAsia="zh-CN"/>
        </w:rPr>
        <w:t>充电、换电设施设备制造与运营</w:t>
      </w:r>
      <w:r>
        <w:rPr>
          <w:rFonts w:hint="eastAsia" w:cs="Times New Roman"/>
        </w:rPr>
        <w:t>行业的绿色低碳产业认定评价。深汕特别合作区可参照适用本标准。</w:t>
      </w:r>
    </w:p>
    <w:p>
      <w:pPr>
        <w:pStyle w:val="3"/>
        <w:spacing w:beforeLines="0" w:afterLines="0" w:line="360" w:lineRule="auto"/>
        <w:ind w:firstLine="569"/>
        <w:rPr>
          <w:rFonts w:ascii="Times New Roman" w:hAnsi="Times New Roman" w:cs="Times New Roman"/>
          <w:sz w:val="24"/>
        </w:rPr>
      </w:pPr>
      <w:bookmarkStart w:id="57" w:name="_Toc21207"/>
      <w:bookmarkStart w:id="58" w:name="_Toc80949170"/>
      <w:bookmarkStart w:id="59" w:name="_Toc1323"/>
      <w:bookmarkStart w:id="60" w:name="_Toc26469"/>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57"/>
      <w:bookmarkEnd w:id="58"/>
      <w:bookmarkEnd w:id="59"/>
      <w:bookmarkEnd w:id="60"/>
    </w:p>
    <w:p>
      <w:pPr>
        <w:spacing w:beforeLines="0" w:afterLines="0" w:line="360" w:lineRule="auto"/>
        <w:ind w:firstLine="480" w:firstLineChars="200"/>
        <w:rPr>
          <w:rFonts w:cs="Times New Roman"/>
        </w:rPr>
      </w:pPr>
      <w:r>
        <w:rPr>
          <w:rFonts w:hint="eastAsia" w:cs="Times New Roman"/>
        </w:rPr>
        <w:t>本标准重点内容涉及“企事业单位”“资源节约”“环境友好”“生态良好”“绿色低碳产业”“</w:t>
      </w:r>
      <w:r>
        <w:rPr>
          <w:rFonts w:hint="eastAsia" w:cs="Times New Roman"/>
          <w:lang w:eastAsia="zh-CN"/>
        </w:rPr>
        <w:t>充电、换电设施设备制造与运营</w:t>
      </w:r>
      <w:r>
        <w:rPr>
          <w:rFonts w:hint="eastAsia" w:cs="Times New Roman"/>
        </w:rPr>
        <w:t>产业”“绿色业务”“绿色低碳产业企业”“绿色低碳产业项目”等主体概念，因此对“企事业单位”“资源节约”“环境友好”“生态良好”“绿色低碳产业”“</w:t>
      </w:r>
      <w:r>
        <w:rPr>
          <w:rFonts w:hint="eastAsia" w:cs="Times New Roman"/>
          <w:lang w:eastAsia="zh-CN"/>
        </w:rPr>
        <w:t>充电、换电设施设备制造与运营</w:t>
      </w:r>
      <w:r>
        <w:rPr>
          <w:rFonts w:hint="eastAsia" w:cs="Times New Roman"/>
        </w:rPr>
        <w:t>产业”“绿色业务”“绿色低碳产业企业”“绿色低碳产业项目”共9个术语进行了定义。</w:t>
      </w:r>
    </w:p>
    <w:p>
      <w:pPr>
        <w:spacing w:beforeLines="0" w:afterLines="0" w:line="360" w:lineRule="auto"/>
        <w:rPr>
          <w:rFonts w:cs="Times New Roman"/>
        </w:rPr>
      </w:pPr>
      <w:r>
        <w:rPr>
          <w:rFonts w:hint="eastAsia" w:cs="Times New Roma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Lines="0" w:afterLines="0" w:line="360" w:lineRule="auto"/>
        <w:rPr>
          <w:rFonts w:cs="Times New Roman"/>
        </w:rPr>
      </w:pPr>
      <w:r>
        <w:rPr>
          <w:rFonts w:hint="eastAsia" w:cs="Times New Roman"/>
        </w:rPr>
        <w:t>“资源节约”为在生产、流通等环节提高资源利用效率，推进资源循环利用，以最少的资源消耗获得最大的经济和社会效益。</w:t>
      </w:r>
    </w:p>
    <w:p>
      <w:pPr>
        <w:spacing w:beforeLines="0" w:afterLines="0" w:line="360" w:lineRule="auto"/>
        <w:rPr>
          <w:rFonts w:cs="Times New Roman"/>
        </w:rPr>
      </w:pPr>
      <w:r>
        <w:rPr>
          <w:rFonts w:hint="eastAsia" w:cs="Times New Roman"/>
        </w:rPr>
        <w:t>“环境友好”为用清洁化的能源和原料，采用有利于环境保护的生产消费方式，降低污染产生量、实现排放无害化，减少社会经济系统对环境系统的不利影响。</w:t>
      </w:r>
    </w:p>
    <w:p>
      <w:pPr>
        <w:spacing w:beforeLines="0" w:afterLines="0" w:line="360" w:lineRule="auto"/>
        <w:rPr>
          <w:rFonts w:cs="Times New Roman"/>
        </w:rPr>
      </w:pPr>
      <w:r>
        <w:rPr>
          <w:rFonts w:hint="eastAsia" w:cs="Times New Roman"/>
        </w:rPr>
        <w:t>“生态良好”为生态环保、生态修复以及减缓和适应气候变化等。</w:t>
      </w:r>
    </w:p>
    <w:p>
      <w:pPr>
        <w:spacing w:beforeLines="0" w:afterLines="0" w:line="360" w:lineRule="auto"/>
        <w:rPr>
          <w:rFonts w:cs="Times New Roman"/>
        </w:rPr>
      </w:pPr>
      <w:r>
        <w:rPr>
          <w:rFonts w:hint="eastAsia" w:cs="Times New Roman"/>
        </w:rPr>
        <w:t>“绿色低碳产业”参考文献中绿色产业及绿色低碳产业的表述，并结合深圳市绿色低碳产业认定申报主体进行了调整，且强调绿色、低碳两方面特性，具体是指以低能耗、低排放和低污染为基础，提供有利于资源节约、环境友好、生态良好的技术、产品或服务的企事业单位的集合体，将原文献中“企业的集合体”更换为“企事业单位的集合体”。</w:t>
      </w:r>
    </w:p>
    <w:p>
      <w:pPr>
        <w:spacing w:beforeLines="0" w:afterLines="0" w:line="360" w:lineRule="auto"/>
      </w:pPr>
      <w:r>
        <w:rPr>
          <w:rFonts w:hint="eastAsia" w:cs="Times New Roman"/>
        </w:rPr>
        <w:t>“</w:t>
      </w:r>
      <w:r>
        <w:rPr>
          <w:rFonts w:hint="eastAsia" w:cs="Times New Roman"/>
          <w:lang w:eastAsia="zh-CN"/>
        </w:rPr>
        <w:t>充电、换电设施设备制造与运营</w:t>
      </w:r>
      <w:r>
        <w:rPr>
          <w:rFonts w:hint="eastAsia" w:cs="Times New Roman"/>
        </w:rPr>
        <w:t>产业”</w:t>
      </w:r>
      <w:r>
        <w:rPr>
          <w:rFonts w:hint="eastAsia"/>
        </w:rPr>
        <w:t>属于《深圳市绿色低碳产业指导目录》所列“</w:t>
      </w:r>
      <w:r>
        <w:rPr>
          <w:rFonts w:hint="eastAsia"/>
          <w:lang w:eastAsia="zh-CN"/>
        </w:rPr>
        <w:t>充电、换电设施设备制造与运营</w:t>
      </w:r>
      <w:r>
        <w:rPr>
          <w:rFonts w:hint="eastAsia"/>
        </w:rPr>
        <w:t>”中列明的行业。</w:t>
      </w:r>
    </w:p>
    <w:p>
      <w:pPr>
        <w:spacing w:beforeLines="0" w:afterLines="0" w:line="360" w:lineRule="auto"/>
        <w:rPr>
          <w:rFonts w:cs="Times New Roman"/>
        </w:rPr>
      </w:pPr>
      <w:r>
        <w:rPr>
          <w:rFonts w:hint="eastAsia" w:cs="Times New Roman"/>
        </w:rPr>
        <w:t>“绿色业务”紧贴“绿色低碳产业企业”主体定义，明确为：提供《绿色产业指导目录》所列产业，或深圳市绿色低碳产业认定规则体系所包含的绿色低碳产业领域相关产品或服务的经营活动。。</w:t>
      </w:r>
    </w:p>
    <w:p>
      <w:pPr>
        <w:spacing w:beforeLines="0" w:afterLines="0" w:line="360" w:lineRule="auto"/>
        <w:rPr>
          <w:rFonts w:cs="Times New Roman"/>
        </w:rPr>
      </w:pPr>
      <w:r>
        <w:rPr>
          <w:rFonts w:hint="eastAsia" w:cs="Times New Roman"/>
        </w:rPr>
        <w:t>“绿色低碳产业企业”为本标准产生的新定义，为经营范围包括《深圳市绿色低碳产业指导目录》所列产业，或深圳市绿色低碳产业认定规则体系所包含的绿色产业领域，自身生产运营环境表现和社会表现良好，并通过了深圳市绿色低碳产业认定的企事业单位。</w:t>
      </w:r>
    </w:p>
    <w:p>
      <w:pPr>
        <w:spacing w:beforeLines="0" w:afterLines="0" w:line="360" w:lineRule="auto"/>
        <w:rPr>
          <w:rFonts w:cs="Times New Roman"/>
        </w:rPr>
      </w:pPr>
      <w:r>
        <w:rPr>
          <w:rFonts w:hint="eastAsia" w:cs="Times New Roman"/>
        </w:rPr>
        <w:t>“绿色低碳产业企业”为本标准产生的新定义，为</w:t>
      </w:r>
      <w:r>
        <w:rPr>
          <w:rFonts w:hint="eastAsia"/>
        </w:rPr>
        <w:t>符合《深圳市绿色低碳产业指导目录》所列产业</w:t>
      </w:r>
      <w:r>
        <w:t>，</w:t>
      </w:r>
      <w:r>
        <w:rPr>
          <w:rFonts w:hint="eastAsia"/>
        </w:rPr>
        <w:t>绿色效益和绿色技术先进性表现良好，</w:t>
      </w:r>
      <w:r>
        <w:t>并通过了深圳市绿色</w:t>
      </w:r>
      <w:r>
        <w:rPr>
          <w:rFonts w:hint="eastAsia"/>
        </w:rPr>
        <w:t>低碳</w:t>
      </w:r>
      <w:r>
        <w:t>产业认定的项目</w:t>
      </w:r>
      <w:r>
        <w:rPr>
          <w:rFonts w:hint="eastAsia"/>
        </w:rPr>
        <w:t>。</w:t>
      </w:r>
    </w:p>
    <w:p>
      <w:pPr>
        <w:pStyle w:val="3"/>
        <w:numPr>
          <w:ilvl w:val="0"/>
          <w:numId w:val="4"/>
        </w:numPr>
        <w:spacing w:beforeLines="0" w:afterLines="0" w:line="360" w:lineRule="auto"/>
        <w:ind w:firstLine="569"/>
        <w:rPr>
          <w:rFonts w:ascii="Times New Roman" w:hAnsi="Times New Roman" w:cs="Times New Roman"/>
          <w:sz w:val="24"/>
        </w:rPr>
      </w:pPr>
      <w:bookmarkStart w:id="61" w:name="_Toc80949171"/>
      <w:bookmarkStart w:id="62" w:name="_Toc21975"/>
      <w:bookmarkStart w:id="63" w:name="_Toc22407"/>
      <w:bookmarkStart w:id="64" w:name="_Toc13709"/>
      <w:r>
        <w:rPr>
          <w:rFonts w:hint="eastAsia" w:ascii="Times New Roman" w:hAnsi="Times New Roman" w:cs="Times New Roman"/>
          <w:sz w:val="24"/>
        </w:rPr>
        <w:t>评价</w:t>
      </w:r>
      <w:bookmarkEnd w:id="61"/>
      <w:r>
        <w:rPr>
          <w:rFonts w:hint="eastAsia" w:ascii="Times New Roman" w:hAnsi="Times New Roman" w:cs="Times New Roman"/>
          <w:sz w:val="24"/>
        </w:rPr>
        <w:t>原则</w:t>
      </w:r>
      <w:bookmarkEnd w:id="62"/>
    </w:p>
    <w:p>
      <w:pPr>
        <w:spacing w:beforeLines="0" w:afterLines="0" w:line="360" w:lineRule="auto"/>
        <w:rPr>
          <w:rFonts w:cs="Times New Roman"/>
        </w:rPr>
      </w:pPr>
      <w:r>
        <w:rPr>
          <w:rFonts w:hint="eastAsia" w:cs="Times New Roman"/>
          <w:lang w:eastAsia="zh-CN"/>
        </w:rPr>
        <w:t>充电、换电设施设备制造与运营</w:t>
      </w:r>
      <w:r>
        <w:rPr>
          <w:rFonts w:hint="eastAsia" w:cs="Times New Roman"/>
        </w:rPr>
        <w:t>产业认定评价的工作原则与国内外评价工作基本保持一致，从“科学性”、“可验证性”和“审慎性”3个维度进行阐述。其中，“科学性”要求评价过程应结合</w:t>
      </w:r>
      <w:r>
        <w:rPr>
          <w:rFonts w:hint="eastAsia" w:cs="Times New Roman"/>
          <w:lang w:eastAsia="zh-CN"/>
        </w:rPr>
        <w:t>充电、换电设施设备制造与运营</w:t>
      </w:r>
      <w:r>
        <w:rPr>
          <w:rFonts w:hint="eastAsia" w:cs="Times New Roman"/>
        </w:rPr>
        <w:t>产业特点和各子行业差异性，依据本文件及《绿色低碳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w:t>
      </w:r>
      <w:bookmarkEnd w:id="63"/>
      <w:bookmarkEnd w:id="64"/>
    </w:p>
    <w:p>
      <w:pPr>
        <w:pStyle w:val="3"/>
        <w:numPr>
          <w:ilvl w:val="0"/>
          <w:numId w:val="4"/>
        </w:numPr>
        <w:spacing w:beforeLines="0" w:afterLines="0" w:line="360" w:lineRule="auto"/>
        <w:ind w:firstLine="569"/>
        <w:rPr>
          <w:rFonts w:ascii="Times New Roman" w:hAnsi="Times New Roman" w:cs="Times New Roman"/>
          <w:sz w:val="24"/>
        </w:rPr>
      </w:pPr>
      <w:bookmarkStart w:id="65" w:name="_Toc331"/>
      <w:r>
        <w:rPr>
          <w:rFonts w:ascii="Times New Roman" w:hAnsi="Times New Roman" w:cs="Times New Roman"/>
          <w:sz w:val="24"/>
        </w:rPr>
        <w:t>基本要求</w:t>
      </w:r>
      <w:bookmarkEnd w:id="65"/>
    </w:p>
    <w:p>
      <w:pPr>
        <w:spacing w:beforeLines="0" w:afterLines="0" w:line="360" w:lineRule="auto"/>
        <w:ind w:firstLine="480" w:firstLineChars="200"/>
        <w:rPr>
          <w:rFonts w:cs="Times New Roman"/>
        </w:rPr>
      </w:pPr>
      <w:r>
        <w:rPr>
          <w:rFonts w:hint="eastAsia" w:cs="Times New Roman"/>
        </w:rPr>
        <w:t>除各类评价标准对于的通用基本要求外，本标准基于政策合法合规、安全环保质量事故、各类失信名录均提出一定要求，且为鼓励深圳市绿色低碳产业发展，对总部在深圳，但控股子公司在深圳市行政辖区外的也可申报，具体基本要求包括：（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w:t>
      </w:r>
      <w:r>
        <w:rPr>
          <w:rFonts w:hint="eastAsia" w:hAnsi="宋体"/>
        </w:rPr>
        <w:t>申报前三年内未发生重大安全、重大质量事故或严重环境违法行为</w:t>
      </w:r>
      <w:r>
        <w:rPr>
          <w:rFonts w:hint="eastAsia" w:cs="Times New Roman"/>
        </w:rPr>
        <w:t>。此外，为密切衔接《绿色低碳产业认定管理办法》提出的申报条件要求，额外增加一条（</w:t>
      </w:r>
      <w:r>
        <w:rPr>
          <w:rFonts w:cs="Times New Roman"/>
        </w:rPr>
        <w:t>4</w:t>
      </w:r>
      <w:r>
        <w:rPr>
          <w:rFonts w:hint="eastAsia" w:cs="Times New Roman"/>
        </w:rPr>
        <w:t>）《绿色低碳产业认定管理办法》所规定的其他要求。</w:t>
      </w:r>
    </w:p>
    <w:p>
      <w:pPr>
        <w:pStyle w:val="3"/>
        <w:numPr>
          <w:ilvl w:val="0"/>
          <w:numId w:val="4"/>
        </w:numPr>
        <w:spacing w:beforeLines="0" w:afterLines="0" w:line="360" w:lineRule="auto"/>
        <w:ind w:firstLine="569"/>
        <w:rPr>
          <w:rFonts w:ascii="Times New Roman" w:hAnsi="Times New Roman" w:cs="Times New Roman"/>
          <w:sz w:val="24"/>
        </w:rPr>
      </w:pPr>
      <w:bookmarkStart w:id="66" w:name="_Toc370"/>
      <w:r>
        <w:rPr>
          <w:rFonts w:ascii="Times New Roman" w:hAnsi="Times New Roman" w:cs="Times New Roman"/>
          <w:sz w:val="24"/>
        </w:rPr>
        <w:t>评价方法</w:t>
      </w:r>
      <w:bookmarkEnd w:id="66"/>
    </w:p>
    <w:p>
      <w:pPr>
        <w:spacing w:beforeLines="0" w:afterLines="0" w:line="360" w:lineRule="auto"/>
        <w:rPr>
          <w:rFonts w:cs="Times New Roman"/>
        </w:rPr>
      </w:pPr>
      <w:r>
        <w:rPr>
          <w:rFonts w:cs="Times New Roman"/>
        </w:rPr>
        <w:t>从</w:t>
      </w:r>
      <w:r>
        <w:rPr>
          <w:rFonts w:hint="eastAsia" w:cs="Times New Roman"/>
        </w:rPr>
        <w:t>绿色低碳产业</w:t>
      </w:r>
      <w:r>
        <w:rPr>
          <w:rFonts w:cs="Times New Roman"/>
        </w:rPr>
        <w:t>边界界定的角度出发</w:t>
      </w:r>
      <w:r>
        <w:rPr>
          <w:rFonts w:hint="eastAsia" w:cs="Times New Roman"/>
        </w:rPr>
        <w:t>，《深圳市绿色低碳产业指导目录》已经划定了较为明确的范围框架，深圳市绿色低碳产业认定评价工作应该是在《深圳市绿色低碳产业指导目录》的基础上，结合深圳市实际产业情况及行业具体特色进行进一步深化细化，提升《深圳市绿色低碳产业指导目录》落地的针对性、适用性和实操性。因此，</w:t>
      </w:r>
      <w:r>
        <w:rPr>
          <w:rFonts w:hint="eastAsia" w:cs="Times New Roman"/>
          <w:lang w:eastAsia="zh-CN"/>
        </w:rPr>
        <w:t>充电、换电设施设备制造与运营</w:t>
      </w:r>
      <w:r>
        <w:rPr>
          <w:rFonts w:hint="eastAsia" w:cs="Times New Roman"/>
        </w:rPr>
        <w:t>领域绿色低碳产业认定评价的首要评价指标应为与《深圳市绿色低碳产业指导目录》目录一致性评价的符合性指标。进而，</w:t>
      </w:r>
      <w:r>
        <w:rPr>
          <w:rFonts w:cs="Times New Roman"/>
        </w:rPr>
        <w:t>从绿色</w:t>
      </w:r>
      <w:r>
        <w:rPr>
          <w:rFonts w:hint="eastAsia" w:cs="Times New Roman"/>
        </w:rPr>
        <w:t>低碳产业</w:t>
      </w:r>
      <w:r>
        <w:rPr>
          <w:rFonts w:cs="Times New Roman"/>
        </w:rPr>
        <w:t>认定评价结果应用的角度出发</w:t>
      </w:r>
      <w:r>
        <w:rPr>
          <w:rFonts w:hint="eastAsia" w:cs="Times New Roman"/>
        </w:rPr>
        <w:t>，为避免绿色低碳产业边界框架范围内企事业单位的绿色业务影响力和自身绿色化程度与其他相关制度体系存在较大差异，导致各项政策无法更有针对性地识别扶持最重要、最关键、最紧迫的绿色低碳产业企业和绿色低碳产业项目，本标准进一步针对绿色产业框架范围内的绿色产业低碳产业企业和绿色低碳产业项目进行综合评价，设定为综合评价指标。</w:t>
      </w:r>
    </w:p>
    <w:p>
      <w:pPr>
        <w:spacing w:beforeLines="0" w:afterLines="0" w:line="360" w:lineRule="auto"/>
        <w:ind w:firstLine="480" w:firstLineChars="200"/>
        <w:rPr>
          <w:rFonts w:cs="Times New Roman"/>
        </w:rPr>
      </w:pPr>
      <w:r>
        <w:rPr>
          <w:rFonts w:hint="eastAsia" w:cs="Times New Roman"/>
        </w:rPr>
        <w:t>因此，本标准将</w:t>
      </w:r>
      <w:r>
        <w:rPr>
          <w:rFonts w:hint="eastAsia" w:cs="Times New Roman"/>
          <w:lang w:eastAsia="zh-CN"/>
        </w:rPr>
        <w:t>充电、换电设施设备制造与运营</w:t>
      </w:r>
      <w:r>
        <w:rPr>
          <w:rFonts w:hint="eastAsia" w:cs="Times New Roman"/>
        </w:rPr>
        <w:t>领域绿色低碳产业认定评价界定为符合性评价和综合评价两个阶段。满足基本要求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3"/>
        <w:numPr>
          <w:ilvl w:val="0"/>
          <w:numId w:val="4"/>
        </w:numPr>
        <w:spacing w:beforeLines="0" w:afterLines="0" w:line="360" w:lineRule="auto"/>
        <w:ind w:firstLine="569"/>
        <w:rPr>
          <w:rFonts w:ascii="Times New Roman" w:hAnsi="Times New Roman" w:cs="Times New Roman"/>
          <w:sz w:val="24"/>
        </w:rPr>
      </w:pPr>
      <w:bookmarkStart w:id="67" w:name="_Toc10407"/>
      <w:r>
        <w:rPr>
          <w:rFonts w:ascii="Times New Roman" w:hAnsi="Times New Roman" w:cs="Times New Roman"/>
          <w:sz w:val="24"/>
        </w:rPr>
        <w:t>评价</w:t>
      </w:r>
      <w:r>
        <w:rPr>
          <w:rFonts w:hint="eastAsia" w:ascii="Times New Roman" w:hAnsi="Times New Roman" w:cs="Times New Roman"/>
          <w:sz w:val="24"/>
        </w:rPr>
        <w:t>指标</w:t>
      </w:r>
      <w:bookmarkEnd w:id="67"/>
    </w:p>
    <w:p>
      <w:pPr>
        <w:spacing w:beforeLines="0" w:afterLines="0" w:line="360" w:lineRule="auto"/>
        <w:rPr>
          <w:rFonts w:cs="Times New Roman"/>
        </w:rPr>
      </w:pPr>
      <w:r>
        <w:rPr>
          <w:rFonts w:hint="eastAsia" w:cs="Times New Roman"/>
        </w:rPr>
        <w:t>本标准将</w:t>
      </w:r>
      <w:r>
        <w:rPr>
          <w:rFonts w:hint="eastAsia" w:cs="Times New Roman"/>
          <w:lang w:eastAsia="zh-CN"/>
        </w:rPr>
        <w:t>充电、换电设施设备制造与运营</w:t>
      </w:r>
      <w:r>
        <w:rPr>
          <w:rFonts w:hint="eastAsia" w:cs="Times New Roman"/>
        </w:rPr>
        <w:t>产业认定评价指标体系分为符合性评价指标和综合评价指标两种类型，其中符合性评价指标为</w:t>
      </w:r>
      <w:r>
        <w:rPr>
          <w:rFonts w:hint="eastAsia" w:cs="Times New Roman"/>
          <w:lang w:eastAsia="zh-CN"/>
        </w:rPr>
        <w:t>充电、换电设施设备制造与运营</w:t>
      </w:r>
      <w:r>
        <w:rPr>
          <w:rFonts w:hint="eastAsia" w:cs="Times New Roman"/>
        </w:rPr>
        <w:t>产业认定评价必选项，为一票否决项，综合评价指标为可选得分项。本标准对符合性评价指标和综合评价指标的分级及相应内容给出了限定。符合性评价指标宜包括但目录符合、技术符合2项反映绿色产业目录符合性情况的一级指标。综合评价指标包括技术表现、业务表现、环境表现和社会表现4项反映绿色产业绿色业务影响力和自身绿色化程度的一级指标，每类一级指标由若干个能反映出分行业具体绿色业务影响力或自身绿色化程度的二级指标组成</w:t>
      </w:r>
      <w:r>
        <w:rPr>
          <w:rFonts w:hint="eastAsia" w:cs="Times New Roman"/>
          <w:lang w:eastAsia="zh-CN"/>
        </w:rPr>
        <w:t>，另外充电柱运营企业运维充电桩数量较多，考虑企业的成本及实操性，本标准规定申报企业选取不少于5个充电设施进行评价，平均分不少于85分，同时所有运营的充电设施评分均不应小于75分。申报企业充电桩运营选取规则按照装机总容量的占比来确定，每占比20%选取充电站或者分散式充电设施</w:t>
      </w:r>
      <w:r>
        <w:rPr>
          <w:rFonts w:hint="eastAsia" w:cs="Times New Roman"/>
        </w:rPr>
        <w:t>。同时，本标准以附录形式给出了绿色低碳产业企业认定评价指标表以及绿色低碳产业项目认定评价指标表。</w:t>
      </w:r>
    </w:p>
    <w:p>
      <w:pPr>
        <w:spacing w:beforeLines="0" w:afterLines="0" w:line="360" w:lineRule="auto"/>
        <w:rPr>
          <w:rFonts w:cs="Times New Roman"/>
        </w:rPr>
      </w:pPr>
      <w:r>
        <w:rPr>
          <w:rFonts w:hint="eastAsia" w:cs="Times New Roman"/>
        </w:rPr>
        <w:t>开展绿色产业认定评价，为突出</w:t>
      </w:r>
      <w:r>
        <w:rPr>
          <w:rFonts w:hint="eastAsia" w:cs="Times New Roman"/>
          <w:lang w:eastAsia="zh-CN"/>
        </w:rPr>
        <w:t>充电、换电设施设备制造与运营</w:t>
      </w:r>
      <w:r>
        <w:rPr>
          <w:rFonts w:hint="eastAsia" w:cs="Times New Roman"/>
        </w:rPr>
        <w:t>产业的特点，明确</w:t>
      </w:r>
      <w:r>
        <w:rPr>
          <w:rFonts w:hint="eastAsia" w:cs="Times New Roman"/>
          <w:lang w:eastAsia="zh-CN"/>
        </w:rPr>
        <w:t>充电、换电设施设备制造与运营</w:t>
      </w:r>
      <w:r>
        <w:rPr>
          <w:rFonts w:hint="eastAsia" w:cs="Times New Roman"/>
        </w:rPr>
        <w:t>产业的认定范围。本标准对纳入</w:t>
      </w:r>
      <w:r>
        <w:rPr>
          <w:rFonts w:hint="eastAsia" w:cs="Times New Roman"/>
          <w:lang w:eastAsia="zh-CN"/>
        </w:rPr>
        <w:t>充电、换电设施设备制造与运营</w:t>
      </w:r>
      <w:r>
        <w:rPr>
          <w:rFonts w:hint="eastAsia" w:cs="Times New Roman"/>
        </w:rPr>
        <w:t>产业的行业大类进行界定，</w:t>
      </w:r>
      <w:r>
        <w:t>包括</w:t>
      </w:r>
      <w:r>
        <w:rPr>
          <w:rFonts w:hint="eastAsia"/>
          <w:szCs w:val="24"/>
          <w:highlight w:val="none"/>
          <w:lang w:eastAsia="zh-CN"/>
        </w:rPr>
        <w:t>充电设施及设备制造、换电设施及设备制造、</w:t>
      </w:r>
      <w:r>
        <w:rPr>
          <w:rFonts w:hint="eastAsia" w:ascii="Times New Roman" w:hAnsi="Times New Roman" w:eastAsia="宋体"/>
          <w:szCs w:val="24"/>
          <w:highlight w:val="none"/>
          <w:lang w:eastAsia="zh-CN"/>
        </w:rPr>
        <w:t>充换电设施运营</w:t>
      </w:r>
      <w:r>
        <w:rPr>
          <w:rFonts w:hint="eastAsia"/>
        </w:rPr>
        <w:t>等</w:t>
      </w:r>
      <w:r>
        <w:rPr>
          <w:rFonts w:hint="eastAsia"/>
          <w:lang w:eastAsia="zh-CN"/>
        </w:rPr>
        <w:t>充电、换电设施设备制造与运营</w:t>
      </w:r>
      <w:r>
        <w:rPr>
          <w:rFonts w:hint="eastAsia"/>
        </w:rPr>
        <w:t>产业。</w:t>
      </w:r>
    </w:p>
    <w:p>
      <w:pPr>
        <w:spacing w:beforeLines="0" w:afterLines="0" w:line="360" w:lineRule="auto"/>
        <w:ind w:firstLine="480" w:firstLineChars="200"/>
        <w:rPr>
          <w:rFonts w:cs="Times New Roman"/>
        </w:rPr>
      </w:pPr>
      <w:r>
        <w:rPr>
          <w:rFonts w:hint="eastAsia" w:cs="Times New Roman"/>
        </w:rPr>
        <w:t>从绿色产业边界界定的出发点考虑，本标准将</w:t>
      </w:r>
      <w:r>
        <w:rPr>
          <w:rFonts w:hint="eastAsia" w:cs="Times New Roman"/>
          <w:lang w:eastAsia="zh-CN"/>
        </w:rPr>
        <w:t>充电、换电设施设备制造与运营</w:t>
      </w:r>
      <w:r>
        <w:rPr>
          <w:rFonts w:hint="eastAsia" w:cs="Times New Roman"/>
        </w:rPr>
        <w:t>领域绿色低碳产业企业的符合性评价指标分为目录符合、技术</w:t>
      </w:r>
      <w:r>
        <w:rPr>
          <w:rFonts w:cs="Times New Roman"/>
        </w:rPr>
        <w:t>符合</w:t>
      </w:r>
      <w:r>
        <w:rPr>
          <w:rFonts w:hint="eastAsia" w:cs="Times New Roman"/>
        </w:rPr>
        <w:t>2个一级指标，贴合《绿色产业指导目录》产业边界及具体行业指标要求。其中，“目录符合”要求</w:t>
      </w:r>
      <w:r>
        <w:rPr>
          <w:rFonts w:hint="eastAsia" w:cs="Times New Roman"/>
          <w:lang w:eastAsia="zh-CN"/>
        </w:rPr>
        <w:t>充电、换电设施设备制造与运营</w:t>
      </w:r>
      <w:r>
        <w:rPr>
          <w:rFonts w:hint="eastAsia"/>
        </w:rPr>
        <w:t>产业企业申报认定评价的主营业务应属于《深圳市绿色低碳产业指导目录》中</w:t>
      </w:r>
      <w:r>
        <w:rPr>
          <w:rFonts w:hint="eastAsia"/>
          <w:lang w:eastAsia="zh-CN"/>
        </w:rPr>
        <w:t>充电、换电设施设备制造与运营</w:t>
      </w:r>
      <w:r>
        <w:rPr>
          <w:rFonts w:hint="eastAsia"/>
        </w:rPr>
        <w:t>产业所列明行业。且为突出企业主营业务为绿色业务，特别强调申报绿色产业认定的企事业单位，其绿色业务占比达到50%或以上，或跨界规模达到1亿元、在国内外新兴领域超前领先。</w:t>
      </w:r>
      <w:r>
        <w:rPr>
          <w:rFonts w:hint="eastAsia" w:cs="Times New Roman"/>
        </w:rPr>
        <w:t>“技术</w:t>
      </w:r>
      <w:r>
        <w:rPr>
          <w:rFonts w:cs="Times New Roman"/>
        </w:rPr>
        <w:t>符合</w:t>
      </w:r>
      <w:r>
        <w:rPr>
          <w:rFonts w:hint="eastAsia" w:cs="Times New Roman"/>
        </w:rPr>
        <w:t>”则要求</w:t>
      </w:r>
      <w:r>
        <w:rPr>
          <w:rFonts w:hint="eastAsia" w:cs="Times New Roman"/>
          <w:lang w:eastAsia="zh-CN"/>
        </w:rPr>
        <w:t>充电、换电设施设备制造与运营</w:t>
      </w:r>
      <w:r>
        <w:rPr>
          <w:rFonts w:hint="eastAsia" w:cs="Times New Roman"/>
        </w:rPr>
        <w:t>产业企业提供的产品或服务</w:t>
      </w:r>
      <w:r>
        <w:rPr>
          <w:rFonts w:hint="eastAsia" w:hAnsi="宋体"/>
        </w:rPr>
        <w:t>应符合国家、广东省及深圳市相关主管部门发布的法律法规和政策标准要求，</w:t>
      </w:r>
      <w:r>
        <w:rPr>
          <w:rFonts w:hint="eastAsia"/>
        </w:rPr>
        <w:t>相关产品及项目开发、建设情况符合深圳市绿色低碳产业认定规则体系规定的技术要求。</w:t>
      </w:r>
    </w:p>
    <w:p>
      <w:pPr>
        <w:spacing w:beforeLines="0" w:afterLines="0" w:line="360" w:lineRule="auto"/>
        <w:rPr>
          <w:rFonts w:cs="Times New Roman"/>
        </w:rPr>
      </w:pPr>
      <w:r>
        <w:rPr>
          <w:rFonts w:cs="Times New Roman"/>
        </w:rPr>
        <w:t>为进一步深化绿色产业认定评价结果的政策扶持范围和力度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二级指标及三级指标，同时对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w:t>
      </w:r>
      <w:r>
        <w:rPr>
          <w:rFonts w:hint="eastAsia" w:asciiTheme="minorEastAsia" w:hAnsiTheme="minorEastAsia" w:eastAsiaTheme="minorEastAsia"/>
          <w:lang w:eastAsia="zh-CN"/>
        </w:rPr>
        <w:t>充电、换电设施设备制造与运营</w:t>
      </w:r>
      <w:r>
        <w:rPr>
          <w:rFonts w:hint="eastAsia" w:asciiTheme="minorEastAsia" w:hAnsiTheme="minorEastAsia" w:eastAsiaTheme="minorEastAsia"/>
        </w:rPr>
        <w:t>绿色产业认定综合评价得分，</w:t>
      </w:r>
      <w:r>
        <w:rPr>
          <w:rFonts w:hint="eastAsia" w:cs="Times New Roman"/>
        </w:rPr>
        <w:t>总分采取百分制。</w:t>
      </w:r>
    </w:p>
    <w:p>
      <w:pPr>
        <w:spacing w:beforeLines="0" w:afterLines="0" w:line="360" w:lineRule="auto"/>
        <w:ind w:firstLine="480" w:firstLineChars="200"/>
        <w:rPr>
          <w:rFonts w:cs="Times New Roman"/>
        </w:rPr>
      </w:pPr>
      <w:r>
        <w:rPr>
          <w:rFonts w:hint="eastAsia" w:cs="Times New Roman"/>
        </w:rPr>
        <w:t>从全面体现绿色产业企业的绿色业务影响力和自身绿色化程度的出发点考虑，本标准将绿色产业企业的综合评价指标分为技术表现、业务表现、环境表现和社会表现等一级指标。其中，“技术表现”又分为了“先进性”和“环境效益”2个二级指标，重点体现绿色产业企业提供产品或服务的先进性和实际带来的环境效益。“先进性”要求从</w:t>
      </w:r>
      <w:r>
        <w:rPr>
          <w:rFonts w:hint="eastAsia"/>
        </w:rPr>
        <w:t>有效知识产权、参与制修订标准、</w:t>
      </w:r>
      <w:r>
        <w:rPr>
          <w:rFonts w:hint="eastAsia"/>
          <w:lang w:eastAsia="zh-CN"/>
        </w:rPr>
        <w:t>绿电采购占比、</w:t>
      </w:r>
      <w:r>
        <w:rPr>
          <w:rFonts w:hint="eastAsia"/>
        </w:rPr>
        <w:t>关键技术先进性</w:t>
      </w:r>
      <w:r>
        <w:rPr>
          <w:rFonts w:hint="eastAsia"/>
          <w:lang w:val="en-US" w:eastAsia="zh-CN"/>
        </w:rPr>
        <w:t>4</w:t>
      </w:r>
      <w:r>
        <w:rPr>
          <w:rFonts w:hint="eastAsia"/>
        </w:rPr>
        <w:t>个方面进行评价，总分23分。</w:t>
      </w:r>
      <w:r>
        <w:rPr>
          <w:rFonts w:hint="eastAsia" w:cs="Times New Roman"/>
        </w:rPr>
        <w:t>“环境效益”要求从</w:t>
      </w:r>
      <w:r>
        <w:rPr>
          <w:rFonts w:hint="eastAsia" w:hAnsi="宋体"/>
          <w:lang w:eastAsia="zh-CN"/>
        </w:rPr>
        <w:t>降碳效益、减污效益等</w:t>
      </w:r>
      <w:r>
        <w:rPr>
          <w:rFonts w:hint="eastAsia" w:cs="Times New Roman"/>
          <w:lang w:val="en-US" w:eastAsia="zh-CN"/>
        </w:rPr>
        <w:t>2</w:t>
      </w:r>
      <w:r>
        <w:rPr>
          <w:rFonts w:hint="eastAsia" w:cs="Times New Roman"/>
        </w:rPr>
        <w:t>个方面进行评价，总分</w:t>
      </w:r>
      <w:r>
        <w:rPr>
          <w:rFonts w:hint="eastAsia" w:cs="Times New Roman"/>
          <w:lang w:val="en-US" w:eastAsia="zh-CN"/>
        </w:rPr>
        <w:t>14</w:t>
      </w:r>
      <w:r>
        <w:rPr>
          <w:rFonts w:hint="eastAsia" w:cs="Times New Roman"/>
        </w:rPr>
        <w:t>分。</w:t>
      </w:r>
    </w:p>
    <w:p>
      <w:pPr>
        <w:spacing w:beforeLines="0" w:afterLines="0" w:line="360" w:lineRule="auto"/>
        <w:ind w:firstLine="480" w:firstLineChars="200"/>
        <w:rPr>
          <w:rFonts w:cs="Times New Roma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rPr>
        <w:t>绿色产业企业提供相关产品或服务的发展趋势和市场影响力。“发展能力”要求</w:t>
      </w:r>
      <w:r>
        <w:rPr>
          <w:rFonts w:hint="eastAsia"/>
        </w:rPr>
        <w:t>从团队技术实力、研发投入、业务增长率3个方面进行评价，总分1</w:t>
      </w:r>
      <w:r>
        <w:rPr>
          <w:rFonts w:hint="eastAsia"/>
          <w:lang w:val="en-US" w:eastAsia="zh-CN"/>
        </w:rPr>
        <w:t>8</w:t>
      </w:r>
      <w:r>
        <w:rPr>
          <w:rFonts w:hint="eastAsia"/>
        </w:rPr>
        <w:t>分。</w:t>
      </w:r>
      <w:r>
        <w:rPr>
          <w:rFonts w:hint="eastAsia" w:cs="Times New Roman"/>
        </w:rPr>
        <w:t>“市场影响”要求</w:t>
      </w:r>
      <w:r>
        <w:rPr>
          <w:rFonts w:hint="eastAsia"/>
        </w:rPr>
        <w:t>从市场竞争力、产业影响力、行业资质荣誉3个方面进行评价，总分2</w:t>
      </w:r>
      <w:r>
        <w:rPr>
          <w:rFonts w:hint="eastAsia"/>
          <w:lang w:val="en-US" w:eastAsia="zh-CN"/>
        </w:rPr>
        <w:t>0</w:t>
      </w:r>
      <w:r>
        <w:rPr>
          <w:rFonts w:hint="eastAsia"/>
        </w:rPr>
        <w:t>分。</w:t>
      </w:r>
    </w:p>
    <w:p>
      <w:pPr>
        <w:spacing w:beforeLines="0" w:afterLines="0" w:line="360" w:lineRule="auto"/>
        <w:ind w:firstLine="480" w:firstLineChars="200"/>
        <w:rPr>
          <w:rFonts w:cs="Times New Roman"/>
        </w:rPr>
      </w:pPr>
      <w:r>
        <w:rPr>
          <w:rFonts w:hint="eastAsia" w:cs="Times New Roman"/>
        </w:rPr>
        <w:t>“环境表现”分为了“设备材料”“能源资源利用”“污染物排放水平”和“温室气体排放水平”4个二级指标，从绿色产业企业生产运营对于源头供应、实际运作和终端排放的全链条环境管理提出要求。“设备材料”要求从设备、材料绿色化水平两方面进行评价，总分</w:t>
      </w:r>
      <w:r>
        <w:rPr>
          <w:rFonts w:hint="eastAsia" w:cs="Times New Roman"/>
          <w:lang w:val="en-US" w:eastAsia="zh-CN"/>
        </w:rPr>
        <w:t>2</w:t>
      </w:r>
      <w:r>
        <w:rPr>
          <w:rFonts w:hint="eastAsia" w:cs="Times New Roman"/>
        </w:rPr>
        <w:t>分。“能源资源利用”要求</w:t>
      </w:r>
      <w:r>
        <w:rPr>
          <w:rFonts w:hint="eastAsia"/>
        </w:rPr>
        <w:t>从可再生利用率</w:t>
      </w:r>
      <w:r>
        <w:rPr>
          <w:rFonts w:hint="eastAsia"/>
          <w:lang w:eastAsia="zh-CN"/>
        </w:rPr>
        <w:t>、能耗</w:t>
      </w:r>
      <w:r>
        <w:rPr>
          <w:rFonts w:hint="eastAsia"/>
          <w:lang w:val="en-US" w:eastAsia="zh-CN"/>
        </w:rPr>
        <w:t>2</w:t>
      </w:r>
      <w:r>
        <w:rPr>
          <w:rFonts w:hint="eastAsia"/>
        </w:rPr>
        <w:t>个方面进行评价，总分</w:t>
      </w:r>
      <w:r>
        <w:rPr>
          <w:rFonts w:hint="eastAsia"/>
          <w:lang w:val="en-US" w:eastAsia="zh-CN"/>
        </w:rPr>
        <w:t>9</w:t>
      </w:r>
      <w:r>
        <w:rPr>
          <w:rFonts w:hint="eastAsia"/>
        </w:rPr>
        <w:t>分。</w:t>
      </w:r>
      <w:r>
        <w:rPr>
          <w:rFonts w:hint="eastAsia" w:cs="Times New Roman"/>
        </w:rPr>
        <w:t>“污染物排放水平”要求应从凸显绿色产业企业环境排放达标情况等角度设置环境排放指标，在</w:t>
      </w:r>
      <w:r>
        <w:rPr>
          <w:rFonts w:hint="eastAsia"/>
        </w:rPr>
        <w:t>企业自身运营过程中，向外界产生的大气污染排放、水污染排放、固体废物排放、噪声排放优于同行业的一般水平，总分</w:t>
      </w:r>
      <w:r>
        <w:rPr>
          <w:rFonts w:hint="eastAsia"/>
          <w:lang w:val="en-US" w:eastAsia="zh-CN"/>
        </w:rPr>
        <w:t>3</w:t>
      </w:r>
      <w:r>
        <w:rPr>
          <w:rFonts w:hint="eastAsia"/>
        </w:rPr>
        <w:t>分。“温室气体水平”要求</w:t>
      </w:r>
      <w:r>
        <w:rPr>
          <w:rFonts w:hint="eastAsia" w:cs="Times New Roman"/>
        </w:rPr>
        <w:t>应从</w:t>
      </w:r>
      <w:r>
        <w:rPr>
          <w:rFonts w:hint="eastAsia"/>
        </w:rPr>
        <w:t>向外界排放的温室气体，碳排放强度相较自身前期水平下降一定程度进行评价，总分</w:t>
      </w:r>
      <w:r>
        <w:rPr>
          <w:rFonts w:hint="eastAsia"/>
          <w:lang w:val="en-US" w:eastAsia="zh-CN"/>
        </w:rPr>
        <w:t>5</w:t>
      </w:r>
      <w:r>
        <w:rPr>
          <w:rFonts w:hint="eastAsia"/>
        </w:rPr>
        <w:t>分，考虑到生产制造企业与建设运营企业在双碳下降方面存在客观的不同实现难度，因此设立不同的评价指标数值。</w:t>
      </w:r>
    </w:p>
    <w:p>
      <w:pPr>
        <w:spacing w:beforeLines="0" w:afterLines="0" w:line="360" w:lineRule="auto"/>
        <w:ind w:firstLine="480" w:firstLineChars="200"/>
      </w:pPr>
      <w:r>
        <w:rPr>
          <w:rFonts w:hint="eastAsia" w:cs="Times New Roman"/>
        </w:rPr>
        <w:t>“社会表现”分为了“内部行动”和“社会责任”2个二级指标，引导绿色产业企业贴合国家政策，开展信息披露，强化员工绿色低碳意识，展现社会责任。“内部行动”要求</w:t>
      </w:r>
      <w:r>
        <w:rPr>
          <w:rFonts w:hint="eastAsia"/>
        </w:rPr>
        <w:t>从主动信息披露、低碳培训、绿色发展行动进行评价，总分</w:t>
      </w:r>
      <w:r>
        <w:rPr>
          <w:rFonts w:hint="eastAsia"/>
          <w:lang w:val="en-US" w:eastAsia="zh-CN"/>
        </w:rPr>
        <w:t>3</w:t>
      </w:r>
      <w:r>
        <w:rPr>
          <w:rFonts w:hint="eastAsia"/>
        </w:rPr>
        <w:t>分。</w:t>
      </w:r>
      <w:r>
        <w:rPr>
          <w:rFonts w:hint="eastAsia" w:cs="Times New Roman"/>
        </w:rPr>
        <w:t>“社会责任”要求</w:t>
      </w:r>
      <w:r>
        <w:rPr>
          <w:rFonts w:hint="eastAsia"/>
        </w:rPr>
        <w:t>从举办公共关系和社会公益责任、绿色化管理2个方面进行评价，总分</w:t>
      </w:r>
      <w:r>
        <w:rPr>
          <w:rFonts w:hint="eastAsia"/>
          <w:lang w:val="en-US" w:eastAsia="zh-CN"/>
        </w:rPr>
        <w:t>3</w:t>
      </w:r>
      <w:r>
        <w:rPr>
          <w:rFonts w:hint="eastAsia"/>
        </w:rPr>
        <w:t>分。</w:t>
      </w:r>
    </w:p>
    <w:p>
      <w:pPr>
        <w:spacing w:beforeLines="0" w:afterLines="0" w:line="360" w:lineRule="auto"/>
        <w:ind w:firstLine="480" w:firstLineChars="200"/>
        <w:rPr>
          <w:rFonts w:cs="Times New Roman"/>
        </w:rPr>
      </w:pPr>
      <w:r>
        <w:rPr>
          <w:rFonts w:hint="eastAsia" w:cs="Times New Roman"/>
        </w:rPr>
        <w:t>绿色低碳产业项目认定评价与绿色低碳产业企业认定评价体系保持一致，针对符合性评价分为“目录符合”和“技术符合”。其中，“目录符合”要求</w:t>
      </w:r>
      <w:r>
        <w:rPr>
          <w:rFonts w:hint="eastAsia" w:cs="Times New Roman"/>
          <w:lang w:eastAsia="zh-CN"/>
        </w:rPr>
        <w:t>充电、换电设施设备制造与运营</w:t>
      </w:r>
      <w:r>
        <w:rPr>
          <w:rFonts w:hint="eastAsia"/>
        </w:rPr>
        <w:t>产业企业申报认定评价的主营业务应属于《深圳市绿色低碳产业指导目录》中</w:t>
      </w:r>
      <w:r>
        <w:rPr>
          <w:rFonts w:hint="eastAsia"/>
          <w:lang w:eastAsia="zh-CN"/>
        </w:rPr>
        <w:t>充电、换电设施设备制造与运营</w:t>
      </w:r>
      <w:r>
        <w:rPr>
          <w:rFonts w:hint="eastAsia"/>
        </w:rPr>
        <w:t>产业所列明行业</w:t>
      </w:r>
      <w:r>
        <w:rPr>
          <w:rFonts w:hint="eastAsia" w:cs="Times New Roman"/>
        </w:rPr>
        <w:t>，且符合安全、环保、质量相关法规政策、强制性标准等的要求。“技术符合”则要求</w:t>
      </w:r>
      <w:r>
        <w:rPr>
          <w:rFonts w:hint="eastAsia" w:cs="Times New Roman"/>
          <w:lang w:eastAsia="zh-CN"/>
        </w:rPr>
        <w:t>充电、换电设施设备制造与运营</w:t>
      </w:r>
      <w:r>
        <w:rPr>
          <w:rFonts w:hint="eastAsia" w:cs="Times New Roman"/>
        </w:rPr>
        <w:t>产业企业提供的产品或服务</w:t>
      </w:r>
      <w:r>
        <w:rPr>
          <w:rFonts w:hint="eastAsia" w:hAnsi="宋体"/>
        </w:rPr>
        <w:t>应符合国家、广东省及深圳市相关主管部门发布的法律法规和政策标准要求，</w:t>
      </w:r>
      <w:r>
        <w:rPr>
          <w:rFonts w:hint="eastAsia"/>
        </w:rPr>
        <w:t>相关产品及项目开发、建设情况符合深圳市绿色低碳产业认定规则体系规定的技术要求。</w:t>
      </w:r>
    </w:p>
    <w:p>
      <w:pPr>
        <w:spacing w:beforeLines="0" w:afterLines="0" w:line="360" w:lineRule="auto"/>
        <w:ind w:firstLine="480" w:firstLineChars="200"/>
        <w:rPr>
          <w:rFonts w:cs="Times New Roman"/>
        </w:rPr>
      </w:pPr>
      <w:r>
        <w:rPr>
          <w:rFonts w:hint="eastAsia" w:cs="Times New Roman"/>
        </w:rPr>
        <w:t>绿色低碳产业项目认定评价根据项目自身特点，同时简化项目评价流程，从技术表现和社会表现等方面进一步评价项目的绿色效益和绿色技术先进性。绿色低碳产业项目认定评价通过加和计算得出绿色产业认定综合评价得分，总分采取百分制，最终根据项目评价得分进行项目评级。申请认定评价的绿色业务属于《深圳市绿色低碳产业指导目录》所列“绿色服务”类，不参评“环境表现”类综合指标。最终评价综合得分采用百分制，通过参评得分占参评项总得分进行折算。</w:t>
      </w:r>
    </w:p>
    <w:p>
      <w:pPr>
        <w:spacing w:beforeLines="0" w:afterLines="0" w:line="360" w:lineRule="auto"/>
        <w:ind w:firstLine="480" w:firstLineChars="200"/>
        <w:rPr>
          <w:rFonts w:cs="Times New Roman"/>
        </w:rPr>
      </w:pPr>
      <w:r>
        <w:rPr>
          <w:rFonts w:hint="eastAsia" w:cs="Times New Roman"/>
        </w:rPr>
        <w:t>从全面体现绿色低碳产业项目的绿色效益和绿色技术先进性的出发点考虑，本标准将绿色低碳产业项目的综合评价指标分为技术表现、环境表现两项一级指标。其中，“技术表现”又分为了“有效知识产权”、“关键技术先进性”和“环境效益”3个二级指标，重点体现绿色低碳产业企业提供产品或服务的先进性和实际带来的环境效益。“有效知识产权”要求应从项目拥有并直接应用的有效知识产权数量情况进行评价。“关键技术先进性”可参考绿色低碳产业企业认定评价的内容进行评价。“环境效益”要求应从凸显绿色低碳产业项目提供的产品或服务带来的直接环境效益等角度设置环境效益指标，具体的评价方法及指标可参照企业评价内容。</w:t>
      </w:r>
    </w:p>
    <w:p>
      <w:pPr>
        <w:spacing w:beforeLines="0" w:afterLines="0" w:line="360" w:lineRule="auto"/>
        <w:ind w:firstLine="480" w:firstLineChars="200"/>
      </w:pPr>
      <w:r>
        <w:rPr>
          <w:rFonts w:hint="eastAsia" w:cs="Times New Roman"/>
        </w:rPr>
        <w:t>“环境表现”分为了“设备材料”“绿色低碳运营”“污染物排放水平”3个二级指标，从绿色低碳产业项目生产运营对于源头供应、实际运作和终端排放的全链条环境管理提出要求。“设备材料”评价要求可参考企业评价内容，但项目评价采用综合评估形式，对设备材料综合绿色化程度进行评价。“绿色低碳运营”为项目评价的特色指标，从单位总投资综合能耗、单位总投资用水量、单位总投资用地面积、单位总投资碳排放量、可再生利用率五个方面在行业内的领先水平进行评价。“污染物排放水平”要求应从凸显绿色低碳产业企业污染物排放达标情况等角度设置指标，大气污染物、水体污染物、固体废弃物、噪声等主要污染物排放检测指标明显优于国家、行业、广东省及深圳市地方标准要求，满足区域内排放总量控制要求。</w:t>
      </w:r>
    </w:p>
    <w:p>
      <w:pPr>
        <w:pStyle w:val="3"/>
        <w:numPr>
          <w:ilvl w:val="0"/>
          <w:numId w:val="4"/>
        </w:numPr>
        <w:spacing w:beforeLines="0" w:afterLines="0" w:line="360" w:lineRule="auto"/>
        <w:ind w:firstLine="569" w:firstLineChars="0"/>
        <w:rPr>
          <w:rFonts w:ascii="Times New Roman" w:hAnsi="Times New Roman" w:cs="Times New Roman"/>
          <w:sz w:val="24"/>
        </w:rPr>
      </w:pPr>
      <w:bookmarkStart w:id="68" w:name="_Toc80949175"/>
      <w:bookmarkStart w:id="69" w:name="_Toc28281"/>
      <w:bookmarkStart w:id="70" w:name="_Toc14855"/>
      <w:bookmarkStart w:id="71" w:name="_Toc1506"/>
      <w:r>
        <w:rPr>
          <w:rFonts w:ascii="Times New Roman" w:hAnsi="Times New Roman" w:cs="Times New Roman"/>
          <w:sz w:val="24"/>
        </w:rPr>
        <w:t>评价程序</w:t>
      </w:r>
      <w:bookmarkEnd w:id="68"/>
      <w:bookmarkEnd w:id="69"/>
      <w:bookmarkEnd w:id="70"/>
      <w:bookmarkEnd w:id="71"/>
    </w:p>
    <w:p>
      <w:pPr>
        <w:spacing w:beforeLines="0" w:afterLines="0" w:line="360" w:lineRule="auto"/>
        <w:rPr>
          <w:rFonts w:cs="Times New Roman"/>
        </w:rPr>
      </w:pPr>
      <w:r>
        <w:rPr>
          <w:rFonts w:cs="Times New Roman"/>
        </w:rPr>
        <w:t>本标准将评价程序划分为</w:t>
      </w:r>
      <w:r>
        <w:rPr>
          <w:rFonts w:hint="eastAsia" w:cs="Times New Roman"/>
        </w:rPr>
        <w:t>成立工作组、收集资料、认定评价、编制报告</w:t>
      </w:r>
      <w:r>
        <w:rPr>
          <w:rFonts w:cs="Times New Roman"/>
        </w:rPr>
        <w:t>和</w:t>
      </w:r>
      <w:r>
        <w:rPr>
          <w:rFonts w:hint="eastAsia" w:cs="Times New Roman"/>
        </w:rPr>
        <w:t>专家评审5个部分，对</w:t>
      </w:r>
      <w:r>
        <w:rPr>
          <w:rFonts w:hint="eastAsia" w:cs="Times New Roman"/>
          <w:lang w:eastAsia="zh-CN"/>
        </w:rPr>
        <w:t>充电、换电设施设备制造与运营</w:t>
      </w:r>
      <w:r>
        <w:rPr>
          <w:rFonts w:hint="eastAsia" w:cs="Times New Roman"/>
        </w:rPr>
        <w:t>产业认定评价工作前、中、后涉及的环节要点进行了明确。“成立工作组”明确了实施绿色低碳产业认定评价工作应具备的能力要求，要求工作组应具有高效节能、环境、财务等相关专业背景；熟悉掌握绿色低碳产业认定评价方法和步骤；具备良好的沟通协调能力和文字表达能力。</w:t>
      </w:r>
    </w:p>
    <w:p>
      <w:pPr>
        <w:spacing w:beforeLines="0" w:afterLines="0" w:line="360" w:lineRule="auto"/>
        <w:rPr>
          <w:rFonts w:cs="Times New Roman"/>
        </w:rPr>
      </w:pPr>
      <w:r>
        <w:rPr>
          <w:rFonts w:hint="eastAsia" w:cs="Times New Roman"/>
        </w:rPr>
        <w:t>“收集资料”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产品或服务的发展能力及市场影响相关佐证材料（9）原材料或设备的采购情况；（10）资源能源消耗、污染物排放、温室气体排放等数据和资料；（9）内部行动及社会责任证明材料；（1</w:t>
      </w:r>
      <w:r>
        <w:rPr>
          <w:rFonts w:cs="Times New Roman"/>
        </w:rPr>
        <w:t>0</w:t>
      </w:r>
      <w:r>
        <w:rPr>
          <w:rFonts w:hint="eastAsia" w:cs="Times New Roman"/>
        </w:rPr>
        <w:t>）其他必要文件资料。</w:t>
      </w:r>
    </w:p>
    <w:p>
      <w:pPr>
        <w:spacing w:beforeLines="0" w:afterLines="0" w:line="360" w:lineRule="auto"/>
        <w:rPr>
          <w:rFonts w:cs="Times New Roman"/>
        </w:rPr>
      </w:pPr>
      <w:r>
        <w:rPr>
          <w:rFonts w:hint="eastAsia" w:cs="Times New Roman"/>
        </w:rPr>
        <w:t>“认定评价”明确了绿色低碳产业认定评价工作的实施要求，开展认定评价工作应对照本文件规定的绿色低碳产业认定评价指标体系要求，查看收集的报告文件、统计报表、原始记录。根据实际情况，采用实地调查、抽样调查、人员座谈等方式补充验证评价证据，确保证据的完整性和准确性。</w:t>
      </w:r>
    </w:p>
    <w:p>
      <w:pPr>
        <w:spacing w:beforeLines="0" w:afterLines="0" w:line="360" w:lineRule="auto"/>
        <w:rPr>
          <w:rFonts w:cs="Times New Roman"/>
        </w:rPr>
      </w:pPr>
      <w:r>
        <w:rPr>
          <w:rFonts w:hint="eastAsia" w:cs="Times New Roman"/>
        </w:rPr>
        <w:t>“编制报告”明确了绿色低碳产业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Lines="0" w:afterLines="0" w:line="360" w:lineRule="auto"/>
        <w:rPr>
          <w:rFonts w:cs="Times New Roman"/>
        </w:rPr>
      </w:pPr>
      <w:r>
        <w:rPr>
          <w:rFonts w:hint="eastAsia" w:cs="Times New Roman"/>
        </w:rPr>
        <w:t>“专家评审”明确了绿色低碳产业认定评价工作最终需组织专家对绿色低碳产业认定相关申报材料进行评审，对照本文件规定的绿色低碳产业认定评价指标体系要求以及申报单位提供的佐证材料进行打分，根据</w:t>
      </w:r>
      <w:r>
        <w:rPr>
          <w:rFonts w:hint="eastAsia" w:cs="Times New Roman"/>
          <w:lang w:eastAsia="zh-CN"/>
        </w:rPr>
        <w:t>充电、换电设施设备制造与运营</w:t>
      </w:r>
      <w:r>
        <w:rPr>
          <w:rFonts w:hint="eastAsia" w:cs="Times New Roman"/>
        </w:rPr>
        <w:t>领域不同行业的达标标准给出绿色产业认定评价结果。</w:t>
      </w:r>
    </w:p>
    <w:p>
      <w:pPr>
        <w:pStyle w:val="3"/>
        <w:numPr>
          <w:ilvl w:val="0"/>
          <w:numId w:val="4"/>
        </w:numPr>
        <w:spacing w:beforeLines="0" w:afterLines="0" w:line="240" w:lineRule="auto"/>
        <w:ind w:firstLine="569"/>
        <w:rPr>
          <w:rFonts w:ascii="Times New Roman" w:hAnsi="Times New Roman" w:cs="Times New Roman"/>
          <w:sz w:val="24"/>
        </w:rPr>
      </w:pPr>
      <w:bookmarkStart w:id="72" w:name="_Toc17608"/>
      <w:bookmarkStart w:id="73" w:name="_Toc4956"/>
      <w:bookmarkStart w:id="74" w:name="_Toc20935"/>
      <w:bookmarkStart w:id="75" w:name="_Toc80949176"/>
      <w:r>
        <w:rPr>
          <w:rFonts w:hint="eastAsia" w:ascii="Times New Roman" w:hAnsi="Times New Roman" w:cs="Times New Roman"/>
          <w:sz w:val="24"/>
        </w:rPr>
        <w:t>附录</w:t>
      </w:r>
      <w:bookmarkEnd w:id="72"/>
      <w:bookmarkEnd w:id="73"/>
      <w:bookmarkEnd w:id="74"/>
      <w:bookmarkEnd w:id="75"/>
    </w:p>
    <w:p>
      <w:pPr>
        <w:spacing w:beforeLines="0" w:afterLines="0" w:line="360" w:lineRule="auto"/>
        <w:rPr>
          <w:rFonts w:cs="Times New Roman"/>
        </w:rPr>
      </w:pPr>
      <w:r>
        <w:rPr>
          <w:rFonts w:cs="Times New Roman"/>
        </w:rPr>
        <w:t>本</w:t>
      </w:r>
      <w:r>
        <w:rPr>
          <w:rFonts w:hint="eastAsia" w:cs="Times New Roman"/>
        </w:rPr>
        <w:t>文件</w:t>
      </w:r>
      <w:r>
        <w:rPr>
          <w:rFonts w:cs="Times New Roman"/>
        </w:rPr>
        <w:t>给出了</w:t>
      </w:r>
      <w:r>
        <w:rPr>
          <w:rFonts w:hint="eastAsia" w:cs="Times New Roman"/>
        </w:rPr>
        <w:t>3个附录，附录A为</w:t>
      </w:r>
      <w:r>
        <w:rPr>
          <w:rFonts w:hint="eastAsia"/>
          <w:lang w:eastAsia="zh-CN"/>
        </w:rPr>
        <w:t>充电、换电设施设备制造与运营</w:t>
      </w:r>
      <w:r>
        <w:rPr>
          <w:rFonts w:hint="eastAsia"/>
        </w:rPr>
        <w:t>产业认定评价指标表</w:t>
      </w:r>
      <w:r>
        <w:rPr>
          <w:rFonts w:hint="eastAsia" w:cs="Times New Roman"/>
        </w:rPr>
        <w:t>，绿色低碳产业企业认定评价和绿色低碳产业项目认定评价的符合性指标的得分为是/否选项，固定一级指标，具有一票否决作用。综合指标的得分为评价得分，一级指标保持固定，每类二级指标与绿色产业评定认定导则保持一致，评价指标直接采用绿色产业评定认定导则规定的评价内容及评价方法。每项指标进而明确各指标赋值。</w:t>
      </w:r>
    </w:p>
    <w:p>
      <w:pPr>
        <w:spacing w:beforeLines="0" w:afterLines="0" w:line="360" w:lineRule="auto"/>
        <w:rPr>
          <w:rFonts w:cs="Times New Roman"/>
        </w:rPr>
      </w:pPr>
      <w:r>
        <w:rPr>
          <w:rFonts w:cs="Times New Roman"/>
        </w:rPr>
        <w:t>附录</w:t>
      </w:r>
      <w:r>
        <w:rPr>
          <w:rFonts w:hint="eastAsia" w:cs="Times New Roman"/>
        </w:rPr>
        <w:t>B</w:t>
      </w:r>
      <w:r>
        <w:rPr>
          <w:rFonts w:cs="Times New Roman"/>
        </w:rPr>
        <w:t>为</w:t>
      </w:r>
      <w:r>
        <w:rPr>
          <w:rFonts w:hint="eastAsia" w:cs="Times New Roman"/>
          <w:lang w:eastAsia="zh-CN"/>
        </w:rPr>
        <w:t>充电、换电设施设备制造与运营</w:t>
      </w:r>
      <w:r>
        <w:rPr>
          <w:rFonts w:hint="eastAsia" w:cs="Times New Roman"/>
        </w:rPr>
        <w:t>行业绿色低碳</w:t>
      </w:r>
      <w:r>
        <w:rPr>
          <w:rFonts w:cs="Times New Roman"/>
        </w:rPr>
        <w:t>产业认定评价报告模板</w:t>
      </w:r>
      <w:r>
        <w:rPr>
          <w:rFonts w:hint="eastAsia" w:cs="Times New Roman"/>
        </w:rPr>
        <w:t>，从封面、基本信息、基本情况概述、绿色产业认定情况、评分表、评价结论、附录等方面指导申报单位填报申报信息。</w:t>
      </w:r>
    </w:p>
    <w:p>
      <w:pPr>
        <w:spacing w:beforeLines="0" w:afterLines="0" w:line="360" w:lineRule="auto"/>
        <w:rPr>
          <w:rFonts w:cs="Times New Roman"/>
        </w:rPr>
      </w:pPr>
      <w:r>
        <w:rPr>
          <w:rFonts w:hint="eastAsia" w:cs="Times New Roman"/>
        </w:rPr>
        <w:t>附录C为</w:t>
      </w:r>
      <w:r>
        <w:rPr>
          <w:rFonts w:hint="eastAsia" w:cs="Times New Roman"/>
          <w:lang w:eastAsia="zh-CN"/>
        </w:rPr>
        <w:t>充电、换电设施设备制造与运营</w:t>
      </w:r>
      <w:r>
        <w:rPr>
          <w:rFonts w:hint="eastAsia" w:cs="Times New Roman"/>
        </w:rPr>
        <w:t>行业绿色低碳产业项目认定评价报告模板，从封面、基本信息、评价工作概述、绿色低碳产业认定情况、评分表、评价结论、附录等方面指导申报单位填报申报信息。</w:t>
      </w:r>
    </w:p>
    <w:p>
      <w:pPr>
        <w:spacing w:beforeLines="0" w:afterLines="0" w:line="360" w:lineRule="auto"/>
        <w:rPr>
          <w:rFonts w:cs="Times New Roman"/>
        </w:rPr>
      </w:pPr>
    </w:p>
    <w:p>
      <w:pPr>
        <w:pStyle w:val="2"/>
        <w:numPr>
          <w:ilvl w:val="0"/>
          <w:numId w:val="3"/>
        </w:numPr>
        <w:spacing w:beforeLines="0" w:afterLines="0" w:line="360" w:lineRule="auto"/>
        <w:ind w:left="567" w:firstLineChars="0"/>
        <w:rPr>
          <w:rFonts w:cs="Times New Roman"/>
          <w:sz w:val="24"/>
        </w:rPr>
      </w:pPr>
      <w:bookmarkStart w:id="76" w:name="_Toc16524"/>
      <w:bookmarkStart w:id="77" w:name="_Toc80949177"/>
      <w:bookmarkStart w:id="78" w:name="_Toc1945"/>
      <w:bookmarkStart w:id="79" w:name="_Toc28107"/>
      <w:r>
        <w:rPr>
          <w:rFonts w:hint="eastAsia" w:cs="Times New Roman"/>
          <w:sz w:val="24"/>
        </w:rPr>
        <w:t>是否涉及专利</w:t>
      </w:r>
      <w:bookmarkEnd w:id="76"/>
      <w:bookmarkEnd w:id="77"/>
      <w:bookmarkEnd w:id="78"/>
      <w:bookmarkEnd w:id="79"/>
    </w:p>
    <w:p>
      <w:pPr>
        <w:spacing w:beforeLines="0" w:afterLines="0" w:line="360" w:lineRule="auto"/>
        <w:ind w:firstLine="480" w:firstLineChars="200"/>
        <w:rPr>
          <w:rFonts w:cs="Times New Roman"/>
        </w:rPr>
      </w:pPr>
      <w:r>
        <w:rPr>
          <w:rFonts w:hint="eastAsia" w:cs="Times New Roman"/>
        </w:rPr>
        <w:t>否</w:t>
      </w:r>
    </w:p>
    <w:p>
      <w:pPr>
        <w:pStyle w:val="2"/>
        <w:numPr>
          <w:ilvl w:val="0"/>
          <w:numId w:val="3"/>
        </w:numPr>
        <w:spacing w:beforeLines="0" w:afterLines="0" w:line="360" w:lineRule="auto"/>
        <w:ind w:left="567" w:firstLineChars="0"/>
        <w:rPr>
          <w:rFonts w:cs="Times New Roman"/>
          <w:sz w:val="24"/>
        </w:rPr>
      </w:pPr>
      <w:bookmarkStart w:id="80" w:name="_Toc28770"/>
      <w:bookmarkStart w:id="81" w:name="_Toc19283"/>
      <w:bookmarkStart w:id="82" w:name="_Toc80949178"/>
      <w:bookmarkStart w:id="83" w:name="_Toc411"/>
      <w:r>
        <w:rPr>
          <w:rFonts w:cs="Times New Roman"/>
          <w:sz w:val="24"/>
        </w:rPr>
        <w:t>与有关的现行法律、法规和强制性国家标准的关系</w:t>
      </w:r>
      <w:bookmarkEnd w:id="80"/>
      <w:bookmarkEnd w:id="81"/>
      <w:bookmarkEnd w:id="82"/>
      <w:bookmarkEnd w:id="83"/>
    </w:p>
    <w:p>
      <w:pPr>
        <w:spacing w:beforeLines="0" w:afterLines="0" w:line="360" w:lineRule="auto"/>
        <w:ind w:firstLine="480" w:firstLineChars="200"/>
        <w:rPr>
          <w:rFonts w:cs="Times New Roman"/>
        </w:rPr>
      </w:pPr>
      <w:r>
        <w:rPr>
          <w:rFonts w:hint="eastAsia" w:cs="Times New Roman"/>
        </w:rPr>
        <w:t>无</w:t>
      </w:r>
    </w:p>
    <w:p>
      <w:pPr>
        <w:pStyle w:val="2"/>
        <w:numPr>
          <w:ilvl w:val="0"/>
          <w:numId w:val="3"/>
        </w:numPr>
        <w:spacing w:beforeLines="0" w:afterLines="0" w:line="360" w:lineRule="auto"/>
        <w:ind w:left="567" w:firstLineChars="0"/>
        <w:rPr>
          <w:rFonts w:cs="Times New Roman"/>
          <w:sz w:val="24"/>
        </w:rPr>
      </w:pPr>
      <w:bookmarkStart w:id="84" w:name="_Toc19442"/>
      <w:bookmarkStart w:id="85" w:name="_Toc23292"/>
      <w:bookmarkStart w:id="86" w:name="_Toc18447"/>
      <w:bookmarkStart w:id="87" w:name="_Toc80949179"/>
      <w:r>
        <w:rPr>
          <w:rFonts w:hint="eastAsia" w:cs="Times New Roman"/>
          <w:sz w:val="24"/>
        </w:rPr>
        <w:t>重大意见分歧的处理依据和结果</w:t>
      </w:r>
      <w:bookmarkEnd w:id="84"/>
      <w:bookmarkEnd w:id="85"/>
      <w:bookmarkEnd w:id="86"/>
      <w:bookmarkEnd w:id="87"/>
    </w:p>
    <w:p>
      <w:pPr>
        <w:spacing w:beforeLines="0" w:afterLines="0" w:line="360" w:lineRule="auto"/>
        <w:ind w:firstLine="480" w:firstLineChars="200"/>
        <w:rPr>
          <w:rFonts w:cs="Times New Roman"/>
        </w:rPr>
      </w:pPr>
      <w:r>
        <w:rPr>
          <w:rFonts w:hint="eastAsia" w:cs="Times New Roman"/>
        </w:rPr>
        <w:t>无</w:t>
      </w:r>
    </w:p>
    <w:p>
      <w:pPr>
        <w:spacing w:beforeLines="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Lines="0" w:afterLines="0" w:line="360" w:lineRule="auto"/>
        <w:jc w:val="right"/>
        <w:rPr>
          <w:rFonts w:cs="Times New Roman"/>
        </w:rPr>
      </w:pPr>
      <w:r>
        <w:rPr>
          <w:rFonts w:cs="Times New Roman"/>
        </w:rPr>
        <w:t>202</w:t>
      </w:r>
      <w:r>
        <w:rPr>
          <w:rFonts w:hint="eastAsia" w:cs="Times New Roman"/>
        </w:rPr>
        <w:t>3</w:t>
      </w:r>
      <w:r>
        <w:rPr>
          <w:rFonts w:cs="Times New Roman"/>
        </w:rPr>
        <w:t>年</w:t>
      </w:r>
      <w:r>
        <w:rPr>
          <w:rFonts w:hint="eastAsia" w:cs="Times New Roman"/>
        </w:rPr>
        <w:t>4</w:t>
      </w:r>
      <w:r>
        <w:rPr>
          <w:rFonts w:cs="Times New Roman"/>
        </w:rPr>
        <w:t>月</w:t>
      </w:r>
    </w:p>
    <w:sectPr>
      <w:footerReference r:id="rId16" w:type="first"/>
      <w:footerReference r:id="rId15" w:type="default"/>
      <w:pgSz w:w="11906" w:h="16838"/>
      <w:pgMar w:top="1247" w:right="1469" w:bottom="1247" w:left="1440" w:header="510" w:footer="0" w:gutter="0"/>
      <w:pgNumType w:fmt="decimal"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p>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0</w:t>
                    </w:r>
                    <w:r>
                      <w:fldChar w:fldCharType="end"/>
                    </w:r>
                  </w:p>
                </w:txbxContent>
              </v:textbox>
            </v:shape>
          </w:pict>
        </mc:Fallback>
      </mc:AlternateContent>
    </w:r>
  </w:p>
  <w:p>
    <w:pPr>
      <w:pStyle w:val="8"/>
      <w:spacing w:before="120" w:after="120"/>
      <w:ind w:right="360" w:firstLine="4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0" w:firstLineChars="0"/>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2693035</wp:posOffset>
              </wp:positionH>
              <wp:positionV relativeFrom="paragraph">
                <wp:posOffset>-182245</wp:posOffset>
              </wp:positionV>
              <wp:extent cx="469265" cy="5803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9265" cy="580390"/>
                      </a:xfrm>
                      <a:prstGeom prst="rect">
                        <a:avLst/>
                      </a:prstGeom>
                      <a:noFill/>
                      <a:ln>
                        <a:noFill/>
                      </a:ln>
                    </wps:spPr>
                    <wps:txbx>
                      <w:txbxContent>
                        <w:p>
                          <w:pPr>
                            <w:pStyle w:val="8"/>
                          </w:pPr>
                          <w:r>
                            <w:fldChar w:fldCharType="begin"/>
                          </w:r>
                          <w:r>
                            <w:instrText xml:space="preserve"> PAGE  \* MERGEFORMAT </w:instrText>
                          </w:r>
                          <w:r>
                            <w:fldChar w:fldCharType="separate"/>
                          </w:r>
                          <w:r>
                            <w:t>0</w:t>
                          </w:r>
                          <w:r>
                            <w:fldChar w:fldCharType="end"/>
                          </w:r>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left:212.05pt;margin-top:-14.35pt;height:45.7pt;width:36.95pt;mso-position-horizontal-relative:margin;z-index:251660288;mso-width-relative:page;mso-height-relative:page;" filled="f" stroked="f" coordsize="21600,21600" o:gfxdata="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SmiJdoA&#10;AAAKAQAADwAAAAAAAAABACAAAAAiAAAAZHJzL2Rvd25yZXYueG1sUEsBAhQAFAAAAAgAh07iQPOW&#10;zBLkAQAAvgMAAA4AAAAAAAAAAQAgAAAAKQEAAGRycy9lMm9Eb2MueG1sUEsFBgAAAAAGAAYAWQEA&#10;AH8FAAAAAA==&#10;">
              <v:fill on="f" focussize="0,0"/>
              <v:stroke on="f"/>
              <v:imagedata o:title=""/>
              <o:lock v:ext="edit" aspectratio="f"/>
              <v:textbox inset="0mm,0mm,0mm,0mm">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0" w:firstLineChars="0"/>
                            <w:jc w:val="center"/>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ind w:firstLine="0" w:firstLineChars="0"/>
                      <w:jc w:val="center"/>
                    </w:pPr>
                    <w:r>
                      <w:fldChar w:fldCharType="begin"/>
                    </w:r>
                    <w:r>
                      <w:instrText xml:space="preserve"> PAGE  \* MERGEFORMAT </w:instrText>
                    </w:r>
                    <w:r>
                      <w:fldChar w:fldCharType="separate"/>
                    </w:r>
                    <w:r>
                      <w:t>0</w:t>
                    </w:r>
                    <w:r>
                      <w:fldChar w:fldCharType="end"/>
                    </w:r>
                  </w:p>
                </w:txbxContent>
              </v:textbox>
            </v:shape>
          </w:pict>
        </mc:Fallback>
      </mc:AlternateContent>
    </w:r>
  </w:p>
  <w:p>
    <w:pPr>
      <w:pStyle w:val="8"/>
      <w:spacing w:before="120" w:after="120"/>
      <w:ind w:right="360" w:firstLine="4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2693035</wp:posOffset>
              </wp:positionH>
              <wp:positionV relativeFrom="paragraph">
                <wp:posOffset>-182245</wp:posOffset>
              </wp:positionV>
              <wp:extent cx="469265" cy="5803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69265" cy="580390"/>
                      </a:xfrm>
                      <a:prstGeom prst="rect">
                        <a:avLst/>
                      </a:prstGeom>
                      <a:noFill/>
                      <a:ln>
                        <a:noFill/>
                      </a:ln>
                    </wps:spPr>
                    <wps:txbx>
                      <w:txbxContent>
                        <w:p>
                          <w:pPr>
                            <w:pStyle w:val="8"/>
                          </w:pPr>
                        </w:p>
                      </w:txbxContent>
                    </wps:txbx>
                    <wps:bodyPr lIns="0" tIns="0" rIns="0" bIns="0" upright="0"/>
                  </wps:wsp>
                </a:graphicData>
              </a:graphic>
            </wp:anchor>
          </w:drawing>
        </mc:Choice>
        <mc:Fallback>
          <w:pict>
            <v:shape id="_x0000_s1026" o:spid="_x0000_s1026" o:spt="202" type="#_x0000_t202" style="position:absolute;left:0pt;margin-left:212.05pt;margin-top:-14.35pt;height:45.7pt;width:36.95pt;mso-position-horizontal-relative:margin;z-index:251662336;mso-width-relative:page;mso-height-relative:page;" filled="f" stroked="f" coordsize="21600,21600" o:gfxdata="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9KaIl2gAAAAoBAAAPAAAAAAAAAAEAIAAAACIAAABkcnMvZG93bnJldi54bWxQ&#10;SwECFAAUAAAACACHTuJAPMOOFLwBAABxAwAADgAAAAAAAAABACAAAAApAQAAZHJzL2Uyb0RvYy54&#10;bWxQSwUGAAAAAAYABgBZAQAAVwUAAAAA&#10;">
              <v:fill on="f" focussize="0,0"/>
              <v:stroke on="f"/>
              <v:imagedata o:title=""/>
              <o:lock v:ext="edit" aspectratio="f"/>
              <v:textbox inset="0mm,0mm,0mm,0mm">
                <w:txbxContent>
                  <w:p>
                    <w:pPr>
                      <w:pStyle w:val="8"/>
                    </w:pPr>
                  </w:p>
                </w:txbxContent>
              </v:textbox>
            </v:shape>
          </w:pict>
        </mc:Fallback>
      </mc:AlternateContent>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1">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abstractNum w:abstractNumId="3">
    <w:nsid w:val="5CDA3E25"/>
    <w:multiLevelType w:val="singleLevel"/>
    <w:tmpl w:val="5CDA3E25"/>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2FmYTQ0NTEzOGM1ZDYzMTZiMzY3NjMxMmI1MmQifQ=="/>
  </w:docVars>
  <w:rsids>
    <w:rsidRoot w:val="00291BAB"/>
    <w:rsid w:val="0000072F"/>
    <w:rsid w:val="000055C1"/>
    <w:rsid w:val="0000762C"/>
    <w:rsid w:val="00007E9F"/>
    <w:rsid w:val="0001338E"/>
    <w:rsid w:val="00017864"/>
    <w:rsid w:val="000218F1"/>
    <w:rsid w:val="0002500D"/>
    <w:rsid w:val="000328BC"/>
    <w:rsid w:val="000460A9"/>
    <w:rsid w:val="0004615E"/>
    <w:rsid w:val="00047DB1"/>
    <w:rsid w:val="000530B4"/>
    <w:rsid w:val="0005510D"/>
    <w:rsid w:val="00057D14"/>
    <w:rsid w:val="00060053"/>
    <w:rsid w:val="00062C14"/>
    <w:rsid w:val="00063004"/>
    <w:rsid w:val="000649DB"/>
    <w:rsid w:val="00064DD2"/>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827"/>
    <w:rsid w:val="00101CF1"/>
    <w:rsid w:val="00101EE8"/>
    <w:rsid w:val="0010324C"/>
    <w:rsid w:val="00103250"/>
    <w:rsid w:val="00103E28"/>
    <w:rsid w:val="00113D65"/>
    <w:rsid w:val="00120B26"/>
    <w:rsid w:val="00122111"/>
    <w:rsid w:val="0012426E"/>
    <w:rsid w:val="001254DC"/>
    <w:rsid w:val="001265E1"/>
    <w:rsid w:val="001276DE"/>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35CA"/>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288E"/>
    <w:rsid w:val="00206F61"/>
    <w:rsid w:val="00211B38"/>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413"/>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1DF"/>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245B"/>
    <w:rsid w:val="004235F0"/>
    <w:rsid w:val="00424B49"/>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C59"/>
    <w:rsid w:val="004C4FC9"/>
    <w:rsid w:val="004C66B1"/>
    <w:rsid w:val="004D09E2"/>
    <w:rsid w:val="004D4D5F"/>
    <w:rsid w:val="004E0262"/>
    <w:rsid w:val="004E1049"/>
    <w:rsid w:val="004E1EEF"/>
    <w:rsid w:val="004E1F8B"/>
    <w:rsid w:val="004E28E0"/>
    <w:rsid w:val="004E6F2F"/>
    <w:rsid w:val="004F1FB8"/>
    <w:rsid w:val="004F220A"/>
    <w:rsid w:val="004F2538"/>
    <w:rsid w:val="004F657A"/>
    <w:rsid w:val="00500E60"/>
    <w:rsid w:val="005049D5"/>
    <w:rsid w:val="005049D8"/>
    <w:rsid w:val="00506928"/>
    <w:rsid w:val="0050722C"/>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47FD3"/>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A5F52"/>
    <w:rsid w:val="005A6DDF"/>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0D47"/>
    <w:rsid w:val="00613A51"/>
    <w:rsid w:val="0062185C"/>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41836"/>
    <w:rsid w:val="007508D7"/>
    <w:rsid w:val="007531DC"/>
    <w:rsid w:val="00754324"/>
    <w:rsid w:val="007611E9"/>
    <w:rsid w:val="00762ED9"/>
    <w:rsid w:val="00766B51"/>
    <w:rsid w:val="007737B8"/>
    <w:rsid w:val="0077507E"/>
    <w:rsid w:val="00776103"/>
    <w:rsid w:val="00776C10"/>
    <w:rsid w:val="00784610"/>
    <w:rsid w:val="007877DD"/>
    <w:rsid w:val="00787C62"/>
    <w:rsid w:val="00790052"/>
    <w:rsid w:val="007909DF"/>
    <w:rsid w:val="007923F9"/>
    <w:rsid w:val="007947EF"/>
    <w:rsid w:val="007A0F82"/>
    <w:rsid w:val="007A4BAE"/>
    <w:rsid w:val="007B3754"/>
    <w:rsid w:val="007C235A"/>
    <w:rsid w:val="007C272A"/>
    <w:rsid w:val="007C30C3"/>
    <w:rsid w:val="007C4447"/>
    <w:rsid w:val="007D0564"/>
    <w:rsid w:val="007E0434"/>
    <w:rsid w:val="007E049B"/>
    <w:rsid w:val="007E0ECE"/>
    <w:rsid w:val="007E1B7A"/>
    <w:rsid w:val="007E73C4"/>
    <w:rsid w:val="007F0456"/>
    <w:rsid w:val="007F10E6"/>
    <w:rsid w:val="007F1AD1"/>
    <w:rsid w:val="007F463A"/>
    <w:rsid w:val="007F5BF4"/>
    <w:rsid w:val="007F5C73"/>
    <w:rsid w:val="00800666"/>
    <w:rsid w:val="00801E72"/>
    <w:rsid w:val="008029D2"/>
    <w:rsid w:val="00803C86"/>
    <w:rsid w:val="00811A78"/>
    <w:rsid w:val="008135D8"/>
    <w:rsid w:val="00814C23"/>
    <w:rsid w:val="00817B3B"/>
    <w:rsid w:val="00822C1E"/>
    <w:rsid w:val="00823BDC"/>
    <w:rsid w:val="008319AF"/>
    <w:rsid w:val="00837577"/>
    <w:rsid w:val="00840BBC"/>
    <w:rsid w:val="008462C5"/>
    <w:rsid w:val="0085682E"/>
    <w:rsid w:val="008613A8"/>
    <w:rsid w:val="0086289B"/>
    <w:rsid w:val="0086495A"/>
    <w:rsid w:val="0086531F"/>
    <w:rsid w:val="0086548E"/>
    <w:rsid w:val="0086721A"/>
    <w:rsid w:val="008674C8"/>
    <w:rsid w:val="00874059"/>
    <w:rsid w:val="00874490"/>
    <w:rsid w:val="00874AB3"/>
    <w:rsid w:val="00876D27"/>
    <w:rsid w:val="00877238"/>
    <w:rsid w:val="0087754B"/>
    <w:rsid w:val="00877C5A"/>
    <w:rsid w:val="008820DB"/>
    <w:rsid w:val="00886CFA"/>
    <w:rsid w:val="008870DC"/>
    <w:rsid w:val="00887816"/>
    <w:rsid w:val="00891D0B"/>
    <w:rsid w:val="008946D7"/>
    <w:rsid w:val="0089549E"/>
    <w:rsid w:val="00895C79"/>
    <w:rsid w:val="008A0DF0"/>
    <w:rsid w:val="008A308E"/>
    <w:rsid w:val="008A33E7"/>
    <w:rsid w:val="008A3E22"/>
    <w:rsid w:val="008B15AF"/>
    <w:rsid w:val="008B3DEF"/>
    <w:rsid w:val="008B5845"/>
    <w:rsid w:val="008C34AA"/>
    <w:rsid w:val="008C3988"/>
    <w:rsid w:val="008C4808"/>
    <w:rsid w:val="008C4A83"/>
    <w:rsid w:val="008C6E5E"/>
    <w:rsid w:val="008C7637"/>
    <w:rsid w:val="008D1A5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6A63"/>
    <w:rsid w:val="00926E27"/>
    <w:rsid w:val="0092765E"/>
    <w:rsid w:val="009345F2"/>
    <w:rsid w:val="0093461C"/>
    <w:rsid w:val="00935B43"/>
    <w:rsid w:val="009365A2"/>
    <w:rsid w:val="00936F55"/>
    <w:rsid w:val="009407DD"/>
    <w:rsid w:val="00940D45"/>
    <w:rsid w:val="009416AB"/>
    <w:rsid w:val="009506B3"/>
    <w:rsid w:val="00952711"/>
    <w:rsid w:val="00954315"/>
    <w:rsid w:val="00957D68"/>
    <w:rsid w:val="00966081"/>
    <w:rsid w:val="009667B5"/>
    <w:rsid w:val="00967885"/>
    <w:rsid w:val="00970052"/>
    <w:rsid w:val="009754A7"/>
    <w:rsid w:val="00981A58"/>
    <w:rsid w:val="00983189"/>
    <w:rsid w:val="009842EE"/>
    <w:rsid w:val="0098782F"/>
    <w:rsid w:val="0099686C"/>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6024"/>
    <w:rsid w:val="009D7C43"/>
    <w:rsid w:val="009E0C37"/>
    <w:rsid w:val="009E102F"/>
    <w:rsid w:val="009E222D"/>
    <w:rsid w:val="009E260B"/>
    <w:rsid w:val="009E55C4"/>
    <w:rsid w:val="009F16E7"/>
    <w:rsid w:val="009F1737"/>
    <w:rsid w:val="009F3102"/>
    <w:rsid w:val="009F3652"/>
    <w:rsid w:val="009F6EDD"/>
    <w:rsid w:val="00A047CC"/>
    <w:rsid w:val="00A0640F"/>
    <w:rsid w:val="00A129A7"/>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51D3"/>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C2F26"/>
    <w:rsid w:val="00AC3580"/>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303F8"/>
    <w:rsid w:val="00B30613"/>
    <w:rsid w:val="00B4250D"/>
    <w:rsid w:val="00B46247"/>
    <w:rsid w:val="00B55582"/>
    <w:rsid w:val="00B56507"/>
    <w:rsid w:val="00B57B80"/>
    <w:rsid w:val="00B61337"/>
    <w:rsid w:val="00B61A2C"/>
    <w:rsid w:val="00B6476A"/>
    <w:rsid w:val="00B65989"/>
    <w:rsid w:val="00B66F92"/>
    <w:rsid w:val="00B70D0E"/>
    <w:rsid w:val="00B74D5E"/>
    <w:rsid w:val="00B77F5E"/>
    <w:rsid w:val="00B80455"/>
    <w:rsid w:val="00B809AC"/>
    <w:rsid w:val="00B810F8"/>
    <w:rsid w:val="00B831AB"/>
    <w:rsid w:val="00B83B04"/>
    <w:rsid w:val="00B85743"/>
    <w:rsid w:val="00B865CB"/>
    <w:rsid w:val="00B90C01"/>
    <w:rsid w:val="00B92FD3"/>
    <w:rsid w:val="00BA0C5F"/>
    <w:rsid w:val="00BA0F28"/>
    <w:rsid w:val="00BA1D6E"/>
    <w:rsid w:val="00BA1E65"/>
    <w:rsid w:val="00BB056F"/>
    <w:rsid w:val="00BB1BEE"/>
    <w:rsid w:val="00BC0E06"/>
    <w:rsid w:val="00BC0F29"/>
    <w:rsid w:val="00BC106F"/>
    <w:rsid w:val="00BC2D75"/>
    <w:rsid w:val="00BC4BFA"/>
    <w:rsid w:val="00BC4D2B"/>
    <w:rsid w:val="00BC6476"/>
    <w:rsid w:val="00BC763F"/>
    <w:rsid w:val="00BD2FC9"/>
    <w:rsid w:val="00BD77FB"/>
    <w:rsid w:val="00BE09B7"/>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38FD"/>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77914"/>
    <w:rsid w:val="00D82DA6"/>
    <w:rsid w:val="00D83D07"/>
    <w:rsid w:val="00D86F80"/>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076EC"/>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5F6A"/>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555"/>
    <w:rsid w:val="00F22C8B"/>
    <w:rsid w:val="00F23227"/>
    <w:rsid w:val="00F26F9F"/>
    <w:rsid w:val="00F31FFD"/>
    <w:rsid w:val="00F41984"/>
    <w:rsid w:val="00F46AD5"/>
    <w:rsid w:val="00F47552"/>
    <w:rsid w:val="00F5034B"/>
    <w:rsid w:val="00F52CCA"/>
    <w:rsid w:val="00F53AF8"/>
    <w:rsid w:val="00F53B13"/>
    <w:rsid w:val="00F541CE"/>
    <w:rsid w:val="00F56894"/>
    <w:rsid w:val="00F56AE9"/>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1742"/>
    <w:rsid w:val="00FF25DE"/>
    <w:rsid w:val="00FF29E1"/>
    <w:rsid w:val="0FE45EF8"/>
    <w:rsid w:val="165C762C"/>
    <w:rsid w:val="23663490"/>
    <w:rsid w:val="308B037D"/>
    <w:rsid w:val="30EF7DF1"/>
    <w:rsid w:val="422225CA"/>
    <w:rsid w:val="472A7B8C"/>
    <w:rsid w:val="486515BB"/>
    <w:rsid w:val="487C13BF"/>
    <w:rsid w:val="4CE12735"/>
    <w:rsid w:val="52D5715F"/>
    <w:rsid w:val="52F018FA"/>
    <w:rsid w:val="54592EE3"/>
    <w:rsid w:val="5ABE3BEF"/>
    <w:rsid w:val="5DAA417B"/>
    <w:rsid w:val="5F836B97"/>
    <w:rsid w:val="61F03613"/>
    <w:rsid w:val="62B05CBC"/>
    <w:rsid w:val="64687BB8"/>
    <w:rsid w:val="6BBC3065"/>
    <w:rsid w:val="716438C8"/>
    <w:rsid w:val="722D0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0" w:beforeLines="0" w:after="0" w:afterLines="0" w:line="560" w:lineRule="exact"/>
      <w:ind w:firstLine="723" w:firstLineChars="200"/>
      <w:outlineLvl w:val="0"/>
    </w:pPr>
    <w:rPr>
      <w:b/>
      <w:bCs/>
      <w:kern w:val="44"/>
      <w:sz w:val="44"/>
      <w:szCs w:val="44"/>
    </w:rPr>
  </w:style>
  <w:style w:type="paragraph" w:styleId="3">
    <w:name w:val="heading 2"/>
    <w:basedOn w:val="1"/>
    <w:next w:val="1"/>
    <w:link w:val="33"/>
    <w:unhideWhenUsed/>
    <w:qFormat/>
    <w:uiPriority w:val="9"/>
    <w:pPr>
      <w:keepNext/>
      <w:keepLines/>
      <w:spacing w:before="0" w:beforeLines="0" w:after="0" w:afterLines="0" w:line="560" w:lineRule="exact"/>
      <w:ind w:firstLine="723" w:firstLineChars="200"/>
      <w:outlineLvl w:val="1"/>
    </w:pPr>
    <w:rPr>
      <w:rFonts w:asciiTheme="majorAscii" w:hAnsiTheme="majorAsci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Lines="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Char"/>
    <w:basedOn w:val="14"/>
    <w:link w:val="4"/>
    <w:qFormat/>
    <w:uiPriority w:val="99"/>
    <w:rPr>
      <w:rFonts w:ascii="Times New Roman" w:hAnsi="Times New Roman" w:eastAsia="宋体" w:cs="Times New Roman"/>
      <w:szCs w:val="21"/>
    </w:rPr>
  </w:style>
  <w:style w:type="character" w:customStyle="1" w:styleId="29">
    <w:name w:val="批注主题 Char"/>
    <w:basedOn w:val="28"/>
    <w:link w:val="12"/>
    <w:semiHidden/>
    <w:qFormat/>
    <w:uiPriority w:val="99"/>
    <w:rPr>
      <w:rFonts w:ascii="Times New Roman" w:hAnsi="Times New Roman" w:eastAsia="宋体" w:cs="Times New Roman"/>
      <w:b/>
      <w:bCs/>
      <w:szCs w:val="21"/>
    </w:rPr>
  </w:style>
  <w:style w:type="character" w:customStyle="1" w:styleId="30">
    <w:name w:val="批注框文本 Char"/>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Char"/>
    <w:basedOn w:val="14"/>
    <w:link w:val="2"/>
    <w:qFormat/>
    <w:uiPriority w:val="9"/>
    <w:rPr>
      <w:rFonts w:ascii="Times New Roman" w:hAnsi="Times New Roman" w:eastAsia="宋体" w:cs="宋体"/>
      <w:b/>
      <w:bCs/>
      <w:kern w:val="44"/>
      <w:sz w:val="44"/>
      <w:szCs w:val="44"/>
    </w:rPr>
  </w:style>
  <w:style w:type="character" w:customStyle="1" w:styleId="33">
    <w:name w:val="标题 2 Char"/>
    <w:basedOn w:val="14"/>
    <w:link w:val="3"/>
    <w:qFormat/>
    <w:uiPriority w:val="9"/>
    <w:rPr>
      <w:rFonts w:asciiTheme="majorAscii" w:hAnsiTheme="majorAscii" w:eastAsiaTheme="majorEastAsia" w:cstheme="majorBidi"/>
      <w:b/>
      <w:bCs/>
      <w:sz w:val="32"/>
      <w:szCs w:val="32"/>
    </w:rPr>
  </w:style>
  <w:style w:type="paragraph" w:customStyle="1" w:styleId="34">
    <w:name w:val="TOC 标题1"/>
    <w:basedOn w:val="2"/>
    <w:next w:val="1"/>
    <w:unhideWhenUsed/>
    <w:qFormat/>
    <w:uiPriority w:val="39"/>
    <w:pPr>
      <w:widowControl/>
      <w:spacing w:beforeLines="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7">
    <w:name w:val="列项◆（三级）"/>
    <w:basedOn w:val="1"/>
    <w:qFormat/>
    <w:uiPriority w:val="0"/>
    <w:pPr>
      <w:numPr>
        <w:ilvl w:val="2"/>
        <w:numId w:val="2"/>
      </w:numPr>
      <w:spacing w:beforeLines="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lang w:val="en-US" w:eastAsia="zh-CN" w:bidi="ar-SA"/>
    </w:rPr>
  </w:style>
  <w:style w:type="character" w:customStyle="1" w:styleId="39">
    <w:name w:val="正文文本 Char"/>
    <w:basedOn w:val="14"/>
    <w:link w:val="5"/>
    <w:qFormat/>
    <w:uiPriority w:val="99"/>
    <w:rPr>
      <w:rFonts w:ascii="Times New Roman" w:hAnsi="Times New Roman" w:eastAsia="宋体" w:cs="宋体"/>
      <w:sz w:val="24"/>
      <w:szCs w:val="24"/>
    </w:rPr>
  </w:style>
  <w:style w:type="paragraph" w:customStyle="1" w:styleId="40">
    <w:name w:val="封面标准英文名称"/>
    <w:basedOn w:val="1"/>
    <w:qFormat/>
    <w:uiPriority w:val="0"/>
    <w:pPr>
      <w:framePr w:w="9639" w:h="6917" w:hRule="exact" w:wrap="around" w:vAnchor="page" w:hAnchor="page" w:xAlign="center" w:y="6408" w:anchorLock="1"/>
      <w:spacing w:beforeLines="0" w:afterLines="0" w:line="400" w:lineRule="exact"/>
      <w:ind w:firstLine="0" w:firstLineChars="0"/>
      <w:jc w:val="center"/>
      <w:textAlignment w:val="center"/>
    </w:pPr>
    <w:rPr>
      <w:rFonts w:eastAsia="黑体" w:cs="Times New Roman"/>
      <w:kern w:val="0"/>
      <w:sz w:val="28"/>
      <w:szCs w:val="28"/>
    </w:rPr>
  </w:style>
  <w:style w:type="paragraph" w:customStyle="1" w:styleId="4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6148C-43F1-4A0B-B0D3-3B9C274B29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10020</Words>
  <Characters>10231</Characters>
  <Lines>76</Lines>
  <Paragraphs>21</Paragraphs>
  <TotalTime>12</TotalTime>
  <ScaleCrop>false</ScaleCrop>
  <LinksUpToDate>false</LinksUpToDate>
  <CharactersWithSpaces>10415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2023-05-25T08:23:00Z</dcterms:created>
  <dc:creator>吴薇群</dc:creator>
  <cp:lastModifiedBy>Administrator</cp:lastModifiedBy>
  <cp:lastPrinted>2022-11-09T12:24:00Z</cp:lastPrinted>
  <dcterms:modified xsi:type="dcterms:W3CDTF">2023-05-29T03:50:35Z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3F1B207AF8FF49BBB88DD125DC2A9DA3_13</vt:lpwstr>
  </property>
</Properties>
</file>