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hint="eastAsia" w:eastAsia="黑体" w:cs="Times New Roman"/>
          <w:b/>
          <w:sz w:val="36"/>
          <w:szCs w:val="36"/>
          <w:lang w:eastAsia="zh-CN"/>
        </w:rPr>
      </w:pPr>
      <w:r>
        <w:rPr>
          <w:rFonts w:eastAsia="黑体" w:cs="Times New Roman"/>
          <w:b/>
          <w:sz w:val="36"/>
          <w:szCs w:val="36"/>
        </w:rPr>
        <w:t>绿色</w:t>
      </w:r>
      <w:r>
        <w:rPr>
          <w:rFonts w:hint="eastAsia" w:eastAsia="黑体" w:cs="Times New Roman"/>
          <w:b/>
          <w:sz w:val="36"/>
          <w:szCs w:val="36"/>
          <w:lang w:val="en-US" w:eastAsia="zh-CN"/>
        </w:rPr>
        <w:t>低碳</w:t>
      </w:r>
      <w:r>
        <w:rPr>
          <w:rFonts w:eastAsia="黑体" w:cs="Times New Roman"/>
          <w:b/>
          <w:sz w:val="36"/>
          <w:szCs w:val="36"/>
        </w:rPr>
        <w:t>产业认定</w:t>
      </w:r>
      <w:r>
        <w:rPr>
          <w:rFonts w:hint="eastAsia" w:eastAsia="黑体" w:cs="Times New Roman"/>
          <w:b/>
          <w:sz w:val="36"/>
          <w:szCs w:val="36"/>
        </w:rPr>
        <w:t xml:space="preserve">行业技术规范 </w:t>
      </w:r>
      <w:r>
        <w:rPr>
          <w:rFonts w:hint="eastAsia" w:eastAsia="黑体" w:cs="Times New Roman"/>
          <w:b/>
          <w:sz w:val="36"/>
          <w:szCs w:val="36"/>
          <w:lang w:eastAsia="zh-CN"/>
        </w:rPr>
        <w:t>建筑节能与绿色建筑</w:t>
      </w:r>
    </w:p>
    <w:p>
      <w:pPr>
        <w:spacing w:line="417" w:lineRule="auto"/>
        <w:ind w:right="560" w:firstLine="0" w:firstLineChars="0"/>
        <w:jc w:val="center"/>
        <w:rPr>
          <w:rFonts w:cs="Times New Roman"/>
          <w:b/>
          <w:sz w:val="36"/>
          <w:szCs w:val="36"/>
        </w:rPr>
      </w:pPr>
      <w:r>
        <w:rPr>
          <w:rFonts w:hint="eastAsia" w:cs="Times New Roman"/>
          <w:b/>
          <w:sz w:val="36"/>
          <w:szCs w:val="36"/>
        </w:rPr>
        <w:t xml:space="preserve">Technical specifications of green </w:t>
      </w:r>
      <w:r>
        <w:rPr>
          <w:rFonts w:hint="eastAsia" w:cs="Times New Roman"/>
          <w:b/>
          <w:sz w:val="36"/>
          <w:szCs w:val="36"/>
          <w:lang w:val="en-US" w:eastAsia="zh-CN"/>
        </w:rPr>
        <w:t xml:space="preserve">and Low-carbon </w:t>
      </w:r>
      <w:r>
        <w:rPr>
          <w:rFonts w:hint="eastAsia" w:cs="Times New Roman"/>
          <w:b/>
          <w:sz w:val="36"/>
          <w:szCs w:val="36"/>
        </w:rPr>
        <w:t>industr</w:t>
      </w:r>
      <w:r>
        <w:rPr>
          <w:rFonts w:hint="eastAsia" w:cs="Times New Roman"/>
          <w:b/>
          <w:sz w:val="36"/>
          <w:szCs w:val="36"/>
          <w:lang w:val="en-US" w:eastAsia="zh-CN"/>
        </w:rPr>
        <w:t xml:space="preserve">ies </w:t>
      </w:r>
      <w:r>
        <w:rPr>
          <w:rFonts w:hint="eastAsia" w:cs="Times New Roman"/>
          <w:b/>
          <w:sz w:val="36"/>
          <w:szCs w:val="36"/>
        </w:rPr>
        <w:t xml:space="preserve">identification </w:t>
      </w:r>
    </w:p>
    <w:p>
      <w:pPr>
        <w:spacing w:line="417" w:lineRule="auto"/>
        <w:ind w:right="560" w:firstLine="0" w:firstLineChars="0"/>
        <w:jc w:val="center"/>
        <w:rPr>
          <w:rFonts w:cs="Times New Roman"/>
          <w:b/>
          <w:sz w:val="36"/>
          <w:szCs w:val="36"/>
        </w:rPr>
      </w:pPr>
      <w:r>
        <w:rPr>
          <w:rFonts w:hint="eastAsia" w:cs="Times New Roman"/>
          <w:b/>
          <w:sz w:val="36"/>
          <w:szCs w:val="36"/>
        </w:rPr>
        <w:t>Building energy efficiency and green building</w:t>
      </w:r>
      <w:r>
        <w:rPr>
          <w:rFonts w:hint="eastAsia" w:cs="Times New Roman"/>
          <w:b/>
          <w:sz w:val="36"/>
          <w:szCs w:val="36"/>
          <w:lang w:val="en-US" w:eastAsia="zh-CN"/>
        </w:rPr>
        <w:t>s</w:t>
      </w:r>
    </w:p>
    <w:p>
      <w:pPr>
        <w:spacing w:before="0" w:beforeLines="0" w:after="0" w:afterLines="0" w:line="360" w:lineRule="auto"/>
        <w:ind w:firstLine="0" w:firstLineChars="0"/>
        <w:jc w:val="center"/>
        <w:rPr>
          <w:rFonts w:cs="Times New Roman"/>
          <w:b/>
          <w:sz w:val="28"/>
          <w:szCs w:val="28"/>
        </w:rPr>
      </w:pPr>
      <w:r>
        <w:rPr>
          <w:rFonts w:hint="eastAsia" w:eastAsia="黑体" w:cs="Times New Roman"/>
          <w:b/>
          <w:sz w:val="36"/>
          <w:szCs w:val="36"/>
        </w:rPr>
        <w:t xml:space="preserve"> </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 xml:space="preserve">绿色产业认定行业技术规范 </w:t>
      </w:r>
      <w:r>
        <w:rPr>
          <w:rFonts w:hint="eastAsia" w:cs="Times New Roman"/>
          <w:b/>
          <w:sz w:val="28"/>
          <w:szCs w:val="28"/>
          <w:lang w:eastAsia="zh-CN"/>
        </w:rPr>
        <w:t>建筑节能与绿色建筑</w:t>
      </w:r>
      <w:r>
        <w:rPr>
          <w:rFonts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lang w:val="en-US" w:eastAsia="zh-CN"/>
        </w:rPr>
        <w:t>三</w:t>
      </w:r>
      <w:r>
        <w:rPr>
          <w:rFonts w:cs="Times New Roman"/>
          <w:b/>
          <w:sz w:val="28"/>
          <w:szCs w:val="28"/>
        </w:rPr>
        <w:t>年</w:t>
      </w:r>
      <w:r>
        <w:rPr>
          <w:rFonts w:hint="eastAsia" w:cs="Times New Roman"/>
          <w:b/>
          <w:sz w:val="28"/>
          <w:szCs w:val="28"/>
          <w:lang w:val="en-US" w:eastAsia="zh-CN"/>
        </w:rPr>
        <w:t>五</w:t>
      </w:r>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bCs/>
              <w:lang w:val="zh-CN"/>
            </w:rPr>
            <w:fldChar w:fldCharType="begin"/>
          </w:r>
          <w:r>
            <w:rPr>
              <w:rFonts w:cs="Times New Roman"/>
              <w:bCs/>
              <w:lang w:val="zh-CN"/>
            </w:rPr>
            <w:instrText xml:space="preserve"> HYPERLINK \l _Toc5943 </w:instrText>
          </w:r>
          <w:r>
            <w:rPr>
              <w:rFonts w:cs="Times New Roman"/>
              <w:bCs/>
              <w:lang w:val="zh-CN"/>
            </w:rPr>
            <w:fldChar w:fldCharType="separate"/>
          </w:r>
          <w:r>
            <w:rPr>
              <w:rFonts w:cs="Times New Roman"/>
            </w:rPr>
            <w:t>一、 任务背景</w:t>
          </w:r>
          <w:r>
            <w:tab/>
          </w:r>
          <w:r>
            <w:fldChar w:fldCharType="begin"/>
          </w:r>
          <w:r>
            <w:instrText xml:space="preserve"> PAGEREF _Toc5943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_Toc30521 </w:instrText>
          </w:r>
          <w:r>
            <w:rPr>
              <w:rFonts w:cs="Times New Roman"/>
              <w:bCs/>
              <w:lang w:val="zh-CN"/>
            </w:rPr>
            <w:fldChar w:fldCharType="separate"/>
          </w:r>
          <w:r>
            <w:rPr>
              <w:rFonts w:cs="Times New Roman"/>
            </w:rPr>
            <w:t>二、 任务来源</w:t>
          </w:r>
          <w:r>
            <w:tab/>
          </w:r>
          <w:r>
            <w:fldChar w:fldCharType="begin"/>
          </w:r>
          <w:r>
            <w:instrText xml:space="preserve"> PAGEREF _Toc30521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_Toc29972 </w:instrText>
          </w:r>
          <w:r>
            <w:rPr>
              <w:rFonts w:cs="Times New Roman"/>
              <w:bCs/>
              <w:lang w:val="zh-CN"/>
            </w:rPr>
            <w:fldChar w:fldCharType="separate"/>
          </w:r>
          <w:r>
            <w:rPr>
              <w:rFonts w:cs="Times New Roman"/>
            </w:rPr>
            <w:t>三、 目的和意义</w:t>
          </w:r>
          <w:r>
            <w:tab/>
          </w:r>
          <w:r>
            <w:fldChar w:fldCharType="begin"/>
          </w:r>
          <w:r>
            <w:instrText xml:space="preserve"> PAGEREF _Toc29972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_Toc713 </w:instrText>
          </w:r>
          <w:r>
            <w:rPr>
              <w:rFonts w:cs="Times New Roman"/>
              <w:bCs/>
              <w:lang w:val="zh-CN"/>
            </w:rPr>
            <w:fldChar w:fldCharType="separate"/>
          </w:r>
          <w:r>
            <w:rPr>
              <w:rFonts w:cs="Times New Roman"/>
            </w:rPr>
            <w:t>四、 编制原则及技术依据</w:t>
          </w:r>
          <w:r>
            <w:tab/>
          </w:r>
          <w:r>
            <w:fldChar w:fldCharType="begin"/>
          </w:r>
          <w:r>
            <w:instrText xml:space="preserve"> PAGEREF _Toc713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_Toc24843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_Toc24843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_Toc6293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_Toc6293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_Toc434 </w:instrText>
          </w:r>
          <w:r>
            <w:rPr>
              <w:rFonts w:cs="Times New Roman"/>
              <w:bCs/>
              <w:lang w:val="zh-CN"/>
            </w:rPr>
            <w:fldChar w:fldCharType="separate"/>
          </w:r>
          <w:r>
            <w:rPr>
              <w:rFonts w:cs="Times New Roman"/>
            </w:rPr>
            <w:t>五、 主要编制过程</w:t>
          </w:r>
          <w:r>
            <w:tab/>
          </w:r>
          <w:r>
            <w:fldChar w:fldCharType="begin"/>
          </w:r>
          <w:r>
            <w:instrText xml:space="preserve"> PAGEREF _Toc434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_Toc17181 </w:instrText>
          </w:r>
          <w:r>
            <w:rPr>
              <w:rFonts w:cs="Times New Roman"/>
              <w:bCs/>
              <w:lang w:val="zh-CN"/>
            </w:rPr>
            <w:fldChar w:fldCharType="separate"/>
          </w:r>
          <w:r>
            <w:rPr>
              <w:rFonts w:ascii="Times New Roman" w:hAnsi="Times New Roman" w:cs="Times New Roman"/>
            </w:rPr>
            <w:t>（一）前期准备</w:t>
          </w:r>
          <w:r>
            <w:tab/>
          </w:r>
          <w:r>
            <w:fldChar w:fldCharType="begin"/>
          </w:r>
          <w:r>
            <w:instrText xml:space="preserve"> PAGEREF _Toc17181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_Toc17608 </w:instrText>
          </w:r>
          <w:r>
            <w:rPr>
              <w:rFonts w:cs="Times New Roman"/>
              <w:bCs/>
              <w:lang w:val="zh-CN"/>
            </w:rPr>
            <w:fldChar w:fldCharType="separate"/>
          </w:r>
          <w:r>
            <w:rPr>
              <w:rFonts w:ascii="Times New Roman" w:hAnsi="Times New Roman" w:cs="Times New Roman"/>
            </w:rPr>
            <w:t>（二）确定标准</w:t>
          </w:r>
          <w:r>
            <w:rPr>
              <w:rFonts w:hint="eastAsia" w:ascii="Times New Roman" w:hAnsi="Times New Roman" w:cs="Times New Roman"/>
            </w:rPr>
            <w:t>编制</w:t>
          </w:r>
          <w:r>
            <w:rPr>
              <w:rFonts w:ascii="Times New Roman" w:hAnsi="Times New Roman" w:cs="Times New Roman"/>
            </w:rPr>
            <w:t>原则</w:t>
          </w:r>
          <w:r>
            <w:tab/>
          </w:r>
          <w:r>
            <w:fldChar w:fldCharType="begin"/>
          </w:r>
          <w:r>
            <w:instrText xml:space="preserve"> PAGEREF _Toc17608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_Toc31090 </w:instrText>
          </w:r>
          <w:r>
            <w:rPr>
              <w:rFonts w:cs="Times New Roman"/>
              <w:bCs/>
              <w:lang w:val="zh-CN"/>
            </w:rPr>
            <w:fldChar w:fldCharType="separate"/>
          </w:r>
          <w:r>
            <w:rPr>
              <w:rFonts w:ascii="Times New Roman" w:hAnsi="Times New Roman" w:cs="Times New Roman"/>
            </w:rPr>
            <w:t>（四）标准起草过程</w:t>
          </w:r>
          <w:r>
            <w:tab/>
          </w:r>
          <w:r>
            <w:fldChar w:fldCharType="begin"/>
          </w:r>
          <w:r>
            <w:instrText xml:space="preserve"> PAGEREF _Toc31090 \h </w:instrText>
          </w:r>
          <w:r>
            <w:fldChar w:fldCharType="separate"/>
          </w:r>
          <w:r>
            <w:t>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_Toc19489 </w:instrText>
          </w:r>
          <w:r>
            <w:rPr>
              <w:rFonts w:cs="Times New Roman"/>
              <w:bCs/>
              <w:lang w:val="zh-CN"/>
            </w:rPr>
            <w:fldChar w:fldCharType="separate"/>
          </w:r>
          <w:r>
            <w:rPr>
              <w:rFonts w:cs="Times New Roman"/>
            </w:rPr>
            <w:t>六、 主要内容</w:t>
          </w:r>
          <w:r>
            <w:tab/>
          </w:r>
          <w:r>
            <w:fldChar w:fldCharType="begin"/>
          </w:r>
          <w:r>
            <w:instrText xml:space="preserve"> PAGEREF _Toc19489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_Toc26877 </w:instrText>
          </w:r>
          <w:r>
            <w:rPr>
              <w:rFonts w:cs="Times New Roman"/>
              <w:bCs/>
              <w:lang w:val="zh-CN"/>
            </w:rPr>
            <w:fldChar w:fldCharType="separate"/>
          </w:r>
          <w:r>
            <w:rPr>
              <w:rFonts w:ascii="Times New Roman" w:hAnsi="Times New Roman" w:cs="Times New Roman"/>
            </w:rPr>
            <w:t>（一）标准属性</w:t>
          </w:r>
          <w:r>
            <w:tab/>
          </w:r>
          <w:r>
            <w:fldChar w:fldCharType="begin"/>
          </w:r>
          <w:r>
            <w:instrText xml:space="preserve"> PAGEREF _Toc26877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_Toc24287 </w:instrText>
          </w:r>
          <w:r>
            <w:rPr>
              <w:rFonts w:cs="Times New Roman"/>
              <w:bCs/>
              <w:lang w:val="zh-CN"/>
            </w:rPr>
            <w:fldChar w:fldCharType="separate"/>
          </w:r>
          <w:r>
            <w:rPr>
              <w:rFonts w:hint="eastAsia" w:ascii="Times New Roman" w:hAnsi="Times New Roman" w:cs="Times New Roman"/>
            </w:rPr>
            <w:t>（二）</w:t>
          </w:r>
          <w:r>
            <w:rPr>
              <w:rFonts w:ascii="Times New Roman" w:hAnsi="Times New Roman" w:cs="Times New Roman"/>
            </w:rPr>
            <w:t>标准架构</w:t>
          </w:r>
          <w:r>
            <w:tab/>
          </w:r>
          <w:r>
            <w:fldChar w:fldCharType="begin"/>
          </w:r>
          <w:r>
            <w:instrText xml:space="preserve"> PAGEREF _Toc24287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_Toc13897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）范围</w:t>
          </w:r>
          <w:r>
            <w:tab/>
          </w:r>
          <w:r>
            <w:fldChar w:fldCharType="begin"/>
          </w:r>
          <w:r>
            <w:instrText xml:space="preserve"> PAGEREF _Toc13897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_Toc27014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术语和定义</w:t>
          </w:r>
          <w:r>
            <w:tab/>
          </w:r>
          <w:r>
            <w:fldChar w:fldCharType="begin"/>
          </w:r>
          <w:r>
            <w:instrText xml:space="preserve"> PAGEREF _Toc27014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_Toc13645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五</w:t>
          </w:r>
          <w:r>
            <w:rPr>
              <w:rFonts w:ascii="Times New Roman" w:hAnsi="Times New Roman" w:cs="Times New Roman"/>
            </w:rPr>
            <w:t>）</w:t>
          </w:r>
          <w:r>
            <w:rPr>
              <w:rFonts w:hint="eastAsia" w:ascii="Times New Roman" w:hAnsi="Times New Roman" w:cs="Times New Roman"/>
            </w:rPr>
            <w:t>评价原则</w:t>
          </w:r>
          <w:r>
            <w:tab/>
          </w:r>
          <w:r>
            <w:fldChar w:fldCharType="begin"/>
          </w:r>
          <w:r>
            <w:instrText xml:space="preserve"> PAGEREF _Toc13645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_Toc11187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基本要求</w:t>
          </w:r>
          <w:r>
            <w:tab/>
          </w:r>
          <w:r>
            <w:fldChar w:fldCharType="begin"/>
          </w:r>
          <w:r>
            <w:instrText xml:space="preserve"> PAGEREF _Toc11187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_Toc23748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r>
            <w:tab/>
          </w:r>
          <w:r>
            <w:fldChar w:fldCharType="begin"/>
          </w:r>
          <w:r>
            <w:instrText xml:space="preserve"> PAGEREF _Toc23748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_Toc26743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w:t>
          </w:r>
          <w:r>
            <w:rPr>
              <w:rFonts w:hint="eastAsia" w:ascii="Times New Roman" w:hAnsi="Times New Roman" w:cs="Times New Roman"/>
            </w:rPr>
            <w:t>评价指标</w:t>
          </w:r>
          <w:r>
            <w:tab/>
          </w:r>
          <w:r>
            <w:fldChar w:fldCharType="begin"/>
          </w:r>
          <w:r>
            <w:instrText xml:space="preserve"> PAGEREF _Toc26743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_Toc5531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r>
            <w:tab/>
          </w:r>
          <w:r>
            <w:fldChar w:fldCharType="begin"/>
          </w:r>
          <w:r>
            <w:instrText xml:space="preserve"> PAGEREF _Toc5531 \h </w:instrText>
          </w:r>
          <w:r>
            <w:fldChar w:fldCharType="separate"/>
          </w:r>
          <w:r>
            <w:t>10</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_Toc22186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r>
            <w:tab/>
          </w:r>
          <w:r>
            <w:fldChar w:fldCharType="begin"/>
          </w:r>
          <w:r>
            <w:instrText xml:space="preserve"> PAGEREF _Toc22186 \h </w:instrText>
          </w:r>
          <w:r>
            <w:fldChar w:fldCharType="separate"/>
          </w:r>
          <w:r>
            <w:t>11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_Toc20093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_Toc20093 \h </w:instrText>
          </w:r>
          <w:r>
            <w:fldChar w:fldCharType="separate"/>
          </w:r>
          <w:r>
            <w:t>12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_Toc14512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_Toc14512 \h </w:instrText>
          </w:r>
          <w:r>
            <w:fldChar w:fldCharType="separate"/>
          </w:r>
          <w:r>
            <w:t>12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_Toc15617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_Toc15617 \h </w:instrText>
          </w:r>
          <w:r>
            <w:fldChar w:fldCharType="separate"/>
          </w:r>
          <w:r>
            <w:t>12</w:t>
          </w:r>
          <w:r>
            <w:fldChar w:fldCharType="end"/>
          </w:r>
          <w:r>
            <w:rPr>
              <w:rFonts w:cs="Times New Roman"/>
              <w:bCs/>
              <w:lang w:val="zh-CN"/>
            </w:rPr>
            <w:fldChar w:fldCharType="end"/>
          </w:r>
        </w:p>
        <w:p>
          <w:pPr>
            <w:spacing w:before="0" w:beforeLines="0" w:after="0" w:afterLines="0" w:line="360" w:lineRule="auto"/>
            <w:rPr>
              <w:rFonts w:cs="Times New Roman"/>
            </w:rPr>
          </w:pPr>
          <w:r>
            <w:rPr>
              <w:rFonts w:cs="Times New Roman"/>
              <w:bCs/>
              <w:lang w:val="zh-CN"/>
            </w:rPr>
            <w:fldChar w:fldCharType="end"/>
          </w:r>
        </w:p>
      </w:sdtContent>
    </w:sdt>
    <w:p>
      <w:pPr>
        <w:spacing w:before="0" w:beforeLines="0" w:after="0" w:afterLines="0" w:line="360" w:lineRule="auto"/>
        <w:rPr>
          <w:rFonts w:cs="Times New Roman"/>
        </w:rPr>
      </w:pPr>
    </w:p>
    <w:p>
      <w:pPr>
        <w:pStyle w:val="2"/>
        <w:numPr>
          <w:ilvl w:val="0"/>
          <w:numId w:val="3"/>
        </w:numPr>
        <w:spacing w:before="0" w:beforeLines="0" w:after="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992" w:gutter="0"/>
          <w:pgNumType w:start="1"/>
          <w:cols w:space="425" w:num="1"/>
          <w:titlePg/>
          <w:docGrid w:type="lines" w:linePitch="312" w:charSpace="0"/>
        </w:sectPr>
      </w:pPr>
    </w:p>
    <w:p>
      <w:pPr>
        <w:pStyle w:val="2"/>
        <w:numPr>
          <w:ilvl w:val="0"/>
          <w:numId w:val="3"/>
        </w:numPr>
        <w:spacing w:before="0" w:beforeLines="0" w:after="0" w:afterLines="0" w:line="360" w:lineRule="auto"/>
        <w:ind w:left="567" w:firstLineChars="0"/>
        <w:rPr>
          <w:rFonts w:cs="Times New Roman"/>
          <w:sz w:val="24"/>
        </w:rPr>
      </w:pPr>
      <w:bookmarkStart w:id="0" w:name="_Toc5943"/>
      <w:bookmarkStart w:id="1" w:name="_Toc14103"/>
      <w:r>
        <w:rPr>
          <w:rFonts w:cs="Times New Roman"/>
          <w:sz w:val="24"/>
        </w:rPr>
        <w:t>任务背景</w:t>
      </w:r>
      <w:bookmarkEnd w:id="0"/>
      <w:bookmarkEnd w:id="1"/>
    </w:p>
    <w:p>
      <w:pPr>
        <w:spacing w:before="0" w:beforeLines="0" w:after="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产业，既是推进生态文明建设、打赢污染防治攻坚战、落实双碳目标行动的有力支撑，也是培育绿色发展新动能、实现高质量发展的重要内容。为解决绿色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0" w:beforeLines="0" w:after="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0" w:beforeLines="0" w:after="0" w:afterLines="0" w:line="360" w:lineRule="auto"/>
        <w:ind w:firstLine="480" w:firstLineChars="200"/>
        <w:rPr>
          <w:rFonts w:cs="Times New Roman"/>
          <w:highlight w:val="yellow"/>
        </w:rPr>
      </w:pPr>
      <w:r>
        <w:rPr>
          <w:rFonts w:hint="eastAsia" w:cs="Times New Roman"/>
        </w:rPr>
        <w:t>因此，</w:t>
      </w:r>
      <w:r>
        <w:rPr>
          <w:rFonts w:hint="eastAsia" w:cs="Times New Roman"/>
          <w:lang w:val="en-US" w:eastAsia="zh-CN"/>
        </w:rPr>
        <w:t>为有效建立深圳绿色低碳产业认定规则体系，有必要建立以《绿色低碳产业认定评价导则》为认定评价基础，多项技术规范深化评价指标的“1+N”绿色低碳产业认定评价体系。</w:t>
      </w:r>
      <w:r>
        <w:rPr>
          <w:rFonts w:hint="eastAsia" w:cs="Times New Roman"/>
        </w:rPr>
        <w:t>本标准以《绿色</w:t>
      </w:r>
      <w:r>
        <w:rPr>
          <w:rFonts w:hint="eastAsia" w:cs="Times New Roman"/>
          <w:lang w:val="en-US" w:eastAsia="zh-CN"/>
        </w:rPr>
        <w:t>低碳</w:t>
      </w:r>
      <w:r>
        <w:rPr>
          <w:rFonts w:hint="eastAsia" w:cs="Times New Roman"/>
        </w:rPr>
        <w:t>产业认定评价导则》为基础，结合国家《绿色产业指导目录》</w:t>
      </w:r>
      <w:r>
        <w:rPr>
          <w:rFonts w:hint="eastAsia" w:cs="Times New Roman"/>
          <w:lang w:eastAsia="zh-CN"/>
        </w:rPr>
        <w:t>、《</w:t>
      </w:r>
      <w:r>
        <w:rPr>
          <w:rFonts w:hint="eastAsia" w:cs="Times New Roman"/>
          <w:lang w:val="en-US" w:eastAsia="zh-CN"/>
        </w:rPr>
        <w:t>深圳绿色低碳产业指导目录</w:t>
      </w:r>
      <w:r>
        <w:rPr>
          <w:rFonts w:hint="eastAsia" w:cs="Times New Roman"/>
          <w:lang w:eastAsia="zh-CN"/>
        </w:rPr>
        <w:t>》</w:t>
      </w:r>
      <w:r>
        <w:rPr>
          <w:rFonts w:hint="eastAsia" w:cs="Times New Roman"/>
        </w:rPr>
        <w:t>相关内容，确定</w:t>
      </w:r>
      <w:r>
        <w:rPr>
          <w:rFonts w:hint="eastAsia" w:cs="Times New Roman"/>
          <w:lang w:eastAsia="zh-CN"/>
        </w:rPr>
        <w:t>建筑节能与绿色建筑</w:t>
      </w:r>
      <w:r>
        <w:rPr>
          <w:rFonts w:hint="eastAsia" w:cs="Times New Roman"/>
          <w:lang w:val="en-US" w:eastAsia="zh-CN"/>
        </w:rPr>
        <w:t>领域</w:t>
      </w:r>
      <w:r>
        <w:rPr>
          <w:rFonts w:hint="eastAsia" w:cs="Times New Roman"/>
        </w:rPr>
        <w:t>涵盖的行业范围，通过大量相关行业实地调研，结合深圳实际情况，规定了深圳市</w:t>
      </w:r>
      <w:r>
        <w:rPr>
          <w:rFonts w:hint="eastAsia" w:cs="Times New Roman"/>
          <w:lang w:eastAsia="zh-CN"/>
        </w:rPr>
        <w:t>建筑节能与绿色建筑</w:t>
      </w:r>
      <w:r>
        <w:rPr>
          <w:rFonts w:hint="eastAsia" w:cs="Times New Roman"/>
          <w:lang w:val="en-US" w:eastAsia="zh-CN"/>
        </w:rPr>
        <w:t>领域</w:t>
      </w:r>
      <w:r>
        <w:rPr>
          <w:rFonts w:hint="eastAsia" w:cs="Times New Roman"/>
        </w:rPr>
        <w:t>产业认定评价</w:t>
      </w:r>
      <w:r>
        <w:rPr>
          <w:rFonts w:hint="eastAsia" w:cs="Times New Roman"/>
          <w:lang w:val="en-US" w:eastAsia="zh-CN"/>
        </w:rPr>
        <w:t>原则与基本要求</w:t>
      </w:r>
      <w:r>
        <w:rPr>
          <w:rFonts w:hint="eastAsia" w:cs="Times New Roman"/>
        </w:rPr>
        <w:t>，给出了</w:t>
      </w:r>
      <w:r>
        <w:rPr>
          <w:rFonts w:hint="eastAsia" w:cs="Times New Roman"/>
          <w:lang w:eastAsia="zh-CN"/>
        </w:rPr>
        <w:t>建筑节能与绿色建筑</w:t>
      </w:r>
      <w:r>
        <w:rPr>
          <w:rFonts w:hint="eastAsia" w:cs="Times New Roman"/>
          <w:lang w:val="en-US" w:eastAsia="zh-CN"/>
        </w:rPr>
        <w:t>领域</w:t>
      </w:r>
      <w:r>
        <w:rPr>
          <w:rFonts w:hint="eastAsia" w:cs="Times New Roman"/>
        </w:rPr>
        <w:t>产业认定评价的指标体系框架及评价</w:t>
      </w:r>
      <w:r>
        <w:rPr>
          <w:rFonts w:hint="eastAsia" w:cs="Times New Roman"/>
          <w:lang w:val="en-US" w:eastAsia="zh-CN"/>
        </w:rPr>
        <w:t>指标具体</w:t>
      </w:r>
      <w:r>
        <w:rPr>
          <w:rFonts w:hint="eastAsia" w:cs="Times New Roman"/>
        </w:rPr>
        <w:t>要求，</w:t>
      </w:r>
      <w:r>
        <w:rPr>
          <w:rFonts w:hint="eastAsia" w:cs="Times New Roman"/>
          <w:lang w:val="en-US" w:eastAsia="zh-CN"/>
        </w:rPr>
        <w:t>并结合建筑节能与绿色建筑领域的产业特点，细化关键技术先进性的评价内容及评价方法，</w:t>
      </w:r>
      <w:r>
        <w:rPr>
          <w:rFonts w:hint="eastAsia" w:cs="Times New Roman"/>
        </w:rPr>
        <w:t>确保</w:t>
      </w:r>
      <w:r>
        <w:rPr>
          <w:rFonts w:hint="eastAsia" w:cs="Times New Roman"/>
          <w:lang w:val="en-US" w:eastAsia="zh-CN"/>
        </w:rPr>
        <w:t>建筑节能与绿色建筑领域中</w:t>
      </w:r>
      <w:r>
        <w:rPr>
          <w:rFonts w:hint="eastAsia" w:cs="Times New Roman"/>
        </w:rPr>
        <w:t>各行业开展绿色产业认定评价工作的科学性、一致性和准确性，为建立深圳市绿色</w:t>
      </w:r>
      <w:r>
        <w:rPr>
          <w:rFonts w:hint="eastAsia" w:cs="Times New Roman"/>
          <w:lang w:val="en-US" w:eastAsia="zh-CN"/>
        </w:rPr>
        <w:t>低碳</w:t>
      </w:r>
      <w:r>
        <w:rPr>
          <w:rFonts w:hint="eastAsia" w:cs="Times New Roman"/>
        </w:rPr>
        <w:t>产业认定规则体系</w:t>
      </w:r>
      <w:r>
        <w:rPr>
          <w:rFonts w:hint="eastAsia"/>
        </w:rPr>
        <w:t>奠定坚实的工作基础</w:t>
      </w:r>
      <w:r>
        <w:rPr>
          <w:rFonts w:hint="eastAsia" w:cs="Times New Roman"/>
        </w:rPr>
        <w:t>。</w:t>
      </w:r>
    </w:p>
    <w:p>
      <w:pPr>
        <w:pStyle w:val="2"/>
        <w:numPr>
          <w:ilvl w:val="0"/>
          <w:numId w:val="3"/>
        </w:numPr>
        <w:spacing w:before="0" w:beforeLines="0" w:after="0" w:afterLines="0" w:line="360" w:lineRule="auto"/>
        <w:ind w:left="567" w:firstLineChars="0"/>
        <w:rPr>
          <w:rFonts w:cs="Times New Roman"/>
          <w:sz w:val="24"/>
        </w:rPr>
      </w:pPr>
      <w:bookmarkStart w:id="2" w:name="_Toc30521"/>
      <w:bookmarkStart w:id="3" w:name="_Toc4482"/>
      <w:r>
        <w:rPr>
          <w:rFonts w:cs="Times New Roman"/>
          <w:sz w:val="24"/>
        </w:rPr>
        <w:t>任务来源</w:t>
      </w:r>
      <w:bookmarkEnd w:id="2"/>
      <w:bookmarkEnd w:id="3"/>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lang w:val="en-US" w:eastAsia="zh-CN"/>
        </w:rPr>
        <w:t>选定建筑节能与绿色建筑领域编制相关技术规范，</w:t>
      </w:r>
      <w:r>
        <w:rPr>
          <w:rFonts w:cs="Times New Roman"/>
        </w:rPr>
        <w:t>由</w:t>
      </w:r>
      <w:r>
        <w:rPr>
          <w:rFonts w:hint="eastAsia" w:cs="Times New Roman"/>
        </w:rPr>
        <w:t>深圳标准促进会</w:t>
      </w:r>
      <w:r>
        <w:rPr>
          <w:rFonts w:cs="Times New Roman"/>
        </w:rPr>
        <w:t>提出并归口制定《</w:t>
      </w:r>
      <w:r>
        <w:rPr>
          <w:rFonts w:hint="eastAsia" w:cs="Times New Roman"/>
        </w:rPr>
        <w:t>绿色</w:t>
      </w:r>
      <w:r>
        <w:rPr>
          <w:rFonts w:hint="eastAsia" w:cs="Times New Roman"/>
          <w:lang w:val="en-US" w:eastAsia="zh-CN"/>
        </w:rPr>
        <w:t>低碳</w:t>
      </w:r>
      <w:r>
        <w:rPr>
          <w:rFonts w:hint="eastAsia" w:cs="Times New Roman"/>
        </w:rPr>
        <w:t xml:space="preserve">产业认定行业技术规范 </w:t>
      </w:r>
      <w:r>
        <w:rPr>
          <w:rFonts w:hint="eastAsia" w:cs="Times New Roman"/>
          <w:lang w:eastAsia="zh-CN"/>
        </w:rPr>
        <w:t>建筑节能与绿色建筑</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0" w:beforeLines="0" w:after="0" w:afterLines="0" w:line="360" w:lineRule="auto"/>
        <w:ind w:firstLine="480" w:firstLineChars="200"/>
        <w:rPr>
          <w:rFonts w:hint="eastAsia" w:cs="Times New Roman"/>
          <w:lang w:val="en-US" w:eastAsia="zh-CN"/>
        </w:rPr>
      </w:pPr>
      <w:r>
        <w:rPr>
          <w:rFonts w:cs="Times New Roman"/>
        </w:rPr>
        <w:t>本标准的提出</w:t>
      </w:r>
      <w:r>
        <w:rPr>
          <w:rFonts w:hint="eastAsia" w:cs="Times New Roman"/>
          <w:lang w:val="en-US" w:eastAsia="zh-CN"/>
        </w:rPr>
        <w:t>单位为深圳市生态环境局。</w:t>
      </w:r>
    </w:p>
    <w:p>
      <w:pPr>
        <w:spacing w:before="0" w:beforeLines="0" w:after="0" w:afterLines="0" w:line="360" w:lineRule="auto"/>
        <w:ind w:firstLine="480" w:firstLineChars="200"/>
        <w:rPr>
          <w:rFonts w:cs="Times New Roman"/>
        </w:rPr>
      </w:pPr>
      <w:r>
        <w:rPr>
          <w:rFonts w:hint="eastAsia" w:cs="Times New Roman"/>
          <w:lang w:val="en-US" w:eastAsia="zh-CN"/>
        </w:rPr>
        <w:t>本标准归口单位</w:t>
      </w:r>
      <w:r>
        <w:rPr>
          <w:rFonts w:cs="Times New Roman"/>
        </w:rPr>
        <w:t>为</w:t>
      </w:r>
      <w:r>
        <w:rPr>
          <w:rFonts w:hint="eastAsia" w:cs="Times New Roman"/>
          <w:lang w:val="en-US" w:eastAsia="zh-CN"/>
        </w:rPr>
        <w:t>深圳市</w:t>
      </w:r>
      <w:r>
        <w:rPr>
          <w:rFonts w:hint="eastAsia" w:cs="Times New Roman"/>
        </w:rPr>
        <w:t>深圳标准促进会</w:t>
      </w:r>
      <w:r>
        <w:rPr>
          <w:rFonts w:cs="Times New Roman"/>
        </w:rPr>
        <w:t>。</w:t>
      </w:r>
    </w:p>
    <w:p>
      <w:pPr>
        <w:pStyle w:val="2"/>
        <w:numPr>
          <w:ilvl w:val="0"/>
          <w:numId w:val="3"/>
        </w:numPr>
        <w:spacing w:before="0" w:beforeLines="0" w:after="0" w:afterLines="0" w:line="360" w:lineRule="auto"/>
        <w:ind w:left="567" w:firstLineChars="0"/>
        <w:rPr>
          <w:rFonts w:cs="Times New Roman"/>
          <w:sz w:val="24"/>
        </w:rPr>
      </w:pPr>
      <w:bookmarkStart w:id="4" w:name="_Toc29972"/>
      <w:bookmarkStart w:id="5" w:name="_Toc7994"/>
      <w:r>
        <w:rPr>
          <w:rFonts w:cs="Times New Roman"/>
          <w:sz w:val="24"/>
        </w:rPr>
        <w:t>目的和意义</w:t>
      </w:r>
      <w:bookmarkEnd w:id="4"/>
      <w:bookmarkEnd w:id="5"/>
    </w:p>
    <w:p>
      <w:pPr>
        <w:spacing w:before="0" w:beforeLines="0" w:after="0" w:afterLines="0" w:line="360" w:lineRule="auto"/>
        <w:ind w:firstLine="480" w:firstLineChars="200"/>
        <w:rPr>
          <w:rFonts w:cs="Times New Roman"/>
        </w:rPr>
      </w:pPr>
      <w:r>
        <w:rPr>
          <w:rFonts w:hint="eastAsia" w:cs="Times New Roman"/>
        </w:rPr>
        <w:t>本标准规定了深圳市</w:t>
      </w:r>
      <w:r>
        <w:rPr>
          <w:rFonts w:hint="eastAsia" w:cs="Times New Roman"/>
          <w:lang w:eastAsia="zh-CN"/>
        </w:rPr>
        <w:t>建筑节能与绿色建筑</w:t>
      </w:r>
      <w:r>
        <w:rPr>
          <w:rFonts w:hint="eastAsia" w:cs="Times New Roman"/>
        </w:rPr>
        <w:t>绿色产业认定评价的评价原则、基本要求、评价方法、评价指标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w:t>
      </w:r>
      <w:r>
        <w:rPr>
          <w:rFonts w:hint="eastAsia" w:cs="Times New Roman"/>
          <w:lang w:val="en-US" w:eastAsia="zh-CN"/>
        </w:rPr>
        <w:t>标准</w:t>
      </w:r>
      <w:r>
        <w:rPr>
          <w:rFonts w:hint="eastAsia" w:cs="Times New Roman"/>
        </w:rPr>
        <w:t>结合了</w:t>
      </w:r>
      <w:r>
        <w:rPr>
          <w:rFonts w:hint="eastAsia" w:cs="Times New Roman"/>
          <w:lang w:eastAsia="zh-CN"/>
        </w:rPr>
        <w:t>建筑节能与绿色建筑</w:t>
      </w:r>
      <w:r>
        <w:rPr>
          <w:rFonts w:hint="eastAsia" w:cs="Times New Roman"/>
          <w:lang w:val="en-US" w:eastAsia="zh-CN"/>
        </w:rPr>
        <w:t>领域</w:t>
      </w:r>
      <w:r>
        <w:rPr>
          <w:rFonts w:hint="eastAsia" w:cs="Times New Roman"/>
        </w:rPr>
        <w:t>的特性要求，设置了具体的指标分值和评分标准。标准发布实施后，可即刻指导</w:t>
      </w:r>
      <w:r>
        <w:rPr>
          <w:rFonts w:hint="eastAsia" w:cs="Times New Roman"/>
          <w:lang w:eastAsia="zh-CN"/>
        </w:rPr>
        <w:t>建筑节能与绿色建筑</w:t>
      </w:r>
      <w:r>
        <w:rPr>
          <w:rFonts w:hint="eastAsia" w:cs="Times New Roman"/>
          <w:lang w:val="en-US" w:eastAsia="zh-CN"/>
        </w:rPr>
        <w:t>领域绿色低碳</w:t>
      </w:r>
      <w:r>
        <w:rPr>
          <w:rFonts w:hint="eastAsia" w:cs="Times New Roman"/>
        </w:rPr>
        <w:t>产业认定评价工作的推进，为构建深圳市绿色</w:t>
      </w:r>
      <w:r>
        <w:rPr>
          <w:rFonts w:hint="eastAsia" w:cs="Times New Roman"/>
          <w:lang w:val="en-US" w:eastAsia="zh-CN"/>
        </w:rPr>
        <w:t>低碳</w:t>
      </w:r>
      <w:r>
        <w:rPr>
          <w:rFonts w:hint="eastAsia" w:cs="Times New Roman"/>
        </w:rPr>
        <w:t>产业认定规则体系奠定技术依据，进而为进一步厘清深圳市绿色</w:t>
      </w:r>
      <w:r>
        <w:rPr>
          <w:rFonts w:hint="eastAsia" w:cs="Times New Roman"/>
          <w:lang w:val="en-US" w:eastAsia="zh-CN"/>
        </w:rPr>
        <w:t>低碳</w:t>
      </w:r>
      <w:r>
        <w:rPr>
          <w:rFonts w:hint="eastAsia" w:cs="Times New Roman"/>
        </w:rPr>
        <w:t>产业边界，将深圳市现有政策和资金引导到对推动绿色</w:t>
      </w:r>
      <w:r>
        <w:rPr>
          <w:rFonts w:hint="eastAsia" w:cs="Times New Roman"/>
          <w:lang w:val="en-US" w:eastAsia="zh-CN"/>
        </w:rPr>
        <w:t>低碳</w:t>
      </w:r>
      <w:r>
        <w:rPr>
          <w:rFonts w:hint="eastAsia" w:cs="Times New Roman"/>
        </w:rPr>
        <w:t>发展最重要、最关键、最紧迫的产业上发挥重要作用。</w:t>
      </w:r>
    </w:p>
    <w:p>
      <w:pPr>
        <w:pStyle w:val="2"/>
        <w:numPr>
          <w:ilvl w:val="0"/>
          <w:numId w:val="3"/>
        </w:numPr>
        <w:spacing w:before="0" w:beforeLines="0" w:after="0" w:afterLines="0" w:line="360" w:lineRule="auto"/>
        <w:ind w:left="567" w:firstLineChars="0"/>
        <w:rPr>
          <w:rFonts w:cs="Times New Roman"/>
          <w:sz w:val="24"/>
        </w:rPr>
      </w:pPr>
      <w:bookmarkStart w:id="6" w:name="_Toc713"/>
      <w:bookmarkStart w:id="7" w:name="_Toc25881"/>
      <w:r>
        <w:rPr>
          <w:rFonts w:cs="Times New Roman"/>
          <w:sz w:val="24"/>
        </w:rPr>
        <w:t>编制原则及技术依据</w:t>
      </w:r>
      <w:bookmarkEnd w:id="6"/>
      <w:bookmarkEnd w:id="7"/>
    </w:p>
    <w:p>
      <w:pPr>
        <w:pStyle w:val="3"/>
        <w:spacing w:before="0" w:beforeLines="0" w:after="0" w:afterLines="0" w:line="360" w:lineRule="auto"/>
        <w:ind w:firstLine="569"/>
        <w:rPr>
          <w:rFonts w:ascii="Times New Roman" w:hAnsi="Times New Roman" w:cs="Times New Roman"/>
          <w:sz w:val="24"/>
        </w:rPr>
      </w:pPr>
      <w:bookmarkStart w:id="8" w:name="_Toc13466"/>
      <w:bookmarkStart w:id="9" w:name="_Toc24843"/>
      <w:r>
        <w:rPr>
          <w:rFonts w:ascii="Times New Roman" w:hAnsi="Times New Roman" w:cs="Times New Roman"/>
          <w:sz w:val="24"/>
        </w:rPr>
        <w:t>（一）编制原则</w:t>
      </w:r>
      <w:bookmarkEnd w:id="8"/>
      <w:bookmarkEnd w:id="9"/>
    </w:p>
    <w:p>
      <w:pPr>
        <w:spacing w:before="0" w:beforeLines="0" w:after="0" w:afterLines="0" w:line="360" w:lineRule="auto"/>
        <w:rPr>
          <w:rFonts w:cs="Times New Roman"/>
        </w:rPr>
      </w:pPr>
      <w:r>
        <w:rPr>
          <w:rFonts w:cs="Times New Roman"/>
        </w:rPr>
        <w:t>积极参考国内外现有的相关标准，充分考虑深圳市</w:t>
      </w:r>
      <w:r>
        <w:rPr>
          <w:rFonts w:hint="eastAsia" w:cs="Times New Roman"/>
        </w:rPr>
        <w:t>绿色</w:t>
      </w:r>
      <w:r>
        <w:rPr>
          <w:rFonts w:hint="eastAsia" w:cs="Times New Roman"/>
          <w:lang w:val="en-US" w:eastAsia="zh-CN"/>
        </w:rPr>
        <w:t>低碳</w:t>
      </w:r>
      <w:r>
        <w:rPr>
          <w:rFonts w:cs="Times New Roman"/>
        </w:rPr>
        <w:t>产业认定评价实际情况，明确</w:t>
      </w:r>
      <w:r>
        <w:rPr>
          <w:rFonts w:hint="eastAsia" w:cs="Times New Roman"/>
          <w:lang w:eastAsia="zh-CN"/>
        </w:rPr>
        <w:t>建筑节能与绿色建筑</w:t>
      </w:r>
      <w:r>
        <w:rPr>
          <w:rFonts w:hint="eastAsia" w:cs="Times New Roman"/>
          <w:lang w:val="en-US" w:eastAsia="zh-CN"/>
        </w:rPr>
        <w:t>领域</w:t>
      </w:r>
      <w:r>
        <w:rPr>
          <w:rFonts w:cs="Times New Roman"/>
        </w:rPr>
        <w:t>技术规范的总分原则</w:t>
      </w:r>
      <w:r>
        <w:rPr>
          <w:rFonts w:hint="eastAsia" w:cs="Times New Roman"/>
        </w:rPr>
        <w:t>，</w:t>
      </w:r>
      <w:r>
        <w:rPr>
          <w:rFonts w:cs="Times New Roman"/>
        </w:rPr>
        <w:t>突出体现深圳市</w:t>
      </w:r>
      <w:r>
        <w:rPr>
          <w:rFonts w:hint="eastAsia" w:cs="Times New Roman"/>
        </w:rPr>
        <w:t>团体</w:t>
      </w:r>
      <w:r>
        <w:rPr>
          <w:rFonts w:cs="Times New Roman"/>
        </w:rPr>
        <w:t>标准《</w:t>
      </w:r>
      <w:r>
        <w:rPr>
          <w:rFonts w:hint="eastAsia" w:cs="Times New Roman"/>
        </w:rPr>
        <w:t>绿色</w:t>
      </w:r>
      <w:r>
        <w:rPr>
          <w:rFonts w:hint="eastAsia" w:cs="Times New Roman"/>
          <w:lang w:val="en-US" w:eastAsia="zh-CN"/>
        </w:rPr>
        <w:t>低碳</w:t>
      </w:r>
      <w:r>
        <w:rPr>
          <w:rFonts w:hint="eastAsia" w:cs="Times New Roman"/>
        </w:rPr>
        <w:t xml:space="preserve">产业认定行业技术规范 </w:t>
      </w:r>
      <w:r>
        <w:rPr>
          <w:rFonts w:hint="eastAsia" w:cs="Times New Roman"/>
          <w:lang w:eastAsia="zh-CN"/>
        </w:rPr>
        <w:t>建筑节能与绿色建筑</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0" w:beforeLines="0" w:after="0" w:afterLines="0" w:line="360" w:lineRule="auto"/>
        <w:ind w:firstLine="569"/>
        <w:rPr>
          <w:rFonts w:ascii="Times New Roman" w:hAnsi="Times New Roman" w:cs="Times New Roman"/>
          <w:sz w:val="24"/>
        </w:rPr>
      </w:pPr>
      <w:bookmarkStart w:id="10" w:name="_Toc6293"/>
      <w:bookmarkStart w:id="11" w:name="_Toc22571"/>
      <w:r>
        <w:rPr>
          <w:rFonts w:ascii="Times New Roman" w:hAnsi="Times New Roman" w:cs="Times New Roman"/>
          <w:sz w:val="24"/>
        </w:rPr>
        <w:t>（二）技术依据</w:t>
      </w:r>
      <w:bookmarkEnd w:id="10"/>
      <w:bookmarkEnd w:id="11"/>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编写规则是按照GB/T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rPr>
      </w:pPr>
      <w:r>
        <w:rPr>
          <w:rFonts w:cs="Times New Roman"/>
        </w:rPr>
        <w:t>2</w:t>
      </w:r>
      <w:r>
        <w:rPr>
          <w:rFonts w:cs="Times New Roman"/>
          <w:color w:val="000000"/>
        </w:rPr>
        <w:t>．</w:t>
      </w:r>
      <w:r>
        <w:rPr>
          <w:rFonts w:cs="Times New Roman"/>
        </w:rPr>
        <w:t>以</w:t>
      </w:r>
      <w:r>
        <w:rPr>
          <w:rFonts w:hint="eastAsia" w:cs="Times New Roman"/>
        </w:rPr>
        <w:t>《绿色</w:t>
      </w:r>
      <w:r>
        <w:rPr>
          <w:rFonts w:hint="eastAsia" w:cs="Times New Roman"/>
          <w:lang w:val="en-US" w:eastAsia="zh-CN"/>
        </w:rPr>
        <w:t>低碳</w:t>
      </w:r>
      <w:r>
        <w:rPr>
          <w:rFonts w:hint="eastAsia" w:cs="Times New Roman"/>
        </w:rPr>
        <w:t>产业认定评价导则》</w:t>
      </w:r>
      <w:r>
        <w:rPr>
          <w:rFonts w:cs="Times New Roman"/>
        </w:rPr>
        <w:t>为基础，</w:t>
      </w:r>
      <w:r>
        <w:rPr>
          <w:rFonts w:hint="eastAsia" w:cs="Times New Roman"/>
        </w:rPr>
        <w:t>通过大量相关行业实地调研，</w:t>
      </w:r>
      <w:r>
        <w:rPr>
          <w:rFonts w:cs="Times New Roman"/>
        </w:rPr>
        <w:t>结合深圳实际情况，</w:t>
      </w:r>
      <w:r>
        <w:rPr>
          <w:rFonts w:hint="eastAsia" w:cs="Times New Roman"/>
        </w:rPr>
        <w:t>规定了深圳市</w:t>
      </w:r>
      <w:r>
        <w:rPr>
          <w:rFonts w:hint="eastAsia" w:cs="Times New Roman"/>
          <w:lang w:eastAsia="zh-CN"/>
        </w:rPr>
        <w:t>建筑节能与绿色建筑</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产业认定评价工作的原则与要求，给出了</w:t>
      </w:r>
      <w:r>
        <w:rPr>
          <w:rFonts w:hint="eastAsia" w:cs="Times New Roman"/>
          <w:lang w:eastAsia="zh-CN"/>
        </w:rPr>
        <w:t>建筑节能与绿色建筑</w:t>
      </w:r>
      <w:r>
        <w:rPr>
          <w:rFonts w:hint="eastAsia" w:cs="Times New Roman"/>
        </w:rPr>
        <w:t>绿色</w:t>
      </w:r>
      <w:r>
        <w:rPr>
          <w:rFonts w:hint="eastAsia" w:cs="Times New Roman"/>
          <w:lang w:val="en-US" w:eastAsia="zh-CN"/>
        </w:rPr>
        <w:t>低碳</w:t>
      </w:r>
      <w:r>
        <w:rPr>
          <w:rFonts w:hint="eastAsia" w:cs="Times New Roman"/>
        </w:rPr>
        <w:t>产业认定评价的指标体系框架及评价要求，</w:t>
      </w:r>
      <w:r>
        <w:rPr>
          <w:rFonts w:hint="eastAsia" w:cs="Times New Roman"/>
          <w:lang w:val="en-US" w:eastAsia="zh-CN"/>
        </w:rPr>
        <w:t>重点对建筑节能与绿色建筑产业的关键技术先进性进行详细展开，结合不同行业特点，明确建筑节能与绿色建筑领域的各行业核心评价指标及评价方法，</w:t>
      </w:r>
      <w:r>
        <w:rPr>
          <w:rFonts w:hint="eastAsia" w:cs="Times New Roman"/>
        </w:rPr>
        <w:t>为深圳市</w:t>
      </w:r>
      <w:r>
        <w:rPr>
          <w:rFonts w:hint="eastAsia" w:cs="Times New Roman"/>
          <w:lang w:eastAsia="zh-CN"/>
        </w:rPr>
        <w:t>建筑节能与绿色建筑</w:t>
      </w:r>
      <w:r>
        <w:rPr>
          <w:rFonts w:hint="eastAsia" w:cs="Times New Roman"/>
        </w:rPr>
        <w:t>绿色</w:t>
      </w:r>
      <w:r>
        <w:rPr>
          <w:rFonts w:hint="eastAsia" w:cs="Times New Roman"/>
          <w:lang w:val="en-US" w:eastAsia="zh-CN"/>
        </w:rPr>
        <w:t>低碳</w:t>
      </w:r>
      <w:r>
        <w:rPr>
          <w:rFonts w:hint="eastAsia" w:cs="Times New Roman"/>
        </w:rPr>
        <w:t>产业的认定奠定坚实的工作基础。</w:t>
      </w:r>
    </w:p>
    <w:p>
      <w:pPr>
        <w:pStyle w:val="2"/>
        <w:numPr>
          <w:ilvl w:val="0"/>
          <w:numId w:val="3"/>
        </w:numPr>
        <w:spacing w:before="0" w:beforeLines="0" w:after="0" w:afterLines="0" w:line="360" w:lineRule="auto"/>
        <w:ind w:left="567" w:firstLineChars="0"/>
        <w:rPr>
          <w:rFonts w:cs="Times New Roman"/>
          <w:sz w:val="24"/>
        </w:rPr>
      </w:pPr>
      <w:bookmarkStart w:id="12" w:name="_Toc434"/>
      <w:bookmarkStart w:id="13" w:name="_Toc5869"/>
      <w:r>
        <w:rPr>
          <w:rFonts w:cs="Times New Roman"/>
          <w:sz w:val="24"/>
        </w:rPr>
        <w:t>主要编制过程</w:t>
      </w:r>
      <w:bookmarkEnd w:id="12"/>
      <w:bookmarkEnd w:id="13"/>
    </w:p>
    <w:p>
      <w:pPr>
        <w:pStyle w:val="3"/>
        <w:spacing w:before="0" w:beforeLines="0" w:after="0" w:afterLines="0" w:line="360" w:lineRule="auto"/>
        <w:ind w:firstLine="569"/>
        <w:rPr>
          <w:rFonts w:ascii="Times New Roman" w:hAnsi="Times New Roman" w:cs="Times New Roman"/>
          <w:sz w:val="24"/>
        </w:rPr>
      </w:pPr>
      <w:bookmarkStart w:id="14" w:name="_Toc17181"/>
      <w:bookmarkStart w:id="15" w:name="_Toc32572"/>
      <w:r>
        <w:rPr>
          <w:rFonts w:ascii="Times New Roman" w:hAnsi="Times New Roman" w:cs="Times New Roman"/>
          <w:sz w:val="24"/>
        </w:rPr>
        <w:t>（一）前期准备</w:t>
      </w:r>
      <w:bookmarkEnd w:id="14"/>
      <w:bookmarkEnd w:id="15"/>
    </w:p>
    <w:p>
      <w:pPr>
        <w:spacing w:before="0" w:beforeLines="0" w:after="0" w:afterLines="0" w:line="360" w:lineRule="auto"/>
        <w:rPr>
          <w:rFonts w:cs="Times New Roman"/>
        </w:rPr>
      </w:pPr>
      <w:bookmarkStart w:id="16" w:name="OLE_LINK1"/>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1</w:t>
      </w:r>
      <w:r>
        <w:rPr>
          <w:rFonts w:cs="Times New Roman"/>
        </w:rPr>
        <w:t>月</w:t>
      </w:r>
      <w:bookmarkEnd w:id="16"/>
      <w:r>
        <w:rPr>
          <w:rFonts w:hint="eastAsia" w:cs="Times New Roman"/>
        </w:rPr>
        <w:t>-</w:t>
      </w:r>
      <w:r>
        <w:rPr>
          <w:rFonts w:hint="eastAsia" w:cs="Times New Roman"/>
          <w:lang w:val="en-US" w:eastAsia="zh-CN"/>
        </w:rPr>
        <w:t>2</w:t>
      </w:r>
      <w:r>
        <w:rPr>
          <w:rFonts w:hint="eastAsia" w:cs="Times New Roman"/>
        </w:rPr>
        <w:t>月</w:t>
      </w:r>
      <w:r>
        <w:rPr>
          <w:rFonts w:cs="Times New Roman"/>
        </w:rPr>
        <w:t>，结合深圳市绿色</w:t>
      </w:r>
      <w:r>
        <w:rPr>
          <w:rFonts w:hint="eastAsia" w:cs="Times New Roman"/>
          <w:lang w:val="en-US" w:eastAsia="zh-C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lang w:val="en-US" w:eastAsia="zh-C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建筑节能与绿色建筑</w:t>
      </w:r>
      <w:r>
        <w:rPr>
          <w:rFonts w:hint="eastAsia" w:cs="Times New Roman"/>
          <w:lang w:val="en-US" w:eastAsia="zh-CN"/>
        </w:rPr>
        <w:t>领域</w:t>
      </w:r>
      <w:r>
        <w:rPr>
          <w:rFonts w:cs="Times New Roman"/>
        </w:rPr>
        <w:t>实际情况并有较强的可操作性。</w:t>
      </w:r>
    </w:p>
    <w:p>
      <w:pPr>
        <w:pStyle w:val="3"/>
        <w:spacing w:before="0" w:beforeLines="0" w:after="0" w:afterLines="0" w:line="360" w:lineRule="auto"/>
        <w:ind w:firstLine="569"/>
        <w:rPr>
          <w:rFonts w:ascii="Times New Roman" w:hAnsi="Times New Roman" w:cs="Times New Roman"/>
          <w:sz w:val="24"/>
        </w:rPr>
      </w:pPr>
      <w:bookmarkStart w:id="17" w:name="_Toc17608"/>
      <w:bookmarkStart w:id="18" w:name="_Toc13758"/>
      <w:r>
        <w:rPr>
          <w:rFonts w:ascii="Times New Roman" w:hAnsi="Times New Roman" w:cs="Times New Roman"/>
          <w:sz w:val="24"/>
        </w:rPr>
        <w:t>（二）确定标准</w:t>
      </w:r>
      <w:r>
        <w:rPr>
          <w:rFonts w:hint="eastAsia" w:ascii="Times New Roman" w:hAnsi="Times New Roman" w:cs="Times New Roman"/>
          <w:sz w:val="24"/>
        </w:rPr>
        <w:t>编制</w:t>
      </w:r>
      <w:r>
        <w:rPr>
          <w:rFonts w:ascii="Times New Roman" w:hAnsi="Times New Roman" w:cs="Times New Roman"/>
          <w:sz w:val="24"/>
        </w:rPr>
        <w:t>原则</w:t>
      </w:r>
      <w:bookmarkEnd w:id="17"/>
      <w:bookmarkEnd w:id="18"/>
    </w:p>
    <w:p>
      <w:pPr>
        <w:spacing w:before="0" w:beforeLines="0" w:after="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充分查阅、对比并分析国内外绿色产业相关研究文献，结合深圳市绿色</w:t>
      </w:r>
      <w:r>
        <w:rPr>
          <w:rFonts w:hint="eastAsia" w:cs="Times New Roman"/>
          <w:lang w:val="en-US" w:eastAsia="zh-CN"/>
        </w:rPr>
        <w:t>低碳</w:t>
      </w:r>
      <w:r>
        <w:rPr>
          <w:rFonts w:hint="eastAsia" w:cs="Times New Roman"/>
        </w:rPr>
        <w:t>产业认定评价导则总体要求以及技术架构，</w:t>
      </w:r>
      <w:r>
        <w:rPr>
          <w:rFonts w:cs="Times New Roman"/>
        </w:rPr>
        <w:t>确定了本标准的</w:t>
      </w:r>
      <w:r>
        <w:rPr>
          <w:rFonts w:hint="eastAsia" w:cs="Times New Roman"/>
        </w:rPr>
        <w:t>编制</w:t>
      </w:r>
      <w:r>
        <w:rPr>
          <w:rFonts w:cs="Times New Roman"/>
        </w:rPr>
        <w:t>原则。</w:t>
      </w:r>
    </w:p>
    <w:p>
      <w:pPr>
        <w:pStyle w:val="3"/>
        <w:spacing w:before="0" w:beforeLines="0" w:after="0" w:afterLines="0" w:line="360" w:lineRule="auto"/>
        <w:ind w:firstLine="569"/>
        <w:rPr>
          <w:rFonts w:ascii="Times New Roman" w:hAnsi="Times New Roman" w:cs="Times New Roman"/>
          <w:sz w:val="24"/>
        </w:rPr>
      </w:pPr>
      <w:bookmarkStart w:id="19" w:name="_Toc27737"/>
      <w:bookmarkStart w:id="20" w:name="_Toc31090"/>
      <w:r>
        <w:rPr>
          <w:rFonts w:ascii="Times New Roman" w:hAnsi="Times New Roman" w:cs="Times New Roman"/>
          <w:sz w:val="24"/>
        </w:rPr>
        <w:t>（四）标准起草过程</w:t>
      </w:r>
      <w:bookmarkEnd w:id="19"/>
      <w:bookmarkEnd w:id="20"/>
    </w:p>
    <w:p>
      <w:pPr>
        <w:spacing w:before="0" w:beforeLines="0" w:after="0" w:afterLines="0" w:line="360" w:lineRule="auto"/>
        <w:rPr>
          <w:rFonts w:hint="eastAsia"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3</w:t>
      </w:r>
      <w:r>
        <w:rPr>
          <w:rFonts w:hint="eastAsia" w:cs="Times New Roman"/>
        </w:rPr>
        <w:t>-</w:t>
      </w:r>
      <w:r>
        <w:rPr>
          <w:rFonts w:hint="eastAsia" w:cs="Times New Roman"/>
          <w:lang w:val="en-US" w:eastAsia="zh-CN"/>
        </w:rPr>
        <w:t>4</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在查阅大量有关绿色产业、绿色企业</w:t>
      </w:r>
      <w:r>
        <w:rPr>
          <w:rFonts w:hint="eastAsia" w:cs="Times New Roman"/>
          <w:lang w:eastAsia="zh-CN"/>
        </w:rPr>
        <w:t>、</w:t>
      </w:r>
      <w:r>
        <w:rPr>
          <w:rFonts w:hint="eastAsia" w:cs="Times New Roman"/>
          <w:lang w:val="en-US" w:eastAsia="zh-CN"/>
        </w:rPr>
        <w:t>建筑设计标准、企业遴选管理办法</w:t>
      </w:r>
      <w:r>
        <w:rPr>
          <w:rFonts w:hint="eastAsia" w:cs="Times New Roman"/>
        </w:rPr>
        <w:t>等文献</w:t>
      </w:r>
      <w:r>
        <w:rPr>
          <w:rFonts w:hint="eastAsia" w:cs="Times New Roman"/>
          <w:lang w:eastAsia="zh-CN"/>
        </w:rPr>
        <w:t>、</w:t>
      </w:r>
      <w:r>
        <w:rPr>
          <w:rFonts w:hint="eastAsia" w:cs="Times New Roman"/>
          <w:lang w:val="en-US" w:eastAsia="zh-CN"/>
        </w:rPr>
        <w:t>政策文件</w:t>
      </w:r>
      <w:r>
        <w:rPr>
          <w:rFonts w:hint="eastAsia" w:cs="Times New Roman"/>
        </w:rPr>
        <w:t>和标准资料的基础上，形成标准草案。</w:t>
      </w:r>
    </w:p>
    <w:p>
      <w:pPr>
        <w:spacing w:before="0" w:beforeLines="0" w:after="0" w:afterLines="0" w:line="360" w:lineRule="auto"/>
        <w:rPr>
          <w:rFonts w:hint="eastAsia" w:cs="Times New Roman"/>
          <w:lang w:val="en-US" w:eastAsia="zh-CN"/>
        </w:rPr>
      </w:pPr>
      <w:r>
        <w:rPr>
          <w:rFonts w:hint="eastAsia" w:cs="Times New Roman"/>
          <w:lang w:val="en-US" w:eastAsia="zh-CN"/>
        </w:rPr>
        <w:t>2023年5月，标准编制组将标准草案与建筑领域典型企业、协会对评价原则、评价方法以及评价指标体系框架构建、指标设置等关键性内容进行讨论，并结合前期调研情况、调研意见，对标准草案作进一步的修改完善，形成标准征求意见稿。</w:t>
      </w:r>
    </w:p>
    <w:p>
      <w:pPr>
        <w:pStyle w:val="2"/>
        <w:numPr>
          <w:ilvl w:val="0"/>
          <w:numId w:val="3"/>
        </w:numPr>
        <w:spacing w:before="0" w:beforeLines="0" w:after="0" w:afterLines="0" w:line="360" w:lineRule="auto"/>
        <w:ind w:left="567" w:firstLineChars="0"/>
        <w:rPr>
          <w:rFonts w:cs="Times New Roman"/>
          <w:sz w:val="24"/>
        </w:rPr>
      </w:pPr>
      <w:bookmarkStart w:id="21" w:name="_Toc19489"/>
      <w:bookmarkStart w:id="22" w:name="_Toc211"/>
      <w:r>
        <w:rPr>
          <w:rFonts w:cs="Times New Roman"/>
          <w:sz w:val="24"/>
        </w:rPr>
        <w:t>主要内容</w:t>
      </w:r>
      <w:bookmarkEnd w:id="21"/>
      <w:bookmarkEnd w:id="22"/>
    </w:p>
    <w:p>
      <w:pPr>
        <w:pStyle w:val="3"/>
        <w:spacing w:before="0" w:beforeLines="0" w:after="0" w:afterLines="0" w:line="360" w:lineRule="auto"/>
        <w:ind w:firstLine="569"/>
        <w:rPr>
          <w:rFonts w:ascii="Times New Roman" w:hAnsi="Times New Roman" w:cs="Times New Roman"/>
          <w:sz w:val="24"/>
        </w:rPr>
      </w:pPr>
      <w:bookmarkStart w:id="23" w:name="_Toc26877"/>
      <w:bookmarkStart w:id="24" w:name="_Toc1654"/>
      <w:r>
        <w:rPr>
          <w:rFonts w:ascii="Times New Roman" w:hAnsi="Times New Roman" w:cs="Times New Roman"/>
          <w:sz w:val="24"/>
        </w:rPr>
        <w:t>（一）标准属性</w:t>
      </w:r>
      <w:bookmarkEnd w:id="23"/>
      <w:bookmarkEnd w:id="24"/>
    </w:p>
    <w:p>
      <w:pPr>
        <w:spacing w:before="0" w:beforeLines="0" w:after="0" w:afterLines="0" w:line="360" w:lineRule="auto"/>
        <w:rPr>
          <w:rFonts w:cs="Times New Roman"/>
        </w:rPr>
      </w:pPr>
      <w:r>
        <w:rPr>
          <w:rFonts w:cs="Times New Roman"/>
        </w:rPr>
        <w:t>本标准为深圳市</w:t>
      </w:r>
      <w:r>
        <w:rPr>
          <w:rFonts w:hint="eastAsia" w:cs="Times New Roman"/>
        </w:rPr>
        <w:t>团体</w:t>
      </w:r>
      <w:r>
        <w:rPr>
          <w:rFonts w:cs="Times New Roman"/>
        </w:rPr>
        <w:t>标准。</w:t>
      </w:r>
      <w:bookmarkStart w:id="25" w:name="_Toc24287"/>
      <w:bookmarkStart w:id="26" w:name="_Toc10377"/>
    </w:p>
    <w:p>
      <w:pPr>
        <w:spacing w:before="0" w:beforeLines="0" w:after="0" w:afterLines="0" w:line="360" w:lineRule="auto"/>
        <w:rPr>
          <w:rFonts w:ascii="Times New Roman" w:hAnsi="Times New Roman" w:cs="Times New Roman" w:eastAsiaTheme="majorEastAsia"/>
          <w:b/>
          <w:bCs/>
          <w:kern w:val="2"/>
          <w:sz w:val="24"/>
          <w:szCs w:val="32"/>
          <w:lang w:val="en-US" w:eastAsia="zh-CN" w:bidi="ar-SA"/>
        </w:rPr>
      </w:pPr>
      <w:r>
        <w:rPr>
          <w:rFonts w:hint="eastAsia" w:ascii="Times New Roman" w:hAnsi="Times New Roman" w:cs="Times New Roman" w:eastAsiaTheme="majorEastAsia"/>
          <w:b/>
          <w:bCs/>
          <w:kern w:val="2"/>
          <w:sz w:val="24"/>
          <w:szCs w:val="32"/>
          <w:lang w:val="en-US" w:eastAsia="zh-CN" w:bidi="ar-SA"/>
        </w:rPr>
        <w:t>（二）</w:t>
      </w:r>
      <w:r>
        <w:rPr>
          <w:rFonts w:ascii="Times New Roman" w:hAnsi="Times New Roman" w:cs="Times New Roman" w:eastAsiaTheme="majorEastAsia"/>
          <w:b/>
          <w:bCs/>
          <w:kern w:val="2"/>
          <w:sz w:val="24"/>
          <w:szCs w:val="32"/>
          <w:lang w:val="en-US" w:eastAsia="zh-CN" w:bidi="ar-SA"/>
        </w:rPr>
        <w:t>标准架构</w:t>
      </w:r>
      <w:bookmarkEnd w:id="25"/>
      <w:bookmarkEnd w:id="26"/>
    </w:p>
    <w:p>
      <w:pPr>
        <w:spacing w:before="0" w:beforeLines="0" w:after="0" w:afterLines="0" w:line="360" w:lineRule="auto"/>
        <w:rPr>
          <w:rFonts w:cs="Times New Roman"/>
        </w:rPr>
      </w:pPr>
      <w:r>
        <w:rPr>
          <w:rFonts w:hint="eastAsia" w:cs="Times New Roman"/>
        </w:rPr>
        <w:t>标准主体内容由范围、规范性引用文件、术语和定义、</w:t>
      </w:r>
      <w:r>
        <w:rPr>
          <w:rFonts w:hint="eastAsia" w:cs="Times New Roman"/>
          <w:lang w:val="en-US" w:eastAsia="zh-CN"/>
        </w:rPr>
        <w:t>评价总则、</w:t>
      </w:r>
      <w:r>
        <w:rPr>
          <w:rFonts w:hint="eastAsia" w:cs="Times New Roman"/>
        </w:rPr>
        <w:t>评价指标、评价程序和附录组成。</w:t>
      </w:r>
    </w:p>
    <w:p>
      <w:pPr>
        <w:pStyle w:val="3"/>
        <w:spacing w:before="0" w:beforeLines="0" w:after="0" w:afterLines="0" w:line="360" w:lineRule="auto"/>
        <w:ind w:firstLine="569"/>
        <w:rPr>
          <w:rFonts w:ascii="Times New Roman" w:hAnsi="Times New Roman" w:cs="Times New Roman"/>
          <w:sz w:val="24"/>
        </w:rPr>
      </w:pPr>
      <w:bookmarkStart w:id="27" w:name="_Toc29899"/>
      <w:bookmarkStart w:id="28" w:name="_Toc13897"/>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27"/>
      <w:bookmarkEnd w:id="28"/>
    </w:p>
    <w:p>
      <w:pPr>
        <w:spacing w:before="0" w:beforeLines="0" w:after="0" w:afterLines="0" w:line="360" w:lineRule="auto"/>
        <w:rPr>
          <w:rFonts w:cs="Times New Roman"/>
        </w:rPr>
      </w:pPr>
      <w:r>
        <w:rPr>
          <w:rFonts w:hint="eastAsia" w:cs="Times New Roman"/>
        </w:rPr>
        <w:t>本标准规定了深圳市</w:t>
      </w:r>
      <w:r>
        <w:rPr>
          <w:rFonts w:hint="eastAsia" w:cs="Times New Roman"/>
          <w:lang w:eastAsia="zh-CN"/>
        </w:rPr>
        <w:t>建筑节能与绿色建筑</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w:t>
      </w:r>
      <w:r>
        <w:rPr>
          <w:rFonts w:hint="eastAsia" w:cs="Times New Roman"/>
          <w:lang w:val="en-US" w:eastAsia="zh-CN"/>
        </w:rPr>
        <w:t>企业/项目</w:t>
      </w:r>
      <w:r>
        <w:rPr>
          <w:rFonts w:hint="eastAsia" w:cs="Times New Roman"/>
        </w:rPr>
        <w:t>认定评价的评价原则、基本要求、评价方法、评价指标</w:t>
      </w:r>
      <w:r>
        <w:rPr>
          <w:rFonts w:hint="eastAsia" w:cs="Times New Roman"/>
          <w:lang w:eastAsia="zh-CN"/>
        </w:rPr>
        <w:t>、</w:t>
      </w:r>
      <w:r>
        <w:rPr>
          <w:rFonts w:hint="eastAsia" w:cs="Times New Roman"/>
          <w:lang w:val="en-US" w:eastAsia="zh-CN"/>
        </w:rPr>
        <w:t>评价程序</w:t>
      </w:r>
      <w:r>
        <w:rPr>
          <w:rFonts w:hint="eastAsia" w:cs="Times New Roman"/>
        </w:rPr>
        <w:t>。本标准适用于深圳市行政区域内的</w:t>
      </w:r>
      <w:r>
        <w:rPr>
          <w:rFonts w:hint="eastAsia" w:cs="Times New Roman"/>
          <w:lang w:eastAsia="zh-CN"/>
        </w:rPr>
        <w:t>建筑节能与绿色建筑</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产业认定评价。深汕特别合作区可参照</w:t>
      </w:r>
      <w:r>
        <w:rPr>
          <w:rFonts w:hint="eastAsia" w:cs="Times New Roman"/>
          <w:lang w:val="en-US" w:eastAsia="zh-CN"/>
        </w:rPr>
        <w:t>使用</w:t>
      </w:r>
      <w:r>
        <w:rPr>
          <w:rFonts w:hint="eastAsia" w:cs="Times New Roman"/>
        </w:rPr>
        <w:t>本标准。</w:t>
      </w:r>
    </w:p>
    <w:p>
      <w:pPr>
        <w:pStyle w:val="3"/>
        <w:spacing w:before="0" w:beforeLines="0" w:after="0" w:afterLines="0" w:line="360" w:lineRule="auto"/>
        <w:ind w:firstLine="569"/>
        <w:rPr>
          <w:rFonts w:ascii="Times New Roman" w:hAnsi="Times New Roman" w:cs="Times New Roman"/>
          <w:sz w:val="24"/>
        </w:rPr>
      </w:pPr>
      <w:bookmarkStart w:id="29" w:name="_Toc22082"/>
      <w:bookmarkStart w:id="30" w:name="_Toc27014"/>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29"/>
      <w:bookmarkEnd w:id="30"/>
    </w:p>
    <w:p>
      <w:pPr>
        <w:spacing w:before="0" w:beforeLines="0" w:after="0" w:afterLines="0" w:line="360" w:lineRule="auto"/>
        <w:rPr>
          <w:rFonts w:cs="Times New Roman"/>
        </w:rPr>
      </w:pPr>
      <w:r>
        <w:rPr>
          <w:rFonts w:hint="eastAsia" w:cs="Times New Roman"/>
        </w:rPr>
        <w:t>由于本标准重点内容涉及</w:t>
      </w:r>
      <w:r>
        <w:rPr>
          <w:rFonts w:hint="eastAsia" w:cs="Times New Roman"/>
          <w:lang w:eastAsia="zh-CN"/>
        </w:rPr>
        <w:t>“企事业单位”</w:t>
      </w:r>
      <w:r>
        <w:rPr>
          <w:rFonts w:hint="eastAsia" w:cs="Times New Roman"/>
        </w:rPr>
        <w:t>“绿色</w:t>
      </w:r>
      <w:r>
        <w:rPr>
          <w:rFonts w:hint="eastAsia" w:cs="Times New Roman"/>
          <w:lang w:val="en-US" w:eastAsia="zh-CN"/>
        </w:rPr>
        <w:t>低碳</w:t>
      </w:r>
      <w:r>
        <w:rPr>
          <w:rFonts w:hint="eastAsia" w:cs="Times New Roman"/>
        </w:rPr>
        <w:t>产业”“绿色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rPr>
        <w:t>“</w:t>
      </w:r>
      <w:r>
        <w:rPr>
          <w:rFonts w:hint="eastAsia" w:cs="Times New Roman"/>
          <w:lang w:eastAsia="zh-CN"/>
        </w:rPr>
        <w:t>建筑节能与绿色建筑</w:t>
      </w:r>
      <w:r>
        <w:rPr>
          <w:rFonts w:hint="eastAsia" w:cs="Times New Roman"/>
        </w:rPr>
        <w:t>产业”等主体概念，因此对</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”“企事业单位”“绿色</w:t>
      </w:r>
      <w:r>
        <w:rPr>
          <w:rFonts w:hint="eastAsia" w:cs="Times New Roman"/>
          <w:lang w:val="en-US" w:eastAsia="zh-CN"/>
        </w:rPr>
        <w:t>低碳</w:t>
      </w:r>
      <w:r>
        <w:rPr>
          <w:rFonts w:hint="eastAsia" w:cs="Times New Roman"/>
          <w:lang w:eastAsia="zh-CN"/>
        </w:rPr>
        <w:t>产业”“绿色</w:t>
      </w:r>
      <w:r>
        <w:rPr>
          <w:rFonts w:hint="eastAsia" w:cs="Times New Roman"/>
          <w:lang w:val="en-US" w:eastAsia="zh-CN"/>
        </w:rPr>
        <w:t>低碳</w:t>
      </w:r>
      <w:r>
        <w:rPr>
          <w:rFonts w:hint="eastAsia" w:cs="Times New Roman"/>
          <w:lang w:eastAsia="zh-CN"/>
        </w:rPr>
        <w:t>产业</w:t>
      </w:r>
      <w:r>
        <w:rPr>
          <w:rFonts w:hint="eastAsia" w:cs="Times New Roman"/>
          <w:lang w:val="en-US" w:eastAsia="zh-CN"/>
        </w:rPr>
        <w:t>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lang w:val="en-US" w:eastAsia="zh-CN"/>
        </w:rPr>
        <w:t>绿色业务</w:t>
      </w:r>
      <w:r>
        <w:rPr>
          <w:rFonts w:hint="eastAsia" w:cs="Times New Roman"/>
          <w:lang w:eastAsia="zh-CN"/>
        </w:rPr>
        <w:t>”“建筑节能与绿色建筑产业”</w:t>
      </w:r>
      <w:r>
        <w:rPr>
          <w:rFonts w:hint="eastAsia" w:cs="Times New Roman"/>
        </w:rPr>
        <w:t>共</w:t>
      </w:r>
      <w:r>
        <w:rPr>
          <w:rFonts w:hint="eastAsia" w:cs="Times New Roman"/>
          <w:lang w:val="en-US" w:eastAsia="zh-CN"/>
        </w:rPr>
        <w:t>9</w:t>
      </w:r>
      <w:r>
        <w:rPr>
          <w:rFonts w:hint="eastAsia" w:cs="Times New Roman"/>
        </w:rPr>
        <w:t>个术语进行了定义。</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为</w:t>
      </w:r>
      <w:r>
        <w:rPr>
          <w:rFonts w:hint="eastAsia" w:cs="Times New Roman"/>
          <w:lang w:eastAsia="zh-CN"/>
        </w:rPr>
        <w:t>在生产、流通等环节提高资源利用效率，推进资源循环利用，以最少的资源消耗获得最大的经济和社会效益。</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lang w:val="en-US" w:eastAsia="zh-CN"/>
        </w:rPr>
        <w:t>为生态环保、生态修复以及减缓和适应气候变化等。</w:t>
      </w:r>
    </w:p>
    <w:p>
      <w:pPr>
        <w:spacing w:before="0" w:beforeLines="0" w:after="0" w:afterLines="0" w:line="360" w:lineRule="auto"/>
        <w:rPr>
          <w:rFonts w:hint="eastAsia" w:cs="Times New Roman"/>
          <w:lang w:eastAsia="zh-CN"/>
        </w:rPr>
      </w:pPr>
      <w:r>
        <w:rPr>
          <w:rFonts w:hint="eastAsia" w:cs="Times New Roman"/>
          <w:lang w:eastAsia="zh-C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hint="eastAsia" w:cs="Times New Roman"/>
          <w:lang w:eastAsia="zh-CN"/>
        </w:rPr>
      </w:pPr>
      <w:r>
        <w:rPr>
          <w:rFonts w:hint="eastAsia" w:cs="Times New Roman"/>
          <w:lang w:eastAsia="zh-CN"/>
        </w:rPr>
        <w:t>“绿色低碳产业”</w:t>
      </w:r>
      <w:r>
        <w:rPr>
          <w:rFonts w:hint="eastAsia" w:cs="Times New Roman"/>
          <w:lang w:val="en-US" w:eastAsia="zh-CN"/>
        </w:rPr>
        <w:t>参考</w:t>
      </w:r>
      <w:r>
        <w:rPr>
          <w:rFonts w:hint="eastAsia" w:cs="Times New Roman"/>
          <w:lang w:eastAsia="zh-CN"/>
        </w:rPr>
        <w:t>文献</w:t>
      </w:r>
      <w:r>
        <w:rPr>
          <w:rFonts w:hint="eastAsia" w:cs="Times New Roman"/>
          <w:lang w:val="en-US" w:eastAsia="zh-CN"/>
        </w:rPr>
        <w:t>中绿色产业及绿色低碳产业的</w:t>
      </w:r>
      <w:r>
        <w:rPr>
          <w:rFonts w:hint="eastAsia" w:cs="Times New Roman"/>
          <w:lang w:eastAsia="zh-CN"/>
        </w:rPr>
        <w:t>表述，并结合深圳市绿色低碳产业认定申报主体进行了调整，</w:t>
      </w:r>
      <w:r>
        <w:rPr>
          <w:rFonts w:hint="eastAsia" w:cs="Times New Roman"/>
          <w:lang w:val="en-US" w:eastAsia="zh-CN"/>
        </w:rPr>
        <w:t>且强调绿色、低碳两方面特性，</w:t>
      </w:r>
      <w:r>
        <w:rPr>
          <w:rFonts w:hint="eastAsia" w:cs="Times New Roman"/>
          <w:lang w:eastAsia="zh-CN"/>
        </w:rPr>
        <w:t>具体是指</w:t>
      </w:r>
      <w:r>
        <w:rPr>
          <w:rFonts w:hint="eastAsia" w:cs="Times New Roman"/>
          <w:lang w:val="en-US" w:eastAsia="zh-CN"/>
        </w:rPr>
        <w:t>以低能耗、低排放和低污染为基础，</w:t>
      </w:r>
      <w:r>
        <w:rPr>
          <w:rFonts w:hint="eastAsia" w:cs="Times New Roman"/>
          <w:lang w:eastAsia="zh-CN"/>
        </w:rPr>
        <w:t>提供有利于资源节约、环境友好、生态良好的技术、产品或服务的企事业单位的集合体，将原文献中“企业的集合体”更换为“企事业单位的集合体”。</w:t>
      </w:r>
    </w:p>
    <w:p>
      <w:pPr>
        <w:spacing w:before="0" w:beforeLines="0" w:after="0" w:afterLines="0" w:line="360" w:lineRule="auto"/>
        <w:rPr>
          <w:rFonts w:hint="eastAsia" w:cs="Times New Roman"/>
          <w:lang w:eastAsia="zh-CN"/>
        </w:rPr>
      </w:pPr>
      <w:r>
        <w:rPr>
          <w:rFonts w:hint="eastAsia" w:cs="Times New Roman"/>
          <w:lang w:eastAsia="zh-CN"/>
        </w:rPr>
        <w:t>“绿色低碳产业企业”为本标准产生的新定义，为经营范围包括《</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，自身生产运营环境表现和社会表现良好，并通过了深圳市绿色</w:t>
      </w:r>
      <w:r>
        <w:rPr>
          <w:rFonts w:hint="eastAsia" w:cs="Times New Roman"/>
          <w:lang w:val="en-US" w:eastAsia="zh-CN"/>
        </w:rPr>
        <w:t>低碳</w:t>
      </w:r>
      <w:r>
        <w:rPr>
          <w:rFonts w:hint="eastAsia" w:cs="Times New Roman"/>
          <w:lang w:eastAsia="zh-CN"/>
        </w:rPr>
        <w:t>产业认定的企事业单位。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绿色低碳产业项目</w:t>
      </w:r>
      <w:r>
        <w:rPr>
          <w:rFonts w:hint="eastAsia" w:cs="Times New Roman"/>
          <w:lang w:eastAsia="zh-CN"/>
        </w:rPr>
        <w:t>”为本标准产生的新定义，为</w:t>
      </w:r>
      <w:r>
        <w:rPr>
          <w:rFonts w:hint="eastAsia" w:cs="Times New Roman"/>
          <w:lang w:val="en-US" w:eastAsia="zh-CN"/>
        </w:rPr>
        <w:t>符合</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lang w:val="en-US" w:eastAsia="zh-CN"/>
        </w:rPr>
        <w:t>所列产业</w:t>
      </w:r>
      <w:r>
        <w:rPr>
          <w:rFonts w:hint="eastAsia" w:cs="Times New Roman"/>
          <w:lang w:eastAsia="zh-CN"/>
        </w:rPr>
        <w:t>，</w:t>
      </w:r>
      <w:r>
        <w:rPr>
          <w:rFonts w:hint="eastAsia" w:cs="Times New Roman"/>
          <w:lang w:val="en-US" w:eastAsia="zh-CN"/>
        </w:rPr>
        <w:t>绿色效益和绿色技术先进性表现良好，</w:t>
      </w:r>
      <w:r>
        <w:rPr>
          <w:rFonts w:hint="eastAsia" w:cs="Times New Roman"/>
          <w:lang w:eastAsia="zh-CN"/>
        </w:rPr>
        <w:t>并通过了深圳市绿色</w:t>
      </w:r>
      <w:r>
        <w:rPr>
          <w:rFonts w:hint="eastAsia" w:cs="Times New Roman"/>
          <w:lang w:val="en-US" w:eastAsia="zh-CN"/>
        </w:rPr>
        <w:t>低碳</w:t>
      </w:r>
      <w:r>
        <w:rPr>
          <w:rFonts w:hint="eastAsia" w:cs="Times New Roman"/>
          <w:lang w:eastAsia="zh-CN"/>
        </w:rPr>
        <w:t>产业认定的项目。</w:t>
      </w:r>
    </w:p>
    <w:p>
      <w:pPr>
        <w:spacing w:before="0" w:beforeLines="0" w:after="0" w:afterLines="0" w:line="360" w:lineRule="auto"/>
        <w:rPr>
          <w:rFonts w:hint="eastAsia" w:cs="Times New Roman"/>
          <w:lang w:eastAsia="zh-CN"/>
        </w:rPr>
      </w:pPr>
      <w:r>
        <w:rPr>
          <w:rFonts w:hint="eastAsia" w:cs="Times New Roman"/>
          <w:lang w:eastAsia="zh-CN"/>
        </w:rPr>
        <w:t>“绿色业务”紧贴“绿色</w:t>
      </w:r>
      <w:r>
        <w:rPr>
          <w:rFonts w:hint="eastAsia" w:cs="Times New Roman"/>
          <w:lang w:val="en-US" w:eastAsia="zh-CN"/>
        </w:rPr>
        <w:t>低碳</w:t>
      </w:r>
      <w:r>
        <w:rPr>
          <w:rFonts w:hint="eastAsia" w:cs="Times New Roman"/>
          <w:lang w:eastAsia="zh-CN"/>
        </w:rPr>
        <w:t>产业企业”主体定义，明确为：提供《绿色产业指导目录》所列产业，或深圳市绿色产业认定规则体系所包含的绿色产业领域相关产品或服务的经营活动。</w:t>
      </w:r>
    </w:p>
    <w:p>
      <w:pPr>
        <w:spacing w:before="0" w:beforeLines="0" w:after="0" w:afterLines="0" w:line="360" w:lineRule="auto"/>
        <w:rPr>
          <w:rFonts w:hint="eastAsia" w:cs="Times New Roman"/>
          <w:lang w:eastAsia="zh-CN"/>
        </w:rPr>
      </w:pPr>
      <w:r>
        <w:rPr>
          <w:rFonts w:hint="eastAsia" w:cs="Times New Roman"/>
          <w:lang w:eastAsia="zh-CN"/>
        </w:rPr>
        <w:t>“建筑节能与绿色建筑产业”</w:t>
      </w:r>
      <w:r>
        <w:rPr>
          <w:rFonts w:hint="eastAsia" w:cs="Times New Roman"/>
          <w:lang w:val="en-US" w:eastAsia="zh-CN"/>
        </w:rPr>
        <w:t>结合《绿色产业指导目录》及深圳市绿色低碳产业认定规则体系进行限定。</w:t>
      </w:r>
      <w:r>
        <w:rPr>
          <w:rFonts w:hint="eastAsia" w:cs="Times New Roman"/>
          <w:lang w:eastAsia="zh-CN"/>
        </w:rPr>
        <w:t>为属于《绿色产业指导目录》所列“建筑节能与绿色建筑</w:t>
      </w:r>
      <w:r>
        <w:rPr>
          <w:rFonts w:hint="eastAsia" w:cs="Times New Roman"/>
          <w:lang w:val="en-US" w:eastAsia="zh-CN"/>
        </w:rPr>
        <w:t>装备制造</w:t>
      </w:r>
      <w:r>
        <w:rPr>
          <w:rFonts w:hint="eastAsia" w:cs="Times New Roman"/>
          <w:lang w:eastAsia="zh-CN"/>
        </w:rPr>
        <w:t>”类，或为深圳市绿色</w:t>
      </w:r>
      <w:r>
        <w:rPr>
          <w:rFonts w:hint="eastAsia" w:cs="Times New Roman"/>
          <w:lang w:val="en-US" w:eastAsia="zh-CN"/>
        </w:rPr>
        <w:t>低碳</w:t>
      </w:r>
      <w:r>
        <w:rPr>
          <w:rFonts w:hint="eastAsia" w:cs="Times New Roman"/>
          <w:lang w:eastAsia="zh-CN"/>
        </w:rPr>
        <w:t>产业认定规则体系中包含的同类型建筑节能与绿色建筑类产业。</w:t>
      </w:r>
    </w:p>
    <w:p>
      <w:pPr>
        <w:pStyle w:val="3"/>
        <w:spacing w:before="0" w:beforeLines="0" w:after="0" w:afterLines="0" w:line="360" w:lineRule="auto"/>
        <w:ind w:firstLine="569"/>
        <w:rPr>
          <w:rFonts w:ascii="Times New Roman" w:hAnsi="Times New Roman" w:cs="Times New Roman"/>
          <w:sz w:val="24"/>
        </w:rPr>
      </w:pPr>
      <w:bookmarkStart w:id="31" w:name="_Toc13645"/>
      <w:bookmarkStart w:id="32" w:name="_Toc1559"/>
      <w:r>
        <w:rPr>
          <w:rFonts w:ascii="Times New Roman" w:hAnsi="Times New Roman" w:cs="Times New Roman"/>
          <w:sz w:val="24"/>
        </w:rPr>
        <w:t>（</w:t>
      </w:r>
      <w:r>
        <w:rPr>
          <w:rFonts w:hint="eastAsia" w:ascii="Times New Roman" w:hAnsi="Times New Roman" w:cs="Times New Roman"/>
          <w:sz w:val="24"/>
        </w:rPr>
        <w:t>五</w:t>
      </w:r>
      <w:r>
        <w:rPr>
          <w:rFonts w:ascii="Times New Roman" w:hAnsi="Times New Roman" w:cs="Times New Roman"/>
          <w:sz w:val="24"/>
        </w:rPr>
        <w:t>）</w:t>
      </w:r>
      <w:r>
        <w:rPr>
          <w:rFonts w:hint="eastAsia" w:ascii="Times New Roman" w:hAnsi="Times New Roman" w:cs="Times New Roman"/>
          <w:sz w:val="24"/>
        </w:rPr>
        <w:t>评价原则</w:t>
      </w:r>
      <w:bookmarkEnd w:id="31"/>
      <w:bookmarkEnd w:id="32"/>
    </w:p>
    <w:p>
      <w:pPr>
        <w:spacing w:before="0" w:beforeLines="0" w:after="0" w:afterLines="0" w:line="360" w:lineRule="auto"/>
        <w:rPr>
          <w:rFonts w:hint="eastAsia" w:cs="Times New Roman"/>
        </w:rPr>
      </w:pPr>
      <w:r>
        <w:rPr>
          <w:rFonts w:hint="eastAsia" w:cs="Times New Roman"/>
          <w:lang w:eastAsia="zh-CN"/>
        </w:rPr>
        <w:t>建筑节能与绿色建筑</w:t>
      </w:r>
      <w:r>
        <w:rPr>
          <w:rFonts w:hint="eastAsia" w:cs="Times New Roman"/>
        </w:rPr>
        <w:t>产业认定评价的工作原则与国内外评价工作基本保持一致，从“科学性”、“可验证性”和“审慎性”3个维度进行阐述。其中，“科学性”要求评价过程应结合</w:t>
      </w:r>
      <w:r>
        <w:rPr>
          <w:rFonts w:hint="eastAsia" w:cs="Times New Roman"/>
          <w:lang w:eastAsia="zh-CN"/>
        </w:rPr>
        <w:t>建筑节能与绿色建筑</w:t>
      </w:r>
      <w:r>
        <w:rPr>
          <w:rFonts w:hint="eastAsia" w:cs="Times New Roman"/>
        </w:rPr>
        <w:t xml:space="preserve">产业特点和各子行业差异性，依据本文件及《绿色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 </w:t>
      </w:r>
      <w:bookmarkStart w:id="33" w:name="_Toc17693"/>
      <w:bookmarkStart w:id="34" w:name="_Toc11187"/>
    </w:p>
    <w:p>
      <w:pPr>
        <w:spacing w:before="0" w:beforeLines="0" w:after="0" w:afterLines="0" w:line="360" w:lineRule="auto"/>
        <w:rPr>
          <w:rFonts w:hint="eastAsia" w:ascii="Times New Roman" w:hAnsi="Times New Roman" w:cs="Times New Roman"/>
          <w:sz w:val="24"/>
        </w:rPr>
      </w:pP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六</w:t>
      </w:r>
      <w:r>
        <w:rPr>
          <w:rFonts w:ascii="Times New Roman" w:hAnsi="Times New Roman" w:cs="Times New Roman" w:eastAsiaTheme="majorEastAsia"/>
          <w:b/>
          <w:bCs/>
          <w:kern w:val="2"/>
          <w:sz w:val="24"/>
          <w:szCs w:val="32"/>
          <w:lang w:val="en-US" w:eastAsia="zh-CN" w:bidi="ar-SA"/>
        </w:rPr>
        <w:t>）</w:t>
      </w:r>
      <w:r>
        <w:rPr>
          <w:rFonts w:hint="eastAsia" w:ascii="Times New Roman" w:hAnsi="Times New Roman" w:cs="Times New Roman" w:eastAsiaTheme="majorEastAsia"/>
          <w:b/>
          <w:bCs/>
          <w:kern w:val="2"/>
          <w:sz w:val="24"/>
          <w:szCs w:val="32"/>
          <w:lang w:val="en-US" w:eastAsia="zh-CN" w:bidi="ar-SA"/>
        </w:rPr>
        <w:t>基本要求</w:t>
      </w:r>
      <w:bookmarkEnd w:id="33"/>
      <w:bookmarkEnd w:id="34"/>
      <w:bookmarkStart w:id="35" w:name="_Toc23748"/>
      <w:bookmarkStart w:id="36" w:name="_Toc31467"/>
    </w:p>
    <w:p>
      <w:pPr>
        <w:spacing w:before="0" w:beforeLines="0" w:after="0" w:afterLines="0" w:line="360" w:lineRule="auto"/>
        <w:rPr>
          <w:rFonts w:hint="eastAsia" w:ascii="Times New Roman" w:hAnsi="Times New Roman" w:cs="Times New Roman"/>
          <w:sz w:val="24"/>
        </w:rPr>
      </w:pPr>
      <w:r>
        <w:rPr>
          <w:rFonts w:hint="eastAsia" w:ascii="Times New Roman" w:hAnsi="Times New Roman" w:eastAsia="宋体" w:cs="Times New Roman"/>
          <w:b w:val="0"/>
          <w:bCs w:val="0"/>
          <w:kern w:val="2"/>
          <w:sz w:val="24"/>
          <w:szCs w:val="24"/>
          <w:lang w:val="en-US" w:eastAsia="zh-CN" w:bidi="ar-SA"/>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申报前三年内未发生重大安全、重大质量事故或严重环境违法行为。此外，为密切衔接《深圳市绿色低碳产业认定管理办法》提出的申报条件要求，额外增加一条（4）《深圳市绿色低碳产业认定管理办法》所规定的其他要求。</w:t>
      </w:r>
    </w:p>
    <w:p>
      <w:pPr>
        <w:pStyle w:val="3"/>
        <w:spacing w:before="0" w:beforeLines="0" w:after="0" w:afterLines="0" w:line="360" w:lineRule="auto"/>
        <w:ind w:firstLine="569"/>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七</w:t>
      </w:r>
      <w:r>
        <w:rPr>
          <w:rFonts w:ascii="Times New Roman" w:hAnsi="Times New Roman" w:cs="Times New Roman"/>
          <w:sz w:val="24"/>
        </w:rPr>
        <w:t>）</w:t>
      </w:r>
      <w:r>
        <w:rPr>
          <w:rFonts w:hint="eastAsia" w:ascii="Times New Roman" w:hAnsi="Times New Roman" w:cs="Times New Roman"/>
          <w:sz w:val="24"/>
        </w:rPr>
        <w:t>评价方法</w:t>
      </w:r>
      <w:bookmarkEnd w:id="35"/>
      <w:bookmarkEnd w:id="36"/>
    </w:p>
    <w:p>
      <w:pPr>
        <w:spacing w:before="0" w:beforeLines="0" w:after="0" w:afterLines="0" w:line="360" w:lineRule="auto"/>
        <w:rPr>
          <w:rFonts w:cs="Times New Roman"/>
        </w:rPr>
      </w:pPr>
      <w:r>
        <w:rPr>
          <w:rFonts w:cs="Times New Roman"/>
        </w:rPr>
        <w:t>从绿色</w:t>
      </w:r>
      <w:r>
        <w:rPr>
          <w:rFonts w:hint="eastAsia" w:cs="Times New Roman"/>
          <w:lang w:val="en-US" w:eastAsia="zh-CN"/>
        </w:rPr>
        <w:t>低碳</w:t>
      </w:r>
      <w:r>
        <w:rPr>
          <w:rFonts w:cs="Times New Roman"/>
        </w:rPr>
        <w:t>产业边界界定的角度出发</w:t>
      </w:r>
      <w:r>
        <w:rPr>
          <w:rFonts w:hint="eastAsia" w:cs="Times New Roman"/>
        </w:rPr>
        <w:t>，《</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产业指导目录》已经划定了较为明确的范围框架，深圳市绿色产业认定评价工作应该是在《</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产业指导目录》，结合深圳市实际产业情况及行业具体特色进行进一步深化细化，提升《</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产业指导目录》在深圳市落地的针对性、适用性和实操性。因此，</w:t>
      </w:r>
      <w:r>
        <w:rPr>
          <w:rFonts w:hint="eastAsia" w:cs="Times New Roman"/>
          <w:lang w:val="en-US" w:eastAsia="zh-CN"/>
        </w:rPr>
        <w:t>建筑节能与绿色建筑领域</w:t>
      </w:r>
      <w:r>
        <w:rPr>
          <w:rFonts w:hint="eastAsia" w:cs="Times New Roman"/>
        </w:rPr>
        <w:t>绿色</w:t>
      </w:r>
      <w:r>
        <w:rPr>
          <w:rFonts w:hint="eastAsia" w:cs="Times New Roman"/>
          <w:lang w:val="en-US" w:eastAsia="zh-CN"/>
        </w:rPr>
        <w:t>低碳</w:t>
      </w:r>
      <w:r>
        <w:rPr>
          <w:rFonts w:hint="eastAsia" w:cs="Times New Roman"/>
        </w:rPr>
        <w:t>产业认定评价的首要评价指标应为目录一致性评价的符合性指标。进而，</w:t>
      </w:r>
      <w:r>
        <w:rPr>
          <w:rFonts w:cs="Times New Roman"/>
        </w:rPr>
        <w:t>从绿色</w:t>
      </w:r>
      <w:r>
        <w:rPr>
          <w:rFonts w:hint="eastAsia" w:cs="Times New Roman"/>
          <w:lang w:val="en-US" w:eastAsia="zh-CN"/>
        </w:rPr>
        <w:t>低碳</w:t>
      </w:r>
      <w:r>
        <w:rPr>
          <w:rFonts w:cs="Times New Roman"/>
        </w:rPr>
        <w:t>产业认定评价结果应用的角度出发</w:t>
      </w:r>
      <w:r>
        <w:rPr>
          <w:rFonts w:hint="eastAsia" w:cs="Times New Roman"/>
        </w:rPr>
        <w:t>，为避免绿色</w:t>
      </w:r>
      <w:r>
        <w:rPr>
          <w:rFonts w:hint="eastAsia" w:cs="Times New Roman"/>
          <w:lang w:val="en-US" w:eastAsia="zh-CN"/>
        </w:rPr>
        <w:t>低碳</w:t>
      </w:r>
      <w:r>
        <w:rPr>
          <w:rFonts w:hint="eastAsia" w:cs="Times New Roman"/>
        </w:rPr>
        <w:t>产业边界框架范围内企事业单位的绿色业务影响力和自身绿色化程度与其他相关制度体系存在较大差异，导致各项政策无法更有针对性地识别扶持最重要、最关键、最紧迫的绿色产业企业</w:t>
      </w:r>
      <w:r>
        <w:rPr>
          <w:rFonts w:hint="eastAsia" w:cs="Times New Roman"/>
          <w:lang w:val="en-US" w:eastAsia="zh-CN"/>
        </w:rPr>
        <w:t>和绿色低碳产业项目</w:t>
      </w:r>
      <w:r>
        <w:rPr>
          <w:rFonts w:hint="eastAsia" w:cs="Times New Roman"/>
        </w:rPr>
        <w:t>，本标准进一步针对</w:t>
      </w:r>
      <w:r>
        <w:rPr>
          <w:rFonts w:hint="eastAsia" w:cs="Times New Roman"/>
          <w:lang w:eastAsia="zh-CN"/>
        </w:rPr>
        <w:t>绿色低碳产业</w:t>
      </w:r>
      <w:r>
        <w:rPr>
          <w:rFonts w:hint="eastAsia" w:cs="Times New Roman"/>
        </w:rPr>
        <w:t>框架范围内的</w:t>
      </w:r>
      <w:r>
        <w:rPr>
          <w:rFonts w:hint="eastAsia" w:cs="Times New Roman"/>
          <w:lang w:eastAsia="zh-CN"/>
        </w:rPr>
        <w:t>绿色低碳产业</w:t>
      </w:r>
      <w:r>
        <w:rPr>
          <w:rFonts w:hint="eastAsia" w:cs="Times New Roman"/>
        </w:rPr>
        <w:t>企业</w:t>
      </w:r>
      <w:r>
        <w:rPr>
          <w:rFonts w:hint="eastAsia" w:cs="Times New Roman"/>
          <w:lang w:val="en-US" w:eastAsia="zh-CN"/>
        </w:rPr>
        <w:t>和绿色低碳产业项目</w:t>
      </w:r>
      <w:r>
        <w:rPr>
          <w:rFonts w:hint="eastAsia" w:cs="Times New Roman"/>
        </w:rPr>
        <w:t>进行综合评价，设定为综合评价指标。</w:t>
      </w:r>
    </w:p>
    <w:p>
      <w:pPr>
        <w:spacing w:before="0" w:beforeLines="0" w:after="0" w:afterLines="0" w:line="360" w:lineRule="auto"/>
        <w:rPr>
          <w:rFonts w:cs="Times New Roman"/>
        </w:rPr>
      </w:pPr>
      <w:r>
        <w:rPr>
          <w:rFonts w:hint="eastAsia" w:cs="Times New Roman"/>
        </w:rPr>
        <w:t>因此，本标准将</w:t>
      </w:r>
      <w:r>
        <w:rPr>
          <w:rFonts w:hint="eastAsia" w:cs="Times New Roman"/>
          <w:lang w:eastAsia="zh-CN"/>
        </w:rPr>
        <w:t>绿色低碳产业</w:t>
      </w:r>
      <w:r>
        <w:rPr>
          <w:rFonts w:hint="eastAsia" w:cs="Times New Roman"/>
        </w:rPr>
        <w:t>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w:t>
      </w:r>
      <w:r>
        <w:rPr>
          <w:rFonts w:hint="eastAsia" w:cs="Times New Roman"/>
          <w:lang w:val="en-US" w:eastAsia="zh-CN"/>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spacing w:before="0" w:beforeLines="0" w:after="0" w:afterLines="0" w:line="360" w:lineRule="auto"/>
        <w:ind w:firstLine="569"/>
        <w:rPr>
          <w:rFonts w:ascii="Times New Roman" w:hAnsi="Times New Roman" w:cs="Times New Roman"/>
          <w:sz w:val="24"/>
        </w:rPr>
      </w:pPr>
      <w:bookmarkStart w:id="37" w:name="_Toc26743"/>
      <w:bookmarkStart w:id="38" w:name="_Toc9614"/>
      <w:r>
        <w:rPr>
          <w:rFonts w:ascii="Times New Roman" w:hAnsi="Times New Roman" w:cs="Times New Roman"/>
          <w:sz w:val="24"/>
        </w:rPr>
        <w:t>（</w:t>
      </w:r>
      <w:r>
        <w:rPr>
          <w:rFonts w:hint="eastAsia" w:ascii="Times New Roman" w:hAnsi="Times New Roman" w:cs="Times New Roman"/>
          <w:sz w:val="24"/>
        </w:rPr>
        <w:t>八</w:t>
      </w:r>
      <w:r>
        <w:rPr>
          <w:rFonts w:ascii="Times New Roman" w:hAnsi="Times New Roman" w:cs="Times New Roman"/>
          <w:sz w:val="24"/>
        </w:rPr>
        <w:t>）</w:t>
      </w:r>
      <w:r>
        <w:rPr>
          <w:rFonts w:hint="eastAsia" w:ascii="Times New Roman" w:hAnsi="Times New Roman" w:cs="Times New Roman"/>
          <w:sz w:val="24"/>
        </w:rPr>
        <w:t>评价指标</w:t>
      </w:r>
      <w:bookmarkEnd w:id="37"/>
      <w:bookmarkEnd w:id="38"/>
    </w:p>
    <w:p>
      <w:pPr>
        <w:spacing w:before="0" w:beforeLines="0" w:after="0" w:afterLines="0" w:line="360" w:lineRule="auto"/>
        <w:rPr>
          <w:rFonts w:cs="Times New Roman"/>
        </w:rPr>
      </w:pPr>
      <w:r>
        <w:rPr>
          <w:rFonts w:hint="eastAsia" w:cs="Times New Roman"/>
        </w:rPr>
        <w:t>本标准将</w:t>
      </w:r>
      <w:r>
        <w:rPr>
          <w:rFonts w:hint="eastAsia" w:cs="Times New Roman"/>
          <w:lang w:val="en-US" w:eastAsia="zh-CN"/>
        </w:rPr>
        <w:t>建筑节能与绿色建筑</w:t>
      </w:r>
      <w:r>
        <w:rPr>
          <w:rFonts w:hint="eastAsia" w:cs="Times New Roman"/>
        </w:rPr>
        <w:t>产业认定评价指标体系分为符合性评价指标和综合评价指标两种类型，其中符合性评价指标为</w:t>
      </w:r>
      <w:r>
        <w:rPr>
          <w:rFonts w:hint="eastAsia" w:cs="Times New Roman"/>
          <w:lang w:val="en-US" w:eastAsia="zh-CN"/>
        </w:rPr>
        <w:t>建筑节能与绿色建筑</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业务表现、技术表现、环境表现和社会表现</w:t>
      </w:r>
      <w:r>
        <w:rPr>
          <w:rFonts w:hint="eastAsia" w:cs="Times New Roman"/>
          <w:lang w:val="en-US" w:eastAsia="zh-CN"/>
        </w:rPr>
        <w:t>4</w:t>
      </w:r>
      <w:r>
        <w:rPr>
          <w:rFonts w:hint="eastAsia" w:cs="Times New Roman"/>
        </w:rPr>
        <w:t>项反映绿色产业绿色业务影响力和自身绿色化程度的一级指标，每类一级指标由若干个能反映出分行业具体绿色业务影响力或自身绿色化程度的二级指标组成。同时，本标准以附录形式给出了</w:t>
      </w:r>
      <w:r>
        <w:rPr>
          <w:rFonts w:hint="eastAsia" w:cs="Times New Roman"/>
          <w:lang w:eastAsia="zh-CN"/>
        </w:rPr>
        <w:t>建筑节能与绿色建筑</w:t>
      </w:r>
      <w:r>
        <w:rPr>
          <w:rFonts w:hint="eastAsia" w:cs="Times New Roman"/>
          <w:lang w:val="en-US" w:eastAsia="zh-CN"/>
        </w:rPr>
        <w:t>领域</w:t>
      </w:r>
      <w:r>
        <w:rPr>
          <w:rFonts w:hint="eastAsia" w:cs="Times New Roman"/>
          <w:lang w:eastAsia="zh-CN"/>
        </w:rPr>
        <w:t>绿色低碳产业</w:t>
      </w:r>
      <w:r>
        <w:rPr>
          <w:rFonts w:hint="eastAsia" w:cs="Times New Roman"/>
          <w:lang w:val="en-US" w:eastAsia="zh-CN"/>
        </w:rPr>
        <w:t>企业</w:t>
      </w:r>
      <w:r>
        <w:rPr>
          <w:rFonts w:hint="eastAsia" w:cs="Times New Roman"/>
        </w:rPr>
        <w:t>认定评价指标表</w:t>
      </w:r>
      <w:r>
        <w:rPr>
          <w:rFonts w:hint="eastAsia" w:cs="Times New Roman"/>
          <w:lang w:val="en-US" w:eastAsia="zh-CN"/>
        </w:rPr>
        <w:t>以及绿色低碳产业项目认定评价指标表</w:t>
      </w:r>
      <w:r>
        <w:rPr>
          <w:rFonts w:hint="eastAsia" w:cs="Times New Roman"/>
        </w:rPr>
        <w:t>。</w:t>
      </w:r>
    </w:p>
    <w:p>
      <w:pPr>
        <w:spacing w:before="0" w:beforeLines="0" w:after="0" w:afterLines="0" w:line="360" w:lineRule="auto"/>
        <w:rPr>
          <w:rFonts w:cs="Times New Roman"/>
        </w:rPr>
      </w:pPr>
      <w:r>
        <w:rPr>
          <w:rFonts w:hint="eastAsia" w:cs="Times New Roman"/>
        </w:rPr>
        <w:t>开展绿色产业认定评价，为突出</w:t>
      </w:r>
      <w:r>
        <w:rPr>
          <w:rFonts w:hint="eastAsia" w:cs="Times New Roman"/>
          <w:lang w:eastAsia="zh-CN"/>
        </w:rPr>
        <w:t>建筑节能与绿色建筑</w:t>
      </w:r>
      <w:r>
        <w:rPr>
          <w:rFonts w:hint="eastAsia" w:cs="Times New Roman"/>
        </w:rPr>
        <w:t>产业的特点，明确</w:t>
      </w:r>
      <w:r>
        <w:rPr>
          <w:rFonts w:hint="eastAsia" w:cs="Times New Roman"/>
          <w:lang w:eastAsia="zh-CN"/>
        </w:rPr>
        <w:t>建筑节能与绿色建筑</w:t>
      </w:r>
      <w:r>
        <w:rPr>
          <w:rFonts w:hint="eastAsia" w:cs="Times New Roman"/>
        </w:rPr>
        <w:t>产业的认定范围。本标准对纳入</w:t>
      </w:r>
      <w:r>
        <w:rPr>
          <w:rFonts w:hint="eastAsia" w:cs="Times New Roman"/>
          <w:lang w:eastAsia="zh-CN"/>
        </w:rPr>
        <w:t>建筑节能与绿色建筑</w:t>
      </w:r>
      <w:r>
        <w:rPr>
          <w:rFonts w:hint="eastAsia" w:cs="Times New Roman"/>
        </w:rPr>
        <w:t>产业的行业大类进行界定，</w:t>
      </w:r>
      <w:r>
        <w:t>包括</w:t>
      </w:r>
      <w:r>
        <w:rPr>
          <w:rFonts w:hint="eastAsia"/>
          <w:lang w:val="en-US" w:eastAsia="zh-CN"/>
        </w:rPr>
        <w:t>超低能耗建筑建设、绿色建筑建设、建筑可再生能源应用、装配式建筑设计和建造、建筑节能化智能化绿色改造、建筑绿色运营、物流绿色仓储等行业。</w:t>
      </w:r>
    </w:p>
    <w:p>
      <w:pPr>
        <w:spacing w:before="0" w:beforeLines="0" w:after="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eastAsia="zh-CN"/>
        </w:rPr>
        <w:t>建筑节能与绿色建筑</w:t>
      </w:r>
      <w:r>
        <w:rPr>
          <w:rFonts w:hint="eastAsia" w:cs="Times New Roman"/>
          <w:lang w:val="en-US" w:eastAsia="zh-CN"/>
        </w:rPr>
        <w:t>领域</w:t>
      </w:r>
      <w:r>
        <w:rPr>
          <w:rFonts w:hint="eastAsia" w:cs="Times New Roman"/>
        </w:rPr>
        <w:t>绿色产业企业的符合性评价指标分为目录符合、技术</w:t>
      </w:r>
      <w:r>
        <w:rPr>
          <w:rFonts w:cs="Times New Roman"/>
        </w:rPr>
        <w:t>符合</w:t>
      </w:r>
      <w:r>
        <w:rPr>
          <w:rFonts w:hint="eastAsia" w:cs="Times New Roman"/>
        </w:rPr>
        <w:t>2个一级指标，贴合</w:t>
      </w:r>
      <w:r>
        <w:rPr>
          <w:rFonts w:hint="eastAsia" w:cs="Times New Roman"/>
          <w:lang w:val="en-US" w:eastAsia="zh-CN"/>
        </w:rPr>
        <w:t>《深圳市绿色低碳产业指导目录》</w:t>
      </w:r>
      <w:r>
        <w:rPr>
          <w:rFonts w:hint="eastAsia" w:cs="Times New Roman"/>
        </w:rPr>
        <w:t>产业边界及具体行业指标要求。其中，“目录符合”要求</w:t>
      </w:r>
      <w:r>
        <w:rPr>
          <w:rFonts w:hint="eastAsia"/>
          <w:lang w:eastAsia="zh-CN"/>
        </w:rPr>
        <w:t>建筑节能与绿色建筑</w:t>
      </w:r>
      <w:r>
        <w:rPr>
          <w:rFonts w:hint="eastAsia"/>
        </w:rPr>
        <w:t>产业企业申报认定评价的主营业务</w:t>
      </w:r>
      <w:r>
        <w:rPr>
          <w:rFonts w:hint="eastAsia"/>
          <w:lang w:val="en-US" w:eastAsia="zh-CN"/>
        </w:rPr>
        <w:t>应</w:t>
      </w:r>
      <w:r>
        <w:rPr>
          <w:rFonts w:hint="eastAsia"/>
        </w:rPr>
        <w:t>属于</w:t>
      </w:r>
      <w:r>
        <w:rPr>
          <w:rFonts w:hint="eastAsia"/>
          <w:lang w:val="en-US" w:eastAsia="zh-CN"/>
        </w:rPr>
        <w:t>《深圳市绿色低碳产业指导目录》中建筑节能与绿色建筑产业所列明</w:t>
      </w:r>
      <w:r>
        <w:rPr>
          <w:rFonts w:hint="eastAsia"/>
        </w:rPr>
        <w:t>行业</w:t>
      </w:r>
      <w:r>
        <w:rPr>
          <w:rFonts w:hint="eastAsia"/>
          <w:lang w:eastAsia="zh-CN"/>
        </w:rPr>
        <w:t>。</w:t>
      </w:r>
      <w:r>
        <w:rPr>
          <w:rFonts w:hint="eastAsia"/>
          <w:lang w:val="en-US" w:eastAsia="zh-CN"/>
        </w:rPr>
        <w:t>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lang w:eastAsia="zh-CN"/>
        </w:rPr>
        <w:t>建筑节能与绿色建筑</w:t>
      </w:r>
      <w:r>
        <w:rPr>
          <w:rFonts w:hint="eastAsia"/>
        </w:rPr>
        <w:t>产业企业提供的产品或服务应符合国家、广东省及深圳市相关主管部门发布的法律法规和政策标准要求，一方面应满足</w:t>
      </w:r>
      <w:r>
        <w:rPr>
          <w:rFonts w:hint="eastAsia"/>
          <w:lang w:val="en-US" w:eastAsia="zh-CN"/>
        </w:rPr>
        <w:t>部分或全部</w:t>
      </w:r>
      <w:r>
        <w:rPr>
          <w:rFonts w:hint="eastAsia"/>
        </w:rPr>
        <w:t>相关产品设备进入市场的</w:t>
      </w:r>
      <w:r>
        <w:rPr>
          <w:rFonts w:hint="eastAsia"/>
          <w:lang w:val="en-US" w:eastAsia="zh-CN"/>
        </w:rPr>
        <w:t>节能评价值或一级</w:t>
      </w:r>
      <w:r>
        <w:rPr>
          <w:rFonts w:hint="eastAsia"/>
        </w:rPr>
        <w:t>能效水平门槛；另一方面应满足相关产品设备进入市场的</w:t>
      </w:r>
      <w:r>
        <w:rPr>
          <w:rFonts w:hint="eastAsia"/>
          <w:lang w:val="en-US" w:eastAsia="zh-CN"/>
        </w:rPr>
        <w:t>准入</w:t>
      </w:r>
      <w:r>
        <w:rPr>
          <w:rFonts w:hint="eastAsia"/>
        </w:rPr>
        <w:t>设备性能水平门槛。</w:t>
      </w:r>
    </w:p>
    <w:p>
      <w:pPr>
        <w:spacing w:before="0" w:beforeLines="0" w:after="0" w:afterLines="0" w:line="360" w:lineRule="auto"/>
        <w:ind w:firstLine="480" w:firstLineChars="200"/>
        <w:rPr>
          <w:rFonts w:cs="Times New Roman"/>
        </w:rPr>
      </w:pPr>
      <w:r>
        <w:rPr>
          <w:rFonts w:cs="Times New Roman"/>
        </w:rPr>
        <w:t>为进一步深化绿色</w:t>
      </w:r>
      <w:r>
        <w:rPr>
          <w:rFonts w:hint="eastAsia" w:cs="Times New Roman"/>
          <w:lang w:val="en-US" w:eastAsia="zh-CN"/>
        </w:rPr>
        <w:t>低碳</w:t>
      </w:r>
      <w:r>
        <w:rPr>
          <w:rFonts w:cs="Times New Roman"/>
        </w:rPr>
        <w:t>产业</w:t>
      </w:r>
      <w:r>
        <w:rPr>
          <w:rFonts w:hint="eastAsia" w:cs="Times New Roman"/>
          <w:lang w:val="en-US" w:eastAsia="zh-CN"/>
        </w:rPr>
        <w:t>企业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w:t>
      </w:r>
      <w:r>
        <w:rPr>
          <w:rFonts w:hint="eastAsia" w:cs="Times New Roman"/>
          <w:lang w:eastAsia="zh-CN"/>
        </w:rPr>
        <w:t>、</w:t>
      </w:r>
      <w:r>
        <w:rPr>
          <w:rFonts w:hint="eastAsia" w:cs="Times New Roman"/>
        </w:rPr>
        <w:t>二级指标</w:t>
      </w:r>
      <w:r>
        <w:rPr>
          <w:rFonts w:hint="eastAsia" w:cs="Times New Roman"/>
          <w:lang w:val="en-US" w:eastAsia="zh-CN"/>
        </w:rPr>
        <w:t>以及三级指标</w:t>
      </w:r>
      <w:r>
        <w:rPr>
          <w:rFonts w:hint="eastAsia" w:cs="Times New Roman"/>
        </w:rPr>
        <w:t>，同时对统计最终得分的方式方法做出了要求。本标准按照可量化、可比较、可操作原则，建立分层次的指标体系，对每个层次的指标赋予一定分值，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建筑节能与绿色建筑</w:t>
      </w:r>
      <w:r>
        <w:rPr>
          <w:rFonts w:hint="eastAsia" w:asciiTheme="minorEastAsia" w:hAnsiTheme="minorEastAsia" w:eastAsiaTheme="minorEastAsia"/>
        </w:rPr>
        <w:t>绿色</w:t>
      </w:r>
      <w:r>
        <w:rPr>
          <w:rFonts w:hint="eastAsia" w:asciiTheme="minorEastAsia" w:hAnsiTheme="minorEastAsia" w:eastAsiaTheme="minorEastAsia"/>
          <w:lang w:val="en-US" w:eastAsia="zh-CN"/>
        </w:rPr>
        <w:t>低碳</w:t>
      </w:r>
      <w:r>
        <w:rPr>
          <w:rFonts w:hint="eastAsia" w:asciiTheme="minorEastAsia" w:hAnsiTheme="minorEastAsia" w:eastAsiaTheme="minorEastAsia"/>
        </w:rPr>
        <w:t>产业认定综合评价得分，</w:t>
      </w:r>
      <w:r>
        <w:rPr>
          <w:rFonts w:hint="eastAsia" w:cs="Times New Roman"/>
        </w:rPr>
        <w:t>总分采取百分制。</w:t>
      </w:r>
    </w:p>
    <w:p>
      <w:pPr>
        <w:spacing w:before="0" w:beforeLines="0" w:after="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w:t>
      </w:r>
      <w:r>
        <w:rPr>
          <w:rFonts w:hint="eastAsia" w:cs="Times New Roman"/>
          <w:lang w:val="en-US" w:eastAsia="zh-CN"/>
        </w:rPr>
        <w:t>低碳</w:t>
      </w:r>
      <w:r>
        <w:rPr>
          <w:rFonts w:hint="eastAsia" w:cs="Times New Roman"/>
        </w:rPr>
        <w:t>产业企业提供产品或服务的先进性和实际带来的环境效益。“先进性”要求从</w:t>
      </w:r>
      <w:r>
        <w:rPr>
          <w:rFonts w:hint="eastAsia"/>
          <w:lang w:val="en-US" w:eastAsia="zh-CN"/>
        </w:rPr>
        <w:t>有效知识产权</w:t>
      </w:r>
      <w:r>
        <w:rPr>
          <w:rFonts w:hint="eastAsia"/>
        </w:rPr>
        <w:t>、</w:t>
      </w:r>
      <w:r>
        <w:rPr>
          <w:rFonts w:hint="eastAsia"/>
          <w:lang w:val="en-US" w:eastAsia="zh-CN"/>
        </w:rPr>
        <w:t>参与制修订标准</w:t>
      </w:r>
      <w:r>
        <w:rPr>
          <w:rFonts w:hint="eastAsia"/>
        </w:rPr>
        <w:t>、</w:t>
      </w:r>
      <w:r>
        <w:rPr>
          <w:rFonts w:hint="eastAsia"/>
          <w:lang w:val="en-US" w:eastAsia="zh-CN"/>
        </w:rPr>
        <w:t>关键技术先进性3</w:t>
      </w:r>
      <w:r>
        <w:rPr>
          <w:rFonts w:hint="eastAsia"/>
        </w:rPr>
        <w:t>个方面进行评价，总分</w:t>
      </w:r>
      <w:r>
        <w:rPr>
          <w:rFonts w:hint="eastAsia"/>
          <w:lang w:val="en-US" w:eastAsia="zh-CN"/>
        </w:rPr>
        <w:t>20</w:t>
      </w:r>
      <w:r>
        <w:rPr>
          <w:rFonts w:hint="eastAsia"/>
        </w:rPr>
        <w:t>分。</w:t>
      </w:r>
      <w:r>
        <w:rPr>
          <w:rFonts w:hint="eastAsia" w:cs="Times New Roman"/>
        </w:rPr>
        <w:t>“环境效益”要求从</w:t>
      </w:r>
      <w:r>
        <w:rPr>
          <w:rFonts w:hint="eastAsia" w:cs="Times New Roman"/>
          <w:lang w:val="en-US" w:eastAsia="zh-CN"/>
        </w:rPr>
        <w:t>降碳效益</w:t>
      </w:r>
      <w:r>
        <w:rPr>
          <w:rFonts w:hint="eastAsia" w:cs="Times New Roman"/>
        </w:rPr>
        <w:t>、</w:t>
      </w:r>
      <w:r>
        <w:rPr>
          <w:rFonts w:hint="eastAsia" w:cs="Times New Roman"/>
          <w:lang w:val="en-US" w:eastAsia="zh-CN"/>
        </w:rPr>
        <w:t>减污效益、资源综合利用效益、其他效益4</w:t>
      </w:r>
      <w:r>
        <w:rPr>
          <w:rFonts w:hint="eastAsia" w:cs="Times New Roman"/>
        </w:rPr>
        <w:t>个方面进行评价，总分</w:t>
      </w:r>
      <w:r>
        <w:rPr>
          <w:rFonts w:hint="eastAsia" w:cs="Times New Roman"/>
          <w:lang w:val="en-US" w:eastAsia="zh-CN"/>
        </w:rPr>
        <w:t>20</w:t>
      </w:r>
      <w:r>
        <w:rPr>
          <w:rFonts w:hint="eastAsia" w:cs="Times New Roman"/>
        </w:rPr>
        <w:t>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w:t>
      </w:r>
      <w:r>
        <w:rPr>
          <w:rFonts w:hint="eastAsia" w:cs="Times New Roman"/>
          <w:lang w:val="en-US" w:eastAsia="zh-CN"/>
        </w:rPr>
        <w:t>低碳</w:t>
      </w:r>
      <w:r>
        <w:rPr>
          <w:rFonts w:hint="eastAsia" w:cs="Times New Roman"/>
        </w:rPr>
        <w:t>产业企业提供相关产品或服务的发展趋势和市场影响力。“发展能力”要求</w:t>
      </w:r>
      <w:r>
        <w:rPr>
          <w:rFonts w:hint="eastAsia"/>
        </w:rPr>
        <w:t>从</w:t>
      </w:r>
      <w:r>
        <w:rPr>
          <w:rFonts w:hint="eastAsia"/>
          <w:lang w:val="en-US" w:eastAsia="zh-CN"/>
        </w:rPr>
        <w:t>团队技术实力</w:t>
      </w:r>
      <w:r>
        <w:rPr>
          <w:rFonts w:hint="eastAsia"/>
        </w:rPr>
        <w:t>、研发投入、</w:t>
      </w:r>
      <w:r>
        <w:rPr>
          <w:rFonts w:hint="eastAsia"/>
          <w:lang w:val="en-US" w:eastAsia="zh-CN"/>
        </w:rPr>
        <w:t>业务增长率、现金流量比率、资产负债率5</w:t>
      </w:r>
      <w:r>
        <w:rPr>
          <w:rFonts w:hint="eastAsia"/>
        </w:rPr>
        <w:t>个方面进行评价，总分</w:t>
      </w:r>
      <w:r>
        <w:rPr>
          <w:rFonts w:hint="eastAsia"/>
          <w:lang w:val="en-US" w:eastAsia="zh-CN"/>
        </w:rPr>
        <w:t>18</w:t>
      </w:r>
      <w:r>
        <w:rPr>
          <w:rFonts w:hint="eastAsia"/>
        </w:rPr>
        <w:t>分。</w:t>
      </w:r>
      <w:r>
        <w:rPr>
          <w:rFonts w:hint="eastAsia" w:cs="Times New Roman"/>
        </w:rPr>
        <w:t>“市场影响”要求</w:t>
      </w:r>
      <w:r>
        <w:rPr>
          <w:rFonts w:hint="eastAsia"/>
        </w:rPr>
        <w:t>从</w:t>
      </w:r>
      <w:r>
        <w:rPr>
          <w:rFonts w:hint="eastAsia"/>
          <w:lang w:val="en-US" w:eastAsia="zh-CN"/>
        </w:rPr>
        <w:t>市场竞争力</w:t>
      </w:r>
      <w:r>
        <w:rPr>
          <w:rFonts w:hint="eastAsia"/>
        </w:rPr>
        <w:t>、产业影响力</w:t>
      </w:r>
      <w:r>
        <w:rPr>
          <w:rFonts w:hint="eastAsia"/>
          <w:lang w:eastAsia="zh-CN"/>
        </w:rPr>
        <w:t>、</w:t>
      </w:r>
      <w:r>
        <w:rPr>
          <w:rFonts w:hint="eastAsia"/>
          <w:lang w:val="en-US" w:eastAsia="zh-CN"/>
        </w:rPr>
        <w:t>行业资质及经验</w:t>
      </w:r>
      <w:r>
        <w:rPr>
          <w:rFonts w:hint="eastAsia"/>
        </w:rPr>
        <w:t>3个方面进行评价，总分</w:t>
      </w:r>
      <w:r>
        <w:rPr>
          <w:rFonts w:hint="eastAsia"/>
          <w:lang w:val="en-US" w:eastAsia="zh-CN"/>
        </w:rPr>
        <w:t>20</w:t>
      </w:r>
      <w:r>
        <w:rPr>
          <w:rFonts w:hint="eastAsia"/>
        </w:rPr>
        <w:t>分。</w:t>
      </w:r>
    </w:p>
    <w:p>
      <w:pPr>
        <w:spacing w:before="0" w:beforeLines="0" w:after="0" w:afterLines="0" w:line="360" w:lineRule="auto"/>
        <w:ind w:firstLine="480" w:firstLineChars="200"/>
        <w:rPr>
          <w:rFonts w:hint="eastAsia" w:cs="Times New Roman"/>
        </w:rPr>
      </w:pPr>
      <w:r>
        <w:rPr>
          <w:rFonts w:hint="eastAsia" w:cs="Times New Roman"/>
        </w:rPr>
        <w:t>“环境表现”分为了“工艺设备材料”“能源资源利用”和“</w:t>
      </w:r>
      <w:r>
        <w:rPr>
          <w:rFonts w:hint="eastAsia" w:cs="Times New Roman"/>
          <w:lang w:val="en-US" w:eastAsia="zh-CN"/>
        </w:rPr>
        <w:t>污染物排放水平</w:t>
      </w:r>
      <w:r>
        <w:rPr>
          <w:rFonts w:hint="eastAsia" w:cs="Times New Roman"/>
        </w:rPr>
        <w:t>”</w:t>
      </w:r>
      <w:r>
        <w:rPr>
          <w:rFonts w:hint="eastAsia" w:cs="Times New Roman"/>
          <w:lang w:eastAsia="zh-CN"/>
        </w:rPr>
        <w:t>、“</w:t>
      </w:r>
      <w:r>
        <w:rPr>
          <w:rFonts w:hint="eastAsia" w:cs="Times New Roman"/>
          <w:lang w:val="en-US" w:eastAsia="zh-CN"/>
        </w:rPr>
        <w:t>温室气体排放水平</w:t>
      </w:r>
      <w:r>
        <w:rPr>
          <w:rFonts w:hint="eastAsia" w:cs="Times New Roman"/>
          <w:lang w:eastAsia="zh-CN"/>
        </w:rPr>
        <w:t>”</w:t>
      </w:r>
      <w:r>
        <w:rPr>
          <w:rFonts w:hint="eastAsia" w:cs="Times New Roman"/>
          <w:lang w:val="en-US" w:eastAsia="zh-CN"/>
        </w:rPr>
        <w:t>4</w:t>
      </w:r>
      <w:r>
        <w:rPr>
          <w:rFonts w:hint="eastAsia" w:cs="Times New Roman"/>
        </w:rPr>
        <w:t>个二级指标，从绿色产业企业生产运营对于源头供应、实际运作和终端排放的全链条环境管理提出要求。“工艺设备材料”</w:t>
      </w:r>
      <w:r>
        <w:rPr>
          <w:rFonts w:hint="eastAsia" w:cs="Times New Roman"/>
          <w:lang w:val="en-US" w:eastAsia="zh-CN"/>
        </w:rPr>
        <w:t>要求从工艺。设备、材料绿色化水平三方面进行评价</w:t>
      </w:r>
      <w:r>
        <w:rPr>
          <w:rFonts w:hint="eastAsia" w:cs="Times New Roman"/>
        </w:rPr>
        <w:t>，总分</w:t>
      </w:r>
      <w:r>
        <w:rPr>
          <w:rFonts w:hint="eastAsia" w:cs="Times New Roman"/>
          <w:lang w:val="en-US" w:eastAsia="zh-CN"/>
        </w:rPr>
        <w:t>3</w:t>
      </w:r>
      <w:r>
        <w:rPr>
          <w:rFonts w:hint="eastAsia" w:cs="Times New Roman"/>
        </w:rPr>
        <w:t>分。“能源资源利用”要求</w:t>
      </w:r>
      <w:r>
        <w:rPr>
          <w:rFonts w:hint="eastAsia"/>
        </w:rPr>
        <w:t>从</w:t>
      </w:r>
      <w:r>
        <w:rPr>
          <w:rFonts w:hint="eastAsia"/>
          <w:lang w:val="en-US" w:eastAsia="zh-CN"/>
        </w:rPr>
        <w:t>可再生能源占比、非常规水资源利用率、废弃物综合利用率3</w:t>
      </w:r>
      <w:r>
        <w:rPr>
          <w:rFonts w:hint="eastAsia"/>
        </w:rPr>
        <w:t>个方面进行评价，总分</w:t>
      </w:r>
      <w:r>
        <w:rPr>
          <w:rFonts w:hint="eastAsia"/>
          <w:lang w:val="en-US" w:eastAsia="zh-CN"/>
        </w:rPr>
        <w:t>5</w:t>
      </w:r>
      <w:r>
        <w:rPr>
          <w:rFonts w:hint="eastAsia"/>
        </w:rPr>
        <w:t>分。</w:t>
      </w:r>
      <w:r>
        <w:rPr>
          <w:rFonts w:hint="eastAsia" w:cs="Times New Roman"/>
        </w:rPr>
        <w:t>“</w:t>
      </w:r>
      <w:r>
        <w:rPr>
          <w:rFonts w:hint="eastAsia" w:cs="Times New Roman"/>
          <w:lang w:val="en-US" w:eastAsia="zh-CN"/>
        </w:rPr>
        <w:t>污染物排放水平</w:t>
      </w:r>
      <w:r>
        <w:rPr>
          <w:rFonts w:hint="eastAsia" w:cs="Times New Roman"/>
        </w:rPr>
        <w:t>”</w:t>
      </w:r>
      <w:r>
        <w:rPr>
          <w:rFonts w:hint="eastAsia" w:cs="Times New Roman"/>
          <w:lang w:val="en-US" w:eastAsia="zh-CN"/>
        </w:rPr>
        <w:t>总分4分，</w:t>
      </w:r>
      <w:r>
        <w:rPr>
          <w:rFonts w:hint="eastAsia" w:cs="Times New Roman"/>
        </w:rPr>
        <w:t>要求应从凸显绿色产业企业</w:t>
      </w:r>
      <w:r>
        <w:rPr>
          <w:rFonts w:hint="eastAsia" w:cs="Times New Roman"/>
          <w:lang w:val="en-US" w:eastAsia="zh-CN"/>
        </w:rPr>
        <w:t>污染物</w:t>
      </w:r>
      <w:r>
        <w:rPr>
          <w:rFonts w:hint="eastAsia" w:cs="Times New Roman"/>
        </w:rPr>
        <w:t>排放达标情况等角度设置指标，大气污染物、水体污染物、固体废弃物、噪声等主要污染物排放检测指标明显优于国家、行业、广东省及深圳市地方标准要求，满足区域内排放总量控制要求。“</w:t>
      </w:r>
      <w:r>
        <w:rPr>
          <w:rFonts w:hint="eastAsia" w:cs="Times New Roman"/>
          <w:lang w:val="en-US" w:eastAsia="zh-CN"/>
        </w:rPr>
        <w:t>温室气体排放水平</w:t>
      </w:r>
      <w:r>
        <w:rPr>
          <w:rFonts w:hint="eastAsia" w:cs="Times New Roman"/>
        </w:rPr>
        <w:t>”</w:t>
      </w:r>
      <w:r>
        <w:rPr>
          <w:rFonts w:hint="eastAsia" w:cs="Times New Roman"/>
          <w:lang w:val="en-US" w:eastAsia="zh-CN"/>
        </w:rPr>
        <w:t>总分4分，</w:t>
      </w:r>
      <w:r>
        <w:rPr>
          <w:rFonts w:hint="eastAsia" w:cs="Times New Roman"/>
        </w:rPr>
        <w:t>要求应</w:t>
      </w:r>
      <w:r>
        <w:rPr>
          <w:rFonts w:hint="eastAsia" w:cs="Times New Roman"/>
          <w:lang w:val="en-US" w:eastAsia="zh-CN"/>
        </w:rPr>
        <w:t>从碳排放总量、</w:t>
      </w:r>
      <w:r>
        <w:rPr>
          <w:rFonts w:hint="eastAsia" w:cs="Times New Roman"/>
        </w:rPr>
        <w:t>碳排放强度等定量指标实现同比下降水平。同时，本标准以小注的形式解释说明了</w:t>
      </w:r>
      <w:r>
        <w:rPr>
          <w:rFonts w:hint="eastAsia" w:cs="Times New Roman"/>
          <w:lang w:val="en-US" w:eastAsia="zh-CN"/>
        </w:rPr>
        <w:t>碳排放核算方法以及</w:t>
      </w:r>
      <w:r>
        <w:rPr>
          <w:rFonts w:hint="eastAsia" w:cs="Times New Roman"/>
        </w:rPr>
        <w:t>碳排放强度的计算方法，与</w:t>
      </w:r>
      <w:r>
        <w:rPr>
          <w:rFonts w:hint="eastAsia" w:cs="Times New Roman"/>
          <w:lang w:val="en-US" w:eastAsia="zh-CN"/>
        </w:rPr>
        <w:t>GB/T 51366</w:t>
      </w:r>
      <w:r>
        <w:rPr>
          <w:rFonts w:hint="eastAsia" w:cs="Times New Roman"/>
        </w:rPr>
        <w:t>《</w:t>
      </w:r>
      <w:r>
        <w:rPr>
          <w:rFonts w:hint="eastAsia" w:cs="Times New Roman"/>
          <w:lang w:val="en-US" w:eastAsia="zh-CN"/>
        </w:rPr>
        <w:t>建筑碳排放计算标准</w:t>
      </w:r>
      <w:r>
        <w:rPr>
          <w:rFonts w:hint="eastAsia" w:cs="Times New Roman"/>
        </w:rPr>
        <w:t>》保持一致。</w:t>
      </w:r>
    </w:p>
    <w:p>
      <w:pPr>
        <w:spacing w:before="0" w:beforeLines="0" w:after="0" w:afterLines="0" w:line="360" w:lineRule="auto"/>
        <w:ind w:firstLine="480" w:firstLineChars="200"/>
        <w:rPr>
          <w:rFonts w:hint="eastAsia"/>
        </w:rPr>
      </w:pPr>
      <w:r>
        <w:rPr>
          <w:rFonts w:hint="eastAsia" w:cs="Times New Roman"/>
        </w:rPr>
        <w:t>“社会表现”分为了“</w:t>
      </w:r>
      <w:r>
        <w:rPr>
          <w:rFonts w:hint="eastAsia" w:cs="Times New Roman"/>
          <w:lang w:val="en-US" w:eastAsia="zh-CN"/>
        </w:rPr>
        <w:t>内部行动</w:t>
      </w:r>
      <w:r>
        <w:rPr>
          <w:rFonts w:hint="eastAsia" w:cs="Times New Roman"/>
        </w:rPr>
        <w:t>”和“社会责任”2个二级指标，引导绿色产业企业贴合国家政策，开展信息披露，</w:t>
      </w:r>
      <w:r>
        <w:rPr>
          <w:rFonts w:hint="eastAsia" w:cs="Times New Roman"/>
          <w:lang w:val="en-US" w:eastAsia="zh-CN"/>
        </w:rPr>
        <w:t>强化员工绿色低碳意识，</w:t>
      </w:r>
      <w:r>
        <w:rPr>
          <w:rFonts w:hint="eastAsia" w:cs="Times New Roman"/>
        </w:rPr>
        <w:t>展现社会责任。“</w:t>
      </w:r>
      <w:r>
        <w:rPr>
          <w:rFonts w:hint="eastAsia" w:cs="Times New Roman"/>
          <w:lang w:val="en-US" w:eastAsia="zh-CN"/>
        </w:rPr>
        <w:t>内部行动</w:t>
      </w:r>
      <w:r>
        <w:rPr>
          <w:rFonts w:hint="eastAsia" w:cs="Times New Roman"/>
        </w:rPr>
        <w:t>”要求</w:t>
      </w:r>
      <w:r>
        <w:rPr>
          <w:rFonts w:hint="eastAsia"/>
        </w:rPr>
        <w:t>从主动信息披露</w:t>
      </w:r>
      <w:r>
        <w:rPr>
          <w:rFonts w:hint="eastAsia"/>
          <w:lang w:eastAsia="zh-CN"/>
        </w:rPr>
        <w:t>、</w:t>
      </w:r>
      <w:r>
        <w:rPr>
          <w:rFonts w:hint="eastAsia"/>
          <w:lang w:val="en-US" w:eastAsia="zh-CN"/>
        </w:rPr>
        <w:t>环保培训、绿色发展行动</w:t>
      </w:r>
      <w:r>
        <w:rPr>
          <w:rFonts w:hint="eastAsia"/>
        </w:rPr>
        <w:t>进行评价，总分</w:t>
      </w:r>
      <w:r>
        <w:rPr>
          <w:rFonts w:hint="eastAsia"/>
          <w:lang w:val="en-US" w:eastAsia="zh-CN"/>
        </w:rPr>
        <w:t>3</w:t>
      </w:r>
      <w:r>
        <w:rPr>
          <w:rFonts w:hint="eastAsia"/>
        </w:rPr>
        <w:t>分。</w:t>
      </w:r>
      <w:r>
        <w:rPr>
          <w:rFonts w:hint="eastAsia" w:cs="Times New Roman"/>
        </w:rPr>
        <w:t>“社会责任”要求</w:t>
      </w:r>
      <w:r>
        <w:rPr>
          <w:rFonts w:hint="eastAsia"/>
        </w:rPr>
        <w:t>从</w:t>
      </w:r>
      <w:r>
        <w:rPr>
          <w:rFonts w:hint="eastAsia"/>
          <w:lang w:val="en-US" w:eastAsia="zh-CN"/>
        </w:rPr>
        <w:t>举办公益活动、提供社会援助、绿色供应链管理</w:t>
      </w:r>
      <w:r>
        <w:rPr>
          <w:rFonts w:hint="eastAsia"/>
        </w:rPr>
        <w:t>3个方面进行评价，总分</w:t>
      </w:r>
      <w:r>
        <w:rPr>
          <w:rFonts w:hint="eastAsia"/>
          <w:lang w:val="en-US" w:eastAsia="zh-CN"/>
        </w:rPr>
        <w:t>3</w:t>
      </w:r>
      <w:r>
        <w:rPr>
          <w:rFonts w:hint="eastAsia"/>
        </w:rPr>
        <w:t>分。</w:t>
      </w:r>
    </w:p>
    <w:p>
      <w:pPr>
        <w:spacing w:before="0" w:beforeLines="0" w:after="0" w:afterLines="0" w:line="360" w:lineRule="auto"/>
        <w:ind w:firstLine="480" w:firstLineChars="200"/>
        <w:rPr>
          <w:rFonts w:hint="eastAsia"/>
        </w:rPr>
      </w:pPr>
      <w:r>
        <w:rPr>
          <w:rFonts w:hint="eastAsia"/>
        </w:rPr>
        <w:t>开展</w:t>
      </w:r>
      <w:r>
        <w:rPr>
          <w:rFonts w:hint="eastAsia"/>
          <w:lang w:eastAsia="zh-CN"/>
        </w:rPr>
        <w:t>绿色低碳产业</w:t>
      </w:r>
      <w:r>
        <w:rPr>
          <w:rFonts w:hint="eastAsia"/>
          <w:lang w:val="en-US" w:eastAsia="zh-CN"/>
        </w:rPr>
        <w:t>项目</w:t>
      </w:r>
      <w:r>
        <w:rPr>
          <w:rFonts w:hint="eastAsia"/>
        </w:rPr>
        <w:t>认定评价，</w:t>
      </w:r>
      <w:r>
        <w:rPr>
          <w:rFonts w:hint="eastAsia"/>
          <w:lang w:val="en-US" w:eastAsia="zh-CN"/>
        </w:rPr>
        <w:t>技术规范的</w:t>
      </w:r>
      <w:r>
        <w:rPr>
          <w:rFonts w:hint="eastAsia"/>
        </w:rPr>
        <w:t>评价指标宜根据各行业实际需求，对本文件综合评价指标体系的</w:t>
      </w:r>
      <w:r>
        <w:rPr>
          <w:rFonts w:hint="eastAsia"/>
          <w:lang w:val="en-US" w:eastAsia="zh-CN"/>
        </w:rPr>
        <w:t>具体评价内容</w:t>
      </w:r>
      <w:r>
        <w:rPr>
          <w:rFonts w:hint="eastAsia"/>
        </w:rPr>
        <w:t>适当增删，对评价指标的阈值及得分适当调整。技术表现中的“关键技术先进性”指标宜根据各行业特点，按照可量化、可比较、可操作原则，参照本文件指标要求编制具体评价内容及评价方法。</w:t>
      </w:r>
    </w:p>
    <w:p>
      <w:pPr>
        <w:spacing w:before="0" w:beforeLines="0" w:after="0" w:afterLines="0" w:line="360" w:lineRule="auto"/>
        <w:ind w:firstLine="480" w:firstLineChars="200"/>
        <w:rPr>
          <w:rFonts w:hint="eastAsia"/>
        </w:rPr>
      </w:pPr>
      <w:r>
        <w:rPr>
          <w:rFonts w:hint="eastAsia"/>
          <w:lang w:eastAsia="zh-CN"/>
        </w:rPr>
        <w:t>绿色低碳产业</w:t>
      </w:r>
      <w:r>
        <w:rPr>
          <w:rFonts w:hint="eastAsia"/>
          <w:lang w:val="en-US" w:eastAsia="zh-CN"/>
        </w:rPr>
        <w:t>项目</w:t>
      </w:r>
      <w:r>
        <w:rPr>
          <w:rFonts w:hint="eastAsia"/>
        </w:rPr>
        <w:t>认定评价</w:t>
      </w:r>
      <w:r>
        <w:rPr>
          <w:rFonts w:hint="eastAsia"/>
          <w:lang w:val="en-US" w:eastAsia="zh-CN"/>
        </w:rPr>
        <w:t>与绿色低碳产业企业认定评价体系保持一致，针对符合性评价分为“目录符合”和“技术符合”</w:t>
      </w:r>
      <w:r>
        <w:rPr>
          <w:rFonts w:hint="eastAsia"/>
        </w:rPr>
        <w:t>。其中，“目录符合”要求</w:t>
      </w:r>
      <w:r>
        <w:rPr>
          <w:rFonts w:hint="eastAsia"/>
          <w:lang w:val="en-US" w:eastAsia="zh-CN"/>
        </w:rPr>
        <w:t>项目应属于《深圳市绿色低碳产业指导目录》所列“建筑节能与绿色建筑产业”，且符合安全、环保、质量相关法规政策、强制性标准等的要求</w:t>
      </w:r>
      <w:r>
        <w:rPr>
          <w:rFonts w:hint="eastAsia"/>
        </w:rPr>
        <w:t>。“技术符合”则要求</w:t>
      </w:r>
      <w:r>
        <w:rPr>
          <w:rFonts w:hint="eastAsia"/>
          <w:lang w:eastAsia="zh-CN"/>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p>
      <w:pPr>
        <w:spacing w:before="0" w:beforeLines="0" w:after="0" w:afterLines="0" w:line="360" w:lineRule="auto"/>
        <w:ind w:firstLine="480" w:firstLineChars="200"/>
        <w:rPr>
          <w:rFonts w:hint="eastAsia"/>
          <w:lang w:val="en-US"/>
        </w:rPr>
      </w:pPr>
      <w:r>
        <w:rPr>
          <w:rFonts w:hint="eastAsia"/>
          <w:lang w:val="en-US" w:eastAsia="zh-CN"/>
        </w:rPr>
        <w:t>绿色低碳产业项目认定评价根据项目自身特点，同时简化项目评价流程</w:t>
      </w:r>
      <w:r>
        <w:rPr>
          <w:rFonts w:hint="eastAsia"/>
        </w:rPr>
        <w:t>，从技术表现和社会表现等方面进一步评价</w:t>
      </w:r>
      <w:r>
        <w:rPr>
          <w:rFonts w:hint="eastAsia"/>
          <w:lang w:val="en-US" w:eastAsia="zh-CN"/>
        </w:rPr>
        <w:t>项目</w:t>
      </w:r>
      <w:r>
        <w:rPr>
          <w:rFonts w:hint="eastAsia"/>
        </w:rPr>
        <w:t>的</w:t>
      </w:r>
      <w:r>
        <w:rPr>
          <w:rFonts w:hint="eastAsia"/>
          <w:lang w:val="en-US" w:eastAsia="zh-CN"/>
        </w:rPr>
        <w:t>绿色效益和绿色技术先进性</w:t>
      </w:r>
      <w:r>
        <w:rPr>
          <w:rFonts w:hint="eastAsia"/>
        </w:rPr>
        <w:t>。技术表现中的“关键技术先进性”指标</w:t>
      </w:r>
      <w:r>
        <w:rPr>
          <w:rFonts w:hint="eastAsia"/>
          <w:lang w:val="en-US" w:eastAsia="zh-CN"/>
        </w:rPr>
        <w:t>同样</w:t>
      </w:r>
      <w:r>
        <w:rPr>
          <w:rFonts w:hint="eastAsia"/>
        </w:rPr>
        <w:t>宜根据各行业特点，按照可量化、可比较、可操作原则，参照本文件指标要求编制具体评价内容及评价方法。</w:t>
      </w:r>
      <w:r>
        <w:rPr>
          <w:rFonts w:hint="eastAsia"/>
          <w:lang w:val="en-US" w:eastAsia="zh-CN"/>
        </w:rPr>
        <w:t>绿色低碳产业项目认定评价</w:t>
      </w:r>
      <w:r>
        <w:rPr>
          <w:rFonts w:hint="eastAsia"/>
        </w:rPr>
        <w:t>通过加和计算得出绿色产业认定综合评价得分，总分采取百分制</w:t>
      </w:r>
      <w:r>
        <w:rPr>
          <w:rFonts w:hint="eastAsia"/>
          <w:lang w:eastAsia="zh-CN"/>
        </w:rPr>
        <w:t>，</w:t>
      </w:r>
      <w:r>
        <w:rPr>
          <w:rFonts w:hint="eastAsia"/>
          <w:lang w:val="en-US" w:eastAsia="zh-CN"/>
        </w:rPr>
        <w:t>最终根据项目评价得分进行项目评级</w:t>
      </w:r>
      <w:r>
        <w:rPr>
          <w:rFonts w:hint="eastAsia"/>
        </w:rPr>
        <w:t>。</w:t>
      </w:r>
      <w:r>
        <w:rPr>
          <w:rFonts w:hint="eastAsia"/>
          <w:lang w:val="en-US" w:eastAsia="zh-CN"/>
        </w:rPr>
        <w:t>综合评价指标中若部分指标不适用于某行业，经专家评估审定后可不参评。最终评价综合得分采用百分制，通过参评得分占参评项总得分进行折算。</w:t>
      </w:r>
    </w:p>
    <w:p>
      <w:pPr>
        <w:spacing w:before="0" w:beforeLines="0" w:after="0" w:afterLines="0" w:line="360" w:lineRule="auto"/>
        <w:ind w:firstLine="480" w:firstLineChars="200"/>
        <w:rPr>
          <w:rFonts w:hint="eastAsia"/>
        </w:rPr>
      </w:pPr>
      <w:r>
        <w:rPr>
          <w:rFonts w:hint="eastAsia"/>
        </w:rPr>
        <w:t>从全面体现</w:t>
      </w:r>
      <w:r>
        <w:rPr>
          <w:rFonts w:hint="eastAsia"/>
          <w:lang w:eastAsia="zh-CN"/>
        </w:rPr>
        <w:t>绿色低碳产业</w:t>
      </w:r>
      <w:r>
        <w:rPr>
          <w:rFonts w:hint="eastAsia"/>
          <w:lang w:val="en-US" w:eastAsia="zh-CN"/>
        </w:rPr>
        <w:t>项目</w:t>
      </w:r>
      <w:r>
        <w:rPr>
          <w:rFonts w:hint="eastAsia"/>
        </w:rPr>
        <w:t>的</w:t>
      </w:r>
      <w:r>
        <w:rPr>
          <w:rFonts w:hint="eastAsia"/>
          <w:lang w:val="en-US" w:eastAsia="zh-CN"/>
        </w:rPr>
        <w:t>绿色效益和绿色技术先进性</w:t>
      </w:r>
      <w:r>
        <w:rPr>
          <w:rFonts w:hint="eastAsia"/>
        </w:rPr>
        <w:t>的出发点考虑，本标准将</w:t>
      </w:r>
      <w:r>
        <w:rPr>
          <w:rFonts w:hint="eastAsia"/>
          <w:lang w:eastAsia="zh-CN"/>
        </w:rPr>
        <w:t>绿色低碳产业</w:t>
      </w:r>
      <w:r>
        <w:rPr>
          <w:rFonts w:hint="eastAsia"/>
          <w:lang w:val="en-US" w:eastAsia="zh-CN"/>
        </w:rPr>
        <w:t>项目</w:t>
      </w:r>
      <w:r>
        <w:rPr>
          <w:rFonts w:hint="eastAsia"/>
        </w:rPr>
        <w:t>的综合评价指标分为技术表现、环境表现</w:t>
      </w:r>
      <w:r>
        <w:rPr>
          <w:rFonts w:hint="eastAsia"/>
          <w:lang w:val="en-US" w:eastAsia="zh-CN"/>
        </w:rPr>
        <w:t>两项</w:t>
      </w:r>
      <w:r>
        <w:rPr>
          <w:rFonts w:hint="eastAsia"/>
        </w:rPr>
        <w:t>一级指标。其中，“技术表现”又分为了“</w:t>
      </w:r>
      <w:r>
        <w:rPr>
          <w:rFonts w:hint="eastAsia"/>
          <w:lang w:val="en-US" w:eastAsia="zh-CN"/>
        </w:rPr>
        <w:t>有效知识产权</w:t>
      </w:r>
      <w:r>
        <w:rPr>
          <w:rFonts w:hint="eastAsia"/>
        </w:rPr>
        <w:t>”</w:t>
      </w:r>
      <w:r>
        <w:rPr>
          <w:rFonts w:hint="eastAsia"/>
          <w:lang w:eastAsia="zh-CN"/>
        </w:rPr>
        <w:t>、“</w:t>
      </w:r>
      <w:r>
        <w:rPr>
          <w:rFonts w:hint="eastAsia"/>
          <w:lang w:val="en-US" w:eastAsia="zh-CN"/>
        </w:rPr>
        <w:t>关键技术先进性</w:t>
      </w:r>
      <w:r>
        <w:rPr>
          <w:rFonts w:hint="eastAsia"/>
          <w:lang w:eastAsia="zh-CN"/>
        </w:rPr>
        <w:t>”</w:t>
      </w:r>
      <w:r>
        <w:rPr>
          <w:rFonts w:hint="eastAsia"/>
        </w:rPr>
        <w:t>和“环境效益”</w:t>
      </w:r>
      <w:r>
        <w:rPr>
          <w:rFonts w:hint="eastAsia"/>
          <w:lang w:val="en-US" w:eastAsia="zh-CN"/>
        </w:rPr>
        <w:t>3</w:t>
      </w:r>
      <w:r>
        <w:rPr>
          <w:rFonts w:hint="eastAsia"/>
        </w:rPr>
        <w:t>个二级指标，重点体现</w:t>
      </w:r>
      <w:r>
        <w:rPr>
          <w:rFonts w:hint="eastAsia"/>
          <w:lang w:eastAsia="zh-CN"/>
        </w:rPr>
        <w:t>绿色低碳产业</w:t>
      </w:r>
      <w:r>
        <w:rPr>
          <w:rFonts w:hint="eastAsia"/>
        </w:rPr>
        <w:t>企业提供产品或服务的先进性和实际带来的环境效益。“</w:t>
      </w:r>
      <w:r>
        <w:rPr>
          <w:rFonts w:hint="eastAsia"/>
          <w:lang w:val="en-US" w:eastAsia="zh-CN"/>
        </w:rPr>
        <w:t>有效知识产权</w:t>
      </w:r>
      <w:r>
        <w:rPr>
          <w:rFonts w:hint="eastAsia"/>
        </w:rPr>
        <w:t>”要求应从</w:t>
      </w:r>
      <w:r>
        <w:rPr>
          <w:rFonts w:hint="eastAsia"/>
          <w:lang w:val="en-US" w:eastAsia="zh-CN"/>
        </w:rPr>
        <w:t>项目拥有并直接应用的有效知识产权数量情况进行评价</w:t>
      </w:r>
      <w:r>
        <w:rPr>
          <w:rFonts w:hint="eastAsia"/>
        </w:rPr>
        <w:t>。</w:t>
      </w:r>
      <w:r>
        <w:rPr>
          <w:rFonts w:hint="eastAsia"/>
          <w:lang w:eastAsia="zh-CN"/>
        </w:rPr>
        <w:t>“</w:t>
      </w:r>
      <w:r>
        <w:rPr>
          <w:rFonts w:hint="eastAsia"/>
          <w:lang w:val="en-US" w:eastAsia="zh-CN"/>
        </w:rPr>
        <w:t>关键技术先进性</w:t>
      </w:r>
      <w:r>
        <w:rPr>
          <w:rFonts w:hint="eastAsia"/>
          <w:lang w:eastAsia="zh-CN"/>
        </w:rPr>
        <w:t>”</w:t>
      </w:r>
      <w:r>
        <w:rPr>
          <w:rFonts w:hint="eastAsia"/>
          <w:lang w:val="en-US" w:eastAsia="zh-CN"/>
        </w:rPr>
        <w:t>可参考绿色低碳产业企业认定评价的内容进行评价。</w:t>
      </w:r>
      <w:r>
        <w:rPr>
          <w:rFonts w:hint="eastAsia"/>
        </w:rPr>
        <w:t>“环境效益”要求应从凸显</w:t>
      </w:r>
      <w:r>
        <w:rPr>
          <w:rFonts w:hint="eastAsia"/>
          <w:lang w:eastAsia="zh-CN"/>
        </w:rPr>
        <w:t>绿色低碳产业</w:t>
      </w:r>
      <w:r>
        <w:rPr>
          <w:rFonts w:hint="eastAsia"/>
          <w:lang w:val="en-US" w:eastAsia="zh-CN"/>
        </w:rPr>
        <w:t>项目</w:t>
      </w:r>
      <w:r>
        <w:rPr>
          <w:rFonts w:hint="eastAsia"/>
        </w:rPr>
        <w:t>提供的产品或服务带来的直接环境效益等角度设置环境效益指标</w:t>
      </w:r>
      <w:r>
        <w:rPr>
          <w:rFonts w:hint="eastAsia"/>
          <w:lang w:val="en-US" w:eastAsia="zh-CN"/>
        </w:rPr>
        <w:t>。</w:t>
      </w:r>
    </w:p>
    <w:p>
      <w:pPr>
        <w:spacing w:before="0" w:beforeLines="0" w:after="0" w:afterLines="0" w:line="360" w:lineRule="auto"/>
        <w:ind w:firstLine="480" w:firstLineChars="200"/>
        <w:rPr>
          <w:rFonts w:hint="eastAsia"/>
        </w:rPr>
      </w:pPr>
      <w:r>
        <w:rPr>
          <w:rFonts w:hint="eastAsia"/>
        </w:rPr>
        <w:t>“环境表现”分为了“工艺设备材料”“</w:t>
      </w:r>
      <w:r>
        <w:rPr>
          <w:rFonts w:hint="eastAsia"/>
          <w:lang w:val="en-US" w:eastAsia="zh-CN"/>
        </w:rPr>
        <w:t>绿色低碳运营</w:t>
      </w:r>
      <w:r>
        <w:rPr>
          <w:rFonts w:hint="eastAsia"/>
        </w:rPr>
        <w:t>”“</w:t>
      </w:r>
      <w:r>
        <w:rPr>
          <w:rFonts w:hint="eastAsia"/>
          <w:lang w:val="en-US" w:eastAsia="zh-CN"/>
        </w:rPr>
        <w:t>污染物排放水平</w:t>
      </w:r>
      <w:r>
        <w:rPr>
          <w:rFonts w:hint="eastAsia"/>
        </w:rPr>
        <w:t>”</w:t>
      </w:r>
      <w:r>
        <w:rPr>
          <w:rFonts w:hint="eastAsia"/>
          <w:lang w:val="en-US" w:eastAsia="zh-CN"/>
        </w:rPr>
        <w:t>3</w:t>
      </w:r>
      <w:r>
        <w:rPr>
          <w:rFonts w:hint="eastAsia"/>
        </w:rPr>
        <w:t>个二级指标，从</w:t>
      </w:r>
      <w:r>
        <w:rPr>
          <w:rFonts w:hint="eastAsia"/>
          <w:lang w:eastAsia="zh-CN"/>
        </w:rPr>
        <w:t>绿色低碳产业</w:t>
      </w:r>
      <w:r>
        <w:rPr>
          <w:rFonts w:hint="eastAsia"/>
          <w:lang w:val="en-US" w:eastAsia="zh-CN"/>
        </w:rPr>
        <w:t>项目</w:t>
      </w:r>
      <w:r>
        <w:rPr>
          <w:rFonts w:hint="eastAsia"/>
        </w:rPr>
        <w:t>生产运营对于源头供应、实际运作和终端排放的全链条环境管理提出要求。“工艺设备材料”</w:t>
      </w:r>
      <w:r>
        <w:rPr>
          <w:rFonts w:hint="eastAsia"/>
          <w:lang w:val="en-US" w:eastAsia="zh-CN"/>
        </w:rPr>
        <w:t>评价</w:t>
      </w:r>
      <w:r>
        <w:rPr>
          <w:rFonts w:hint="eastAsia"/>
        </w:rPr>
        <w:t>要求</w:t>
      </w:r>
      <w:r>
        <w:rPr>
          <w:rFonts w:hint="eastAsia"/>
          <w:lang w:val="en-US" w:eastAsia="zh-CN"/>
        </w:rPr>
        <w:t>可参考企业评价内容，但项目评价采用综合评估形式，对工艺设备材料综合绿色化程度进行评价</w:t>
      </w:r>
      <w:r>
        <w:rPr>
          <w:rFonts w:hint="eastAsia"/>
        </w:rPr>
        <w:t>。“</w:t>
      </w:r>
      <w:r>
        <w:rPr>
          <w:rFonts w:hint="eastAsia"/>
          <w:lang w:val="en-US" w:eastAsia="zh-CN"/>
        </w:rPr>
        <w:t>绿色低碳运营</w:t>
      </w:r>
      <w:r>
        <w:rPr>
          <w:rFonts w:hint="eastAsia"/>
        </w:rPr>
        <w:t>”</w:t>
      </w:r>
      <w:r>
        <w:rPr>
          <w:rFonts w:hint="eastAsia"/>
          <w:lang w:val="en-US" w:eastAsia="zh-CN"/>
        </w:rPr>
        <w:t>为项目评价的特色指标，从单位总投资综合能耗、单位总投资用水量、单位总投资用地面积、单位总投资碳排放量、废弃物综合利用率五个方面在行业内的领先水平进行评价。</w:t>
      </w:r>
      <w:r>
        <w:rPr>
          <w:rFonts w:hint="eastAsia"/>
        </w:rPr>
        <w:t>“</w:t>
      </w:r>
      <w:r>
        <w:rPr>
          <w:rFonts w:hint="eastAsia"/>
          <w:lang w:val="en-US" w:eastAsia="zh-CN"/>
        </w:rPr>
        <w:t>污染物排放水平</w:t>
      </w:r>
      <w:r>
        <w:rPr>
          <w:rFonts w:hint="eastAsia"/>
        </w:rPr>
        <w:t>”要求应从凸显</w:t>
      </w:r>
      <w:r>
        <w:rPr>
          <w:rFonts w:hint="eastAsia"/>
          <w:lang w:eastAsia="zh-CN"/>
        </w:rPr>
        <w:t>绿色低碳产业</w:t>
      </w:r>
      <w:r>
        <w:rPr>
          <w:rFonts w:hint="eastAsia"/>
        </w:rPr>
        <w:t>企业</w:t>
      </w:r>
      <w:r>
        <w:rPr>
          <w:rFonts w:hint="eastAsia"/>
          <w:lang w:val="en-US" w:eastAsia="zh-CN"/>
        </w:rPr>
        <w:t>污染物</w:t>
      </w:r>
      <w:r>
        <w:rPr>
          <w:rFonts w:hint="eastAsia"/>
        </w:rPr>
        <w:t>排放达标情况等角度设置指标，大气污染物、水体污染物、固体废弃物、噪声等主要污染物排放检测指标明显优于国家、行业、广东省及深圳市地方标准要求，满足区域内排放总量控制要求。</w:t>
      </w:r>
    </w:p>
    <w:p>
      <w:pPr>
        <w:pStyle w:val="3"/>
        <w:spacing w:before="0" w:beforeLines="0" w:after="0" w:afterLines="0" w:line="360" w:lineRule="auto"/>
        <w:ind w:firstLine="569"/>
        <w:rPr>
          <w:rFonts w:ascii="Times New Roman" w:hAnsi="Times New Roman" w:cs="Times New Roman"/>
          <w:sz w:val="24"/>
        </w:rPr>
      </w:pPr>
      <w:bookmarkStart w:id="39" w:name="_Toc4979"/>
      <w:bookmarkStart w:id="40" w:name="_Toc5531"/>
      <w:r>
        <w:rPr>
          <w:rFonts w:ascii="Times New Roman" w:hAnsi="Times New Roman" w:cs="Times New Roman"/>
          <w:sz w:val="24"/>
        </w:rPr>
        <w:t>（</w:t>
      </w:r>
      <w:r>
        <w:rPr>
          <w:rFonts w:hint="eastAsia" w:ascii="Times New Roman" w:hAnsi="Times New Roman" w:cs="Times New Roman"/>
          <w:sz w:val="24"/>
        </w:rPr>
        <w:t>九</w:t>
      </w:r>
      <w:r>
        <w:rPr>
          <w:rFonts w:ascii="Times New Roman" w:hAnsi="Times New Roman" w:cs="Times New Roman"/>
          <w:sz w:val="24"/>
        </w:rPr>
        <w:t>）</w:t>
      </w:r>
      <w:r>
        <w:rPr>
          <w:rFonts w:hint="eastAsia" w:ascii="Times New Roman" w:hAnsi="Times New Roman" w:cs="Times New Roman"/>
          <w:sz w:val="24"/>
        </w:rPr>
        <w:t>评价程序</w:t>
      </w:r>
      <w:bookmarkEnd w:id="39"/>
      <w:bookmarkEnd w:id="40"/>
    </w:p>
    <w:p>
      <w:pPr>
        <w:spacing w:before="0" w:beforeLines="0" w:after="0" w:afterLines="0" w:line="360" w:lineRule="auto"/>
        <w:rPr>
          <w:rFonts w:hint="eastAsia" w:cs="Times New Roman"/>
        </w:rPr>
      </w:pPr>
      <w:r>
        <w:rPr>
          <w:rFonts w:cs="Times New Roman"/>
        </w:rPr>
        <w:t>本标准将评价程序划分为</w:t>
      </w:r>
      <w:r>
        <w:rPr>
          <w:rFonts w:hint="eastAsia" w:cs="Times New Roman"/>
          <w:lang w:val="en-US" w:eastAsia="zh-CN"/>
        </w:rPr>
        <w:t>成立工作组</w:t>
      </w:r>
      <w:r>
        <w:rPr>
          <w:rFonts w:hint="eastAsia" w:cs="Times New Roman"/>
        </w:rPr>
        <w:t>、</w:t>
      </w:r>
      <w:r>
        <w:rPr>
          <w:rFonts w:hint="eastAsia" w:cs="Times New Roman"/>
          <w:lang w:val="en-US" w:eastAsia="zh-CN"/>
        </w:rPr>
        <w:t>收集资料、认定评价、编制报告</w:t>
      </w:r>
      <w:r>
        <w:rPr>
          <w:rFonts w:cs="Times New Roman"/>
        </w:rPr>
        <w:t>和</w:t>
      </w:r>
      <w:r>
        <w:rPr>
          <w:rFonts w:hint="eastAsia" w:cs="Times New Roman"/>
          <w:lang w:val="en-US" w:eastAsia="zh-CN"/>
        </w:rPr>
        <w:t>专家评审5</w:t>
      </w:r>
      <w:r>
        <w:rPr>
          <w:rFonts w:hint="eastAsia" w:cs="Times New Roman"/>
        </w:rPr>
        <w:t>个部分，对</w:t>
      </w:r>
      <w:r>
        <w:rPr>
          <w:rFonts w:hint="eastAsia" w:cs="Times New Roman"/>
          <w:lang w:eastAsia="zh-CN"/>
        </w:rPr>
        <w:t>建筑节能与绿色建筑</w:t>
      </w:r>
      <w:r>
        <w:rPr>
          <w:rFonts w:hint="eastAsia" w:cs="Times New Roman"/>
        </w:rPr>
        <w:t>产业认定评价工作前、中、后涉及的环节要点进行了明确。</w:t>
      </w:r>
    </w:p>
    <w:p>
      <w:pPr>
        <w:spacing w:before="0" w:beforeLines="0" w:after="0" w:afterLines="0" w:line="360" w:lineRule="auto"/>
        <w:rPr>
          <w:rFonts w:hint="default" w:eastAsia="宋体" w:cs="Times New Roman"/>
          <w:lang w:val="en-US" w:eastAsia="zh-CN"/>
        </w:rPr>
      </w:pPr>
      <w:r>
        <w:rPr>
          <w:rFonts w:hint="eastAsia" w:cs="Times New Roman"/>
        </w:rPr>
        <w:t>“</w:t>
      </w:r>
      <w:r>
        <w:rPr>
          <w:rFonts w:hint="eastAsia" w:cs="Times New Roman"/>
          <w:lang w:val="en-US" w:eastAsia="zh-CN"/>
        </w:rPr>
        <w:t>成立工作组</w:t>
      </w:r>
      <w:r>
        <w:rPr>
          <w:rFonts w:hint="eastAsia" w:cs="Times New Roman"/>
        </w:rPr>
        <w:t>”明确了</w:t>
      </w:r>
      <w:r>
        <w:rPr>
          <w:rFonts w:hint="eastAsia" w:cs="Times New Roman"/>
          <w:lang w:val="en-US" w:eastAsia="zh-CN"/>
        </w:rPr>
        <w:t>实施绿色低碳产业认定评价工作应具备的能力要求</w:t>
      </w:r>
      <w:r>
        <w:rPr>
          <w:rFonts w:hint="eastAsia" w:cs="Times New Roman"/>
        </w:rPr>
        <w:t>，</w:t>
      </w:r>
      <w:r>
        <w:rPr>
          <w:rFonts w:hint="eastAsia" w:cs="Times New Roman"/>
          <w:lang w:val="en-US" w:eastAsia="zh-CN"/>
        </w:rPr>
        <w:t>要求工作组应具有能源、环境、财务等相关专业背景；熟悉掌握绿色低碳产业认定评价方法和步骤；具备良好的沟通协调能力和文字表达能力。</w:t>
      </w:r>
    </w:p>
    <w:p>
      <w:pPr>
        <w:spacing w:before="0" w:beforeLines="0" w:after="0" w:afterLines="0" w:line="360" w:lineRule="auto"/>
        <w:rPr>
          <w:rFonts w:hint="eastAsia" w:cs="Times New Roman"/>
        </w:rPr>
      </w:pPr>
      <w:r>
        <w:rPr>
          <w:rFonts w:hint="eastAsia" w:cs="Times New Roman"/>
        </w:rPr>
        <w:t xml:space="preserve"> “</w:t>
      </w:r>
      <w:r>
        <w:rPr>
          <w:rFonts w:hint="eastAsia" w:cs="Times New Roman"/>
          <w:lang w:val="en-US" w:eastAsia="zh-CN"/>
        </w:rPr>
        <w:t>收集资料</w:t>
      </w:r>
      <w:r>
        <w:rPr>
          <w:rFonts w:hint="eastAsia" w:cs="Times New Roman"/>
        </w:rPr>
        <w:t>”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w:t>
      </w:r>
      <w:r>
        <w:rPr>
          <w:rFonts w:hint="eastAsia" w:cs="Times New Roman"/>
          <w:lang w:val="en-US" w:eastAsia="zh-CN"/>
        </w:rPr>
        <w:t>产品或服务的发展能力及市场影响相关佐证材料（9）</w:t>
      </w:r>
      <w:r>
        <w:rPr>
          <w:rFonts w:hint="eastAsia" w:cs="Times New Roman"/>
        </w:rPr>
        <w:t>原材料、工艺或设备的采购情况；（</w:t>
      </w:r>
      <w:r>
        <w:rPr>
          <w:rFonts w:hint="eastAsia" w:cs="Times New Roman"/>
          <w:lang w:val="en-US" w:eastAsia="zh-CN"/>
        </w:rPr>
        <w:t>10</w:t>
      </w:r>
      <w:r>
        <w:rPr>
          <w:rFonts w:hint="eastAsia" w:cs="Times New Roman"/>
        </w:rPr>
        <w:t>）资源能源消耗、污染物排放等数据和资料；（9）</w:t>
      </w:r>
      <w:r>
        <w:rPr>
          <w:rFonts w:hint="eastAsia" w:cs="Times New Roman"/>
          <w:lang w:val="en-US" w:eastAsia="zh-CN"/>
        </w:rPr>
        <w:t>内部行动</w:t>
      </w:r>
      <w:r>
        <w:rPr>
          <w:rFonts w:hint="eastAsia" w:cs="Times New Roman"/>
        </w:rPr>
        <w:t>及社会责任证明材料；（1</w:t>
      </w:r>
      <w:r>
        <w:rPr>
          <w:rFonts w:cs="Times New Roman"/>
        </w:rPr>
        <w:t>0</w:t>
      </w:r>
      <w:r>
        <w:rPr>
          <w:rFonts w:hint="eastAsia" w:cs="Times New Roman"/>
        </w:rPr>
        <w:t>）其他必要文件资料。</w:t>
      </w:r>
    </w:p>
    <w:p>
      <w:pPr>
        <w:spacing w:before="0" w:beforeLines="0" w:after="0" w:afterLines="0" w:line="360" w:lineRule="auto"/>
        <w:rPr>
          <w:rFonts w:hint="default" w:cs="Times New Roman"/>
          <w:lang w:val="en-US" w:eastAsia="zh-CN"/>
        </w:rPr>
      </w:pPr>
      <w:r>
        <w:rPr>
          <w:rFonts w:hint="eastAsia" w:cs="Times New Roman"/>
          <w:lang w:eastAsia="zh-CN"/>
        </w:rPr>
        <w:t>“</w:t>
      </w:r>
      <w:r>
        <w:rPr>
          <w:rFonts w:hint="eastAsia" w:cs="Times New Roman"/>
          <w:lang w:val="en-US" w:eastAsia="zh-CN"/>
        </w:rPr>
        <w:t>认定评价</w:t>
      </w:r>
      <w:r>
        <w:rPr>
          <w:rFonts w:hint="eastAsia" w:cs="Times New Roman"/>
          <w:lang w:eastAsia="zh-CN"/>
        </w:rPr>
        <w:t>”</w:t>
      </w:r>
      <w:r>
        <w:rPr>
          <w:rFonts w:hint="eastAsia" w:cs="Times New Roman"/>
          <w:lang w:val="en-US" w:eastAsia="zh-CN"/>
        </w:rPr>
        <w:t>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对企事业单位和项目的评价打分要求进行明确，绿色低碳产业认定评价的符合性评价为一票否决项，绿色低碳产业认定评价综合值为各项指标得分的累计叠加值，满分为100分。此外，绿色低碳产业企业认定评价最终得分为综合值得分；绿色低碳产业项目认定评价达到符合性评价要求的，获得基础分30分，最终得分为基础分值与综合值得分累加。</w:t>
      </w:r>
    </w:p>
    <w:p>
      <w:pPr>
        <w:spacing w:before="0" w:beforeLines="0" w:after="0" w:afterLines="0" w:line="360" w:lineRule="auto"/>
        <w:rPr>
          <w:rFonts w:hint="eastAsia" w:cs="Times New Roman"/>
          <w:lang w:val="en-US" w:eastAsia="zh-CN"/>
        </w:rPr>
      </w:pPr>
      <w:r>
        <w:rPr>
          <w:rFonts w:hint="eastAsia" w:cs="Times New Roman"/>
          <w:lang w:val="en-US" w:eastAsia="zh-C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hint="default" w:cs="Times New Roman"/>
          <w:lang w:val="en-US" w:eastAsia="zh-CN"/>
        </w:rPr>
      </w:pPr>
      <w:r>
        <w:rPr>
          <w:rFonts w:hint="eastAsia" w:cs="Times New Roman"/>
          <w:lang w:val="en-US" w:eastAsia="zh-CN"/>
        </w:rPr>
        <w:t>“专家评审”明确了绿色产业认定评价工作最终需组织专家对绿色低碳产业认定相关申报材料进行评审，对照本文件规定的绿色低碳产业认定评价指标体系要求以及申报单位提供的佐证材料进行打分，根据建筑节能与绿色建筑领域不同行业的达标标准给出绿色低碳产业认定评价结果。</w:t>
      </w:r>
      <w:r>
        <w:rPr>
          <w:rFonts w:hint="default" w:cs="Times New Roman"/>
          <w:lang w:val="en-US" w:eastAsia="zh-CN"/>
        </w:rPr>
        <w:t>企事业单位的综合评价得分达85分及以上，视为通过绿色低碳产业企业认定评价。项目根据整体得分予以评级，整体得分≥80分的，视为通过绿色低碳产业项目A级评价；60分≤整体得分＜80分的，视为通过绿色低碳产业项目B级评价；30分≤整体得分＜60分的，视为通过绿色低碳产业项目C级评价。</w:t>
      </w:r>
    </w:p>
    <w:p>
      <w:pPr>
        <w:pStyle w:val="3"/>
        <w:spacing w:before="0" w:beforeLines="0" w:after="0" w:afterLines="0" w:line="360" w:lineRule="auto"/>
        <w:ind w:firstLine="569"/>
        <w:rPr>
          <w:rFonts w:ascii="Times New Roman" w:hAnsi="Times New Roman" w:cs="Times New Roman"/>
          <w:sz w:val="24"/>
        </w:rPr>
      </w:pPr>
      <w:bookmarkStart w:id="41" w:name="_Toc19085"/>
      <w:bookmarkStart w:id="42" w:name="_Toc22186"/>
      <w:r>
        <w:rPr>
          <w:rFonts w:ascii="Times New Roman" w:hAnsi="Times New Roman" w:cs="Times New Roman"/>
          <w:sz w:val="24"/>
        </w:rPr>
        <w:t>（</w:t>
      </w:r>
      <w:r>
        <w:rPr>
          <w:rFonts w:hint="eastAsia" w:ascii="Times New Roman" w:hAnsi="Times New Roman" w:cs="Times New Roman"/>
          <w:sz w:val="24"/>
        </w:rPr>
        <w:t>十</w:t>
      </w:r>
      <w:r>
        <w:rPr>
          <w:rFonts w:ascii="Times New Roman" w:hAnsi="Times New Roman" w:cs="Times New Roman"/>
          <w:sz w:val="24"/>
        </w:rPr>
        <w:t>）</w:t>
      </w:r>
      <w:r>
        <w:rPr>
          <w:rFonts w:hint="eastAsia" w:ascii="Times New Roman" w:hAnsi="Times New Roman" w:cs="Times New Roman"/>
          <w:sz w:val="24"/>
        </w:rPr>
        <w:t>附录</w:t>
      </w:r>
      <w:bookmarkEnd w:id="41"/>
      <w:bookmarkEnd w:id="42"/>
    </w:p>
    <w:p>
      <w:pPr>
        <w:spacing w:before="0" w:beforeLines="0" w:after="0" w:afterLines="0" w:line="360" w:lineRule="auto"/>
        <w:rPr>
          <w:rFonts w:cs="Times New Roman"/>
        </w:rPr>
      </w:pPr>
      <w:r>
        <w:rPr>
          <w:rFonts w:cs="Times New Roman"/>
        </w:rPr>
        <w:t>本</w:t>
      </w:r>
      <w:r>
        <w:rPr>
          <w:rFonts w:hint="eastAsia" w:cs="Times New Roman"/>
          <w:lang w:val="en-US" w:eastAsia="zh-CN"/>
        </w:rPr>
        <w:t>文件</w:t>
      </w:r>
      <w:r>
        <w:rPr>
          <w:rFonts w:cs="Times New Roman"/>
        </w:rPr>
        <w:t>给出了</w:t>
      </w:r>
      <w:r>
        <w:rPr>
          <w:rFonts w:hint="eastAsia" w:cs="Times New Roman"/>
          <w:lang w:val="en-US" w:eastAsia="zh-CN"/>
        </w:rPr>
        <w:t>3</w:t>
      </w:r>
      <w:r>
        <w:rPr>
          <w:rFonts w:hint="eastAsia" w:cs="Times New Roman"/>
        </w:rPr>
        <w:t>个附录，附录A为</w:t>
      </w:r>
      <w:r>
        <w:rPr>
          <w:rFonts w:hint="eastAsia"/>
          <w:lang w:eastAsia="zh-CN"/>
        </w:rPr>
        <w:t>建筑节能与绿色建筑</w:t>
      </w:r>
      <w:r>
        <w:rPr>
          <w:rFonts w:hint="eastAsia"/>
          <w:lang w:val="en-US" w:eastAsia="zh-CN"/>
        </w:rPr>
        <w:t>领域</w:t>
      </w:r>
      <w:r>
        <w:rPr>
          <w:rFonts w:hint="eastAsia"/>
        </w:rPr>
        <w:t>绿色</w:t>
      </w:r>
      <w:r>
        <w:rPr>
          <w:rFonts w:hint="eastAsia"/>
          <w:lang w:val="en-US" w:eastAsia="zh-CN"/>
        </w:rPr>
        <w:t>低碳</w:t>
      </w:r>
      <w:r>
        <w:rPr>
          <w:rFonts w:hint="eastAsia"/>
        </w:rPr>
        <w:t>产业认定评价指标表</w:t>
      </w:r>
      <w:r>
        <w:rPr>
          <w:rFonts w:hint="eastAsia" w:cs="Times New Roman"/>
        </w:rPr>
        <w:t>，符合性指标的得分为是/否选项，固定一级指标，具有一票否决作用。综合指标的得分为评价得分，一级指标保持固定，每类二级指标</w:t>
      </w:r>
      <w:r>
        <w:rPr>
          <w:rFonts w:hint="eastAsia" w:cs="Times New Roman"/>
          <w:lang w:val="en-US" w:eastAsia="zh-CN"/>
        </w:rPr>
        <w:t>与</w:t>
      </w:r>
      <w:r>
        <w:rPr>
          <w:rFonts w:hint="eastAsia" w:cs="Times New Roman"/>
        </w:rPr>
        <w:t>绿色产业评定认定导则</w:t>
      </w:r>
      <w:r>
        <w:rPr>
          <w:rFonts w:hint="eastAsia" w:cs="Times New Roman"/>
          <w:lang w:val="en-US" w:eastAsia="zh-CN"/>
        </w:rPr>
        <w:t>保持一致</w:t>
      </w:r>
      <w:r>
        <w:rPr>
          <w:rFonts w:hint="eastAsia" w:cs="Times New Roman"/>
        </w:rPr>
        <w:t>，三级指标</w:t>
      </w:r>
      <w:r>
        <w:rPr>
          <w:rFonts w:hint="eastAsia" w:cs="Times New Roman"/>
          <w:lang w:val="en-US" w:eastAsia="zh-CN"/>
        </w:rPr>
        <w:t>中“关键技术先进性”</w:t>
      </w:r>
      <w:r>
        <w:rPr>
          <w:rFonts w:hint="eastAsia" w:cs="Times New Roman"/>
        </w:rPr>
        <w:t>则根据</w:t>
      </w:r>
      <w:r>
        <w:rPr>
          <w:rFonts w:hint="eastAsia" w:cs="Times New Roman"/>
          <w:lang w:eastAsia="zh-CN"/>
        </w:rPr>
        <w:t>建筑节能与绿色建筑</w:t>
      </w:r>
      <w:r>
        <w:rPr>
          <w:rFonts w:hint="eastAsia" w:cs="Times New Roman"/>
          <w:lang w:val="en-US" w:eastAsia="zh-CN"/>
        </w:rPr>
        <w:t>产业</w:t>
      </w:r>
      <w:r>
        <w:rPr>
          <w:rFonts w:hint="eastAsia" w:cs="Times New Roman"/>
        </w:rPr>
        <w:t>的自身特点</w:t>
      </w:r>
      <w:r>
        <w:rPr>
          <w:rFonts w:hint="eastAsia" w:cs="Times New Roman"/>
          <w:lang w:val="en-US" w:eastAsia="zh-CN"/>
        </w:rPr>
        <w:t>进一步细化为</w:t>
      </w:r>
      <w:r>
        <w:rPr>
          <w:rFonts w:hint="eastAsia" w:cs="Times New Roman"/>
          <w:lang w:eastAsia="zh-CN"/>
        </w:rPr>
        <w:t>“</w:t>
      </w:r>
      <w:r>
        <w:rPr>
          <w:rFonts w:hint="eastAsia" w:cs="Times New Roman"/>
          <w:lang w:val="en-US" w:eastAsia="zh-CN"/>
        </w:rPr>
        <w:t>高能效设备占比</w:t>
      </w:r>
      <w:r>
        <w:rPr>
          <w:rFonts w:hint="eastAsia" w:cs="Times New Roman"/>
          <w:lang w:eastAsia="zh-CN"/>
        </w:rPr>
        <w:t>”、“</w:t>
      </w:r>
      <w:r>
        <w:rPr>
          <w:rFonts w:hint="eastAsia" w:cs="Times New Roman"/>
          <w:lang w:val="en-US" w:eastAsia="zh-CN"/>
        </w:rPr>
        <w:t>核心技术先进水平</w:t>
      </w:r>
      <w:r>
        <w:rPr>
          <w:rFonts w:hint="eastAsia" w:cs="Times New Roman"/>
          <w:lang w:eastAsia="zh-CN"/>
        </w:rPr>
        <w:t>”</w:t>
      </w:r>
      <w:r>
        <w:rPr>
          <w:rFonts w:hint="eastAsia" w:cs="Times New Roman"/>
          <w:lang w:val="en-US" w:eastAsia="zh-CN"/>
        </w:rPr>
        <w:t>两项考核指标</w:t>
      </w:r>
      <w:r>
        <w:rPr>
          <w:rFonts w:hint="eastAsia" w:cs="Times New Roman"/>
        </w:rPr>
        <w:t>，</w:t>
      </w:r>
      <w:r>
        <w:rPr>
          <w:rFonts w:hint="eastAsia" w:cs="Times New Roman"/>
          <w:lang w:val="en-US" w:eastAsia="zh-CN"/>
        </w:rPr>
        <w:t>其</w:t>
      </w:r>
      <w:r>
        <w:rPr>
          <w:rFonts w:hint="eastAsia" w:cs="Times New Roman"/>
        </w:rPr>
        <w:t>他评价指标直接采用绿色</w:t>
      </w:r>
      <w:r>
        <w:rPr>
          <w:rFonts w:hint="eastAsia" w:cs="Times New Roman"/>
          <w:lang w:val="en-US" w:eastAsia="zh-CN"/>
        </w:rPr>
        <w:t>低碳</w:t>
      </w:r>
      <w:r>
        <w:rPr>
          <w:rFonts w:hint="eastAsia" w:cs="Times New Roman"/>
        </w:rPr>
        <w:t>产业评定认定导则规定的评价内容及评价方法。</w:t>
      </w:r>
      <w:r>
        <w:rPr>
          <w:rFonts w:hint="eastAsia" w:cs="Times New Roman"/>
          <w:lang w:val="en-US" w:eastAsia="zh-CN"/>
        </w:rPr>
        <w:t>每项指标</w:t>
      </w:r>
      <w:r>
        <w:rPr>
          <w:rFonts w:hint="eastAsia" w:cs="Times New Roman"/>
        </w:rPr>
        <w:t>进而明确各指标赋值。</w:t>
      </w:r>
    </w:p>
    <w:p>
      <w:pPr>
        <w:spacing w:before="0" w:beforeLines="0" w:after="0" w:afterLines="0" w:line="360" w:lineRule="auto"/>
        <w:rPr>
          <w:rFonts w:hint="eastAsia" w:cs="Times New Roman"/>
        </w:rPr>
      </w:pPr>
      <w:r>
        <w:rPr>
          <w:rFonts w:cs="Times New Roman"/>
        </w:rPr>
        <w:t>附录</w:t>
      </w:r>
      <w:r>
        <w:rPr>
          <w:rFonts w:hint="eastAsia" w:cs="Times New Roman"/>
        </w:rPr>
        <w:t>B</w:t>
      </w:r>
      <w:r>
        <w:rPr>
          <w:rFonts w:cs="Times New Roman"/>
        </w:rPr>
        <w:t>为</w:t>
      </w:r>
      <w:r>
        <w:rPr>
          <w:rFonts w:hint="eastAsia" w:cs="Times New Roman"/>
          <w:lang w:eastAsia="zh-CN"/>
        </w:rPr>
        <w:t>建筑节能与绿色建筑</w:t>
      </w:r>
      <w:r>
        <w:rPr>
          <w:rFonts w:hint="eastAsia" w:cs="Times New Roman"/>
          <w:lang w:val="en-US" w:eastAsia="zh-CN"/>
        </w:rPr>
        <w:t>领域</w:t>
      </w:r>
      <w:r>
        <w:rPr>
          <w:rFonts w:hint="eastAsia" w:cs="Times New Roman"/>
        </w:rPr>
        <w:t>绿色</w:t>
      </w:r>
      <w:r>
        <w:rPr>
          <w:rFonts w:hint="eastAsia" w:cs="Times New Roman"/>
          <w:lang w:val="en-US" w:eastAsia="zh-CN"/>
        </w:rPr>
        <w:t>低碳</w:t>
      </w:r>
      <w:r>
        <w:rPr>
          <w:rFonts w:hint="eastAsia" w:cs="Times New Roman"/>
        </w:rPr>
        <w:t>产业认定评价报告模板，从封面、基本信息、基本情况概述、绿色产业认定情况、评分表、评价结论、附录等方面指导申报单位填报申报信息。</w:t>
      </w:r>
    </w:p>
    <w:p>
      <w:pPr>
        <w:spacing w:before="0" w:beforeLines="0" w:after="0" w:afterLines="0" w:line="360" w:lineRule="auto"/>
        <w:rPr>
          <w:rFonts w:hint="eastAsia" w:cs="Times New Roman"/>
        </w:rPr>
      </w:pPr>
      <w:r>
        <w:rPr>
          <w:rFonts w:hint="eastAsia" w:cs="Times New Roman"/>
          <w:lang w:val="en-US" w:eastAsia="zh-CN"/>
        </w:rPr>
        <w:t>附录C为建筑节能与绿色建筑领域绿色低碳产业项目认定评价报告模板，从封面、基本信息、评价工作概述、绿色低碳产业认定情况、评分表、评价结论、附录等方面指导申报单位填报申报信息。</w:t>
      </w:r>
    </w:p>
    <w:p>
      <w:pPr>
        <w:pStyle w:val="2"/>
        <w:numPr>
          <w:ilvl w:val="0"/>
          <w:numId w:val="3"/>
        </w:numPr>
        <w:spacing w:before="0" w:beforeLines="0" w:after="0" w:afterLines="0" w:line="360" w:lineRule="auto"/>
        <w:ind w:left="567" w:firstLineChars="0"/>
        <w:rPr>
          <w:rFonts w:cs="Times New Roman"/>
          <w:sz w:val="24"/>
        </w:rPr>
      </w:pPr>
      <w:bookmarkStart w:id="43" w:name="_Toc20093"/>
      <w:bookmarkStart w:id="44" w:name="_Toc1105"/>
      <w:r>
        <w:rPr>
          <w:rFonts w:hint="eastAsia" w:cs="Times New Roman"/>
          <w:sz w:val="24"/>
        </w:rPr>
        <w:t>是否涉及专利</w:t>
      </w:r>
      <w:bookmarkEnd w:id="43"/>
      <w:bookmarkEnd w:id="44"/>
    </w:p>
    <w:p>
      <w:pPr>
        <w:spacing w:before="0" w:beforeLines="0" w:after="0" w:afterLines="0" w:line="360" w:lineRule="auto"/>
        <w:ind w:firstLine="480" w:firstLineChars="200"/>
        <w:rPr>
          <w:rFonts w:cs="Times New Roman"/>
        </w:rPr>
      </w:pPr>
      <w:r>
        <w:rPr>
          <w:rFonts w:hint="eastAsia" w:cs="Times New Roman"/>
        </w:rPr>
        <w:t>否</w:t>
      </w:r>
    </w:p>
    <w:p>
      <w:pPr>
        <w:pStyle w:val="2"/>
        <w:numPr>
          <w:ilvl w:val="0"/>
          <w:numId w:val="3"/>
        </w:numPr>
        <w:spacing w:before="0" w:beforeLines="0" w:after="0" w:afterLines="0" w:line="360" w:lineRule="auto"/>
        <w:ind w:left="567" w:firstLineChars="0"/>
        <w:rPr>
          <w:rFonts w:cs="Times New Roman"/>
          <w:sz w:val="24"/>
        </w:rPr>
      </w:pPr>
      <w:bookmarkStart w:id="45" w:name="_Toc21884"/>
      <w:bookmarkStart w:id="46" w:name="_Toc14512"/>
      <w:r>
        <w:rPr>
          <w:rFonts w:cs="Times New Roman"/>
          <w:sz w:val="24"/>
        </w:rPr>
        <w:t>与有关的现行法律、法规和强制性国家标准的关系</w:t>
      </w:r>
      <w:bookmarkEnd w:id="45"/>
      <w:bookmarkEnd w:id="46"/>
    </w:p>
    <w:p>
      <w:pPr>
        <w:spacing w:before="0" w:beforeLines="0" w:after="0" w:afterLines="0" w:line="360" w:lineRule="auto"/>
        <w:ind w:firstLine="480" w:firstLineChars="200"/>
        <w:rPr>
          <w:rFonts w:cs="Times New Roman"/>
        </w:rPr>
      </w:pPr>
      <w:r>
        <w:rPr>
          <w:rFonts w:hint="eastAsia" w:cs="Times New Roman"/>
        </w:rPr>
        <w:t>无</w:t>
      </w:r>
    </w:p>
    <w:p>
      <w:pPr>
        <w:pStyle w:val="2"/>
        <w:numPr>
          <w:ilvl w:val="0"/>
          <w:numId w:val="3"/>
        </w:numPr>
        <w:spacing w:before="0" w:beforeLines="0" w:after="0" w:afterLines="0" w:line="360" w:lineRule="auto"/>
        <w:ind w:left="567" w:firstLineChars="0"/>
        <w:rPr>
          <w:rFonts w:cs="Times New Roman"/>
          <w:sz w:val="24"/>
        </w:rPr>
      </w:pPr>
      <w:bookmarkStart w:id="47" w:name="_Toc15617"/>
      <w:bookmarkStart w:id="48" w:name="_Toc21383"/>
      <w:r>
        <w:rPr>
          <w:rFonts w:hint="eastAsia" w:cs="Times New Roman"/>
          <w:sz w:val="24"/>
        </w:rPr>
        <w:t>重大意见分歧的处理依据和结果</w:t>
      </w:r>
      <w:bookmarkEnd w:id="47"/>
      <w:bookmarkEnd w:id="48"/>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0" w:beforeLines="0" w:after="0" w:afterLines="0" w:line="360" w:lineRule="auto"/>
        <w:jc w:val="right"/>
        <w:rPr>
          <w:rFonts w:cs="Times New Roman"/>
        </w:rPr>
      </w:pPr>
      <w:r>
        <w:rPr>
          <w:rFonts w:cs="Times New Roman"/>
        </w:rPr>
        <w:t>202</w:t>
      </w:r>
      <w:bookmarkStart w:id="49" w:name="_GoBack"/>
      <w:bookmarkEnd w:id="49"/>
      <w:r>
        <w:rPr>
          <w:rFonts w:hint="eastAsia" w:cs="Times New Roman"/>
          <w:lang w:val="en-US" w:eastAsia="zh-CN"/>
        </w:rPr>
        <w:t>3</w:t>
      </w:r>
      <w:r>
        <w:rPr>
          <w:rFonts w:cs="Times New Roman"/>
        </w:rPr>
        <w:t>年</w:t>
      </w:r>
      <w:r>
        <w:rPr>
          <w:rFonts w:hint="eastAsia" w:cs="Times New Roman"/>
          <w:lang w:val="en-US" w:eastAsia="zh-CN"/>
        </w:rPr>
        <w:t>5</w:t>
      </w:r>
      <w:r>
        <w:rPr>
          <w:rFonts w:cs="Times New Roman"/>
        </w:rPr>
        <w:t>月</w:t>
      </w:r>
    </w:p>
    <w:sectPr>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5"/>
      </w:rPr>
    </w:pPr>
    <w:r>
      <w:rPr>
        <w:rStyle w:val="15"/>
      </w:rPr>
      <w:fldChar w:fldCharType="begin"/>
    </w:r>
    <w:r>
      <w:rPr>
        <w:rStyle w:val="15"/>
      </w:rPr>
      <w:instrText xml:space="preserve">PAGE  </w:instrText>
    </w:r>
    <w:r>
      <w:rPr>
        <w:rStyle w:val="15"/>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361"/>
    <w:rsid w:val="0000762C"/>
    <w:rsid w:val="00007E9F"/>
    <w:rsid w:val="0001338E"/>
    <w:rsid w:val="00017864"/>
    <w:rsid w:val="000218F1"/>
    <w:rsid w:val="0002500D"/>
    <w:rsid w:val="00026BC5"/>
    <w:rsid w:val="000328BC"/>
    <w:rsid w:val="0004615E"/>
    <w:rsid w:val="00047DB1"/>
    <w:rsid w:val="000530B4"/>
    <w:rsid w:val="0005510D"/>
    <w:rsid w:val="00057D14"/>
    <w:rsid w:val="00060053"/>
    <w:rsid w:val="00062C14"/>
    <w:rsid w:val="00063004"/>
    <w:rsid w:val="000649DB"/>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428"/>
    <w:rsid w:val="000F6827"/>
    <w:rsid w:val="00101CF1"/>
    <w:rsid w:val="00101EE8"/>
    <w:rsid w:val="0010324C"/>
    <w:rsid w:val="00103250"/>
    <w:rsid w:val="00103E28"/>
    <w:rsid w:val="00113D65"/>
    <w:rsid w:val="001162C8"/>
    <w:rsid w:val="00120B26"/>
    <w:rsid w:val="00122111"/>
    <w:rsid w:val="0012426E"/>
    <w:rsid w:val="001254DC"/>
    <w:rsid w:val="001265E1"/>
    <w:rsid w:val="001276DE"/>
    <w:rsid w:val="00130F08"/>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2F58"/>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7228"/>
    <w:rsid w:val="007E0434"/>
    <w:rsid w:val="007E049B"/>
    <w:rsid w:val="007E0ECE"/>
    <w:rsid w:val="007E1B7A"/>
    <w:rsid w:val="007E73C4"/>
    <w:rsid w:val="007F0456"/>
    <w:rsid w:val="007F10E6"/>
    <w:rsid w:val="007F1AD1"/>
    <w:rsid w:val="007F463A"/>
    <w:rsid w:val="007F5BF4"/>
    <w:rsid w:val="007F5C73"/>
    <w:rsid w:val="007F6814"/>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6CFA"/>
    <w:rsid w:val="008870DC"/>
    <w:rsid w:val="00887816"/>
    <w:rsid w:val="00891D0B"/>
    <w:rsid w:val="008922E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38DF"/>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587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4184"/>
    <w:rsid w:val="009D6024"/>
    <w:rsid w:val="009D7C43"/>
    <w:rsid w:val="009E0C37"/>
    <w:rsid w:val="009E102F"/>
    <w:rsid w:val="009E222D"/>
    <w:rsid w:val="009E260B"/>
    <w:rsid w:val="009E55C4"/>
    <w:rsid w:val="009F16E7"/>
    <w:rsid w:val="009F1737"/>
    <w:rsid w:val="009F3102"/>
    <w:rsid w:val="009F3652"/>
    <w:rsid w:val="009F6EDD"/>
    <w:rsid w:val="009F7A5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24EA7"/>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9AC"/>
    <w:rsid w:val="00B810F8"/>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D2B"/>
    <w:rsid w:val="00BC763F"/>
    <w:rsid w:val="00BD2FC9"/>
    <w:rsid w:val="00BD77FB"/>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2DA6"/>
    <w:rsid w:val="00D83D07"/>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962"/>
    <w:rsid w:val="00F22C8B"/>
    <w:rsid w:val="00F23227"/>
    <w:rsid w:val="00F26F9F"/>
    <w:rsid w:val="00F31FFD"/>
    <w:rsid w:val="00F41984"/>
    <w:rsid w:val="00F46AD5"/>
    <w:rsid w:val="00F47552"/>
    <w:rsid w:val="00F5034B"/>
    <w:rsid w:val="00F52CCA"/>
    <w:rsid w:val="00F53AF8"/>
    <w:rsid w:val="00F53B13"/>
    <w:rsid w:val="00F541CE"/>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25DE"/>
    <w:rsid w:val="00FF29E1"/>
    <w:rsid w:val="00FF73CF"/>
    <w:rsid w:val="0BF8502A"/>
    <w:rsid w:val="0F3357A6"/>
    <w:rsid w:val="1315154A"/>
    <w:rsid w:val="143D58CB"/>
    <w:rsid w:val="180F69E5"/>
    <w:rsid w:val="1AF51C55"/>
    <w:rsid w:val="1D0A5E29"/>
    <w:rsid w:val="216C0B53"/>
    <w:rsid w:val="26943860"/>
    <w:rsid w:val="2A803F90"/>
    <w:rsid w:val="2D8213E7"/>
    <w:rsid w:val="346E2F88"/>
    <w:rsid w:val="35E3775D"/>
    <w:rsid w:val="369676A8"/>
    <w:rsid w:val="388C5564"/>
    <w:rsid w:val="402473AF"/>
    <w:rsid w:val="403E66DD"/>
    <w:rsid w:val="42D76314"/>
    <w:rsid w:val="468A73D8"/>
    <w:rsid w:val="47CC5FB9"/>
    <w:rsid w:val="48CC315A"/>
    <w:rsid w:val="48FD73E4"/>
    <w:rsid w:val="492E3819"/>
    <w:rsid w:val="4CBB392A"/>
    <w:rsid w:val="4F021BCA"/>
    <w:rsid w:val="4F0813A5"/>
    <w:rsid w:val="52E527BB"/>
    <w:rsid w:val="54A60C5D"/>
    <w:rsid w:val="56286AEB"/>
    <w:rsid w:val="5B17267C"/>
    <w:rsid w:val="5BFF72D5"/>
    <w:rsid w:val="5CA6387F"/>
    <w:rsid w:val="60755DC0"/>
    <w:rsid w:val="623F06D2"/>
    <w:rsid w:val="645C7DC1"/>
    <w:rsid w:val="64DE2D12"/>
    <w:rsid w:val="64E9765C"/>
    <w:rsid w:val="6E9A5523"/>
    <w:rsid w:val="74926268"/>
    <w:rsid w:val="753812AC"/>
    <w:rsid w:val="76D503A8"/>
    <w:rsid w:val="79CD32AB"/>
    <w:rsid w:val="7B725F86"/>
    <w:rsid w:val="7C86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HAnsi" w:hAnsiTheme="majorHAnsi" w:eastAsiaTheme="majorEastAsia" w:cstheme="majorBidi"/>
      <w:b/>
      <w:bCs/>
      <w:sz w:val="32"/>
      <w:szCs w:val="32"/>
    </w:rPr>
  </w:style>
  <w:style w:type="paragraph" w:customStyle="1" w:styleId="34">
    <w:name w:val="TOC 标题1"/>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9122-1173-4E09-8C25-CB96122787A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9830</Words>
  <Characters>10030</Characters>
  <Lines>55</Lines>
  <Paragraphs>15</Paragraphs>
  <TotalTime>1</TotalTime>
  <ScaleCrop>false</ScaleCrop>
  <LinksUpToDate>false</LinksUpToDate>
  <CharactersWithSpaces>10206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2022-09-14T11:45:00Z</dcterms:created>
  <dc:creator>吴薇群</dc:creator>
  <cp:lastModifiedBy>Dai</cp:lastModifiedBy>
  <cp:lastPrinted>2017-09-01T06:44:00Z</cp:lastPrinted>
  <dcterms:modified xsi:type="dcterms:W3CDTF">2023-05-29T07:27:46Z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6336E74A5EBA4DF982DCD4365A2CBFFE</vt:lpwstr>
  </property>
</Properties>
</file>