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1"/>
        <w:framePr w:wrap="around"/>
        <w:rPr>
          <w:rFonts w:hint="eastAsia" w:hAnsi="黑体" w:cs="黑体"/>
          <w:highlight w:val="none"/>
        </w:rPr>
      </w:pPr>
    </w:p>
    <w:p>
      <w:pPr>
        <w:pStyle w:val="131"/>
        <w:framePr w:wrap="around"/>
        <w:rPr>
          <w:rFonts w:hAnsi="黑体" w:cs="黑体"/>
          <w:highlight w:val="none"/>
        </w:rPr>
      </w:pPr>
      <w:r>
        <w:rPr>
          <w:rFonts w:hint="eastAsia" w:hAnsi="黑体" w:cs="黑体"/>
          <w:highlight w:val="none"/>
        </w:rPr>
        <w:t>ICS 13.020</w:t>
      </w:r>
    </w:p>
    <w:p>
      <w:pPr>
        <w:pStyle w:val="131"/>
        <w:framePr w:wrap="around"/>
        <w:rPr>
          <w:rFonts w:ascii="Times New Roman"/>
          <w:highlight w:val="none"/>
        </w:rPr>
      </w:pPr>
      <w:r>
        <w:rPr>
          <w:rFonts w:hint="eastAsia" w:hAnsi="黑体" w:cs="黑体"/>
          <w:highlight w:val="none"/>
        </w:rPr>
        <w:t>CCS Z 00</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pPr>
              <w:pStyle w:val="131"/>
              <w:framePr w:wrap="around"/>
              <w:rPr>
                <w:rFonts w:ascii="Times New Roman"/>
                <w:highlight w:val="none"/>
              </w:rPr>
            </w:pPr>
          </w:p>
        </w:tc>
      </w:tr>
    </w:tbl>
    <w:p>
      <w:pPr>
        <w:pStyle w:val="118"/>
        <w:framePr w:wrap="around"/>
        <w:rPr>
          <w:rFonts w:ascii="Times New Roman" w:hAnsi="Times New Roman"/>
          <w:highlight w:val="none"/>
        </w:rPr>
      </w:pPr>
      <w:r>
        <w:rPr>
          <w:rFonts w:hint="eastAsia" w:ascii="Times New Roman" w:hAnsi="Times New Roman"/>
          <w:highlight w:val="none"/>
        </w:rPr>
        <w:t>团体标准</w:t>
      </w:r>
    </w:p>
    <w:p>
      <w:pPr>
        <w:pStyle w:val="55"/>
        <w:framePr w:wrap="around"/>
        <w:rPr>
          <w:rFonts w:ascii="Times New Roman"/>
          <w:highlight w:val="none"/>
        </w:rPr>
      </w:pPr>
      <w:r>
        <w:rPr>
          <w:rFonts w:hint="eastAsia" w:hAnsi="黑体" w:cs="黑体"/>
          <w:highlight w:val="none"/>
        </w:rPr>
        <w:t>T/XXX XXX-20XX</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84"/>
              <w:framePr w:wrap="around"/>
              <w:wordWrap w:val="0"/>
              <w:ind w:right="630"/>
              <w:rPr>
                <w:rFonts w:ascii="Times New Roman"/>
                <w:highlight w:val="none"/>
              </w:rPr>
            </w:pPr>
          </w:p>
        </w:tc>
      </w:tr>
    </w:tbl>
    <w:p>
      <w:pPr>
        <w:pStyle w:val="55"/>
        <w:framePr w:wrap="around"/>
        <w:rPr>
          <w:rFonts w:ascii="Times New Roman"/>
          <w:highlight w:val="none"/>
        </w:rPr>
      </w:pPr>
    </w:p>
    <w:p>
      <w:pPr>
        <w:pStyle w:val="55"/>
        <w:framePr w:wrap="around"/>
        <w:rPr>
          <w:rFonts w:ascii="Times New Roman"/>
          <w:highlight w:val="none"/>
        </w:rPr>
      </w:pPr>
    </w:p>
    <w:p>
      <w:pPr>
        <w:pStyle w:val="86"/>
        <w:framePr w:wrap="around" w:x="1306" w:y="5911"/>
        <w:rPr>
          <w:rFonts w:ascii="Times New Roman"/>
          <w:highlight w:val="none"/>
        </w:rPr>
      </w:pPr>
      <w:r>
        <w:rPr>
          <w:rFonts w:hint="eastAsia" w:ascii="Times New Roman"/>
          <w:highlight w:val="none"/>
        </w:rPr>
        <w:t>绿色低碳产业</w:t>
      </w:r>
      <w:r>
        <w:rPr>
          <w:rFonts w:ascii="Times New Roman"/>
          <w:highlight w:val="none"/>
        </w:rPr>
        <w:t>认定行业技术规范</w:t>
      </w:r>
    </w:p>
    <w:p>
      <w:pPr>
        <w:pStyle w:val="86"/>
        <w:framePr w:wrap="around" w:x="1306" w:y="5911"/>
        <w:rPr>
          <w:rFonts w:hint="eastAsia" w:ascii="Times New Roman" w:eastAsia="黑体"/>
          <w:sz w:val="44"/>
          <w:szCs w:val="44"/>
          <w:highlight w:val="none"/>
          <w:lang w:val="en-US" w:eastAsia="zh-CN"/>
        </w:rPr>
      </w:pPr>
      <w:r>
        <w:rPr>
          <w:rFonts w:hint="eastAsia" w:ascii="Times New Roman"/>
          <w:highlight w:val="none"/>
        </w:rPr>
        <w:t>新能源汽车产品</w:t>
      </w:r>
    </w:p>
    <w:p>
      <w:pPr>
        <w:pStyle w:val="87"/>
        <w:framePr w:wrap="around" w:x="1306" w:y="5911"/>
        <w:rPr>
          <w:rFonts w:ascii="黑体" w:hAnsi="黑体" w:cs="黑体"/>
          <w:highlight w:val="none"/>
        </w:rPr>
      </w:pPr>
      <w:r>
        <w:rPr>
          <w:rFonts w:hint="eastAsia" w:ascii="黑体" w:hAnsi="黑体" w:cs="黑体"/>
          <w:highlight w:val="none"/>
        </w:rPr>
        <w:t xml:space="preserve">Technical specifications of </w:t>
      </w:r>
      <w:r>
        <w:rPr>
          <w:rFonts w:hint="eastAsia" w:ascii="黑体" w:hAnsi="黑体" w:cs="黑体"/>
          <w:lang w:val="en-US" w:eastAsia="zh-CN"/>
        </w:rPr>
        <w:t>g</w:t>
      </w:r>
      <w:r>
        <w:rPr>
          <w:rFonts w:hint="eastAsia" w:ascii="黑体" w:hAnsi="黑体" w:cs="黑体"/>
        </w:rPr>
        <w:t>reen</w:t>
      </w:r>
      <w:r>
        <w:rPr>
          <w:rFonts w:hint="eastAsia" w:ascii="黑体" w:hAnsi="黑体" w:cs="黑体"/>
          <w:lang w:val="en-US" w:eastAsia="zh-CN"/>
        </w:rPr>
        <w:t xml:space="preserve"> and </w:t>
      </w:r>
      <w:r>
        <w:rPr>
          <w:rFonts w:hint="eastAsia" w:ascii="黑体" w:hAnsi="黑体" w:cs="黑体"/>
          <w:highlight w:val="none"/>
        </w:rPr>
        <w:t>low-carbon industries identification</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89"/>
              <w:framePr w:wrap="around" w:x="1306" w:y="5911"/>
              <w:ind w:firstLine="360"/>
              <w:rPr>
                <w:rFonts w:hint="eastAsia" w:ascii="Times New Roman" w:eastAsia="黑体"/>
                <w:highlight w:val="none"/>
                <w:lang w:val="en-US" w:eastAsia="zh-CN"/>
              </w:rPr>
            </w:pPr>
            <w:r>
              <w:rPr>
                <w:rFonts w:hint="eastAsia" w:ascii="黑体" w:hAnsi="黑体" w:eastAsia="黑体" w:cs="黑体"/>
                <w:sz w:val="28"/>
                <w:highlight w:val="none"/>
                <w:lang w:val="en-US" w:eastAsia="zh-CN"/>
              </w:rPr>
              <w:t>N</w:t>
            </w:r>
            <w:r>
              <w:rPr>
                <w:rFonts w:hint="eastAsia" w:ascii="黑体" w:hAnsi="黑体" w:eastAsia="黑体" w:cs="黑体"/>
                <w:sz w:val="28"/>
                <w:highlight w:val="none"/>
              </w:rPr>
              <w:t>ew energy vehicle</w:t>
            </w:r>
            <w:r>
              <w:rPr>
                <w:rFonts w:hint="eastAsia" w:ascii="黑体" w:hAnsi="黑体" w:eastAsia="黑体" w:cs="黑体"/>
                <w:sz w:val="28"/>
                <w:highlight w:val="none"/>
                <w:lang w:val="en-US" w:eastAsia="zh-CN"/>
              </w:rPr>
              <w:t xml:space="preserve"> </w:t>
            </w:r>
            <w:r>
              <w:rPr>
                <w:rFonts w:hint="eastAsia" w:ascii="黑体" w:hAnsi="黑体" w:eastAsia="黑体" w:cs="黑体"/>
                <w:sz w:val="28"/>
                <w:highlight w:val="none"/>
              </w:rPr>
              <w:t>products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90"/>
              <w:framePr w:wrap="around" w:x="1306" w:y="5911"/>
              <w:rPr>
                <w:rFonts w:ascii="Times New Roman"/>
                <w:highlight w:val="none"/>
              </w:rPr>
            </w:pPr>
            <w:r>
              <w:rPr>
                <w:rFonts w:ascii="Times New Roman"/>
                <w:highlight w:val="none"/>
              </w:rPr>
              <mc:AlternateContent>
                <mc:Choice Requires="wps">
                  <w:drawing>
                    <wp:anchor distT="0" distB="0" distL="114300" distR="114300" simplePos="0" relativeHeight="251659264" behindDoc="1" locked="1" layoutInCell="1" allowOverlap="1">
                      <wp:simplePos x="0" y="0"/>
                      <wp:positionH relativeFrom="column">
                        <wp:posOffset>2200910</wp:posOffset>
                      </wp:positionH>
                      <wp:positionV relativeFrom="paragraph">
                        <wp:posOffset>308610</wp:posOffset>
                      </wp:positionV>
                      <wp:extent cx="1905000" cy="254000"/>
                      <wp:effectExtent l="0" t="0" r="0" b="12700"/>
                      <wp:wrapNone/>
                      <wp:docPr id="7"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24.3pt;height:20pt;width:150pt;z-index:-251657216;mso-width-relative:page;mso-height-relative:page;" fillcolor="#FFFFFF" filled="t" stroked="f" coordsize="21600,21600" o:gfxdata="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5d2171QAAAAkBAAAPAAAAAAAAAAEAIAAAACIA&#10;AABkcnMvZG93bnJldi54bWxQSwECFAAUAAAACACHTuJAe6cKkwwCAAAuBAAADgAAAAAAAAABACAA&#10;AAAkAQAAZHJzL2Uyb0RvYy54bWxQSwUGAAAAAAYABgBZAQAAogUAAAAA&#10;">
                      <v:fill on="t" focussize="0,0"/>
                      <v:stroke on="f"/>
                      <v:imagedata o:title=""/>
                      <o:lock v:ext="edit" aspectratio="f"/>
                      <w10:anchorlock/>
                    </v:rect>
                  </w:pict>
                </mc:Fallback>
              </mc:AlternateContent>
            </w:r>
          </w:p>
        </w:tc>
      </w:tr>
    </w:tbl>
    <w:p>
      <w:pPr>
        <w:pStyle w:val="138"/>
        <w:framePr w:wrap="around" w:vAnchor="text" w:hAnchor="page" w:x="1094" w:y="13467"/>
        <w:rPr>
          <w:highlight w:val="none"/>
        </w:rPr>
      </w:pPr>
      <w:r>
        <w:rPr>
          <w:rFonts w:hint="eastAsia" w:ascii="黑体" w:hAnsi="黑体" w:cs="黑体"/>
          <w:highlight w:val="none"/>
        </w:rPr>
        <mc:AlternateContent>
          <mc:Choice Requires="wps">
            <w:drawing>
              <wp:anchor distT="0" distB="0" distL="114300" distR="114300" simplePos="0" relativeHeight="251662336" behindDoc="0" locked="0" layoutInCell="1" allowOverlap="1">
                <wp:simplePos x="0" y="0"/>
                <wp:positionH relativeFrom="column">
                  <wp:posOffset>899160</wp:posOffset>
                </wp:positionH>
                <wp:positionV relativeFrom="paragraph">
                  <wp:posOffset>9299575</wp:posOffset>
                </wp:positionV>
                <wp:extent cx="6021705" cy="17145"/>
                <wp:effectExtent l="0" t="4445" r="17145" b="6985"/>
                <wp:wrapNone/>
                <wp:docPr id="6" name="AutoShape 16"/>
                <wp:cNvGraphicFramePr/>
                <a:graphic xmlns:a="http://schemas.openxmlformats.org/drawingml/2006/main">
                  <a:graphicData uri="http://schemas.microsoft.com/office/word/2010/wordprocessingShape">
                    <wps:wsp>
                      <wps:cNvCnPr>
                        <a:cxnSpLocks noChangeShapeType="1"/>
                      </wps:cNvCnPr>
                      <wps:spPr bwMode="auto">
                        <a:xfrm flipV="1">
                          <a:off x="0" y="0"/>
                          <a:ext cx="6021705" cy="17145"/>
                        </a:xfrm>
                        <a:prstGeom prst="straightConnector1">
                          <a:avLst/>
                        </a:prstGeom>
                        <a:noFill/>
                        <a:ln w="9525">
                          <a:solidFill>
                            <a:srgbClr val="000000"/>
                          </a:solidFill>
                          <a:round/>
                        </a:ln>
                        <a:effectLst/>
                      </wps:spPr>
                      <wps:bodyPr/>
                    </wps:wsp>
                  </a:graphicData>
                </a:graphic>
              </wp:anchor>
            </w:drawing>
          </mc:Choice>
          <mc:Fallback>
            <w:pict>
              <v:shape id="AutoShape 16" o:spid="_x0000_s1026" o:spt="32" type="#_x0000_t32" style="position:absolute;left:0pt;flip:y;margin-left:70.8pt;margin-top:732.25pt;height:1.35pt;width:474.15pt;z-index:251662336;mso-width-relative:page;mso-height-relative:page;" filled="f" stroked="t" coordsize="21600,21600" o:gfxdata="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g59A2QAA&#10;AA4BAAAPAAAAAAAAAAEAIAAAACIAAABkcnMvZG93bnJldi54bWxQSwECFAAUAAAACACHTuJA6tiR&#10;KOQBAADPAwAADgAAAAAAAAABACAAAAAoAQAAZHJzL2Uyb0RvYy54bWxQSwUGAAAAAAYABgBZAQAA&#10;fgUAAAAA&#10;">
                <v:fill on="f" focussize="0,0"/>
                <v:stroke color="#000000" joinstyle="round"/>
                <v:imagedata o:title=""/>
                <o:lock v:ext="edit" aspectratio="f"/>
              </v:shape>
            </w:pict>
          </mc:Fallback>
        </mc:AlternateContent>
      </w:r>
      <w:r>
        <w:rPr>
          <w:rFonts w:hint="eastAsia" w:ascii="黑体" w:hAnsi="黑体" w:cs="黑体"/>
          <w:highlight w:val="none"/>
        </w:rPr>
        <mc:AlternateContent>
          <mc:Choice Requires="wps">
            <w:drawing>
              <wp:anchor distT="0" distB="0" distL="114300" distR="114300" simplePos="0" relativeHeight="251663360" behindDoc="0" locked="0" layoutInCell="1" allowOverlap="1">
                <wp:simplePos x="0" y="0"/>
                <wp:positionH relativeFrom="column">
                  <wp:posOffset>833120</wp:posOffset>
                </wp:positionH>
                <wp:positionV relativeFrom="paragraph">
                  <wp:posOffset>9251950</wp:posOffset>
                </wp:positionV>
                <wp:extent cx="1056005" cy="0"/>
                <wp:effectExtent l="0" t="0" r="0" b="0"/>
                <wp:wrapNone/>
                <wp:docPr id="5" name="AutoShape 15"/>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ln>
                        <a:effectLst/>
                      </wps:spPr>
                      <wps:bodyPr/>
                    </wps:wsp>
                  </a:graphicData>
                </a:graphic>
              </wp:anchor>
            </w:drawing>
          </mc:Choice>
          <mc:Fallback>
            <w:pict>
              <v:shape id="AutoShape 15" o:spid="_x0000_s1026" o:spt="32" type="#_x0000_t32" style="position:absolute;left:0pt;margin-left:65.6pt;margin-top:728.5pt;height:0pt;width:83.15pt;z-index:251663360;mso-width-relative:page;mso-height-relative:page;" filled="f" stroked="t" coordsize="21600,21600" o:gfxdata="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3ofg2AAAAA0BAAAPAAAAAAAA&#10;AAEAIAAAACIAAABkcnMvZG93bnJldi54bWxQSwECFAAUAAAACACHTuJAqIkQk9kBAADBAwAADgAA&#10;AAAAAAABACAAAAAnAQAAZHJzL2Uyb0RvYy54bWxQSwUGAAAAAAYABgBZAQAAcgUAAAAA&#10;">
                <v:fill on="f" focussize="0,0"/>
                <v:stroke color="#000000" joinstyle="round"/>
                <v:imagedata o:title=""/>
                <o:lock v:ext="edit" aspectratio="f"/>
              </v:shape>
            </w:pict>
          </mc:Fallback>
        </mc:AlternateContent>
      </w:r>
      <w:r>
        <w:rPr>
          <w:rFonts w:hint="eastAsia" w:ascii="黑体" w:hAnsi="黑体" w:cs="黑体"/>
          <w:highlight w:val="none"/>
        </w:rPr>
        <w:t>XXXX—XX—XX发布</w:t>
      </w:r>
    </w:p>
    <w:p>
      <w:pPr>
        <w:pStyle w:val="139"/>
        <w:framePr w:wrap="around" w:vAnchor="text" w:hAnchor="page" w:x="6726" w:y="13462"/>
        <w:rPr>
          <w:highlight w:val="none"/>
        </w:rPr>
      </w:pPr>
      <w:r>
        <w:rPr>
          <w:rFonts w:hint="eastAsia" w:ascii="黑体" w:hAnsi="黑体" w:cs="黑体"/>
          <w:highlight w:val="none"/>
        </w:rPr>
        <w:t>XXXX—XX—XX实施</w:t>
      </w:r>
    </w:p>
    <w:p>
      <w:pPr>
        <w:pStyle w:val="119"/>
        <w:framePr w:h="781" w:hRule="exact" w:wrap="around" w:x="2156" w:y="15046"/>
        <w:rPr>
          <w:rFonts w:ascii="Times New Roman"/>
          <w:highlight w:val="none"/>
        </w:rPr>
      </w:pPr>
      <w:r>
        <w:rPr>
          <w:rFonts w:hint="eastAsia" w:ascii="Times New Roman"/>
          <w:highlight w:val="none"/>
          <w:lang w:val="en-US" w:eastAsia="zh-CN"/>
        </w:rPr>
        <w:t>深圳市</w:t>
      </w:r>
      <w:r>
        <w:rPr>
          <w:rFonts w:hint="eastAsia" w:ascii="Times New Roman"/>
          <w:highlight w:val="none"/>
        </w:rPr>
        <w:t>深圳标准促进会</w:t>
      </w:r>
      <w:r>
        <w:rPr>
          <w:rFonts w:ascii="Times New Roman"/>
          <w:highlight w:val="none"/>
        </w:rPr>
        <w:t>   </w:t>
      </w:r>
      <w:r>
        <w:rPr>
          <w:rStyle w:val="81"/>
          <w:rFonts w:ascii="Times New Roman"/>
          <w:highlight w:val="none"/>
        </w:rPr>
        <w:t>发布</w:t>
      </w:r>
    </w:p>
    <w:p>
      <w:pPr>
        <w:pStyle w:val="24"/>
        <w:rPr>
          <w:rFonts w:ascii="Times New Roman"/>
          <w:highlight w:val="none"/>
        </w:rPr>
        <w:sectPr>
          <w:headerReference r:id="rId3" w:type="even"/>
          <w:footerReference r:id="rId4" w:type="even"/>
          <w:pgSz w:w="11906" w:h="16838"/>
          <w:pgMar w:top="567" w:right="1134" w:bottom="1134" w:left="1418" w:header="0" w:footer="0" w:gutter="0"/>
          <w:pgBorders>
            <w:top w:val="none" w:sz="0" w:space="0"/>
            <w:left w:val="none" w:sz="0" w:space="0"/>
            <w:bottom w:val="none" w:sz="0" w:space="0"/>
            <w:right w:val="none" w:sz="0" w:space="0"/>
          </w:pgBorders>
          <w:pgNumType w:start="1"/>
          <w:cols w:space="720" w:num="1"/>
          <w:docGrid w:type="lines" w:linePitch="312" w:charSpace="0"/>
        </w:sectPr>
      </w:pPr>
      <w:r>
        <w:rPr>
          <w:rFonts w:ascii="Times New Roman"/>
          <w:highlight w:val="none"/>
        </w:rPr>
        <mc:AlternateContent>
          <mc:Choice Requires="wps">
            <w:drawing>
              <wp:anchor distT="0" distB="0" distL="114300" distR="114300" simplePos="0" relativeHeight="251664384" behindDoc="0" locked="0" layoutInCell="1" allowOverlap="1">
                <wp:simplePos x="0" y="0"/>
                <wp:positionH relativeFrom="column">
                  <wp:posOffset>-208915</wp:posOffset>
                </wp:positionH>
                <wp:positionV relativeFrom="paragraph">
                  <wp:posOffset>8997950</wp:posOffset>
                </wp:positionV>
                <wp:extent cx="6120130" cy="0"/>
                <wp:effectExtent l="0" t="0" r="0" b="0"/>
                <wp:wrapNone/>
                <wp:docPr id="9"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16.45pt;margin-top:708.5pt;height:0pt;width:481.9pt;z-index:251664384;mso-width-relative:page;mso-height-relative:page;" filled="f" stroked="t" coordsize="21600,21600" o:gfxdata="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WfYM61wAAAA0BAAAPAAAAAAAA&#10;AAEAIAAAACIAAABkcnMvZG93bnJldi54bWxQSwECFAAUAAAACACHTuJADbadKNoBAACvAwAADgAA&#10;AAAAAAABACAAAAAmAQAAZHJzL2Uyb0RvYy54bWxQSwUGAAAAAAYABgBZAQAAcgUAAAAA&#10;">
                <v:fill on="f" focussize="0,0"/>
                <v:stroke color="#000000" joinstyle="round"/>
                <v:imagedata o:title=""/>
                <o:lock v:ext="edit" aspectratio="f"/>
              </v:line>
            </w:pict>
          </mc:Fallback>
        </mc:AlternateContent>
      </w:r>
      <w:r>
        <w:rPr>
          <w:rFonts w:ascii="Times New Roman"/>
          <w:highlight w:val="none"/>
        </w:rP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710565</wp:posOffset>
                </wp:positionV>
                <wp:extent cx="866775" cy="198120"/>
                <wp:effectExtent l="0" t="0" r="9525" b="11430"/>
                <wp:wrapNone/>
                <wp:docPr id="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55.95pt;height:15.6pt;width:68.25pt;z-index:-251656192;mso-width-relative:page;mso-height-relative:page;" fillcolor="#FFFFFF" filled="t" stroked="f" coordsize="21600,21600" o:gfxdata="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UrMgz2AAAAAsBAAAPAAAAAAAA&#10;AAEAIAAAACIAAABkcnMvZG93bnJldi54bWxQSwECFAAUAAAACACHTuJAWbzl8BICAAAuBAAADgAA&#10;AAAAAAABACAAAAAnAQAAZHJzL2Uyb0RvYy54bWxQSwUGAAAAAAYABgBZAQAAqwUAAAAA&#10;">
                <v:fill on="t" focussize="0,0"/>
                <v:stroke on="f"/>
                <v:imagedata o:title=""/>
                <o:lock v:ext="edit" aspectratio="f"/>
              </v:rect>
            </w:pict>
          </mc:Fallback>
        </mc:AlternateContent>
      </w:r>
      <w:r>
        <w:rPr>
          <w:rFonts w:ascii="Times New Roman"/>
          <w:highlight w:val="none"/>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2654300</wp:posOffset>
                </wp:positionV>
                <wp:extent cx="6120130" cy="0"/>
                <wp:effectExtent l="0" t="0" r="0" b="0"/>
                <wp:wrapNone/>
                <wp:docPr id="1"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0.05pt;margin-top:209pt;height:0pt;width:481.9pt;z-index:251661312;mso-width-relative:page;mso-height-relative:page;" filled="f" stroked="t" coordsize="21600,21600" o:gfxdata="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nyBkvWAAAACQEAAA8AAAAAAAAA&#10;AQAgAAAAIgAAAGRycy9kb3ducmV2LnhtbFBLAQIUABQAAAAIAIdO4kDbgLlo2gEAAK8DAAAOAAAA&#10;AAAAAAEAIAAAACUBAABkcnMvZTJvRG9jLnhtbFBLBQYAAAAABgAGAFkBAABxBQAAAAA=&#10;">
                <v:fill on="f" focussize="0,0"/>
                <v:stroke color="#000000" joinstyle="round"/>
                <v:imagedata o:title=""/>
                <o:lock v:ext="edit" aspectratio="f"/>
              </v:line>
            </w:pict>
          </mc:Fallback>
        </mc:AlternateContent>
      </w:r>
    </w:p>
    <w:p>
      <w:pPr>
        <w:jc w:val="center"/>
        <w:rPr>
          <w:rFonts w:hint="eastAsia" w:ascii="黑体" w:hAnsi="黑体" w:eastAsia="黑体" w:cs="黑体"/>
          <w:sz w:val="32"/>
          <w:szCs w:val="40"/>
          <w:lang w:eastAsia="zh-CN"/>
        </w:rPr>
      </w:pPr>
      <w:bookmarkStart w:id="0" w:name="_Toc80954701"/>
      <w:bookmarkStart w:id="1" w:name="_Toc30742"/>
      <w:bookmarkStart w:id="2" w:name="_Toc27995"/>
      <w:bookmarkStart w:id="3" w:name="_Toc80887602"/>
      <w:bookmarkStart w:id="4" w:name="_Toc22075"/>
      <w:bookmarkStart w:id="5" w:name="_Toc28394"/>
      <w:bookmarkStart w:id="6" w:name="_Toc26162"/>
      <w:bookmarkStart w:id="7" w:name="_Toc5960"/>
      <w:bookmarkStart w:id="8" w:name="_Toc52098618"/>
      <w:bookmarkStart w:id="9" w:name="_Toc32692"/>
      <w:bookmarkStart w:id="10" w:name="_Toc17711"/>
      <w:bookmarkStart w:id="11" w:name="_Toc82157001"/>
      <w:bookmarkStart w:id="12" w:name="_Toc80794396"/>
      <w:bookmarkStart w:id="13" w:name="_Toc80867245"/>
      <w:bookmarkStart w:id="14" w:name="_Toc21858"/>
      <w:bookmarkStart w:id="15" w:name="_Toc82684134"/>
      <w:bookmarkStart w:id="16" w:name="_Toc102992444"/>
      <w:bookmarkStart w:id="17" w:name="_Toc25224"/>
      <w:bookmarkStart w:id="18" w:name="_Toc55807222"/>
      <w:bookmarkStart w:id="19" w:name="_Toc118282033"/>
      <w:bookmarkStart w:id="20" w:name="_Toc80953767"/>
      <w:r>
        <w:rPr>
          <w:rFonts w:hint="eastAsia" w:ascii="黑体" w:hAnsi="黑体" w:eastAsia="黑体" w:cs="黑体"/>
          <w:sz w:val="32"/>
          <w:szCs w:val="40"/>
          <w:lang w:eastAsia="zh-CN"/>
        </w:rPr>
        <w:t>目</w:t>
      </w:r>
      <w:bookmarkStart w:id="21" w:name="BKML"/>
      <w:r>
        <w:rPr>
          <w:rFonts w:hint="eastAsia" w:ascii="黑体" w:hAnsi="黑体" w:eastAsia="黑体" w:cs="黑体"/>
          <w:sz w:val="32"/>
          <w:szCs w:val="40"/>
          <w:lang w:eastAsia="zh-CN"/>
        </w:rPr>
        <w:t>  次</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_Toc3513 </w:instrText>
      </w:r>
      <w:r>
        <w:rPr>
          <w:rFonts w:hint="eastAsia" w:ascii="宋体" w:hAnsi="宋体" w:eastAsia="宋体" w:cs="宋体"/>
        </w:rPr>
        <w:fldChar w:fldCharType="separate"/>
      </w:r>
      <w:r>
        <w:rPr>
          <w:rFonts w:hint="eastAsia" w:ascii="宋体" w:hAnsi="宋体" w:eastAsia="宋体" w:cs="宋体"/>
          <w:highlight w:val="none"/>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_Toc3513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_Toc23521 </w:instrText>
      </w:r>
      <w:r>
        <w:rPr>
          <w:rFonts w:hint="eastAsia" w:ascii="宋体" w:hAnsi="宋体" w:eastAsia="宋体" w:cs="宋体"/>
        </w:rPr>
        <w:fldChar w:fldCharType="separate"/>
      </w:r>
      <w:r>
        <w:rPr>
          <w:rFonts w:hint="eastAsia" w:ascii="宋体" w:hAnsi="宋体" w:eastAsia="宋体" w:cs="宋体"/>
          <w:i w:val="0"/>
          <w:szCs w:val="21"/>
        </w:rPr>
        <w:t xml:space="preserve">1 </w:t>
      </w:r>
      <w:r>
        <w:rPr>
          <w:rFonts w:hint="eastAsia" w:ascii="宋体" w:hAnsi="宋体" w:eastAsia="宋体" w:cs="宋体"/>
          <w:i w:val="0"/>
          <w:szCs w:val="21"/>
          <w:lang w:val="en-US" w:eastAsia="zh-CN"/>
        </w:rPr>
        <w:t xml:space="preserve"> </w:t>
      </w:r>
      <w:r>
        <w:rPr>
          <w:rFonts w:hint="eastAsia" w:ascii="宋体" w:hAnsi="宋体" w:eastAsia="宋体" w:cs="宋体"/>
          <w:highlight w:val="none"/>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_Toc23521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_Toc1871 </w:instrText>
      </w:r>
      <w:r>
        <w:rPr>
          <w:rFonts w:hint="eastAsia" w:ascii="宋体" w:hAnsi="宋体" w:eastAsia="宋体" w:cs="宋体"/>
        </w:rPr>
        <w:fldChar w:fldCharType="separate"/>
      </w:r>
      <w:r>
        <w:rPr>
          <w:rFonts w:hint="eastAsia" w:ascii="宋体" w:hAnsi="宋体" w:eastAsia="宋体" w:cs="宋体"/>
          <w:i w:val="0"/>
          <w:szCs w:val="21"/>
        </w:rPr>
        <w:t xml:space="preserve">2 </w:t>
      </w:r>
      <w:r>
        <w:rPr>
          <w:rFonts w:hint="eastAsia" w:ascii="宋体" w:hAnsi="宋体" w:eastAsia="宋体" w:cs="宋体"/>
          <w:i w:val="0"/>
          <w:szCs w:val="21"/>
          <w:lang w:val="en-US" w:eastAsia="zh-CN"/>
        </w:rPr>
        <w:t xml:space="preserve"> </w:t>
      </w:r>
      <w:r>
        <w:rPr>
          <w:rFonts w:hint="eastAsia" w:ascii="宋体" w:hAnsi="宋体" w:eastAsia="宋体" w:cs="宋体"/>
          <w:highlight w:val="none"/>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_Toc16706 </w:instrText>
      </w:r>
      <w:r>
        <w:rPr>
          <w:rFonts w:hint="eastAsia" w:ascii="宋体" w:hAnsi="宋体" w:eastAsia="宋体" w:cs="宋体"/>
        </w:rPr>
        <w:fldChar w:fldCharType="separate"/>
      </w:r>
      <w:r>
        <w:rPr>
          <w:rFonts w:hint="eastAsia" w:ascii="宋体" w:hAnsi="宋体" w:eastAsia="宋体" w:cs="宋体"/>
          <w:i w:val="0"/>
          <w:szCs w:val="21"/>
        </w:rPr>
        <w:t xml:space="preserve">3 </w:t>
      </w:r>
      <w:r>
        <w:rPr>
          <w:rFonts w:hint="eastAsia" w:ascii="宋体" w:hAnsi="宋体" w:eastAsia="宋体" w:cs="宋体"/>
          <w:i w:val="0"/>
          <w:szCs w:val="21"/>
          <w:lang w:val="en-US" w:eastAsia="zh-CN"/>
        </w:rPr>
        <w:t xml:space="preserve"> </w:t>
      </w:r>
      <w:r>
        <w:rPr>
          <w:rFonts w:hint="eastAsia" w:ascii="宋体" w:hAnsi="宋体" w:eastAsia="宋体" w:cs="宋体"/>
          <w:highlight w:val="none"/>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_Toc16706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_Toc9444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ascii="宋体" w:hAnsi="宋体" w:eastAsia="宋体" w:cs="宋体"/>
          <w:i w:val="0"/>
          <w:szCs w:val="21"/>
          <w:lang w:val="en-US" w:eastAsia="zh-CN"/>
        </w:rPr>
        <w:t xml:space="preserve"> </w:t>
      </w:r>
      <w:r>
        <w:rPr>
          <w:rFonts w:hint="eastAsia" w:ascii="宋体" w:hAnsi="宋体" w:eastAsia="宋体" w:cs="宋体"/>
          <w:highlight w:val="none"/>
        </w:rPr>
        <w:t>评价总则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_Toc9444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_Toc13049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4.1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eastAsia="宋体" w:cs="宋体"/>
          <w:highlight w:val="none"/>
        </w:rPr>
        <w:t>评价原则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_Toc13049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_Toc21884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4.2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eastAsia="宋体" w:cs="宋体"/>
          <w:highlight w:val="none"/>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_Toc21884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_Toc24735 </w:instrText>
      </w:r>
      <w:r>
        <w:rPr>
          <w:rFonts w:hint="eastAsia" w:ascii="宋体" w:hAnsi="宋体" w:eastAsia="宋体" w:cs="宋体"/>
        </w:rPr>
        <w:fldChar w:fldCharType="separate"/>
      </w:r>
      <w:r>
        <w:rPr>
          <w:rFonts w:hint="eastAsia" w:ascii="宋体" w:hAnsi="宋体" w:eastAsia="宋体" w:cs="宋体"/>
          <w:i w:val="0"/>
          <w:szCs w:val="21"/>
        </w:rPr>
        <w:t>5</w:t>
      </w:r>
      <w:r>
        <w:rPr>
          <w:rFonts w:hint="eastAsia" w:ascii="宋体" w:hAnsi="宋体" w:eastAsia="宋体" w:cs="宋体"/>
          <w:i w:val="0"/>
          <w:szCs w:val="21"/>
          <w:lang w:val="en-US" w:eastAsia="zh-CN"/>
        </w:rPr>
        <w:t xml:space="preserve"> </w:t>
      </w:r>
      <w:r>
        <w:rPr>
          <w:rFonts w:hint="eastAsia" w:ascii="宋体" w:hAnsi="宋体" w:eastAsia="宋体" w:cs="宋体"/>
          <w:i w:val="0"/>
          <w:szCs w:val="21"/>
        </w:rPr>
        <w:t xml:space="preserve"> </w:t>
      </w:r>
      <w:r>
        <w:rPr>
          <w:rFonts w:hint="eastAsia" w:ascii="宋体" w:hAnsi="宋体" w:eastAsia="宋体" w:cs="宋体"/>
          <w:highlight w:val="none"/>
          <w:lang w:val="en-US" w:eastAsia="zh-CN"/>
        </w:rPr>
        <w:t>新能源汽车产品</w:t>
      </w:r>
      <w:r>
        <w:rPr>
          <w:rFonts w:hint="eastAsia" w:ascii="宋体" w:hAnsi="宋体" w:eastAsia="宋体" w:cs="宋体"/>
          <w:highlight w:val="none"/>
        </w:rPr>
        <w:t>产业企业评价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_Toc24735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_Toc7266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eastAsia="宋体" w:cs="宋体"/>
          <w:highlight w:val="none"/>
        </w:rPr>
        <w:t>符合性评价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_Toc7266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_Toc29184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eastAsia="宋体" w:cs="宋体"/>
          <w:highlight w:val="none"/>
        </w:rPr>
        <w:t>综合评价</w:t>
      </w:r>
      <w:r>
        <w:rPr>
          <w:rFonts w:hint="eastAsia" w:ascii="宋体" w:hAnsi="宋体" w:eastAsia="宋体" w:cs="宋体"/>
          <w:highlight w:val="none"/>
          <w:lang w:val="en-US" w:eastAsia="zh-CN"/>
        </w:rPr>
        <w:t>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_Toc29184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_Toc13599 </w:instrText>
      </w:r>
      <w:r>
        <w:rPr>
          <w:rFonts w:hint="eastAsia" w:ascii="宋体" w:hAnsi="宋体" w:eastAsia="宋体" w:cs="宋体"/>
        </w:rPr>
        <w:fldChar w:fldCharType="separate"/>
      </w:r>
      <w:r>
        <w:rPr>
          <w:rFonts w:hint="eastAsia" w:ascii="宋体" w:hAnsi="宋体" w:eastAsia="宋体" w:cs="宋体"/>
          <w:i w:val="0"/>
          <w:szCs w:val="21"/>
        </w:rPr>
        <w:t xml:space="preserve">6 </w:t>
      </w:r>
      <w:r>
        <w:rPr>
          <w:rFonts w:hint="eastAsia" w:ascii="宋体" w:hAnsi="宋体" w:eastAsia="宋体" w:cs="宋体"/>
          <w:i w:val="0"/>
          <w:szCs w:val="21"/>
          <w:lang w:val="en-US" w:eastAsia="zh-CN"/>
        </w:rPr>
        <w:t xml:space="preserve"> </w:t>
      </w:r>
      <w:r>
        <w:rPr>
          <w:rFonts w:hint="eastAsia" w:ascii="宋体" w:hAnsi="宋体" w:eastAsia="宋体" w:cs="宋体"/>
          <w:highlight w:val="none"/>
          <w:lang w:val="en-US" w:eastAsia="zh-CN"/>
        </w:rPr>
        <w:t>新能源汽车产品产业项目评价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_Toc13599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_Toc17354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eastAsia="宋体" w:cs="宋体"/>
          <w:highlight w:val="none"/>
        </w:rPr>
        <w:t>符合性评价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_Toc17354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_Toc25572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6.2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eastAsia="宋体" w:cs="宋体"/>
          <w:highlight w:val="none"/>
        </w:rPr>
        <w:t>综合评价指标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_Toc25572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_Toc25271 </w:instrText>
      </w:r>
      <w:r>
        <w:rPr>
          <w:rFonts w:hint="eastAsia" w:ascii="宋体" w:hAnsi="宋体" w:eastAsia="宋体" w:cs="宋体"/>
        </w:rPr>
        <w:fldChar w:fldCharType="separate"/>
      </w:r>
      <w:r>
        <w:rPr>
          <w:rFonts w:hint="eastAsia" w:ascii="宋体" w:hAnsi="宋体" w:eastAsia="宋体" w:cs="宋体"/>
          <w:i w:val="0"/>
          <w:szCs w:val="21"/>
        </w:rPr>
        <w:t xml:space="preserve">7 </w:t>
      </w:r>
      <w:r>
        <w:rPr>
          <w:rFonts w:hint="eastAsia" w:ascii="宋体" w:hAnsi="宋体" w:eastAsia="宋体" w:cs="宋体"/>
          <w:i w:val="0"/>
          <w:szCs w:val="21"/>
          <w:lang w:val="en-US" w:eastAsia="zh-CN"/>
        </w:rPr>
        <w:t xml:space="preserve"> </w:t>
      </w:r>
      <w:r>
        <w:rPr>
          <w:rFonts w:hint="eastAsia" w:ascii="宋体" w:hAnsi="宋体" w:eastAsia="宋体" w:cs="宋体"/>
          <w:highlight w:val="none"/>
        </w:rPr>
        <w:t>评价程序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_Toc25271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_Toc16008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7.1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eastAsia="宋体" w:cs="宋体"/>
          <w:highlight w:val="none"/>
        </w:rPr>
        <w:t>成立工作组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_Toc16008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7.2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eastAsia="宋体" w:cs="宋体"/>
          <w:highlight w:val="none"/>
        </w:rPr>
        <w:t>收集材料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_Toc23125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7.3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eastAsia="宋体" w:cs="宋体"/>
          <w:highlight w:val="none"/>
        </w:rPr>
        <w:t>认定评价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_Toc23125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_Toc16937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7.4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eastAsia="宋体" w:cs="宋体"/>
          <w:highlight w:val="none"/>
        </w:rPr>
        <w:t>编制报告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_Toc16937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_Toc27941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eastAsia="zh-CN"/>
        </w:rPr>
        <w:t xml:space="preserve">7.5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eastAsia="宋体" w:cs="宋体"/>
          <w:highlight w:val="none"/>
          <w:lang w:eastAsia="zh-CN"/>
        </w:rPr>
        <w:t>专家评审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_Toc27941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_Toc20147 </w:instrText>
      </w:r>
      <w:r>
        <w:rPr>
          <w:rFonts w:hint="eastAsia" w:ascii="宋体" w:hAnsi="宋体" w:eastAsia="宋体" w:cs="宋体"/>
        </w:rPr>
        <w:fldChar w:fldCharType="separate"/>
      </w:r>
      <w:r>
        <w:rPr>
          <w:rFonts w:hint="eastAsia" w:ascii="宋体" w:hAnsi="宋体" w:eastAsia="宋体" w:cs="宋体"/>
          <w:i w:val="0"/>
          <w:spacing w:val="0"/>
          <w:w w:val="100"/>
        </w:rPr>
        <w:t>附录A</w:t>
      </w:r>
      <w:r>
        <w:rPr>
          <w:rFonts w:hint="eastAsia" w:ascii="宋体" w:hAnsi="宋体" w:eastAsia="宋体" w:cs="宋体"/>
          <w:highlight w:val="none"/>
        </w:rPr>
        <w:t xml:space="preserve">（资料性） </w:t>
      </w:r>
      <w:r>
        <w:rPr>
          <w:rFonts w:hint="eastAsia" w:ascii="宋体" w:hAnsi="宋体" w:eastAsia="宋体" w:cs="宋体"/>
          <w:highlight w:val="none"/>
          <w:lang w:val="en-US" w:eastAsia="zh-CN"/>
        </w:rPr>
        <w:t xml:space="preserve"> </w:t>
      </w:r>
      <w:r>
        <w:rPr>
          <w:rFonts w:hint="eastAsia" w:ascii="宋体" w:hAnsi="宋体" w:eastAsia="宋体" w:cs="宋体"/>
          <w:highlight w:val="none"/>
        </w:rPr>
        <w:t>新能源汽车</w:t>
      </w:r>
      <w:r>
        <w:rPr>
          <w:rFonts w:hint="eastAsia" w:ascii="宋体" w:hAnsi="宋体" w:eastAsia="宋体" w:cs="宋体"/>
          <w:highlight w:val="none"/>
          <w:lang w:val="en-US" w:eastAsia="zh-CN"/>
        </w:rPr>
        <w:t>产品</w:t>
      </w:r>
      <w:r>
        <w:rPr>
          <w:rFonts w:hint="eastAsia" w:ascii="宋体" w:hAnsi="宋体" w:eastAsia="宋体" w:cs="宋体"/>
          <w:highlight w:val="none"/>
        </w:rPr>
        <w:t>行业绿色低碳产业认定评价指标表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_Toc20147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_Toc9393 </w:instrText>
      </w:r>
      <w:r>
        <w:rPr>
          <w:rFonts w:hint="eastAsia" w:ascii="宋体" w:hAnsi="宋体" w:eastAsia="宋体" w:cs="宋体"/>
        </w:rPr>
        <w:fldChar w:fldCharType="separate"/>
      </w:r>
      <w:r>
        <w:rPr>
          <w:rFonts w:hint="eastAsia" w:ascii="宋体" w:hAnsi="宋体" w:eastAsia="宋体" w:cs="宋体"/>
          <w:i w:val="0"/>
          <w:spacing w:val="0"/>
          <w:w w:val="100"/>
        </w:rPr>
        <w:t>附录B</w:t>
      </w:r>
      <w:r>
        <w:rPr>
          <w:rFonts w:hint="eastAsia" w:ascii="宋体" w:hAnsi="宋体" w:eastAsia="宋体" w:cs="宋体"/>
          <w:highlight w:val="none"/>
        </w:rPr>
        <w:t xml:space="preserve">（资料性） </w:t>
      </w:r>
      <w:r>
        <w:rPr>
          <w:rFonts w:hint="eastAsia" w:ascii="宋体" w:hAnsi="宋体" w:eastAsia="宋体" w:cs="宋体"/>
          <w:highlight w:val="none"/>
          <w:lang w:val="en-US" w:eastAsia="zh-CN"/>
        </w:rPr>
        <w:t xml:space="preserve"> </w:t>
      </w:r>
      <w:r>
        <w:rPr>
          <w:rFonts w:hint="eastAsia" w:ascii="宋体" w:hAnsi="宋体" w:eastAsia="宋体" w:cs="宋体"/>
          <w:highlight w:val="none"/>
        </w:rPr>
        <w:t>新能源汽车</w:t>
      </w:r>
      <w:r>
        <w:rPr>
          <w:rFonts w:hint="eastAsia" w:ascii="宋体" w:hAnsi="宋体" w:eastAsia="宋体" w:cs="宋体"/>
          <w:highlight w:val="none"/>
          <w:lang w:val="en-US" w:eastAsia="zh-CN"/>
        </w:rPr>
        <w:t>产品</w:t>
      </w:r>
      <w:r>
        <w:rPr>
          <w:rFonts w:hint="eastAsia" w:ascii="宋体" w:hAnsi="宋体" w:eastAsia="宋体" w:cs="宋体"/>
          <w:highlight w:val="none"/>
        </w:rPr>
        <w:t>行业绿色低碳产业</w:t>
      </w:r>
      <w:r>
        <w:rPr>
          <w:rFonts w:hint="eastAsia" w:ascii="宋体" w:hAnsi="宋体" w:eastAsia="宋体" w:cs="宋体"/>
          <w:highlight w:val="none"/>
          <w:lang w:val="en-US" w:eastAsia="zh-CN"/>
        </w:rPr>
        <w:t>企业</w:t>
      </w:r>
      <w:r>
        <w:rPr>
          <w:rFonts w:hint="eastAsia" w:ascii="宋体" w:hAnsi="宋体" w:eastAsia="宋体" w:cs="宋体"/>
          <w:highlight w:val="none"/>
        </w:rPr>
        <w:t>认定评价报告模板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_Toc9393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_Toc3121 </w:instrText>
      </w:r>
      <w:r>
        <w:rPr>
          <w:rFonts w:hint="eastAsia" w:ascii="宋体" w:hAnsi="宋体" w:eastAsia="宋体" w:cs="宋体"/>
        </w:rPr>
        <w:fldChar w:fldCharType="separate"/>
      </w:r>
      <w:r>
        <w:rPr>
          <w:rFonts w:hint="eastAsia" w:ascii="宋体" w:hAnsi="宋体" w:eastAsia="宋体" w:cs="宋体"/>
          <w:i w:val="0"/>
          <w:spacing w:val="0"/>
          <w:w w:val="100"/>
        </w:rPr>
        <w:t>附录C</w:t>
      </w:r>
      <w:r>
        <w:rPr>
          <w:rFonts w:hint="eastAsia" w:ascii="宋体" w:hAnsi="宋体" w:eastAsia="宋体" w:cs="宋体"/>
          <w:highlight w:val="none"/>
        </w:rPr>
        <w:t xml:space="preserve">（资料性） </w:t>
      </w:r>
      <w:r>
        <w:rPr>
          <w:rFonts w:hint="eastAsia" w:ascii="宋体" w:hAnsi="宋体" w:eastAsia="宋体" w:cs="宋体"/>
          <w:highlight w:val="none"/>
          <w:lang w:val="en-US" w:eastAsia="zh-CN"/>
        </w:rPr>
        <w:t xml:space="preserve"> </w:t>
      </w:r>
      <w:r>
        <w:rPr>
          <w:rFonts w:hint="eastAsia" w:ascii="宋体" w:hAnsi="宋体" w:eastAsia="宋体" w:cs="宋体"/>
          <w:highlight w:val="none"/>
        </w:rPr>
        <w:t>新能源汽车</w:t>
      </w:r>
      <w:r>
        <w:rPr>
          <w:rFonts w:hint="eastAsia" w:ascii="宋体" w:hAnsi="宋体" w:eastAsia="宋体" w:cs="宋体"/>
          <w:highlight w:val="none"/>
          <w:lang w:val="en-US" w:eastAsia="zh-CN"/>
        </w:rPr>
        <w:t>产品</w:t>
      </w:r>
      <w:r>
        <w:rPr>
          <w:rFonts w:hint="eastAsia" w:ascii="宋体" w:hAnsi="宋体" w:eastAsia="宋体" w:cs="宋体"/>
          <w:highlight w:val="none"/>
        </w:rPr>
        <w:t>行业绿色</w:t>
      </w:r>
      <w:r>
        <w:rPr>
          <w:rFonts w:hint="eastAsia" w:ascii="宋体" w:hAnsi="宋体" w:eastAsia="宋体" w:cs="宋体"/>
          <w:highlight w:val="none"/>
          <w:lang w:val="en-US" w:eastAsia="zh-CN"/>
        </w:rPr>
        <w:t>低碳</w:t>
      </w:r>
      <w:r>
        <w:rPr>
          <w:rFonts w:hint="eastAsia" w:ascii="宋体" w:hAnsi="宋体" w:eastAsia="宋体" w:cs="宋体"/>
          <w:highlight w:val="none"/>
        </w:rPr>
        <w:t>产业</w:t>
      </w:r>
      <w:r>
        <w:rPr>
          <w:rFonts w:hint="eastAsia" w:ascii="宋体" w:hAnsi="宋体" w:eastAsia="宋体" w:cs="宋体"/>
          <w:highlight w:val="none"/>
          <w:lang w:val="en-US" w:eastAsia="zh-CN"/>
        </w:rPr>
        <w:t>项目</w:t>
      </w:r>
      <w:r>
        <w:rPr>
          <w:rFonts w:hint="eastAsia" w:ascii="宋体" w:hAnsi="宋体" w:eastAsia="宋体" w:cs="宋体"/>
          <w:highlight w:val="none"/>
        </w:rPr>
        <w:t>认定评价报告模板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_Toc3121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_Toc19702 </w:instrText>
      </w:r>
      <w:r>
        <w:rPr>
          <w:rFonts w:hint="eastAsia" w:ascii="宋体" w:hAnsi="宋体" w:eastAsia="宋体" w:cs="宋体"/>
        </w:rPr>
        <w:fldChar w:fldCharType="separate"/>
      </w:r>
      <w:r>
        <w:rPr>
          <w:rFonts w:hint="eastAsia" w:ascii="宋体" w:hAnsi="宋体" w:eastAsia="宋体" w:cs="宋体"/>
          <w:highlight w:val="none"/>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_Toc19702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 w:val="clear" w:pos="9241"/>
        </w:tabs>
        <w:rPr>
          <w:rFonts w:hint="eastAsia" w:ascii="宋体" w:hAnsi="宋体" w:eastAsia="宋体" w:cs="宋体"/>
          <w:highlight w:val="none"/>
        </w:rPr>
      </w:pPr>
      <w:r>
        <w:rPr>
          <w:rFonts w:hint="eastAsia" w:ascii="宋体" w:hAnsi="宋体" w:eastAsia="宋体" w:cs="宋体"/>
        </w:rPr>
        <w:fldChar w:fldCharType="end"/>
      </w:r>
    </w:p>
    <w:p>
      <w:pPr>
        <w:pStyle w:val="120"/>
        <w:rPr>
          <w:rFonts w:ascii="Times New Roman"/>
          <w:highlight w:val="none"/>
        </w:rPr>
      </w:pPr>
      <w:bookmarkStart w:id="22" w:name="_Toc3513"/>
      <w:bookmarkStart w:id="23" w:name="_Toc18978"/>
      <w:bookmarkStart w:id="24" w:name="_Toc118282034"/>
      <w:bookmarkStart w:id="25" w:name="_Toc23144"/>
      <w:r>
        <w:rPr>
          <w:rFonts w:ascii="Times New Roman"/>
          <w:highlight w:val="none"/>
        </w:rPr>
        <w:t>前</w:t>
      </w:r>
      <w:bookmarkStart w:id="26" w:name="BKQY"/>
      <w:r>
        <w:rPr>
          <w:rFonts w:ascii="Times New Roman"/>
          <w:highlight w:val="none"/>
        </w:rPr>
        <w:t>  言</w:t>
      </w:r>
      <w:bookmarkEnd w:id="22"/>
      <w:bookmarkEnd w:id="23"/>
      <w:bookmarkEnd w:id="24"/>
      <w:bookmarkEnd w:id="25"/>
      <w:bookmarkEnd w:id="26"/>
    </w:p>
    <w:p>
      <w:pPr>
        <w:pStyle w:val="24"/>
        <w:rPr>
          <w:rFonts w:hAnsi="宋体" w:cs="宋体"/>
        </w:rPr>
      </w:pPr>
      <w:r>
        <w:rPr>
          <w:rFonts w:hint="eastAsia" w:hAnsi="宋体" w:cs="宋体"/>
        </w:rPr>
        <w:t>本文件按照GB/T1.1—2020《标准化工作导则第1部分：标准化文件的结构和起草规则》的规定起草。</w:t>
      </w:r>
    </w:p>
    <w:p>
      <w:pPr>
        <w:pStyle w:val="24"/>
        <w:rPr>
          <w:rFonts w:hAnsi="宋体" w:cs="宋体"/>
        </w:rPr>
      </w:pPr>
      <w:r>
        <w:rPr>
          <w:rFonts w:hint="eastAsia" w:hAnsi="宋体" w:cs="宋体"/>
        </w:rPr>
        <w:t>本文件由一带一环境技术交流与转移中心（深圳）提出。</w:t>
      </w:r>
    </w:p>
    <w:p>
      <w:pPr>
        <w:pStyle w:val="24"/>
        <w:rPr>
          <w:rFonts w:hAnsi="宋体" w:cs="宋体"/>
        </w:rPr>
      </w:pPr>
      <w:r>
        <w:rPr>
          <w:rFonts w:hint="eastAsia" w:hAnsi="宋体" w:cs="宋体"/>
        </w:rPr>
        <w:t>本文件由深圳市深圳标准促进会归口。</w:t>
      </w:r>
    </w:p>
    <w:p>
      <w:pPr>
        <w:pStyle w:val="24"/>
        <w:rPr>
          <w:rFonts w:hAnsi="宋体" w:cs="宋体"/>
        </w:rPr>
      </w:pPr>
      <w:r>
        <w:rPr>
          <w:rFonts w:hint="eastAsia" w:hAnsi="宋体" w:cs="宋体"/>
        </w:rPr>
        <w:t>本文件起草单位：深圳市生态环境局、深圳市发展和改革委员会、一带一路环境技术交流与转移中心（深圳）、深圳市标准技术研究院、深圳市计量质量检测研究院。</w:t>
      </w:r>
    </w:p>
    <w:p>
      <w:pPr>
        <w:pStyle w:val="24"/>
        <w:rPr>
          <w:rFonts w:ascii="Times New Roman"/>
        </w:rPr>
      </w:pPr>
      <w:r>
        <w:rPr>
          <w:rFonts w:hint="eastAsia" w:hAnsi="宋体" w:cs="宋体"/>
        </w:rPr>
        <w:t>本文件主要起草人：。</w:t>
      </w:r>
    </w:p>
    <w:p>
      <w:pPr>
        <w:pStyle w:val="24"/>
        <w:rPr>
          <w:rFonts w:ascii="Times New Roman"/>
          <w:highlight w:val="none"/>
        </w:rPr>
      </w:pPr>
    </w:p>
    <w:p>
      <w:pPr>
        <w:pStyle w:val="58"/>
        <w:rPr>
          <w:rFonts w:ascii="Times New Roman"/>
          <w:highlight w:val="none"/>
        </w:rPr>
        <w:sectPr>
          <w:headerReference r:id="rId5" w:type="default"/>
          <w:footerReference r:id="rId6" w:type="default"/>
          <w:footerReference r:id="rId7" w:type="even"/>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720" w:num="1"/>
          <w:formProt w:val="0"/>
          <w:docGrid w:type="lines" w:linePitch="312" w:charSpace="0"/>
        </w:sectPr>
      </w:pPr>
      <w:bookmarkStart w:id="27" w:name="_Toc82157004"/>
      <w:bookmarkStart w:id="28" w:name="_Toc80953770"/>
      <w:bookmarkStart w:id="29" w:name="_Toc80954704"/>
      <w:bookmarkStart w:id="30" w:name="_Toc80867248"/>
      <w:bookmarkStart w:id="31" w:name="_Toc80887605"/>
      <w:bookmarkStart w:id="32" w:name="_Toc80690485"/>
      <w:bookmarkStart w:id="33" w:name="_Toc82626056"/>
      <w:bookmarkStart w:id="34" w:name="_Toc14800"/>
      <w:bookmarkStart w:id="35" w:name="_Toc19299"/>
      <w:bookmarkStart w:id="36" w:name="_Toc24880"/>
      <w:bookmarkStart w:id="37" w:name="_Toc52091808"/>
    </w:p>
    <w:p>
      <w:pPr>
        <w:jc w:val="center"/>
        <w:rPr>
          <w:rFonts w:hint="eastAsia" w:ascii="黑体" w:hAnsi="黑体" w:eastAsia="黑体" w:cs="黑体"/>
          <w:sz w:val="32"/>
          <w:szCs w:val="40"/>
          <w:lang w:val="en-US" w:eastAsia="zh-CN"/>
        </w:rPr>
      </w:pPr>
      <w:bookmarkStart w:id="38" w:name="_Toc27626"/>
      <w:bookmarkStart w:id="39" w:name="_Toc118282035"/>
      <w:r>
        <w:rPr>
          <w:rFonts w:hint="eastAsia" w:ascii="黑体" w:hAnsi="黑体" w:eastAsia="黑体" w:cs="黑体"/>
          <w:sz w:val="32"/>
          <w:szCs w:val="40"/>
          <w:lang w:eastAsia="zh-CN"/>
        </w:rPr>
        <w:t>绿色低碳产业认定</w:t>
      </w:r>
      <w:bookmarkEnd w:id="27"/>
      <w:bookmarkEnd w:id="28"/>
      <w:bookmarkEnd w:id="29"/>
      <w:bookmarkEnd w:id="30"/>
      <w:bookmarkEnd w:id="31"/>
      <w:bookmarkEnd w:id="32"/>
      <w:r>
        <w:rPr>
          <w:rFonts w:hint="eastAsia" w:ascii="黑体" w:hAnsi="黑体" w:eastAsia="黑体" w:cs="黑体"/>
          <w:sz w:val="32"/>
          <w:szCs w:val="40"/>
          <w:lang w:eastAsia="zh-CN"/>
        </w:rPr>
        <w:t xml:space="preserve">行业技术规范 </w:t>
      </w:r>
      <w:bookmarkEnd w:id="33"/>
      <w:bookmarkEnd w:id="34"/>
      <w:bookmarkEnd w:id="35"/>
      <w:bookmarkEnd w:id="36"/>
      <w:r>
        <w:rPr>
          <w:rFonts w:hint="eastAsia" w:ascii="黑体" w:hAnsi="黑体" w:eastAsia="黑体" w:cs="黑体"/>
          <w:sz w:val="32"/>
          <w:szCs w:val="40"/>
          <w:lang w:eastAsia="zh-CN"/>
        </w:rPr>
        <w:t>新能源汽车产品</w:t>
      </w:r>
      <w:bookmarkEnd w:id="38"/>
      <w:bookmarkEnd w:id="39"/>
    </w:p>
    <w:p>
      <w:pPr>
        <w:pStyle w:val="53"/>
        <w:outlineLvl w:val="0"/>
        <w:rPr>
          <w:rFonts w:ascii="Times New Roman"/>
          <w:highlight w:val="none"/>
        </w:rPr>
      </w:pPr>
      <w:bookmarkStart w:id="40" w:name="_Toc102992448"/>
      <w:bookmarkStart w:id="41" w:name="_Toc4308"/>
      <w:bookmarkStart w:id="42" w:name="_Toc118282036"/>
      <w:bookmarkStart w:id="43" w:name="_Toc23521"/>
      <w:bookmarkStart w:id="44" w:name="_Toc7917"/>
      <w:r>
        <w:rPr>
          <w:rFonts w:ascii="Times New Roman"/>
          <w:highlight w:val="none"/>
        </w:rPr>
        <w:t>范围</w:t>
      </w:r>
      <w:bookmarkEnd w:id="37"/>
      <w:bookmarkEnd w:id="40"/>
      <w:bookmarkEnd w:id="41"/>
      <w:bookmarkEnd w:id="42"/>
      <w:bookmarkEnd w:id="43"/>
      <w:bookmarkEnd w:id="44"/>
    </w:p>
    <w:p>
      <w:pPr>
        <w:pStyle w:val="24"/>
        <w:rPr>
          <w:rFonts w:ascii="Times New Roman"/>
          <w:highlight w:val="none"/>
        </w:rPr>
      </w:pPr>
      <w:r>
        <w:rPr>
          <w:rFonts w:ascii="Times New Roman"/>
          <w:highlight w:val="none"/>
        </w:rPr>
        <w:t>本文件规定了深圳市</w:t>
      </w:r>
      <w:r>
        <w:rPr>
          <w:rFonts w:hint="eastAsia" w:ascii="Times New Roman"/>
          <w:highlight w:val="none"/>
        </w:rPr>
        <w:t>新能源汽车产品行业开展</w:t>
      </w:r>
      <w:r>
        <w:rPr>
          <w:rFonts w:ascii="Times New Roman"/>
          <w:highlight w:val="none"/>
        </w:rPr>
        <w:t>绿色</w:t>
      </w:r>
      <w:r>
        <w:rPr>
          <w:rFonts w:hint="eastAsia" w:ascii="Times New Roman"/>
          <w:lang w:eastAsia="zh-CN"/>
        </w:rPr>
        <w:t>低碳产业</w:t>
      </w:r>
      <w:r>
        <w:rPr>
          <w:rFonts w:ascii="Times New Roman"/>
          <w:highlight w:val="none"/>
        </w:rPr>
        <w:t>认定评价的术语和定义、</w:t>
      </w:r>
      <w:r>
        <w:rPr>
          <w:rFonts w:hint="eastAsia" w:ascii="Times New Roman"/>
          <w:highlight w:val="none"/>
        </w:rPr>
        <w:t>评价原则及基本要求、</w:t>
      </w:r>
      <w:r>
        <w:rPr>
          <w:rFonts w:ascii="Times New Roman"/>
          <w:highlight w:val="none"/>
        </w:rPr>
        <w:t>评价指标和评价程序。</w:t>
      </w:r>
    </w:p>
    <w:p>
      <w:pPr>
        <w:pStyle w:val="24"/>
        <w:rPr>
          <w:rFonts w:ascii="Times New Roman"/>
          <w:highlight w:val="none"/>
        </w:rPr>
      </w:pPr>
      <w:r>
        <w:rPr>
          <w:rFonts w:ascii="Times New Roman"/>
          <w:highlight w:val="none"/>
        </w:rPr>
        <w:t>本文件适用于深圳市行政区域内</w:t>
      </w:r>
      <w:r>
        <w:rPr>
          <w:rFonts w:hint="eastAsia" w:ascii="Times New Roman"/>
          <w:highlight w:val="none"/>
        </w:rPr>
        <w:t>新能源汽车产品</w:t>
      </w:r>
      <w:r>
        <w:rPr>
          <w:rFonts w:ascii="Times New Roman"/>
          <w:highlight w:val="none"/>
        </w:rPr>
        <w:t>行业的绿色</w:t>
      </w:r>
      <w:r>
        <w:rPr>
          <w:rFonts w:hint="eastAsia" w:ascii="Times New Roman"/>
          <w:lang w:eastAsia="zh-CN"/>
        </w:rPr>
        <w:t>低碳产业</w:t>
      </w:r>
      <w:r>
        <w:rPr>
          <w:rFonts w:ascii="Times New Roman"/>
          <w:highlight w:val="none"/>
        </w:rPr>
        <w:t>认定评价。深汕特别合作区可参照</w:t>
      </w:r>
      <w:r>
        <w:rPr>
          <w:rFonts w:hint="eastAsia" w:ascii="Times New Roman"/>
          <w:highlight w:val="none"/>
          <w:lang w:val="en-US" w:eastAsia="zh-CN"/>
        </w:rPr>
        <w:t>使用</w:t>
      </w:r>
      <w:r>
        <w:rPr>
          <w:rFonts w:ascii="Times New Roman"/>
          <w:highlight w:val="none"/>
        </w:rPr>
        <w:t>本文件。</w:t>
      </w:r>
    </w:p>
    <w:p>
      <w:pPr>
        <w:pStyle w:val="53"/>
        <w:outlineLvl w:val="0"/>
        <w:rPr>
          <w:rFonts w:ascii="Times New Roman"/>
          <w:highlight w:val="none"/>
        </w:rPr>
      </w:pPr>
      <w:bookmarkStart w:id="45" w:name="_Toc52091809"/>
      <w:bookmarkStart w:id="46" w:name="_Toc1871"/>
      <w:bookmarkStart w:id="47" w:name="_Toc102992449"/>
      <w:bookmarkStart w:id="48" w:name="_Toc118282037"/>
      <w:bookmarkStart w:id="49" w:name="_Toc9269"/>
      <w:bookmarkStart w:id="50" w:name="_Toc15316"/>
      <w:r>
        <w:rPr>
          <w:rFonts w:ascii="Times New Roman"/>
          <w:highlight w:val="none"/>
        </w:rPr>
        <w:t>规范性引用文件</w:t>
      </w:r>
      <w:bookmarkEnd w:id="45"/>
      <w:bookmarkEnd w:id="46"/>
      <w:bookmarkEnd w:id="47"/>
      <w:bookmarkEnd w:id="48"/>
      <w:bookmarkEnd w:id="49"/>
      <w:bookmarkEnd w:id="50"/>
    </w:p>
    <w:p>
      <w:pPr>
        <w:autoSpaceDE w:val="0"/>
        <w:autoSpaceDN w:val="0"/>
        <w:ind w:firstLine="420" w:firstLineChars="200"/>
        <w:rPr>
          <w:rFonts w:ascii="宋体" w:hAnsi="宋体" w:cs="宋体"/>
          <w:highlight w:val="none"/>
        </w:rPr>
      </w:pPr>
      <w:r>
        <w:rPr>
          <w:rFonts w:hint="eastAsia" w:ascii="宋体" w:hAnsi="宋体" w:cs="宋体"/>
          <w:highlight w:val="none"/>
        </w:rPr>
        <w:t>下列文件对于本文件的应用是必不可少的。凡是注日期的引用文件，仅注日期的版本适用于本文件。凡是不注日期的引用文件，其最新版本（包括所有的修改单）适用于本文件。</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GB/T 11918.1  工业用插头插座和耦合器</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GB 17675  汽车转向系 基本要求</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GB 19153  容积式空气压缩机能效限定值及能效等级</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GB/T 20234.1  电动汽车传导充电用连接装置 第1部分：通用要求</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 xml:space="preserve">GB/T 21361  汽车用空调器 </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GB/T 24533  锂离子电池石墨类负极材料</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GB/T 30835  锂离子电池用炭复合磷酸铁锂正极材料</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GB/T 37133  电动汽车用高压大电流线束和连接器技术要求</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GB 38031 电动汽车用动力蓄电池安全要求</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GB/T 38090  电动汽车驱动电机用永磁材料技术要求</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GB/T 3853  容积式压缩机 验收试验</w:t>
      </w:r>
    </w:p>
    <w:p>
      <w:pPr>
        <w:ind w:firstLine="420" w:firstLineChars="200"/>
        <w:rPr>
          <w:rFonts w:hint="eastAsia" w:ascii="宋体" w:hAnsi="宋体"/>
          <w:highlight w:val="none"/>
          <w:lang w:val="en-US" w:eastAsia="zh-CN"/>
        </w:rPr>
      </w:pPr>
      <w:r>
        <w:rPr>
          <w:rFonts w:hint="default" w:ascii="宋体" w:hAnsi="宋体"/>
          <w:highlight w:val="none"/>
          <w:lang w:val="en-US"/>
        </w:rPr>
        <w:t>GB/T 39491-2020</w:t>
      </w:r>
      <w:r>
        <w:rPr>
          <w:rFonts w:hint="eastAsia" w:ascii="宋体" w:hAnsi="宋体"/>
          <w:highlight w:val="none"/>
          <w:lang w:val="en-US" w:eastAsia="zh-CN"/>
        </w:rPr>
        <w:t xml:space="preserve">  汽车用碳纤维复合材料覆盖部件通用技术要求</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GB/T 40432  电动汽车用传导式车载充电机</w:t>
      </w:r>
    </w:p>
    <w:p>
      <w:pPr>
        <w:ind w:firstLine="420" w:firstLineChars="200"/>
        <w:rPr>
          <w:rFonts w:hint="eastAsia" w:ascii="宋体" w:hAnsi="宋体"/>
          <w:highlight w:val="none"/>
          <w:lang w:val="en-US" w:eastAsia="zh-CN"/>
        </w:rPr>
      </w:pPr>
      <w:r>
        <w:rPr>
          <w:rFonts w:hint="default" w:ascii="宋体" w:hAnsi="宋体"/>
          <w:highlight w:val="none"/>
          <w:lang w:val="en-US"/>
        </w:rPr>
        <w:t>JT/T 1371-2021</w:t>
      </w:r>
      <w:r>
        <w:rPr>
          <w:rFonts w:hint="eastAsia" w:ascii="宋体" w:hAnsi="宋体"/>
          <w:highlight w:val="none"/>
          <w:lang w:val="en-US" w:eastAsia="zh-CN"/>
        </w:rPr>
        <w:t xml:space="preserve">  </w:t>
      </w:r>
      <w:r>
        <w:rPr>
          <w:rFonts w:hint="default" w:ascii="宋体" w:hAnsi="宋体"/>
          <w:highlight w:val="none"/>
          <w:lang w:val="en-US"/>
        </w:rPr>
        <w:t>电动营运货运车辆选型技术要求</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QC∕T 1004  汽车电动真空泵性能要求及台架试验方法</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QC/T 1067.1  汽车电线束和电气设备用连接器 第1部分：定义、试验方法和一般性能要求</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QC/T 1168  汽车用电动空气压缩机性能要求及台架试验方法</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QC/T 1174  电动汽车用高压熔断器</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QC/T 29078  汽车用空气压缩机性能要求及台架试验方法</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QC/T 29097  汽车转向器总成技术要求</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SJ/T 11723  锂离子电池用电解液</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T/CAS 356  新能源汽车用高压电缆</w:t>
      </w:r>
    </w:p>
    <w:p>
      <w:pPr>
        <w:ind w:firstLine="420" w:firstLineChars="200"/>
        <w:rPr>
          <w:rFonts w:hint="eastAsia" w:ascii="宋体" w:hAnsi="宋体"/>
          <w:highlight w:val="none"/>
          <w:lang w:val="en-US"/>
        </w:rPr>
      </w:pPr>
      <w:r>
        <w:rPr>
          <w:rFonts w:hint="eastAsia" w:ascii="宋体" w:hAnsi="宋体"/>
          <w:highlight w:val="none"/>
          <w:lang w:val="en-US"/>
        </w:rPr>
        <w:t>T/CSAE 198－2021</w:t>
      </w:r>
      <w:r>
        <w:rPr>
          <w:rFonts w:hint="eastAsia" w:ascii="宋体" w:hAnsi="宋体"/>
          <w:highlight w:val="none"/>
          <w:lang w:val="en-US" w:eastAsia="zh-CN"/>
        </w:rPr>
        <w:t xml:space="preserve">  </w:t>
      </w:r>
      <w:r>
        <w:rPr>
          <w:rFonts w:hint="eastAsia" w:ascii="宋体" w:hAnsi="宋体"/>
          <w:highlight w:val="none"/>
          <w:lang w:val="en-US"/>
        </w:rPr>
        <w:t>汽车用高强韧类高真空压铸铝合金材料技术条件</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T/CSAE 184  电动汽车动力蓄电池健康状态评价指标及估算误差试验方法</w:t>
      </w:r>
    </w:p>
    <w:p>
      <w:pPr>
        <w:ind w:firstLine="420" w:firstLineChars="200"/>
        <w:rPr>
          <w:rFonts w:hint="eastAsia" w:ascii="宋体" w:hAnsi="宋体"/>
          <w:highlight w:val="none"/>
        </w:rPr>
      </w:pPr>
      <w:r>
        <w:rPr>
          <w:rFonts w:hint="eastAsia" w:ascii="宋体" w:hAnsi="宋体" w:eastAsia="宋体"/>
          <w:highlight w:val="none"/>
        </w:rPr>
        <w:t>T/CSAE 90  新能源汽车用高压电缆</w:t>
      </w:r>
    </w:p>
    <w:p>
      <w:pPr>
        <w:autoSpaceDE w:val="0"/>
        <w:autoSpaceDN w:val="0"/>
        <w:ind w:firstLine="420" w:firstLineChars="200"/>
        <w:rPr>
          <w:rFonts w:hint="eastAsia" w:ascii="宋体" w:hAnsi="宋体" w:eastAsia="宋体"/>
          <w:highlight w:val="none"/>
        </w:rPr>
      </w:pPr>
      <w:r>
        <w:rPr>
          <w:rFonts w:hint="eastAsia" w:ascii="宋体" w:hAnsi="宋体" w:eastAsia="宋体"/>
          <w:highlight w:val="none"/>
        </w:rPr>
        <w:t>T∕ZZB 1024  电动汽车用高压直流继电器</w:t>
      </w:r>
    </w:p>
    <w:p>
      <w:pPr>
        <w:keepNext w:val="0"/>
        <w:keepLines w:val="0"/>
        <w:pageBreakBefore w:val="0"/>
        <w:widowControl w:val="0"/>
        <w:kinsoku/>
        <w:wordWrap/>
        <w:overflowPunct/>
        <w:topLinePunct w:val="0"/>
        <w:autoSpaceDE w:val="0"/>
        <w:autoSpaceDN w:val="0"/>
        <w:bidi w:val="0"/>
        <w:adjustRightInd/>
        <w:snapToGrid/>
        <w:ind w:left="420" w:leftChars="200"/>
        <w:textAlignment w:val="auto"/>
        <w:rPr>
          <w:rFonts w:hint="eastAsia" w:ascii="宋体" w:hAnsi="宋体" w:eastAsia="宋体"/>
          <w:highlight w:val="none"/>
          <w:lang w:val="en-US" w:eastAsia="zh-CN"/>
        </w:rPr>
      </w:pPr>
      <w:r>
        <w:rPr>
          <w:rFonts w:hint="eastAsia" w:ascii="宋体" w:hAnsi="宋体" w:eastAsia="宋体"/>
          <w:highlight w:val="none"/>
        </w:rPr>
        <w:t>AEC-Q</w:t>
      </w:r>
      <w:r>
        <w:rPr>
          <w:rFonts w:hint="eastAsia" w:ascii="宋体" w:hAnsi="宋体"/>
          <w:highlight w:val="none"/>
          <w:lang w:val="en-US" w:eastAsia="zh-CN"/>
        </w:rPr>
        <w:t>1</w:t>
      </w:r>
      <w:r>
        <w:rPr>
          <w:rFonts w:hint="eastAsia" w:ascii="宋体" w:hAnsi="宋体" w:eastAsia="宋体"/>
          <w:highlight w:val="none"/>
          <w:lang w:val="en-US" w:eastAsia="zh-CN"/>
        </w:rPr>
        <w:t>00</w:t>
      </w:r>
      <w:r>
        <w:rPr>
          <w:rFonts w:hint="eastAsia" w:ascii="宋体" w:hAnsi="宋体"/>
          <w:highlight w:val="none"/>
          <w:lang w:val="en-US" w:eastAsia="zh-CN"/>
        </w:rPr>
        <w:t xml:space="preserve"> </w:t>
      </w:r>
      <w:r>
        <w:rPr>
          <w:rFonts w:hint="eastAsia" w:ascii="宋体" w:hAnsi="宋体" w:eastAsia="宋体"/>
          <w:highlight w:val="none"/>
        </w:rPr>
        <w:t>Failure Mechanism Based Stress Test Qualification For Integrated Circuits</w:t>
      </w:r>
      <w:r>
        <w:rPr>
          <w:rFonts w:hint="eastAsia" w:ascii="宋体" w:hAnsi="宋体"/>
          <w:highlight w:val="none"/>
          <w:lang w:eastAsia="zh-CN"/>
        </w:rPr>
        <w:t>（</w:t>
      </w:r>
      <w:r>
        <w:rPr>
          <w:rFonts w:hint="eastAsia" w:ascii="宋体" w:hAnsi="宋体" w:eastAsia="宋体"/>
          <w:highlight w:val="none"/>
        </w:rPr>
        <w:t>基于集成电路应力测试认证的失效机理</w:t>
      </w:r>
      <w:r>
        <w:rPr>
          <w:rFonts w:hint="eastAsia" w:ascii="宋体" w:hAnsi="宋体"/>
          <w:highlight w:val="none"/>
          <w:lang w:eastAsia="zh-CN"/>
        </w:rPr>
        <w:t>）</w:t>
      </w:r>
    </w:p>
    <w:p>
      <w:pPr>
        <w:pStyle w:val="2"/>
        <w:ind w:firstLine="420" w:firstLineChars="200"/>
        <w:rPr>
          <w:rFonts w:hint="default"/>
          <w:lang w:val="en-US" w:eastAsia="zh-CN"/>
        </w:rPr>
      </w:pPr>
      <w:r>
        <w:rPr>
          <w:rFonts w:hint="eastAsia" w:ascii="宋体" w:hAnsi="宋体" w:eastAsia="宋体"/>
          <w:highlight w:val="none"/>
        </w:rPr>
        <w:t>AEC-Q</w:t>
      </w:r>
      <w:r>
        <w:rPr>
          <w:rFonts w:hint="eastAsia" w:ascii="宋体" w:hAnsi="宋体"/>
          <w:highlight w:val="none"/>
          <w:lang w:val="en-US" w:eastAsia="zh-CN"/>
        </w:rPr>
        <w:t>1</w:t>
      </w:r>
      <w:r>
        <w:rPr>
          <w:rFonts w:hint="eastAsia" w:ascii="宋体" w:hAnsi="宋体" w:eastAsia="宋体"/>
          <w:highlight w:val="none"/>
          <w:lang w:val="en-US" w:eastAsia="zh-CN"/>
        </w:rPr>
        <w:t>0</w:t>
      </w:r>
      <w:r>
        <w:rPr>
          <w:rFonts w:hint="eastAsia"/>
          <w:highlight w:val="none"/>
          <w:lang w:val="en-US" w:eastAsia="zh-CN"/>
        </w:rPr>
        <w:t>4 Failure Mechanism Based Stress Test Qualification for Multichip Modules(MCM) in automotive Applications （汽车应用中基于故障机制的多芯片模块 (MCM) 压力测试认证）</w:t>
      </w:r>
    </w:p>
    <w:p>
      <w:pPr>
        <w:keepNext w:val="0"/>
        <w:keepLines w:val="0"/>
        <w:pageBreakBefore w:val="0"/>
        <w:widowControl w:val="0"/>
        <w:kinsoku/>
        <w:wordWrap/>
        <w:overflowPunct/>
        <w:topLinePunct w:val="0"/>
        <w:autoSpaceDE w:val="0"/>
        <w:autoSpaceDN w:val="0"/>
        <w:bidi w:val="0"/>
        <w:adjustRightInd/>
        <w:snapToGrid/>
        <w:ind w:left="420" w:leftChars="200"/>
        <w:textAlignment w:val="auto"/>
        <w:rPr>
          <w:rFonts w:hint="eastAsia" w:ascii="宋体" w:hAnsi="宋体" w:eastAsia="宋体"/>
          <w:highlight w:val="none"/>
        </w:rPr>
      </w:pPr>
      <w:r>
        <w:rPr>
          <w:rFonts w:hint="eastAsia" w:ascii="宋体" w:hAnsi="宋体" w:eastAsia="宋体"/>
          <w:highlight w:val="none"/>
        </w:rPr>
        <w:t>AEC-Q</w:t>
      </w:r>
      <w:r>
        <w:rPr>
          <w:rFonts w:hint="eastAsia" w:ascii="宋体" w:hAnsi="宋体" w:eastAsia="宋体"/>
          <w:highlight w:val="none"/>
          <w:lang w:val="en-US" w:eastAsia="zh-CN"/>
        </w:rPr>
        <w:t>200</w:t>
      </w:r>
      <w:r>
        <w:rPr>
          <w:rFonts w:hint="eastAsia" w:ascii="宋体" w:hAnsi="宋体" w:eastAsia="宋体"/>
          <w:highlight w:val="none"/>
        </w:rPr>
        <w:t xml:space="preserve">  </w:t>
      </w:r>
      <w:r>
        <w:rPr>
          <w:rFonts w:hint="eastAsia" w:ascii="宋体" w:hAnsi="宋体" w:eastAsia="宋体"/>
          <w:highlight w:val="none"/>
          <w:lang w:val="en-US" w:eastAsia="zh-CN"/>
        </w:rPr>
        <w:t>S</w:t>
      </w:r>
      <w:r>
        <w:rPr>
          <w:rFonts w:hint="eastAsia" w:ascii="宋体" w:hAnsi="宋体" w:eastAsia="宋体"/>
          <w:highlight w:val="none"/>
        </w:rPr>
        <w:t xml:space="preserve">tress </w:t>
      </w:r>
      <w:r>
        <w:rPr>
          <w:rFonts w:hint="eastAsia" w:ascii="宋体" w:hAnsi="宋体" w:eastAsia="宋体"/>
          <w:highlight w:val="none"/>
          <w:lang w:val="en-US" w:eastAsia="zh-CN"/>
        </w:rPr>
        <w:t>T</w:t>
      </w:r>
      <w:r>
        <w:rPr>
          <w:rFonts w:hint="eastAsia" w:ascii="宋体" w:hAnsi="宋体" w:eastAsia="宋体"/>
          <w:highlight w:val="none"/>
        </w:rPr>
        <w:t xml:space="preserve">est </w:t>
      </w:r>
      <w:r>
        <w:rPr>
          <w:rFonts w:hint="eastAsia" w:ascii="宋体" w:hAnsi="宋体" w:eastAsia="宋体"/>
          <w:highlight w:val="none"/>
          <w:lang w:val="en-US" w:eastAsia="zh-CN"/>
        </w:rPr>
        <w:t>Q</w:t>
      </w:r>
      <w:r>
        <w:rPr>
          <w:rFonts w:hint="eastAsia" w:ascii="宋体" w:hAnsi="宋体" w:eastAsia="宋体"/>
          <w:highlight w:val="none"/>
        </w:rPr>
        <w:t xml:space="preserve">ualification for </w:t>
      </w:r>
      <w:r>
        <w:rPr>
          <w:rFonts w:hint="eastAsia" w:ascii="宋体" w:hAnsi="宋体" w:eastAsia="宋体"/>
          <w:highlight w:val="none"/>
          <w:lang w:val="en-US" w:eastAsia="zh-CN"/>
        </w:rPr>
        <w:t>P</w:t>
      </w:r>
      <w:r>
        <w:rPr>
          <w:rFonts w:hint="eastAsia" w:ascii="宋体" w:hAnsi="宋体" w:eastAsia="宋体"/>
          <w:highlight w:val="none"/>
        </w:rPr>
        <w:t xml:space="preserve">assive </w:t>
      </w:r>
      <w:r>
        <w:rPr>
          <w:rFonts w:hint="eastAsia" w:ascii="宋体" w:hAnsi="宋体" w:eastAsia="宋体"/>
          <w:highlight w:val="none"/>
          <w:lang w:val="en-US" w:eastAsia="zh-CN"/>
        </w:rPr>
        <w:t>C</w:t>
      </w:r>
      <w:r>
        <w:rPr>
          <w:rFonts w:hint="eastAsia" w:ascii="宋体" w:hAnsi="宋体" w:eastAsia="宋体"/>
          <w:highlight w:val="none"/>
        </w:rPr>
        <w:t>omponents（被动元件汽车级品质认证）</w:t>
      </w:r>
    </w:p>
    <w:p>
      <w:pPr>
        <w:pStyle w:val="2"/>
        <w:ind w:firstLine="420" w:firstLineChars="200"/>
        <w:rPr>
          <w:rFonts w:hint="eastAsia"/>
          <w:highlight w:val="none"/>
        </w:rPr>
      </w:pPr>
      <w:r>
        <w:rPr>
          <w:rFonts w:hint="eastAsia"/>
          <w:highlight w:val="none"/>
        </w:rPr>
        <w:t>中国汽车工程学会</w:t>
      </w:r>
      <w:r>
        <w:rPr>
          <w:rFonts w:hint="eastAsia"/>
          <w:highlight w:val="none"/>
          <w:lang w:val="en-US" w:eastAsia="zh-CN"/>
        </w:rPr>
        <w:t xml:space="preserve"> </w:t>
      </w:r>
      <w:r>
        <w:rPr>
          <w:rFonts w:hint="eastAsia"/>
          <w:highlight w:val="none"/>
        </w:rPr>
        <w:t>节能与新能源汽车技术路线图 2.0</w:t>
      </w:r>
    </w:p>
    <w:p>
      <w:pPr>
        <w:pStyle w:val="2"/>
        <w:ind w:firstLine="420" w:firstLineChars="200"/>
        <w:rPr>
          <w:rFonts w:hint="default"/>
          <w:highlight w:val="none"/>
          <w:lang w:val="en-US" w:eastAsia="zh-CN"/>
        </w:rPr>
      </w:pPr>
      <w:r>
        <w:rPr>
          <w:rFonts w:hint="default"/>
          <w:highlight w:val="none"/>
          <w:lang w:val="en-US" w:eastAsia="zh-CN"/>
        </w:rPr>
        <w:t>科技部关于发布国家重点研发计划“先进结构与复合材料”等重点专项2022年度项目申报指南的通知</w:t>
      </w:r>
      <w:r>
        <w:rPr>
          <w:rFonts w:hint="eastAsia"/>
          <w:highlight w:val="none"/>
          <w:lang w:val="en-US" w:eastAsia="zh-CN"/>
        </w:rPr>
        <w:t>（</w:t>
      </w:r>
      <w:r>
        <w:rPr>
          <w:rFonts w:hint="default"/>
          <w:highlight w:val="none"/>
          <w:lang w:val="en-US" w:eastAsia="zh-CN"/>
        </w:rPr>
        <w:t>国科发资〔2022〕100号</w:t>
      </w:r>
      <w:r>
        <w:rPr>
          <w:rFonts w:hint="eastAsia"/>
          <w:highlight w:val="none"/>
          <w:lang w:val="en-US" w:eastAsia="zh-CN"/>
        </w:rPr>
        <w:t>）</w:t>
      </w:r>
    </w:p>
    <w:p>
      <w:pPr>
        <w:pStyle w:val="53"/>
        <w:outlineLvl w:val="0"/>
        <w:rPr>
          <w:rFonts w:ascii="Times New Roman"/>
          <w:highlight w:val="none"/>
        </w:rPr>
      </w:pPr>
      <w:bookmarkStart w:id="51" w:name="_Toc30520"/>
      <w:bookmarkStart w:id="52" w:name="_Toc102992450"/>
      <w:bookmarkStart w:id="53" w:name="_Toc30824"/>
      <w:bookmarkStart w:id="54" w:name="_Toc118282038"/>
      <w:bookmarkStart w:id="55" w:name="_Toc16706"/>
      <w:r>
        <w:rPr>
          <w:rFonts w:ascii="Times New Roman"/>
          <w:highlight w:val="none"/>
        </w:rPr>
        <w:t>术语和定义</w:t>
      </w:r>
      <w:bookmarkEnd w:id="51"/>
      <w:bookmarkEnd w:id="52"/>
      <w:bookmarkEnd w:id="53"/>
      <w:bookmarkEnd w:id="54"/>
      <w:bookmarkEnd w:id="55"/>
    </w:p>
    <w:p>
      <w:pPr>
        <w:pStyle w:val="24"/>
        <w:rPr>
          <w:rFonts w:ascii="Times New Roman"/>
          <w:highlight w:val="none"/>
        </w:rPr>
      </w:pPr>
      <w:bookmarkStart w:id="56" w:name="_Toc52098625"/>
      <w:bookmarkEnd w:id="56"/>
      <w:bookmarkStart w:id="57" w:name="_Toc55807229"/>
      <w:bookmarkEnd w:id="57"/>
      <w:r>
        <w:rPr>
          <w:rFonts w:ascii="Times New Roman"/>
          <w:highlight w:val="none"/>
        </w:rPr>
        <w:t>下列术语和定义适用于本文件。</w:t>
      </w:r>
    </w:p>
    <w:p>
      <w:pPr>
        <w:pStyle w:val="50"/>
        <w:spacing w:before="0" w:beforeLines="0" w:after="0" w:afterLines="0"/>
        <w:rPr>
          <w:rFonts w:ascii="Times New Roman"/>
          <w:highlight w:val="none"/>
        </w:rPr>
      </w:pPr>
    </w:p>
    <w:p>
      <w:pPr>
        <w:pStyle w:val="24"/>
        <w:rPr>
          <w:rFonts w:ascii="Times New Roman" w:eastAsia="黑体"/>
          <w:highlight w:val="none"/>
        </w:rPr>
      </w:pPr>
      <w:r>
        <w:rPr>
          <w:rFonts w:hint="eastAsia" w:ascii="黑体" w:hAnsi="黑体" w:eastAsia="黑体" w:cs="黑体"/>
          <w:highlight w:val="none"/>
        </w:rPr>
        <w:t>新能源汽车产品  New energy vehicle products</w:t>
      </w:r>
    </w:p>
    <w:p>
      <w:pPr>
        <w:pStyle w:val="24"/>
        <w:rPr>
          <w:rFonts w:ascii="Times New Roman"/>
          <w:highlight w:val="none"/>
        </w:rPr>
      </w:pPr>
      <w:r>
        <w:rPr>
          <w:rFonts w:hint="eastAsia" w:ascii="Times New Roman"/>
          <w:highlight w:val="none"/>
        </w:rPr>
        <w:t>属于《深圳市绿色低碳产业指导目录》所列“新能源汽车产品”类，或为深圳市绿色低碳产业认定规则体系中包含的同类型</w:t>
      </w:r>
      <w:r>
        <w:rPr>
          <w:rFonts w:hint="eastAsia" w:ascii="Times New Roman"/>
          <w:highlight w:val="none"/>
          <w:lang w:val="en-US" w:eastAsia="zh-CN"/>
        </w:rPr>
        <w:t>新能源汽车产品</w:t>
      </w:r>
      <w:r>
        <w:rPr>
          <w:rFonts w:hint="eastAsia" w:ascii="Times New Roman"/>
          <w:highlight w:val="none"/>
        </w:rPr>
        <w:t>产业。</w:t>
      </w:r>
    </w:p>
    <w:p>
      <w:pPr>
        <w:pStyle w:val="50"/>
        <w:spacing w:before="0" w:beforeLines="0" w:after="0" w:afterLines="0"/>
        <w:rPr>
          <w:rFonts w:ascii="Times New Roman"/>
          <w:highlight w:val="none"/>
        </w:rPr>
      </w:pPr>
    </w:p>
    <w:p>
      <w:pPr>
        <w:pStyle w:val="24"/>
        <w:rPr>
          <w:rFonts w:ascii="Times New Roman" w:eastAsia="黑体"/>
          <w:highlight w:val="none"/>
        </w:rPr>
      </w:pPr>
      <w:r>
        <w:rPr>
          <w:rFonts w:hint="eastAsia" w:ascii="黑体" w:hAnsi="黑体" w:eastAsia="黑体" w:cs="黑体"/>
          <w:highlight w:val="none"/>
        </w:rPr>
        <w:t>资源节约  r</w:t>
      </w:r>
      <w:r>
        <w:rPr>
          <w:rFonts w:ascii="黑体" w:hAnsi="黑体" w:eastAsia="黑体" w:cs="黑体"/>
          <w:highlight w:val="none"/>
        </w:rPr>
        <w:t>esource saving</w:t>
      </w:r>
    </w:p>
    <w:p>
      <w:pPr>
        <w:pStyle w:val="24"/>
        <w:rPr>
          <w:rFonts w:ascii="Times New Roman"/>
          <w:highlight w:val="none"/>
        </w:rPr>
      </w:pPr>
      <w:r>
        <w:rPr>
          <w:rFonts w:hint="eastAsia" w:ascii="Times New Roman"/>
          <w:highlight w:val="none"/>
        </w:rPr>
        <w:t>在生产、流通等环节提高资源利用效率，推进资源循环利用，以最少的资源消耗获得最大的经济和社会效益</w:t>
      </w:r>
      <w:r>
        <w:rPr>
          <w:rFonts w:ascii="Times New Roman"/>
          <w:highlight w:val="none"/>
        </w:rPr>
        <w:t>。</w:t>
      </w:r>
    </w:p>
    <w:p>
      <w:pPr>
        <w:pStyle w:val="50"/>
        <w:spacing w:before="0" w:beforeLines="0" w:after="0" w:afterLines="0"/>
        <w:rPr>
          <w:rFonts w:ascii="Times New Roman"/>
          <w:highlight w:val="none"/>
        </w:rPr>
      </w:pPr>
    </w:p>
    <w:p>
      <w:pPr>
        <w:pStyle w:val="24"/>
        <w:rPr>
          <w:rFonts w:ascii="Times New Roman" w:eastAsia="黑体"/>
          <w:highlight w:val="none"/>
        </w:rPr>
      </w:pPr>
      <w:r>
        <w:rPr>
          <w:rFonts w:hint="eastAsia" w:ascii="黑体" w:hAnsi="黑体" w:eastAsia="黑体" w:cs="黑体"/>
          <w:highlight w:val="none"/>
        </w:rPr>
        <w:t xml:space="preserve">环境友好  </w:t>
      </w:r>
      <w:r>
        <w:rPr>
          <w:rFonts w:ascii="黑体" w:hAnsi="黑体" w:eastAsia="黑体" w:cs="黑体"/>
          <w:highlight w:val="none"/>
        </w:rPr>
        <w:t>environmentally friendly</w:t>
      </w:r>
    </w:p>
    <w:p>
      <w:pPr>
        <w:pStyle w:val="24"/>
        <w:rPr>
          <w:rFonts w:ascii="Times New Roman"/>
          <w:highlight w:val="none"/>
        </w:rPr>
      </w:pPr>
      <w:r>
        <w:rPr>
          <w:rFonts w:hint="eastAsia" w:ascii="Times New Roman"/>
          <w:highlight w:val="none"/>
        </w:rPr>
        <w:t>用清洁化的能源和原料，采用有利于环境保护的生产消费方式，降低污染产生量、实现排放无害化，减少社会经济系统对环境系统的不利影响</w:t>
      </w:r>
      <w:r>
        <w:rPr>
          <w:rFonts w:ascii="Times New Roman"/>
          <w:highlight w:val="none"/>
        </w:rPr>
        <w:t>。</w:t>
      </w:r>
    </w:p>
    <w:p>
      <w:pPr>
        <w:pStyle w:val="50"/>
        <w:spacing w:before="0" w:beforeLines="0" w:after="0" w:afterLines="0"/>
        <w:rPr>
          <w:rFonts w:ascii="Times New Roman"/>
          <w:highlight w:val="none"/>
        </w:rPr>
      </w:pPr>
    </w:p>
    <w:p>
      <w:pPr>
        <w:pStyle w:val="24"/>
        <w:rPr>
          <w:rFonts w:ascii="Times New Roman" w:eastAsia="黑体"/>
          <w:highlight w:val="none"/>
        </w:rPr>
      </w:pPr>
      <w:r>
        <w:rPr>
          <w:rFonts w:ascii="黑体" w:hAnsi="黑体" w:eastAsia="黑体" w:cs="黑体"/>
          <w:highlight w:val="none"/>
        </w:rPr>
        <w:t>生态良好</w:t>
      </w:r>
      <w:r>
        <w:rPr>
          <w:rFonts w:hint="eastAsia" w:ascii="黑体" w:hAnsi="黑体" w:eastAsia="黑体" w:cs="黑体"/>
          <w:highlight w:val="none"/>
        </w:rPr>
        <w:t xml:space="preserve">  e</w:t>
      </w:r>
      <w:r>
        <w:rPr>
          <w:rFonts w:ascii="黑体" w:hAnsi="黑体" w:eastAsia="黑体" w:cs="黑体"/>
          <w:highlight w:val="none"/>
        </w:rPr>
        <w:t>cological soundness</w:t>
      </w:r>
    </w:p>
    <w:p>
      <w:pPr>
        <w:pStyle w:val="24"/>
        <w:rPr>
          <w:rFonts w:ascii="Times New Roman"/>
          <w:highlight w:val="none"/>
        </w:rPr>
      </w:pPr>
      <w:r>
        <w:rPr>
          <w:rFonts w:hint="eastAsia" w:ascii="Times New Roman"/>
          <w:highlight w:val="none"/>
        </w:rPr>
        <w:t>生态环保、生态修复以及减缓和适应气候变化等</w:t>
      </w:r>
      <w:r>
        <w:rPr>
          <w:rFonts w:ascii="Times New Roman"/>
          <w:highlight w:val="none"/>
        </w:rPr>
        <w:t>。</w:t>
      </w:r>
    </w:p>
    <w:p>
      <w:pPr>
        <w:pStyle w:val="50"/>
        <w:spacing w:before="0" w:beforeLines="0" w:after="0" w:afterLines="0"/>
        <w:rPr>
          <w:rFonts w:ascii="Times New Roman"/>
          <w:highlight w:val="none"/>
        </w:rPr>
      </w:pPr>
    </w:p>
    <w:p>
      <w:pPr>
        <w:pStyle w:val="24"/>
        <w:rPr>
          <w:rFonts w:ascii="Times New Roman" w:eastAsia="黑体"/>
          <w:highlight w:val="none"/>
        </w:rPr>
      </w:pPr>
      <w:r>
        <w:rPr>
          <w:rFonts w:hint="eastAsia" w:ascii="黑体" w:hAnsi="黑体" w:eastAsia="黑体" w:cs="黑体"/>
          <w:highlight w:val="none"/>
        </w:rPr>
        <w:t>企事业单位  public enterprises and institutions</w:t>
      </w:r>
    </w:p>
    <w:p>
      <w:pPr>
        <w:pStyle w:val="24"/>
        <w:rPr>
          <w:rFonts w:ascii="Times New Roman"/>
          <w:highlight w:val="none"/>
        </w:rPr>
      </w:pPr>
      <w:r>
        <w:rPr>
          <w:rFonts w:ascii="Times New Roman"/>
          <w:highlight w:val="none"/>
        </w:rPr>
        <w:t>包括企业单位及事业单位。其中，企业单位是以盈利为目的</w:t>
      </w:r>
      <w:r>
        <w:rPr>
          <w:rFonts w:hint="eastAsia" w:ascii="Times New Roman"/>
          <w:highlight w:val="none"/>
        </w:rPr>
        <w:t>，</w:t>
      </w:r>
      <w:r>
        <w:rPr>
          <w:rFonts w:ascii="Times New Roman"/>
          <w:highlight w:val="none"/>
        </w:rPr>
        <w:t>独立核算的法人或非法人单位，事业单位是以政府职能、公益服务为主要宗旨的公益性单位、公益性职能部门等。</w:t>
      </w:r>
    </w:p>
    <w:p>
      <w:pPr>
        <w:pStyle w:val="50"/>
        <w:spacing w:before="0" w:beforeLines="0" w:after="0" w:afterLines="0"/>
        <w:rPr>
          <w:rFonts w:ascii="Times New Roman"/>
          <w:highlight w:val="none"/>
        </w:rPr>
      </w:pPr>
    </w:p>
    <w:p>
      <w:pPr>
        <w:pStyle w:val="24"/>
        <w:rPr>
          <w:rFonts w:ascii="Times New Roman" w:eastAsia="黑体"/>
          <w:highlight w:val="none"/>
        </w:rPr>
      </w:pPr>
      <w:bookmarkStart w:id="58" w:name="_Toc52098627"/>
      <w:bookmarkEnd w:id="58"/>
      <w:bookmarkStart w:id="59" w:name="_Toc55807231"/>
      <w:bookmarkEnd w:id="59"/>
      <w:r>
        <w:rPr>
          <w:rFonts w:hint="eastAsia" w:ascii="黑体" w:hAnsi="黑体" w:eastAsia="黑体" w:cs="黑体"/>
          <w:highlight w:val="none"/>
        </w:rPr>
        <w:t>绿色</w:t>
      </w:r>
      <w:r>
        <w:rPr>
          <w:rFonts w:hint="eastAsia" w:ascii="黑体" w:hAnsi="黑体" w:eastAsia="黑体" w:cs="黑体"/>
          <w:highlight w:val="none"/>
          <w:lang w:val="en-US" w:eastAsia="zh-CN"/>
        </w:rPr>
        <w:t>低碳</w:t>
      </w:r>
      <w:r>
        <w:rPr>
          <w:rFonts w:hint="eastAsia" w:ascii="黑体" w:hAnsi="黑体" w:eastAsia="黑体" w:cs="黑体"/>
          <w:highlight w:val="none"/>
        </w:rPr>
        <w:t xml:space="preserve">产业  </w:t>
      </w:r>
      <w:r>
        <w:rPr>
          <w:rFonts w:hint="eastAsia" w:ascii="黑体" w:hAnsi="黑体" w:eastAsia="黑体" w:cs="黑体"/>
          <w:highlight w:val="none"/>
          <w:lang w:val="en-US" w:eastAsia="zh-CN"/>
        </w:rPr>
        <w:t>g</w:t>
      </w:r>
      <w:r>
        <w:rPr>
          <w:rFonts w:hint="eastAsia" w:ascii="黑体" w:hAnsi="黑体" w:eastAsia="黑体" w:cs="黑体"/>
          <w:highlight w:val="none"/>
        </w:rPr>
        <w:t>reen and low-carbon industr</w:t>
      </w:r>
      <w:r>
        <w:rPr>
          <w:rFonts w:hint="eastAsia" w:ascii="黑体" w:hAnsi="黑体" w:eastAsia="黑体" w:cs="黑体"/>
          <w:highlight w:val="none"/>
          <w:lang w:val="en-US" w:eastAsia="zh-CN"/>
        </w:rPr>
        <w:t>ies</w:t>
      </w:r>
    </w:p>
    <w:p>
      <w:pPr>
        <w:pStyle w:val="24"/>
        <w:rPr>
          <w:rFonts w:ascii="Times New Roman"/>
          <w:highlight w:val="none"/>
        </w:rPr>
      </w:pPr>
      <w:r>
        <w:rPr>
          <w:rFonts w:hint="eastAsia" w:ascii="Times New Roman"/>
          <w:highlight w:val="none"/>
          <w:lang w:val="en-US" w:eastAsia="zh-CN"/>
        </w:rPr>
        <w:t>以低能耗、低排放和低污染为基础，</w:t>
      </w:r>
      <w:r>
        <w:rPr>
          <w:rFonts w:ascii="Times New Roman"/>
          <w:highlight w:val="none"/>
        </w:rPr>
        <w:t>提供有利于资源节约、环境友好、生态良好的产品或服务的企事业单位</w:t>
      </w:r>
      <w:r>
        <w:rPr>
          <w:rFonts w:hint="eastAsia" w:ascii="Times New Roman"/>
          <w:highlight w:val="none"/>
          <w:lang w:val="en-US" w:eastAsia="zh-CN"/>
        </w:rPr>
        <w:t>及项目</w:t>
      </w:r>
      <w:r>
        <w:rPr>
          <w:rFonts w:ascii="Times New Roman"/>
          <w:highlight w:val="none"/>
        </w:rPr>
        <w:t>的集合体。</w:t>
      </w:r>
    </w:p>
    <w:p>
      <w:pPr>
        <w:pStyle w:val="50"/>
        <w:spacing w:before="0" w:beforeLines="0" w:after="0" w:afterLines="0"/>
        <w:rPr>
          <w:rFonts w:ascii="Times New Roman"/>
          <w:highlight w:val="none"/>
        </w:rPr>
      </w:pPr>
    </w:p>
    <w:p>
      <w:pPr>
        <w:pStyle w:val="24"/>
        <w:rPr>
          <w:rFonts w:ascii="Times New Roman" w:eastAsia="黑体"/>
          <w:highlight w:val="none"/>
        </w:rPr>
      </w:pPr>
      <w:r>
        <w:rPr>
          <w:rFonts w:hint="eastAsia" w:ascii="黑体" w:hAnsi="黑体" w:eastAsia="黑体" w:cs="黑体"/>
          <w:highlight w:val="none"/>
        </w:rPr>
        <w:t>绿色</w:t>
      </w:r>
      <w:r>
        <w:rPr>
          <w:rFonts w:hint="eastAsia" w:ascii="黑体" w:hAnsi="黑体" w:eastAsia="黑体" w:cs="黑体"/>
          <w:highlight w:val="none"/>
          <w:lang w:val="en-US" w:eastAsia="zh-CN"/>
        </w:rPr>
        <w:t>低碳</w:t>
      </w:r>
      <w:r>
        <w:rPr>
          <w:rFonts w:hint="eastAsia" w:ascii="黑体" w:hAnsi="黑体" w:eastAsia="黑体" w:cs="黑体"/>
          <w:highlight w:val="none"/>
        </w:rPr>
        <w:t xml:space="preserve">产业企业  </w:t>
      </w:r>
      <w:r>
        <w:rPr>
          <w:rFonts w:hint="eastAsia" w:ascii="黑体" w:hAnsi="黑体" w:eastAsia="黑体" w:cs="黑体"/>
          <w:spacing w:val="-11"/>
          <w:highlight w:val="none"/>
        </w:rPr>
        <w:t>enterprises and institutions recognized as green and low-carbon industr</w:t>
      </w:r>
      <w:r>
        <w:rPr>
          <w:rFonts w:hint="eastAsia" w:ascii="黑体" w:hAnsi="黑体" w:eastAsia="黑体" w:cs="黑体"/>
          <w:spacing w:val="-11"/>
          <w:highlight w:val="none"/>
          <w:lang w:val="en-US" w:eastAsia="zh-CN"/>
        </w:rPr>
        <w:t>ies</w:t>
      </w:r>
    </w:p>
    <w:p>
      <w:pPr>
        <w:pStyle w:val="24"/>
        <w:rPr>
          <w:rFonts w:ascii="Times New Roman"/>
          <w:highlight w:val="none"/>
        </w:rPr>
      </w:pPr>
      <w:r>
        <w:rPr>
          <w:rFonts w:ascii="Times New Roman"/>
          <w:highlight w:val="none"/>
        </w:rPr>
        <w:t>经营范围包括</w:t>
      </w:r>
      <w:r>
        <w:rPr>
          <w:rFonts w:hint="eastAsia" w:ascii="Times New Roman"/>
          <w:highlight w:val="none"/>
          <w:lang w:eastAsia="zh-CN"/>
        </w:rPr>
        <w:t>《</w:t>
      </w:r>
      <w:r>
        <w:rPr>
          <w:rFonts w:hint="eastAsia" w:ascii="Times New Roman"/>
          <w:highlight w:val="none"/>
          <w:lang w:val="en-US" w:eastAsia="zh-CN"/>
        </w:rPr>
        <w:t>深圳市绿色低碳产业指导目录</w:t>
      </w:r>
      <w:r>
        <w:rPr>
          <w:rFonts w:hint="eastAsia" w:ascii="Times New Roman"/>
          <w:highlight w:val="none"/>
          <w:lang w:eastAsia="zh-CN"/>
        </w:rPr>
        <w:t>》</w:t>
      </w:r>
      <w:r>
        <w:rPr>
          <w:rFonts w:hint="eastAsia" w:ascii="Times New Roman"/>
          <w:highlight w:val="none"/>
          <w:lang w:val="en-US" w:eastAsia="zh-CN"/>
        </w:rPr>
        <w:t>所列产业</w:t>
      </w:r>
      <w:r>
        <w:rPr>
          <w:rFonts w:ascii="Times New Roman"/>
          <w:highlight w:val="none"/>
        </w:rPr>
        <w:t>，自身生产运营环境表现和社会表现良好，并通过了深圳市绿色</w:t>
      </w:r>
      <w:r>
        <w:rPr>
          <w:rFonts w:hint="eastAsia" w:ascii="Times New Roman"/>
          <w:highlight w:val="none"/>
          <w:lang w:val="en-US" w:eastAsia="zh-CN"/>
        </w:rPr>
        <w:t>低碳</w:t>
      </w:r>
      <w:r>
        <w:rPr>
          <w:rFonts w:ascii="Times New Roman"/>
          <w:highlight w:val="none"/>
        </w:rPr>
        <w:t>产业认定的企事业单位。</w:t>
      </w:r>
    </w:p>
    <w:p>
      <w:pPr>
        <w:pStyle w:val="50"/>
        <w:spacing w:before="0" w:beforeLines="0" w:after="0" w:afterLines="0"/>
        <w:rPr>
          <w:rFonts w:ascii="Times New Roman"/>
          <w:highlight w:val="none"/>
        </w:rPr>
      </w:pPr>
      <w:bookmarkStart w:id="60" w:name="_Toc80953776"/>
      <w:bookmarkEnd w:id="60"/>
      <w:bookmarkStart w:id="61" w:name="_Toc82157010"/>
      <w:bookmarkEnd w:id="61"/>
      <w:bookmarkStart w:id="62" w:name="_Toc80954710"/>
      <w:bookmarkEnd w:id="62"/>
      <w:bookmarkStart w:id="63" w:name="_Toc80867254"/>
      <w:bookmarkEnd w:id="63"/>
      <w:bookmarkStart w:id="64" w:name="_Toc80887611"/>
      <w:bookmarkEnd w:id="64"/>
    </w:p>
    <w:p>
      <w:pPr>
        <w:pStyle w:val="24"/>
        <w:rPr>
          <w:rFonts w:hint="eastAsia" w:ascii="Times New Roman" w:eastAsia="黑体"/>
          <w:highlight w:val="none"/>
          <w:lang w:val="en-US" w:eastAsia="zh-CN"/>
        </w:rPr>
      </w:pPr>
      <w:r>
        <w:rPr>
          <w:rFonts w:hint="eastAsia" w:ascii="黑体" w:hAnsi="黑体" w:eastAsia="黑体" w:cs="黑体"/>
          <w:highlight w:val="none"/>
        </w:rPr>
        <w:t>绿色</w:t>
      </w:r>
      <w:r>
        <w:rPr>
          <w:rFonts w:hint="eastAsia" w:ascii="黑体" w:hAnsi="黑体" w:eastAsia="黑体" w:cs="黑体"/>
          <w:highlight w:val="none"/>
          <w:lang w:val="en-US" w:eastAsia="zh-CN"/>
        </w:rPr>
        <w:t>低碳产业项目</w:t>
      </w:r>
      <w:r>
        <w:rPr>
          <w:rFonts w:hint="eastAsia" w:ascii="黑体" w:hAnsi="黑体" w:eastAsia="黑体" w:cs="黑体"/>
          <w:highlight w:val="none"/>
        </w:rPr>
        <w:t xml:space="preserve">  project</w:t>
      </w:r>
      <w:r>
        <w:rPr>
          <w:rFonts w:hint="eastAsia" w:ascii="黑体" w:hAnsi="黑体" w:eastAsia="黑体" w:cs="黑体"/>
          <w:highlight w:val="none"/>
          <w:lang w:val="en-US" w:eastAsia="zh-CN"/>
        </w:rPr>
        <w:t xml:space="preserve">s </w:t>
      </w:r>
      <w:r>
        <w:rPr>
          <w:rFonts w:hint="eastAsia" w:ascii="黑体" w:hAnsi="黑体" w:eastAsia="黑体" w:cs="黑体"/>
          <w:spacing w:val="-11"/>
          <w:highlight w:val="none"/>
        </w:rPr>
        <w:t>recognized as green and low-carbon industr</w:t>
      </w:r>
      <w:r>
        <w:rPr>
          <w:rFonts w:hint="eastAsia" w:ascii="黑体" w:hAnsi="黑体" w:eastAsia="黑体" w:cs="黑体"/>
          <w:spacing w:val="-11"/>
          <w:highlight w:val="none"/>
          <w:lang w:val="en-US" w:eastAsia="zh-CN"/>
        </w:rPr>
        <w:t>ies</w:t>
      </w:r>
    </w:p>
    <w:p>
      <w:pPr>
        <w:pStyle w:val="24"/>
        <w:rPr>
          <w:rFonts w:hint="eastAsia" w:ascii="Times New Roman" w:eastAsia="宋体"/>
          <w:highlight w:val="none"/>
          <w:lang w:eastAsia="zh-CN"/>
        </w:rPr>
      </w:pPr>
      <w:r>
        <w:rPr>
          <w:rFonts w:hint="eastAsia" w:ascii="Times New Roman"/>
          <w:highlight w:val="none"/>
          <w:lang w:val="en-US" w:eastAsia="zh-CN"/>
        </w:rPr>
        <w:t>符合</w:t>
      </w:r>
      <w:r>
        <w:rPr>
          <w:rFonts w:hint="eastAsia" w:ascii="Times New Roman"/>
          <w:highlight w:val="none"/>
          <w:lang w:eastAsia="zh-CN"/>
        </w:rPr>
        <w:t>《</w:t>
      </w:r>
      <w:r>
        <w:rPr>
          <w:rFonts w:hint="eastAsia" w:ascii="Times New Roman"/>
          <w:highlight w:val="none"/>
          <w:lang w:val="en-US" w:eastAsia="zh-CN"/>
        </w:rPr>
        <w:t>深圳市绿色低碳产业指导目录</w:t>
      </w:r>
      <w:r>
        <w:rPr>
          <w:rFonts w:hint="eastAsia" w:ascii="Times New Roman"/>
          <w:highlight w:val="none"/>
          <w:lang w:eastAsia="zh-CN"/>
        </w:rPr>
        <w:t>》</w:t>
      </w:r>
      <w:r>
        <w:rPr>
          <w:rFonts w:hint="eastAsia" w:ascii="Times New Roman"/>
          <w:highlight w:val="none"/>
          <w:lang w:val="en-US" w:eastAsia="zh-CN"/>
        </w:rPr>
        <w:t>所列产业</w:t>
      </w:r>
      <w:r>
        <w:rPr>
          <w:rFonts w:ascii="Times New Roman"/>
          <w:highlight w:val="none"/>
        </w:rPr>
        <w:t>，</w:t>
      </w:r>
      <w:r>
        <w:rPr>
          <w:rFonts w:hint="eastAsia" w:ascii="Times New Roman"/>
          <w:highlight w:val="none"/>
          <w:lang w:val="en-US" w:eastAsia="zh-CN"/>
        </w:rPr>
        <w:t>绿色效益和绿色技术先进性表现良好，</w:t>
      </w:r>
      <w:r>
        <w:rPr>
          <w:rFonts w:ascii="Times New Roman"/>
          <w:highlight w:val="none"/>
        </w:rPr>
        <w:t>并通过了深圳市绿色</w:t>
      </w:r>
      <w:r>
        <w:rPr>
          <w:rFonts w:hint="eastAsia" w:ascii="Times New Roman"/>
          <w:highlight w:val="none"/>
          <w:lang w:val="en-US" w:eastAsia="zh-CN"/>
        </w:rPr>
        <w:t>低碳</w:t>
      </w:r>
      <w:r>
        <w:rPr>
          <w:rFonts w:ascii="Times New Roman"/>
          <w:highlight w:val="none"/>
        </w:rPr>
        <w:t>产业认定的项目</w:t>
      </w:r>
      <w:r>
        <w:rPr>
          <w:rFonts w:hint="eastAsia" w:ascii="Times New Roman"/>
          <w:highlight w:val="none"/>
          <w:lang w:eastAsia="zh-CN"/>
        </w:rPr>
        <w:t>。</w:t>
      </w:r>
    </w:p>
    <w:p>
      <w:pPr>
        <w:pStyle w:val="50"/>
        <w:spacing w:before="0" w:beforeLines="0" w:after="0" w:afterLines="0"/>
        <w:rPr>
          <w:rFonts w:ascii="Times New Roman"/>
          <w:highlight w:val="none"/>
        </w:rPr>
      </w:pPr>
    </w:p>
    <w:p>
      <w:pPr>
        <w:pStyle w:val="24"/>
        <w:rPr>
          <w:rFonts w:ascii="Times New Roman" w:eastAsia="黑体"/>
          <w:highlight w:val="none"/>
        </w:rPr>
      </w:pPr>
      <w:r>
        <w:rPr>
          <w:rFonts w:hint="eastAsia" w:ascii="黑体" w:hAnsi="黑体" w:eastAsia="黑体" w:cs="黑体"/>
          <w:highlight w:val="none"/>
        </w:rPr>
        <w:t>绿色业务  green business</w:t>
      </w:r>
    </w:p>
    <w:p>
      <w:pPr>
        <w:pStyle w:val="24"/>
        <w:rPr>
          <w:rFonts w:ascii="Times New Roman"/>
          <w:highlight w:val="none"/>
        </w:rPr>
      </w:pPr>
      <w:r>
        <w:rPr>
          <w:rFonts w:ascii="Times New Roman"/>
          <w:highlight w:val="none"/>
        </w:rPr>
        <w:t>提供</w:t>
      </w:r>
      <w:r>
        <w:rPr>
          <w:rFonts w:hint="eastAsia" w:ascii="Times New Roman"/>
          <w:highlight w:val="none"/>
          <w:lang w:eastAsia="zh-CN"/>
        </w:rPr>
        <w:t>《</w:t>
      </w:r>
      <w:r>
        <w:rPr>
          <w:rFonts w:hint="eastAsia" w:ascii="Times New Roman"/>
          <w:highlight w:val="none"/>
          <w:lang w:val="en-US" w:eastAsia="zh-CN"/>
        </w:rPr>
        <w:t>深圳市绿色低碳产业指导目录</w:t>
      </w:r>
      <w:r>
        <w:rPr>
          <w:rFonts w:hint="eastAsia" w:ascii="Times New Roman"/>
          <w:highlight w:val="none"/>
          <w:lang w:eastAsia="zh-CN"/>
        </w:rPr>
        <w:t>》</w:t>
      </w:r>
      <w:r>
        <w:rPr>
          <w:rFonts w:hint="eastAsia" w:ascii="Times New Roman"/>
          <w:highlight w:val="none"/>
          <w:lang w:val="en-US" w:eastAsia="zh-CN"/>
        </w:rPr>
        <w:t>所列产业</w:t>
      </w:r>
      <w:r>
        <w:rPr>
          <w:rFonts w:ascii="Times New Roman"/>
          <w:highlight w:val="none"/>
        </w:rPr>
        <w:t>相关产品或服务的经营活动。</w:t>
      </w:r>
    </w:p>
    <w:p>
      <w:pPr>
        <w:pStyle w:val="53"/>
        <w:outlineLvl w:val="0"/>
        <w:rPr>
          <w:rFonts w:ascii="Times New Roman"/>
          <w:highlight w:val="none"/>
        </w:rPr>
      </w:pPr>
      <w:bookmarkStart w:id="65" w:name="_Toc52098628"/>
      <w:bookmarkEnd w:id="65"/>
      <w:bookmarkStart w:id="66" w:name="_Toc55807232"/>
      <w:bookmarkEnd w:id="66"/>
      <w:bookmarkStart w:id="67" w:name="_Toc52098629"/>
      <w:bookmarkEnd w:id="67"/>
      <w:bookmarkStart w:id="68" w:name="_Toc55807233"/>
      <w:bookmarkEnd w:id="68"/>
      <w:bookmarkStart w:id="69" w:name="_Toc102992453"/>
      <w:bookmarkEnd w:id="69"/>
      <w:bookmarkStart w:id="70" w:name="_Toc9444"/>
      <w:bookmarkStart w:id="71" w:name="_Toc118282039"/>
      <w:bookmarkStart w:id="72" w:name="_Toc21178"/>
      <w:bookmarkStart w:id="73" w:name="_Toc8948"/>
      <w:r>
        <w:rPr>
          <w:rFonts w:ascii="Times New Roman"/>
          <w:highlight w:val="none"/>
        </w:rPr>
        <w:t>评价</w:t>
      </w:r>
      <w:r>
        <w:rPr>
          <w:rFonts w:hint="eastAsia" w:ascii="Times New Roman"/>
          <w:highlight w:val="none"/>
        </w:rPr>
        <w:t>总则</w:t>
      </w:r>
      <w:bookmarkEnd w:id="70"/>
      <w:bookmarkEnd w:id="71"/>
      <w:bookmarkEnd w:id="72"/>
      <w:bookmarkEnd w:id="73"/>
    </w:p>
    <w:p>
      <w:pPr>
        <w:pStyle w:val="50"/>
        <w:outlineLvl w:val="1"/>
        <w:rPr>
          <w:rFonts w:ascii="Times New Roman"/>
          <w:highlight w:val="none"/>
        </w:rPr>
      </w:pPr>
      <w:bookmarkStart w:id="74" w:name="_Toc2419"/>
      <w:bookmarkStart w:id="75" w:name="_Toc31033"/>
      <w:bookmarkStart w:id="76" w:name="_Toc118282040"/>
      <w:bookmarkStart w:id="77" w:name="_Toc13049"/>
      <w:bookmarkStart w:id="78" w:name="_Toc52098632"/>
      <w:r>
        <w:rPr>
          <w:rFonts w:ascii="Times New Roman"/>
          <w:highlight w:val="none"/>
        </w:rPr>
        <w:t>评价原则</w:t>
      </w:r>
      <w:bookmarkEnd w:id="74"/>
      <w:bookmarkEnd w:id="75"/>
      <w:bookmarkEnd w:id="76"/>
      <w:bookmarkEnd w:id="77"/>
    </w:p>
    <w:p>
      <w:pPr>
        <w:pStyle w:val="24"/>
        <w:rPr>
          <w:rFonts w:hAnsi="宋体" w:cs="宋体"/>
          <w:highlight w:val="none"/>
        </w:rPr>
      </w:pPr>
      <w:r>
        <w:rPr>
          <w:rFonts w:hint="eastAsia" w:hAnsi="宋体" w:cs="宋体"/>
          <w:highlight w:val="none"/>
        </w:rPr>
        <w:t>绿色</w:t>
      </w:r>
      <w:r>
        <w:rPr>
          <w:rFonts w:hint="eastAsia" w:hAnsi="宋体" w:cs="宋体"/>
          <w:highlight w:val="none"/>
          <w:lang w:val="en-US" w:eastAsia="zh-CN"/>
        </w:rPr>
        <w:t>低碳</w:t>
      </w:r>
      <w:r>
        <w:rPr>
          <w:rFonts w:hint="eastAsia" w:hAnsi="宋体" w:cs="宋体"/>
          <w:highlight w:val="none"/>
        </w:rPr>
        <w:t>产业认定评价遵循以下原则：</w:t>
      </w:r>
    </w:p>
    <w:p>
      <w:pPr>
        <w:pStyle w:val="24"/>
        <w:ind w:left="840" w:leftChars="200" w:hanging="420" w:hangingChars="200"/>
        <w:rPr>
          <w:rFonts w:hAnsi="宋体" w:cs="宋体"/>
          <w:highlight w:val="none"/>
        </w:rPr>
      </w:pPr>
      <w:r>
        <w:rPr>
          <w:rFonts w:hint="eastAsia" w:hAnsi="宋体" w:cs="宋体"/>
          <w:highlight w:val="none"/>
        </w:rPr>
        <w:t>——科学性。评价过程应根据</w:t>
      </w:r>
      <w:r>
        <w:rPr>
          <w:rFonts w:hint="eastAsia" w:hAnsi="宋体" w:cs="宋体"/>
          <w:highlight w:val="none"/>
          <w:lang w:val="en-US" w:eastAsia="zh-CN"/>
        </w:rPr>
        <w:t>新能源汽车产品</w:t>
      </w:r>
      <w:r>
        <w:rPr>
          <w:rFonts w:hint="eastAsia" w:hAnsi="宋体" w:cs="宋体"/>
          <w:highlight w:val="none"/>
        </w:rPr>
        <w:t>行业特点和差异性，依据本文件或适宜的绿色</w:t>
      </w:r>
      <w:r>
        <w:rPr>
          <w:rFonts w:hint="eastAsia" w:hAnsi="宋体" w:cs="宋体"/>
          <w:highlight w:val="none"/>
          <w:lang w:val="en-US" w:eastAsia="zh-CN"/>
        </w:rPr>
        <w:t>低碳</w:t>
      </w:r>
      <w:r>
        <w:rPr>
          <w:rFonts w:hint="eastAsia" w:hAnsi="宋体" w:cs="宋体"/>
          <w:highlight w:val="none"/>
        </w:rPr>
        <w:t>产业认定行业技术规范，采用科学的方法，全面、客观地评价企事业单位</w:t>
      </w:r>
      <w:r>
        <w:rPr>
          <w:rFonts w:hint="eastAsia" w:hAnsi="宋体" w:cs="宋体"/>
          <w:highlight w:val="none"/>
          <w:lang w:val="en-US" w:eastAsia="zh-CN"/>
        </w:rPr>
        <w:t>或项目的</w:t>
      </w:r>
      <w:r>
        <w:rPr>
          <w:rFonts w:hint="eastAsia" w:hAnsi="宋体" w:cs="宋体"/>
          <w:highlight w:val="none"/>
        </w:rPr>
        <w:t>实际情况，给出评价结论。</w:t>
      </w:r>
    </w:p>
    <w:p>
      <w:pPr>
        <w:pStyle w:val="24"/>
        <w:rPr>
          <w:rFonts w:hAnsi="宋体" w:cs="宋体"/>
          <w:highlight w:val="none"/>
        </w:rPr>
      </w:pPr>
      <w:r>
        <w:rPr>
          <w:rFonts w:hint="eastAsia" w:hAnsi="宋体" w:cs="宋体"/>
          <w:highlight w:val="none"/>
        </w:rPr>
        <w:t>——可验证性。应详细记录评价材料、数据、文件等的获取途径、渠道，保留原始的测试数据、材</w:t>
      </w:r>
    </w:p>
    <w:p>
      <w:pPr>
        <w:pStyle w:val="24"/>
        <w:ind w:firstLine="840" w:firstLineChars="400"/>
        <w:rPr>
          <w:rFonts w:ascii="Times New Roman"/>
          <w:highlight w:val="none"/>
        </w:rPr>
      </w:pPr>
      <w:r>
        <w:rPr>
          <w:rFonts w:hint="eastAsia" w:hAnsi="宋体" w:cs="宋体"/>
          <w:highlight w:val="none"/>
        </w:rPr>
        <w:t>料，保证数据、材料的可溯源性和可验证性。</w:t>
      </w:r>
    </w:p>
    <w:p>
      <w:pPr>
        <w:pStyle w:val="24"/>
        <w:ind w:left="840" w:leftChars="200" w:hanging="420" w:hangingChars="200"/>
        <w:rPr>
          <w:rFonts w:ascii="Times New Roman"/>
          <w:highlight w:val="none"/>
        </w:rPr>
      </w:pPr>
      <w:r>
        <w:rPr>
          <w:rFonts w:hint="eastAsia" w:hAnsi="宋体" w:cs="宋体"/>
          <w:highlight w:val="none"/>
        </w:rPr>
        <w:t>——审慎性。评价报告应给出谨慎的评价意见，对于基础数据不全、信息不完整的企事业单位</w:t>
      </w:r>
      <w:r>
        <w:rPr>
          <w:rFonts w:hint="eastAsia" w:hAnsi="宋体" w:cs="宋体"/>
          <w:highlight w:val="none"/>
          <w:lang w:val="en-US" w:eastAsia="zh-CN"/>
        </w:rPr>
        <w:t>或项目</w:t>
      </w:r>
      <w:r>
        <w:rPr>
          <w:rFonts w:hint="eastAsia" w:hAnsi="宋体" w:cs="宋体"/>
          <w:highlight w:val="none"/>
        </w:rPr>
        <w:t>，应说明由于条件不具备无法给出评价结论。</w:t>
      </w:r>
    </w:p>
    <w:bookmarkEnd w:id="78"/>
    <w:p>
      <w:pPr>
        <w:pStyle w:val="50"/>
        <w:outlineLvl w:val="1"/>
        <w:rPr>
          <w:rFonts w:ascii="Times New Roman"/>
          <w:highlight w:val="none"/>
        </w:rPr>
      </w:pPr>
      <w:bookmarkStart w:id="79" w:name="_Toc21884"/>
      <w:bookmarkStart w:id="80" w:name="_Toc102992456"/>
      <w:bookmarkStart w:id="81" w:name="_Toc118282041"/>
      <w:bookmarkStart w:id="82" w:name="_Toc20113"/>
      <w:bookmarkStart w:id="83" w:name="_Toc30411"/>
      <w:r>
        <w:rPr>
          <w:rFonts w:ascii="Times New Roman"/>
          <w:highlight w:val="none"/>
        </w:rPr>
        <w:t>基本要求</w:t>
      </w:r>
      <w:bookmarkEnd w:id="79"/>
      <w:bookmarkEnd w:id="80"/>
      <w:bookmarkEnd w:id="81"/>
      <w:bookmarkEnd w:id="82"/>
      <w:bookmarkEnd w:id="83"/>
    </w:p>
    <w:p>
      <w:pPr>
        <w:pStyle w:val="24"/>
        <w:rPr>
          <w:rFonts w:hAnsi="宋体" w:cs="宋体"/>
          <w:highlight w:val="none"/>
        </w:rPr>
      </w:pPr>
      <w:r>
        <w:rPr>
          <w:rFonts w:hint="eastAsia" w:hAnsi="宋体" w:cs="宋体"/>
          <w:highlight w:val="none"/>
        </w:rPr>
        <w:t>申报绿色</w:t>
      </w:r>
      <w:r>
        <w:rPr>
          <w:rFonts w:hint="eastAsia" w:hAnsi="宋体" w:cs="宋体"/>
          <w:highlight w:val="none"/>
          <w:lang w:val="en-US" w:eastAsia="zh-CN"/>
        </w:rPr>
        <w:t>低碳</w:t>
      </w:r>
      <w:r>
        <w:rPr>
          <w:rFonts w:hint="eastAsia" w:hAnsi="宋体" w:cs="宋体"/>
          <w:highlight w:val="none"/>
        </w:rPr>
        <w:t>产业认定评价的企事业单位</w:t>
      </w:r>
      <w:r>
        <w:rPr>
          <w:rFonts w:hint="eastAsia" w:hAnsi="宋体" w:cs="宋体"/>
          <w:highlight w:val="none"/>
          <w:lang w:val="en-US" w:eastAsia="zh-CN"/>
        </w:rPr>
        <w:t>或项目业主</w:t>
      </w:r>
      <w:r>
        <w:rPr>
          <w:rFonts w:hint="eastAsia" w:hAnsi="宋体" w:cs="宋体"/>
          <w:highlight w:val="none"/>
        </w:rPr>
        <w:t>应满足下列所有条件：</w:t>
      </w:r>
    </w:p>
    <w:p>
      <w:pPr>
        <w:pStyle w:val="24"/>
        <w:rPr>
          <w:rFonts w:hint="eastAsia" w:hAnsi="宋体" w:cs="宋体"/>
          <w:highlight w:val="none"/>
          <w:lang w:val="en-US" w:eastAsia="zh-CN"/>
        </w:rPr>
      </w:pPr>
      <w:r>
        <w:rPr>
          <w:rFonts w:hint="eastAsia" w:hAnsi="宋体" w:cs="宋体"/>
          <w:highlight w:val="none"/>
        </w:rPr>
        <w:t>——</w:t>
      </w:r>
      <w:r>
        <w:rPr>
          <w:rFonts w:hint="eastAsia" w:hAnsi="宋体" w:cs="宋体"/>
          <w:highlight w:val="none"/>
          <w:lang w:val="en-US" w:eastAsia="zh-CN"/>
        </w:rPr>
        <w:t>在深圳市（含深汕特别合作区）行政辖区内注册满一年的法人企业或事业单位法人，总部设立</w:t>
      </w:r>
    </w:p>
    <w:p>
      <w:pPr>
        <w:pStyle w:val="24"/>
        <w:ind w:firstLine="840" w:firstLineChars="400"/>
        <w:rPr>
          <w:rFonts w:hint="default" w:hAnsi="宋体" w:eastAsia="宋体" w:cs="宋体"/>
          <w:highlight w:val="none"/>
          <w:lang w:val="en-US" w:eastAsia="zh-CN"/>
        </w:rPr>
      </w:pPr>
      <w:r>
        <w:rPr>
          <w:rFonts w:hint="eastAsia" w:hAnsi="宋体" w:cs="宋体"/>
          <w:highlight w:val="none"/>
          <w:lang w:val="en-US" w:eastAsia="zh-CN"/>
        </w:rPr>
        <w:t>在深圳的集团公司可联合深圳市行政辖区外的控股子公司共同申报</w:t>
      </w:r>
      <w:r>
        <w:rPr>
          <w:rFonts w:hint="eastAsia" w:hAnsi="宋体" w:cs="宋体"/>
          <w:highlight w:val="none"/>
        </w:rPr>
        <w:t>；</w:t>
      </w:r>
    </w:p>
    <w:p>
      <w:pPr>
        <w:pStyle w:val="24"/>
        <w:rPr>
          <w:rFonts w:hAnsi="宋体" w:cs="宋体"/>
          <w:highlight w:val="none"/>
        </w:rPr>
      </w:pPr>
      <w:r>
        <w:rPr>
          <w:rFonts w:hint="eastAsia" w:hAnsi="宋体" w:cs="宋体"/>
          <w:highlight w:val="none"/>
        </w:rPr>
        <w:t>——</w:t>
      </w:r>
      <w:r>
        <w:rPr>
          <w:rFonts w:hint="eastAsia" w:hAnsi="宋体" w:cs="宋体"/>
          <w:highlight w:val="none"/>
          <w:lang w:val="en-US" w:eastAsia="zh-CN"/>
        </w:rPr>
        <w:t>在申报、认定及结果公示期结束之前均未被列入失信联合惩戒黑名单及失信被执行人名单</w:t>
      </w:r>
      <w:r>
        <w:rPr>
          <w:rFonts w:hint="eastAsia" w:hAnsi="宋体" w:cs="宋体"/>
          <w:highlight w:val="none"/>
        </w:rPr>
        <w:t>；</w:t>
      </w:r>
    </w:p>
    <w:p>
      <w:pPr>
        <w:pStyle w:val="24"/>
        <w:rPr>
          <w:rFonts w:hAnsi="宋体" w:cs="宋体"/>
          <w:highlight w:val="none"/>
        </w:rPr>
      </w:pPr>
      <w:r>
        <w:rPr>
          <w:rFonts w:hint="eastAsia" w:hAnsi="宋体" w:cs="宋体"/>
          <w:highlight w:val="none"/>
        </w:rPr>
        <w:t>——</w:t>
      </w:r>
      <w:r>
        <w:rPr>
          <w:rFonts w:hint="eastAsia" w:hAnsi="宋体" w:cs="宋体"/>
          <w:highlight w:val="none"/>
          <w:lang w:val="en-US" w:eastAsia="zh-CN"/>
        </w:rPr>
        <w:t>申报前三年内未发生重大安全、重大质量事故或严重环境违法行为</w:t>
      </w:r>
      <w:r>
        <w:rPr>
          <w:rFonts w:hint="eastAsia" w:hAnsi="宋体" w:cs="宋体"/>
          <w:highlight w:val="none"/>
        </w:rPr>
        <w:t>；</w:t>
      </w:r>
    </w:p>
    <w:p>
      <w:pPr>
        <w:pStyle w:val="24"/>
        <w:rPr>
          <w:rFonts w:ascii="Times New Roman"/>
          <w:highlight w:val="none"/>
        </w:rPr>
      </w:pPr>
      <w:r>
        <w:rPr>
          <w:rFonts w:hint="eastAsia" w:hAnsi="宋体" w:cs="宋体"/>
          <w:highlight w:val="none"/>
        </w:rPr>
        <w:t>——《深圳市绿色</w:t>
      </w:r>
      <w:r>
        <w:rPr>
          <w:rFonts w:hint="eastAsia" w:hAnsi="宋体" w:cs="宋体"/>
          <w:highlight w:val="none"/>
          <w:lang w:val="en-US" w:eastAsia="zh-CN"/>
        </w:rPr>
        <w:t>低碳</w:t>
      </w:r>
      <w:r>
        <w:rPr>
          <w:rFonts w:hint="eastAsia" w:hAnsi="宋体" w:cs="宋体"/>
          <w:highlight w:val="none"/>
        </w:rPr>
        <w:t>产业认定管理办法》所规定的其他要求。</w:t>
      </w:r>
    </w:p>
    <w:p>
      <w:pPr>
        <w:pStyle w:val="53"/>
        <w:outlineLvl w:val="0"/>
        <w:rPr>
          <w:rFonts w:ascii="Times New Roman"/>
          <w:highlight w:val="none"/>
        </w:rPr>
      </w:pPr>
      <w:bookmarkStart w:id="84" w:name="_Toc13399"/>
      <w:bookmarkStart w:id="85" w:name="_Toc102992458"/>
      <w:bookmarkStart w:id="86" w:name="_Toc24735"/>
      <w:bookmarkStart w:id="87" w:name="_Toc118282042"/>
      <w:bookmarkStart w:id="88" w:name="_Toc80690492"/>
      <w:bookmarkStart w:id="89" w:name="_Toc13973"/>
      <w:r>
        <w:rPr>
          <w:rFonts w:hint="eastAsia" w:ascii="Times New Roman"/>
          <w:highlight w:val="none"/>
          <w:lang w:val="en-US" w:eastAsia="zh-CN"/>
        </w:rPr>
        <w:t>新能源汽车产品</w:t>
      </w:r>
      <w:r>
        <w:rPr>
          <w:rFonts w:hint="eastAsia" w:ascii="Times New Roman"/>
          <w:highlight w:val="none"/>
        </w:rPr>
        <w:t>产业企业评价</w:t>
      </w:r>
      <w:bookmarkEnd w:id="84"/>
      <w:bookmarkEnd w:id="85"/>
      <w:bookmarkEnd w:id="86"/>
      <w:bookmarkEnd w:id="87"/>
      <w:bookmarkEnd w:id="88"/>
      <w:bookmarkEnd w:id="89"/>
    </w:p>
    <w:p>
      <w:pPr>
        <w:pStyle w:val="50"/>
        <w:outlineLvl w:val="1"/>
        <w:rPr>
          <w:rFonts w:ascii="Times New Roman"/>
          <w:highlight w:val="none"/>
        </w:rPr>
      </w:pPr>
      <w:bookmarkStart w:id="90" w:name="_Toc102992460"/>
      <w:bookmarkStart w:id="91" w:name="_Toc18136"/>
      <w:bookmarkStart w:id="92" w:name="_Toc118282043"/>
      <w:bookmarkStart w:id="93" w:name="_Toc27296"/>
      <w:bookmarkStart w:id="94" w:name="_Toc7266"/>
      <w:r>
        <w:rPr>
          <w:rFonts w:ascii="Times New Roman"/>
          <w:highlight w:val="none"/>
        </w:rPr>
        <w:t>符合性评价</w:t>
      </w:r>
      <w:bookmarkEnd w:id="90"/>
      <w:bookmarkEnd w:id="91"/>
      <w:bookmarkEnd w:id="92"/>
      <w:bookmarkEnd w:id="93"/>
      <w:bookmarkEnd w:id="94"/>
    </w:p>
    <w:p>
      <w:pPr>
        <w:pStyle w:val="54"/>
        <w:spacing w:before="156" w:after="156"/>
        <w:rPr>
          <w:rFonts w:ascii="Times New Roman"/>
          <w:highlight w:val="none"/>
        </w:rPr>
      </w:pPr>
      <w:r>
        <w:rPr>
          <w:rFonts w:ascii="Times New Roman"/>
          <w:highlight w:val="none"/>
        </w:rPr>
        <w:t>目录符合</w:t>
      </w:r>
    </w:p>
    <w:p>
      <w:pPr>
        <w:pStyle w:val="24"/>
        <w:rPr>
          <w:rFonts w:ascii="Times New Roman"/>
          <w:highlight w:val="none"/>
        </w:rPr>
      </w:pPr>
      <w:r>
        <w:rPr>
          <w:rFonts w:hint="eastAsia" w:ascii="Times New Roman"/>
          <w:highlight w:val="none"/>
        </w:rPr>
        <w:t>申报认定评价的主营业务应属于新能源汽车整车制造、动力电池系统及核心零部件制造、新能源汽车电机/发动机制造、新能源汽车控制系统制造、新能源汽车电附件制造等新能源汽车产品制造产业</w:t>
      </w:r>
      <w:r>
        <w:rPr>
          <w:rFonts w:hint="eastAsia" w:ascii="Times New Roman"/>
          <w:highlight w:val="none"/>
          <w:lang w:eastAsia="zh-CN"/>
        </w:rPr>
        <w:t>；</w:t>
      </w:r>
      <w:r>
        <w:rPr>
          <w:rFonts w:hint="eastAsia" w:ascii="Times New Roman"/>
          <w:highlight w:val="none"/>
        </w:rPr>
        <w:t>且</w:t>
      </w:r>
      <w:r>
        <w:rPr>
          <w:rFonts w:hint="eastAsia" w:ascii="Times New Roman" w:hAnsi="Times New Roman" w:eastAsia="宋体"/>
          <w:highlight w:val="none"/>
        </w:rPr>
        <w:t>其绿色业务占比达到50%或以上，或跨界规模达到1亿元、在国内外新兴领域超前领先。</w:t>
      </w:r>
    </w:p>
    <w:p>
      <w:pPr>
        <w:pStyle w:val="54"/>
        <w:spacing w:before="156" w:after="156"/>
        <w:rPr>
          <w:rFonts w:ascii="Times New Roman"/>
          <w:highlight w:val="none"/>
        </w:rPr>
      </w:pPr>
      <w:r>
        <w:rPr>
          <w:rFonts w:ascii="Times New Roman"/>
          <w:highlight w:val="none"/>
        </w:rPr>
        <w:t>技术符合</w:t>
      </w:r>
    </w:p>
    <w:p>
      <w:pPr>
        <w:pStyle w:val="24"/>
        <w:rPr>
          <w:rFonts w:ascii="Times New Roman"/>
          <w:highlight w:val="none"/>
        </w:rPr>
      </w:pPr>
      <w:r>
        <w:rPr>
          <w:rFonts w:hint="eastAsia" w:hAnsi="宋体" w:cs="宋体"/>
          <w:highlight w:val="none"/>
        </w:rPr>
        <w:t>提供的产品或服务应符合国家、广东省及深圳市相关主管部门发布文件列明的有关设计、能效、性能、安全、贮存、回收、标识、验收、管理、运维等技术要求</w:t>
      </w:r>
      <w:r>
        <w:rPr>
          <w:rFonts w:hint="eastAsia" w:ascii="Times New Roman"/>
          <w:highlight w:val="none"/>
        </w:rPr>
        <w:t>。</w:t>
      </w:r>
    </w:p>
    <w:p>
      <w:pPr>
        <w:pStyle w:val="50"/>
        <w:outlineLvl w:val="1"/>
        <w:rPr>
          <w:rFonts w:ascii="Times New Roman"/>
          <w:highlight w:val="none"/>
        </w:rPr>
      </w:pPr>
      <w:bookmarkStart w:id="95" w:name="_Toc82684150"/>
      <w:bookmarkEnd w:id="95"/>
      <w:bookmarkStart w:id="96" w:name="_Toc118282044"/>
      <w:bookmarkStart w:id="97" w:name="_Toc23925"/>
      <w:bookmarkStart w:id="98" w:name="_Toc102992461"/>
      <w:bookmarkStart w:id="99" w:name="_Toc23115"/>
      <w:bookmarkStart w:id="100" w:name="_Toc29184"/>
      <w:r>
        <w:rPr>
          <w:rFonts w:ascii="Times New Roman"/>
          <w:highlight w:val="none"/>
        </w:rPr>
        <w:t>综合评价</w:t>
      </w:r>
      <w:bookmarkEnd w:id="96"/>
      <w:bookmarkEnd w:id="97"/>
      <w:bookmarkEnd w:id="98"/>
      <w:r>
        <w:rPr>
          <w:rFonts w:hint="eastAsia" w:ascii="Times New Roman"/>
          <w:highlight w:val="none"/>
          <w:lang w:val="en-US" w:eastAsia="zh-CN"/>
        </w:rPr>
        <w:t>指标</w:t>
      </w:r>
      <w:bookmarkEnd w:id="99"/>
      <w:bookmarkEnd w:id="100"/>
    </w:p>
    <w:p>
      <w:pPr>
        <w:pStyle w:val="54"/>
        <w:spacing w:before="156" w:after="156"/>
        <w:rPr>
          <w:rFonts w:ascii="Times New Roman"/>
          <w:highlight w:val="none"/>
        </w:rPr>
      </w:pPr>
      <w:r>
        <w:rPr>
          <w:rFonts w:ascii="Times New Roman"/>
          <w:highlight w:val="none"/>
        </w:rPr>
        <w:t>技术表现</w:t>
      </w:r>
    </w:p>
    <w:p>
      <w:pPr>
        <w:pStyle w:val="59"/>
        <w:numPr>
          <w:ilvl w:val="3"/>
          <w:numId w:val="2"/>
        </w:numPr>
        <w:spacing w:before="156" w:after="156"/>
        <w:rPr>
          <w:rFonts w:ascii="Times New Roman"/>
          <w:highlight w:val="none"/>
        </w:rPr>
      </w:pPr>
      <w:r>
        <w:rPr>
          <w:rFonts w:ascii="Times New Roman"/>
          <w:highlight w:val="none"/>
        </w:rPr>
        <w:t>先进性</w:t>
      </w:r>
    </w:p>
    <w:p>
      <w:pPr>
        <w:pStyle w:val="63"/>
        <w:spacing w:before="156" w:after="156"/>
        <w:rPr>
          <w:rFonts w:ascii="Times New Roman"/>
          <w:highlight w:val="none"/>
        </w:rPr>
      </w:pPr>
      <w:r>
        <w:rPr>
          <w:rFonts w:ascii="Times New Roman"/>
          <w:highlight w:val="none"/>
        </w:rPr>
        <w:t>有效知识产权</w:t>
      </w:r>
    </w:p>
    <w:p>
      <w:pPr>
        <w:pStyle w:val="24"/>
        <w:rPr>
          <w:rFonts w:hAnsi="宋体" w:cs="宋体"/>
          <w:highlight w:val="none"/>
        </w:rPr>
      </w:pPr>
      <w:r>
        <w:rPr>
          <w:rFonts w:hint="eastAsia" w:hAnsi="宋体" w:cs="宋体"/>
        </w:rPr>
        <w:t>有效知识产权是指在申请认定评价的绿色业务领域，通过自主研发、受让、受赠、并购等方式，获得的发明专利、实用新型、非简单改变产品图案和形状的外观设计、软件著作权、集成电路布图设计专有权</w:t>
      </w:r>
      <w:r>
        <w:rPr>
          <w:rFonts w:hint="eastAsia" w:hAnsi="宋体" w:cs="宋体"/>
          <w:lang w:eastAsia="zh-CN"/>
        </w:rPr>
        <w:t>，</w:t>
      </w:r>
      <w:r>
        <w:rPr>
          <w:rFonts w:hint="eastAsia" w:hAnsi="宋体" w:cs="宋体"/>
          <w:highlight w:val="none"/>
        </w:rPr>
        <w:t>具体评分规则见表1。</w:t>
      </w:r>
    </w:p>
    <w:p>
      <w:pPr>
        <w:pStyle w:val="134"/>
        <w:rPr>
          <w:rFonts w:ascii="Times New Roman"/>
          <w:highlight w:val="none"/>
        </w:rPr>
      </w:pPr>
      <w:r>
        <w:rPr>
          <w:rFonts w:ascii="Times New Roman"/>
          <w:highlight w:val="none"/>
        </w:rPr>
        <w:t>有效知识产权评分规则表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8" w:space="0"/>
              <w:left w:val="single" w:color="auto" w:sz="8" w:space="0"/>
              <w:bottom w:val="single" w:color="auto" w:sz="8" w:space="0"/>
              <w:right w:val="single" w:color="auto" w:sz="4" w:space="0"/>
            </w:tcBorders>
            <w:noWrap w:val="0"/>
            <w:vAlign w:val="center"/>
          </w:tcPr>
          <w:p>
            <w:pPr>
              <w:pStyle w:val="24"/>
              <w:ind w:firstLine="0" w:firstLineChars="0"/>
              <w:jc w:val="center"/>
              <w:rPr>
                <w:rFonts w:ascii="Times New Roman"/>
                <w:b/>
                <w:bCs/>
                <w:sz w:val="18"/>
                <w:szCs w:val="16"/>
                <w:highlight w:val="none"/>
              </w:rPr>
            </w:pPr>
            <w:r>
              <w:rPr>
                <w:rFonts w:ascii="Times New Roman"/>
                <w:b/>
                <w:bCs/>
                <w:sz w:val="18"/>
                <w:szCs w:val="16"/>
                <w:highlight w:val="none"/>
              </w:rPr>
              <w:t>有效知识产权数量</w:t>
            </w:r>
            <w:r>
              <w:rPr>
                <w:rFonts w:hint="eastAsia" w:ascii="Times New Roman"/>
                <w:b/>
                <w:bCs/>
                <w:sz w:val="18"/>
                <w:szCs w:val="16"/>
                <w:highlight w:val="none"/>
              </w:rPr>
              <w:t>（个）</w:t>
            </w:r>
          </w:p>
        </w:tc>
        <w:tc>
          <w:tcPr>
            <w:tcW w:w="1219" w:type="dxa"/>
            <w:tcBorders>
              <w:top w:val="single" w:color="auto" w:sz="8" w:space="0"/>
              <w:left w:val="single" w:color="auto" w:sz="4" w:space="0"/>
              <w:bottom w:val="single" w:color="auto" w:sz="8" w:space="0"/>
              <w:right w:val="single" w:color="auto" w:sz="8" w:space="0"/>
            </w:tcBorders>
            <w:noWrap w:val="0"/>
            <w:vAlign w:val="center"/>
          </w:tcPr>
          <w:p>
            <w:pPr>
              <w:pStyle w:val="24"/>
              <w:ind w:firstLine="0" w:firstLineChars="0"/>
              <w:jc w:val="center"/>
              <w:rPr>
                <w:rFonts w:ascii="Times New Roman"/>
                <w:b/>
                <w:bCs/>
                <w:sz w:val="18"/>
                <w:szCs w:val="16"/>
                <w:highlight w:val="none"/>
              </w:rPr>
            </w:pPr>
            <w:r>
              <w:rPr>
                <w:rFonts w:ascii="Times New Roman"/>
                <w:b/>
                <w:bCs/>
                <w:sz w:val="18"/>
                <w:szCs w:val="16"/>
                <w:highlight w:val="none"/>
              </w:rPr>
              <w:t>分值</w:t>
            </w:r>
            <w:r>
              <w:rPr>
                <w:rFonts w:hint="eastAsia" w:ascii="Times New Roman"/>
                <w:b/>
                <w:bCs/>
                <w:sz w:val="18"/>
                <w:szCs w:val="16"/>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8" w:space="0"/>
              <w:left w:val="single" w:color="auto" w:sz="8" w:space="0"/>
              <w:bottom w:val="single" w:color="auto" w:sz="4" w:space="0"/>
              <w:right w:val="single" w:color="auto" w:sz="4" w:space="0"/>
            </w:tcBorders>
            <w:noWrap w:val="0"/>
            <w:vAlign w:val="top"/>
          </w:tcPr>
          <w:p>
            <w:pPr>
              <w:pStyle w:val="24"/>
              <w:ind w:firstLine="0" w:firstLineChars="0"/>
              <w:jc w:val="center"/>
              <w:rPr>
                <w:rFonts w:hAnsi="宋体" w:cs="宋体"/>
                <w:sz w:val="18"/>
                <w:szCs w:val="16"/>
                <w:highlight w:val="none"/>
              </w:rPr>
            </w:pPr>
            <w:r>
              <w:rPr>
                <w:rFonts w:hint="eastAsia" w:hAnsi="宋体" w:cs="宋体"/>
                <w:sz w:val="18"/>
                <w:szCs w:val="16"/>
                <w:highlight w:val="none"/>
              </w:rPr>
              <w:t>≥20</w:t>
            </w:r>
          </w:p>
        </w:tc>
        <w:tc>
          <w:tcPr>
            <w:tcW w:w="1219" w:type="dxa"/>
            <w:tcBorders>
              <w:top w:val="single" w:color="auto" w:sz="8" w:space="0"/>
              <w:left w:val="single" w:color="auto" w:sz="4" w:space="0"/>
              <w:bottom w:val="single" w:color="auto" w:sz="4" w:space="0"/>
              <w:right w:val="single" w:color="auto" w:sz="8" w:space="0"/>
            </w:tcBorders>
            <w:noWrap w:val="0"/>
            <w:vAlign w:val="top"/>
          </w:tcPr>
          <w:p>
            <w:pPr>
              <w:pStyle w:val="24"/>
              <w:ind w:firstLine="0" w:firstLineChars="0"/>
              <w:jc w:val="center"/>
              <w:rPr>
                <w:rFonts w:hAnsi="宋体" w:cs="宋体"/>
                <w:sz w:val="18"/>
                <w:szCs w:val="16"/>
                <w:highlight w:val="none"/>
              </w:rPr>
            </w:pPr>
            <w:r>
              <w:rPr>
                <w:rFonts w:hint="eastAsia" w:hAnsi="宋体" w:cs="宋体"/>
                <w:sz w:val="18"/>
                <w:szCs w:val="16"/>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0" w:type="dxa"/>
            <w:tcBorders>
              <w:top w:val="single" w:color="auto" w:sz="4" w:space="0"/>
              <w:left w:val="single" w:color="auto" w:sz="8" w:space="0"/>
              <w:bottom w:val="single" w:color="auto" w:sz="4" w:space="0"/>
              <w:right w:val="single" w:color="auto" w:sz="4" w:space="0"/>
            </w:tcBorders>
            <w:noWrap w:val="0"/>
            <w:vAlign w:val="top"/>
          </w:tcPr>
          <w:p>
            <w:pPr>
              <w:pStyle w:val="24"/>
              <w:ind w:firstLine="0" w:firstLineChars="0"/>
              <w:jc w:val="center"/>
              <w:rPr>
                <w:rFonts w:hAnsi="宋体" w:cs="宋体"/>
                <w:sz w:val="18"/>
                <w:szCs w:val="16"/>
                <w:highlight w:val="none"/>
              </w:rPr>
            </w:pPr>
            <w:r>
              <w:rPr>
                <w:rFonts w:hint="eastAsia" w:hAnsi="宋体" w:cs="宋体"/>
                <w:sz w:val="18"/>
                <w:szCs w:val="16"/>
                <w:highlight w:val="none"/>
              </w:rPr>
              <w:t>[10,20)</w:t>
            </w:r>
          </w:p>
        </w:tc>
        <w:tc>
          <w:tcPr>
            <w:tcW w:w="1219" w:type="dxa"/>
            <w:tcBorders>
              <w:top w:val="single" w:color="auto" w:sz="4" w:space="0"/>
              <w:left w:val="single" w:color="auto" w:sz="4" w:space="0"/>
              <w:bottom w:val="single" w:color="auto" w:sz="4" w:space="0"/>
              <w:right w:val="single" w:color="auto" w:sz="8" w:space="0"/>
            </w:tcBorders>
            <w:noWrap w:val="0"/>
            <w:vAlign w:val="top"/>
          </w:tcPr>
          <w:p>
            <w:pPr>
              <w:pStyle w:val="24"/>
              <w:ind w:firstLine="0" w:firstLineChars="0"/>
              <w:jc w:val="center"/>
              <w:rPr>
                <w:rFonts w:hAnsi="宋体" w:cs="宋体"/>
                <w:sz w:val="18"/>
                <w:szCs w:val="16"/>
                <w:highlight w:val="none"/>
              </w:rPr>
            </w:pPr>
            <w:r>
              <w:rPr>
                <w:rFonts w:hint="eastAsia" w:hAnsi="宋体" w:cs="宋体"/>
                <w:sz w:val="18"/>
                <w:szCs w:val="16"/>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0" w:type="dxa"/>
            <w:tcBorders>
              <w:top w:val="single" w:color="auto" w:sz="4" w:space="0"/>
              <w:left w:val="single" w:color="auto" w:sz="8" w:space="0"/>
              <w:bottom w:val="single" w:color="auto" w:sz="4" w:space="0"/>
              <w:right w:val="single" w:color="auto" w:sz="4" w:space="0"/>
            </w:tcBorders>
            <w:noWrap w:val="0"/>
            <w:vAlign w:val="top"/>
          </w:tcPr>
          <w:p>
            <w:pPr>
              <w:pStyle w:val="24"/>
              <w:ind w:firstLine="0" w:firstLineChars="0"/>
              <w:jc w:val="center"/>
              <w:rPr>
                <w:rFonts w:hAnsi="宋体" w:cs="宋体"/>
                <w:sz w:val="18"/>
                <w:szCs w:val="16"/>
                <w:highlight w:val="none"/>
              </w:rPr>
            </w:pPr>
            <w:r>
              <w:rPr>
                <w:rFonts w:hint="eastAsia" w:hAnsi="宋体" w:cs="宋体"/>
                <w:sz w:val="18"/>
                <w:szCs w:val="16"/>
                <w:highlight w:val="none"/>
              </w:rPr>
              <w:t>[1,10)</w:t>
            </w:r>
          </w:p>
        </w:tc>
        <w:tc>
          <w:tcPr>
            <w:tcW w:w="1219" w:type="dxa"/>
            <w:tcBorders>
              <w:top w:val="single" w:color="auto" w:sz="4" w:space="0"/>
              <w:left w:val="single" w:color="auto" w:sz="4" w:space="0"/>
              <w:bottom w:val="single" w:color="auto" w:sz="4" w:space="0"/>
              <w:right w:val="single" w:color="auto" w:sz="8" w:space="0"/>
            </w:tcBorders>
            <w:noWrap w:val="0"/>
            <w:vAlign w:val="top"/>
          </w:tcPr>
          <w:p>
            <w:pPr>
              <w:pStyle w:val="24"/>
              <w:ind w:firstLine="0" w:firstLineChars="0"/>
              <w:jc w:val="center"/>
              <w:rPr>
                <w:rFonts w:hAnsi="宋体" w:cs="宋体"/>
                <w:sz w:val="18"/>
                <w:szCs w:val="16"/>
                <w:highlight w:val="none"/>
              </w:rPr>
            </w:pPr>
            <w:r>
              <w:rPr>
                <w:rFonts w:hint="eastAsia" w:hAnsi="宋体" w:cs="宋体"/>
                <w:sz w:val="18"/>
                <w:szCs w:val="16"/>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8" w:space="0"/>
              <w:right w:val="single" w:color="auto" w:sz="4" w:space="0"/>
            </w:tcBorders>
            <w:noWrap w:val="0"/>
            <w:vAlign w:val="top"/>
          </w:tcPr>
          <w:p>
            <w:pPr>
              <w:pStyle w:val="24"/>
              <w:ind w:firstLine="0" w:firstLineChars="0"/>
              <w:jc w:val="center"/>
              <w:rPr>
                <w:rFonts w:hAnsi="宋体" w:cs="宋体"/>
                <w:sz w:val="18"/>
                <w:szCs w:val="16"/>
                <w:highlight w:val="none"/>
              </w:rPr>
            </w:pPr>
            <w:r>
              <w:rPr>
                <w:rFonts w:hint="eastAsia" w:hAnsi="宋体" w:cs="宋体"/>
                <w:sz w:val="18"/>
                <w:szCs w:val="16"/>
                <w:highlight w:val="none"/>
              </w:rPr>
              <w:t>[0,1)</w:t>
            </w:r>
          </w:p>
        </w:tc>
        <w:tc>
          <w:tcPr>
            <w:tcW w:w="1219" w:type="dxa"/>
            <w:tcBorders>
              <w:top w:val="single" w:color="auto" w:sz="4" w:space="0"/>
              <w:left w:val="single" w:color="auto" w:sz="4" w:space="0"/>
              <w:bottom w:val="single" w:color="auto" w:sz="8" w:space="0"/>
              <w:right w:val="single" w:color="auto" w:sz="8" w:space="0"/>
            </w:tcBorders>
            <w:noWrap w:val="0"/>
            <w:vAlign w:val="top"/>
          </w:tcPr>
          <w:p>
            <w:pPr>
              <w:pStyle w:val="24"/>
              <w:ind w:firstLine="0" w:firstLineChars="0"/>
              <w:jc w:val="center"/>
              <w:rPr>
                <w:rFonts w:hAnsi="宋体" w:cs="宋体"/>
                <w:sz w:val="18"/>
                <w:szCs w:val="16"/>
                <w:highlight w:val="none"/>
              </w:rPr>
            </w:pPr>
            <w:r>
              <w:rPr>
                <w:rFonts w:hint="eastAsia" w:hAnsi="宋体" w:cs="宋体"/>
                <w:sz w:val="18"/>
                <w:szCs w:val="16"/>
                <w:highlight w:val="none"/>
              </w:rPr>
              <w:t>0</w:t>
            </w:r>
          </w:p>
        </w:tc>
      </w:tr>
    </w:tbl>
    <w:p>
      <w:pPr>
        <w:pStyle w:val="24"/>
        <w:rPr>
          <w:rFonts w:hAnsi="宋体" w:cs="宋体"/>
        </w:rPr>
      </w:pPr>
      <w:r>
        <w:rPr>
          <w:rFonts w:hint="eastAsia" w:hAnsi="宋体" w:cs="宋体"/>
        </w:rPr>
        <w:t>有效知识产权数量采用加权法进行计算。在知识产权类别上，以发明专利为折算基数，实用新型专利、集成电路布图设计专有权按折算系数0.5进行计算，软件著作权、外观设计专利数量按折算系数0.2进行计算。在知识产权获得形式上，以自主研发为折算基数，通过受让、受赠、并购方式获取其所有权的，按折算系数0.5进行计算。计算公式如下：</w:t>
      </w:r>
    </w:p>
    <w:p>
      <w:pPr>
        <w:pStyle w:val="24"/>
        <w:jc w:val="center"/>
        <w:rPr>
          <w:rFonts w:hAnsi="宋体" w:cs="宋体"/>
          <w:highlight w:val="none"/>
        </w:rPr>
      </w:pPr>
      <m:oMathPara>
        <m:oMath>
          <m:r>
            <m:rPr/>
            <w:rPr>
              <w:rFonts w:hint="eastAsia" w:ascii="Cambria Math" w:hAnsi="Cambria Math" w:cs="宋体"/>
            </w:rPr>
            <m:t>N</m:t>
          </m:r>
          <m:r>
            <m:rPr>
              <m:sty m:val="p"/>
            </m:rPr>
            <w:rPr>
              <w:rFonts w:hint="eastAsia" w:ascii="Cambria Math" w:hAnsi="Cambria Math" w:cs="宋体"/>
            </w:rPr>
            <m:t>=</m:t>
          </m:r>
          <m:nary>
            <m:naryPr>
              <m:chr m:val="∑"/>
              <m:limLoc m:val="undOvr"/>
              <m:ctrlPr>
                <w:rPr>
                  <w:rFonts w:hint="eastAsia" w:ascii="Cambria Math" w:hAnsi="Cambria Math" w:cs="宋体"/>
                </w:rPr>
              </m:ctrlPr>
            </m:naryPr>
            <m:sub>
              <m:r>
                <m:rPr/>
                <w:rPr>
                  <w:rFonts w:hint="eastAsia" w:ascii="Cambria Math" w:hAnsi="Cambria Math" w:cs="宋体"/>
                </w:rPr>
                <m:t>i=1</m:t>
              </m:r>
              <m:ctrlPr>
                <w:rPr>
                  <w:rFonts w:hint="eastAsia" w:ascii="Cambria Math" w:hAnsi="Cambria Math" w:cs="宋体"/>
                </w:rPr>
              </m:ctrlPr>
            </m:sub>
            <m:sup>
              <m:r>
                <m:rPr/>
                <w:rPr>
                  <w:rFonts w:hint="eastAsia" w:ascii="Cambria Math" w:hAnsi="Cambria Math" w:cs="宋体"/>
                </w:rPr>
                <m:t>n</m:t>
              </m:r>
              <m:ctrlPr>
                <w:rPr>
                  <w:rFonts w:hint="eastAsia" w:ascii="Cambria Math" w:hAnsi="Cambria Math" w:cs="宋体"/>
                </w:rPr>
              </m:ctrlPr>
            </m:sup>
            <m:e>
              <m:sSub>
                <m:sSubPr>
                  <m:ctrlPr>
                    <w:rPr>
                      <w:rFonts w:hint="eastAsia" w:ascii="Cambria Math" w:hAnsi="Cambria Math" w:cs="宋体"/>
                      <w:i/>
                      <w:iCs/>
                    </w:rPr>
                  </m:ctrlPr>
                </m:sSubPr>
                <m:e>
                  <m:r>
                    <m:rPr/>
                    <w:rPr>
                      <w:rFonts w:hint="eastAsia" w:ascii="Cambria Math" w:hAnsi="Cambria Math" w:cs="宋体"/>
                    </w:rPr>
                    <m:t>T</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r>
                <m:rPr/>
                <w:rPr>
                  <w:rFonts w:hint="eastAsia" w:ascii="Cambria Math" w:hAnsi="Cambria Math" w:cs="宋体"/>
                </w:rPr>
                <m:t>×</m:t>
              </m:r>
              <m:sSub>
                <m:sSubPr>
                  <m:ctrlPr>
                    <w:rPr>
                      <w:rFonts w:hint="eastAsia" w:ascii="Cambria Math" w:hAnsi="Cambria Math" w:cs="宋体"/>
                      <w:i/>
                      <w:iCs/>
                    </w:rPr>
                  </m:ctrlPr>
                </m:sSubPr>
                <m:e>
                  <m:r>
                    <m:rPr/>
                    <w:rPr>
                      <w:rFonts w:hint="eastAsia" w:ascii="Cambria Math" w:hAnsi="Cambria Math" w:cs="宋体"/>
                    </w:rPr>
                    <m:t>G</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rPr>
              </m:ctrlPr>
            </m:e>
          </m:nary>
        </m:oMath>
      </m:oMathPara>
    </w:p>
    <w:p>
      <w:pPr>
        <w:pStyle w:val="24"/>
        <w:rPr>
          <w:rFonts w:hint="eastAsia" w:hAnsi="宋体" w:cs="宋体"/>
        </w:rPr>
      </w:pPr>
      <w:r>
        <w:rPr>
          <w:rFonts w:hint="eastAsia" w:hAnsi="宋体" w:cs="宋体"/>
        </w:rPr>
        <w:t>式中：</w:t>
      </w:r>
    </w:p>
    <w:p>
      <w:pPr>
        <w:pStyle w:val="24"/>
        <w:rPr>
          <w:rFonts w:hAnsi="宋体" w:cs="宋体"/>
        </w:rPr>
      </w:pPr>
      <m:oMath>
        <m:r>
          <m:rPr/>
          <w:rPr>
            <w:rFonts w:hint="default" w:ascii="Cambria Math" w:hAnsi="Cambria Math" w:cs="宋体"/>
          </w:rPr>
          <m:t>N</m:t>
        </m:r>
      </m:oMath>
      <w:r>
        <w:rPr>
          <w:rFonts w:hint="eastAsia" w:hAnsi="宋体" w:cs="宋体"/>
        </w:rPr>
        <w:t>——有效知识产权数量；</w:t>
      </w:r>
    </w:p>
    <w:p>
      <w:pPr>
        <w:pStyle w:val="24"/>
        <w:rPr>
          <w:rFonts w:hAnsi="宋体" w:cs="宋体"/>
        </w:rPr>
      </w:pPr>
      <m:oMath>
        <m:sSub>
          <m:sSubPr>
            <m:ctrlPr>
              <w:rPr>
                <w:rFonts w:hint="eastAsia" w:ascii="Cambria Math" w:hAnsi="Cambria Math" w:cs="宋体"/>
                <w:i/>
                <w:iCs/>
              </w:rPr>
            </m:ctrlPr>
          </m:sSubPr>
          <m:e>
            <m:r>
              <m:rPr/>
              <w:rPr>
                <w:rFonts w:hint="eastAsia" w:ascii="Cambria Math" w:hAnsi="Cambria Math" w:cs="宋体"/>
              </w:rPr>
              <m:t>T</m:t>
            </m:r>
            <m:ctrlPr>
              <w:rPr>
                <w:rFonts w:hint="eastAsia" w:ascii="Cambria Math" w:hAnsi="Cambria Math" w:cs="宋体"/>
                <w:i/>
                <w:iCs/>
              </w:rPr>
            </m:ctrlPr>
          </m:e>
          <m:sub>
            <m:r>
              <m:rPr/>
              <w:rPr>
                <w:rFonts w:hint="default" w:ascii="Cambria Math" w:hAnsi="Cambria Math" w:cs="宋体"/>
              </w:rPr>
              <m:t>i</m:t>
            </m:r>
            <m:ctrlPr>
              <w:rPr>
                <w:rFonts w:hint="eastAsia" w:ascii="Cambria Math" w:hAnsi="Cambria Math" w:cs="宋体"/>
                <w:i/>
                <w:iCs/>
              </w:rPr>
            </m:ctrlPr>
          </m:sub>
        </m:sSub>
      </m:oMath>
      <w:r>
        <w:rPr>
          <w:rFonts w:hint="eastAsia" w:hAnsi="宋体" w:cs="宋体"/>
        </w:rPr>
        <w:t>——第i个知识产权的类别折算系数；</w:t>
      </w:r>
    </w:p>
    <w:p>
      <w:pPr>
        <w:pStyle w:val="24"/>
        <w:rPr>
          <w:rFonts w:hint="eastAsia" w:hAnsi="宋体" w:cs="宋体"/>
        </w:rPr>
      </w:pPr>
      <m:oMath>
        <m:sSub>
          <m:sSubPr>
            <m:ctrlPr>
              <w:rPr>
                <w:rFonts w:hint="eastAsia" w:ascii="Cambria Math" w:hAnsi="Cambria Math" w:cs="宋体"/>
                <w:i/>
                <w:iCs/>
              </w:rPr>
            </m:ctrlPr>
          </m:sSubPr>
          <m:e>
            <m:r>
              <m:rPr/>
              <w:rPr>
                <w:rFonts w:hint="eastAsia" w:ascii="Cambria Math" w:hAnsi="Cambria Math" w:cs="宋体"/>
              </w:rPr>
              <m:t>G</m:t>
            </m:r>
            <m:ctrlPr>
              <w:rPr>
                <w:rFonts w:hint="eastAsia" w:ascii="Cambria Math" w:hAnsi="Cambria Math" w:cs="宋体"/>
                <w:i/>
                <w:iCs/>
              </w:rPr>
            </m:ctrlPr>
          </m:e>
          <m:sub>
            <m:r>
              <m:rPr/>
              <w:rPr>
                <w:rFonts w:hint="default" w:ascii="Cambria Math" w:hAnsi="Cambria Math" w:cs="宋体"/>
              </w:rPr>
              <m:t>i</m:t>
            </m:r>
            <m:ctrlPr>
              <w:rPr>
                <w:rFonts w:hint="eastAsia" w:ascii="Cambria Math" w:hAnsi="Cambria Math" w:cs="宋体"/>
                <w:i/>
                <w:iCs/>
              </w:rPr>
            </m:ctrlPr>
          </m:sub>
        </m:sSub>
      </m:oMath>
      <w:r>
        <w:rPr>
          <w:rFonts w:hint="eastAsia" w:hAnsi="宋体" w:cs="宋体"/>
        </w:rPr>
        <w:t>——第i个知识产权的获得形式折算系数。</w:t>
      </w:r>
    </w:p>
    <w:p>
      <w:pPr>
        <w:pStyle w:val="63"/>
        <w:spacing w:before="156" w:after="156"/>
        <w:rPr>
          <w:rFonts w:ascii="Times New Roman"/>
          <w:highlight w:val="none"/>
        </w:rPr>
      </w:pPr>
      <w:r>
        <w:rPr>
          <w:rFonts w:ascii="Times New Roman"/>
          <w:highlight w:val="none"/>
        </w:rPr>
        <w:t>参与制修订标准</w:t>
      </w:r>
    </w:p>
    <w:p>
      <w:pPr>
        <w:pStyle w:val="24"/>
        <w:rPr>
          <w:rFonts w:hint="eastAsia" w:hAnsi="宋体" w:cs="宋体"/>
          <w:highlight w:val="none"/>
        </w:rPr>
      </w:pPr>
      <w:r>
        <w:rPr>
          <w:rFonts w:hint="eastAsia" w:hAnsi="宋体" w:cs="宋体"/>
          <w:highlight w:val="none"/>
        </w:rPr>
        <w:t>参与制修订标准是指在申请认定评价的绿色业务领域，参与国家标准、行业标准、地方标准的制修订工作。具体评分规则见表2。</w:t>
      </w:r>
    </w:p>
    <w:p>
      <w:pPr>
        <w:pStyle w:val="134"/>
        <w:rPr>
          <w:rFonts w:ascii="Times New Roman"/>
          <w:highlight w:val="none"/>
        </w:rPr>
      </w:pPr>
      <w:r>
        <w:rPr>
          <w:rFonts w:ascii="Times New Roman"/>
          <w:highlight w:val="none"/>
        </w:rPr>
        <w:t>参与制修订标准评分规则表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3" w:type="dxa"/>
            <w:tcBorders>
              <w:top w:val="single" w:color="auto" w:sz="8" w:space="0"/>
              <w:left w:val="single" w:color="auto" w:sz="8" w:space="0"/>
              <w:bottom w:val="single" w:color="auto" w:sz="4" w:space="0"/>
              <w:right w:val="single" w:color="auto" w:sz="4" w:space="0"/>
            </w:tcBorders>
            <w:noWrap w:val="0"/>
            <w:vAlign w:val="center"/>
          </w:tcPr>
          <w:p>
            <w:pPr>
              <w:pStyle w:val="24"/>
              <w:ind w:firstLine="0" w:firstLineChars="0"/>
              <w:jc w:val="center"/>
              <w:rPr>
                <w:rFonts w:ascii="Times New Roman"/>
                <w:b/>
                <w:bCs/>
                <w:sz w:val="18"/>
                <w:szCs w:val="16"/>
                <w:highlight w:val="none"/>
              </w:rPr>
            </w:pPr>
            <w:r>
              <w:rPr>
                <w:rFonts w:ascii="Times New Roman"/>
                <w:b/>
                <w:bCs/>
                <w:sz w:val="18"/>
                <w:szCs w:val="16"/>
                <w:highlight w:val="none"/>
              </w:rPr>
              <w:t>参与制修订标准数量</w:t>
            </w:r>
            <w:r>
              <w:rPr>
                <w:rFonts w:hint="eastAsia" w:ascii="Times New Roman"/>
                <w:b/>
                <w:bCs/>
                <w:sz w:val="18"/>
                <w:szCs w:val="16"/>
                <w:highlight w:val="none"/>
              </w:rPr>
              <w:t>（个）</w:t>
            </w:r>
          </w:p>
        </w:tc>
        <w:tc>
          <w:tcPr>
            <w:tcW w:w="1105" w:type="dxa"/>
            <w:tcBorders>
              <w:top w:val="single" w:color="auto" w:sz="8" w:space="0"/>
              <w:left w:val="single" w:color="auto" w:sz="4" w:space="0"/>
              <w:bottom w:val="single" w:color="auto" w:sz="4" w:space="0"/>
              <w:right w:val="single" w:color="auto" w:sz="8" w:space="0"/>
            </w:tcBorders>
            <w:noWrap w:val="0"/>
            <w:vAlign w:val="center"/>
          </w:tcPr>
          <w:p>
            <w:pPr>
              <w:pStyle w:val="24"/>
              <w:ind w:firstLine="0" w:firstLineChars="0"/>
              <w:jc w:val="center"/>
              <w:rPr>
                <w:rFonts w:ascii="Times New Roman"/>
                <w:b/>
                <w:bCs/>
                <w:sz w:val="18"/>
                <w:szCs w:val="16"/>
                <w:highlight w:val="none"/>
              </w:rPr>
            </w:pPr>
            <w:r>
              <w:rPr>
                <w:rFonts w:ascii="Times New Roman"/>
                <w:b/>
                <w:bCs/>
                <w:sz w:val="18"/>
                <w:szCs w:val="16"/>
                <w:highlight w:val="none"/>
              </w:rPr>
              <w:t>分值</w:t>
            </w:r>
            <w:r>
              <w:rPr>
                <w:rFonts w:hint="eastAsia" w:ascii="Times New Roman"/>
                <w:b/>
                <w:bCs/>
                <w:sz w:val="18"/>
                <w:szCs w:val="16"/>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3" w:type="dxa"/>
            <w:tcBorders>
              <w:top w:val="single" w:color="auto" w:sz="4" w:space="0"/>
              <w:left w:val="single" w:color="auto" w:sz="8" w:space="0"/>
              <w:bottom w:val="single" w:color="auto" w:sz="4" w:space="0"/>
              <w:right w:val="single" w:color="auto" w:sz="4"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≥4</w:t>
            </w:r>
          </w:p>
        </w:tc>
        <w:tc>
          <w:tcPr>
            <w:tcW w:w="1105" w:type="dxa"/>
            <w:tcBorders>
              <w:top w:val="single" w:color="auto" w:sz="4" w:space="0"/>
              <w:left w:val="single" w:color="auto" w:sz="4" w:space="0"/>
              <w:bottom w:val="single" w:color="auto" w:sz="4" w:space="0"/>
              <w:right w:val="single" w:color="auto" w:sz="8"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3" w:type="dxa"/>
            <w:tcBorders>
              <w:top w:val="single" w:color="auto" w:sz="4" w:space="0"/>
              <w:left w:val="single" w:color="auto" w:sz="8" w:space="0"/>
              <w:bottom w:val="single" w:color="auto" w:sz="4" w:space="0"/>
              <w:right w:val="single" w:color="auto" w:sz="4"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[2,4)</w:t>
            </w:r>
          </w:p>
        </w:tc>
        <w:tc>
          <w:tcPr>
            <w:tcW w:w="1105" w:type="dxa"/>
            <w:tcBorders>
              <w:top w:val="single" w:color="auto" w:sz="4" w:space="0"/>
              <w:left w:val="single" w:color="auto" w:sz="4" w:space="0"/>
              <w:bottom w:val="single" w:color="auto" w:sz="4" w:space="0"/>
              <w:right w:val="single" w:color="auto" w:sz="8"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3" w:type="dxa"/>
            <w:tcBorders>
              <w:top w:val="single" w:color="auto" w:sz="4" w:space="0"/>
              <w:left w:val="single" w:color="auto" w:sz="8" w:space="0"/>
              <w:bottom w:val="single" w:color="auto" w:sz="8" w:space="0"/>
              <w:right w:val="single" w:color="auto" w:sz="4"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[0,2)</w:t>
            </w:r>
          </w:p>
        </w:tc>
        <w:tc>
          <w:tcPr>
            <w:tcW w:w="1105" w:type="dxa"/>
            <w:tcBorders>
              <w:top w:val="single" w:color="auto" w:sz="4" w:space="0"/>
              <w:left w:val="single" w:color="auto" w:sz="4" w:space="0"/>
              <w:bottom w:val="single" w:color="auto" w:sz="8" w:space="0"/>
              <w:right w:val="single" w:color="auto" w:sz="8"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0</w:t>
            </w:r>
          </w:p>
        </w:tc>
      </w:tr>
    </w:tbl>
    <w:p>
      <w:pPr>
        <w:pStyle w:val="24"/>
        <w:rPr>
          <w:rFonts w:hAnsi="宋体" w:cs="宋体"/>
          <w:highlight w:val="none"/>
        </w:rPr>
      </w:pPr>
      <w:r>
        <w:rPr>
          <w:rFonts w:hint="eastAsia" w:hAnsi="宋体" w:cs="宋体"/>
          <w:highlight w:val="none"/>
        </w:rPr>
        <w:t>参与制修订标准数量采用加权法进行计算。在标准类别上，以国家标准及行业标准为折算基数，地方标准按折算系数0.5进行计算；在标准编制形式上，以制定标准为折算基数，修订标准按折算系数0.5进行计算；在标准制修订参与程度上，以主导制定起草单位为折算基数，参与制定标准单位按折算系数0.2进行计算。在标准文本“主要起草单位”中排名前两名，视为主导制定起草单位；在标准文本“主要起草单位”中排名第三到第五名，视为参与制定标准单位。如排名前五名的起草单位中有行政机关单位的，名次可相应顺延。计算公式如下：</w:t>
      </w:r>
    </w:p>
    <w:p>
      <w:pPr>
        <w:pStyle w:val="135"/>
        <w:rPr>
          <w:rFonts w:hAnsi="宋体" w:cs="宋体"/>
        </w:rPr>
      </w:pPr>
      <m:oMathPara>
        <m:oMath>
          <m:r>
            <m:rPr/>
            <w:rPr>
              <w:rFonts w:hint="eastAsia" w:ascii="Cambria Math" w:hAnsi="Cambria Math" w:cs="宋体"/>
            </w:rPr>
            <m:t>N=</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w:rPr>
                      <w:rFonts w:hint="eastAsia" w:ascii="Cambria Math" w:hAnsi="Cambria Math" w:cs="宋体"/>
                    </w:rPr>
                    <m:t>F</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r>
                <m:rPr/>
                <w:rPr>
                  <w:rFonts w:hint="eastAsia" w:ascii="Cambria Math" w:hAnsi="Cambria Math" w:cs="宋体"/>
                </w:rPr>
                <m:t>×</m:t>
              </m:r>
              <m:sSub>
                <m:sSubPr>
                  <m:ctrlPr>
                    <w:rPr>
                      <w:rFonts w:hint="eastAsia" w:ascii="Cambria Math" w:hAnsi="Cambria Math" w:cs="宋体"/>
                      <w:i/>
                      <w:iCs/>
                    </w:rPr>
                  </m:ctrlPr>
                </m:sSubPr>
                <m:e>
                  <m:r>
                    <m:rPr/>
                    <w:rPr>
                      <w:rFonts w:hint="eastAsia" w:ascii="Cambria Math" w:hAnsi="Cambria Math" w:cs="宋体"/>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r>
                <m:rPr/>
                <w:rPr>
                  <w:rFonts w:hint="eastAsia" w:ascii="Cambria Math" w:hAnsi="Cambria Math" w:cs="宋体"/>
                </w:rPr>
                <m:t>×</m:t>
              </m:r>
              <m:sSub>
                <m:sSubPr>
                  <m:ctrlPr>
                    <w:rPr>
                      <w:rFonts w:hint="eastAsia" w:ascii="Cambria Math" w:hAnsi="Cambria Math" w:cs="宋体"/>
                      <w:i/>
                      <w:iCs/>
                    </w:rPr>
                  </m:ctrlPr>
                </m:sSubPr>
                <m:e>
                  <m:r>
                    <m:rPr/>
                    <w:rPr>
                      <w:rFonts w:hint="eastAsia" w:ascii="Cambria Math" w:hAnsi="Cambria Math" w:cs="宋体"/>
                    </w:rPr>
                    <m:t>T</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35"/>
        <w:ind w:firstLine="420" w:firstLineChars="200"/>
        <w:rPr>
          <w:rFonts w:hAnsi="宋体" w:cs="宋体"/>
        </w:rPr>
      </w:pPr>
      <w:r>
        <w:rPr>
          <w:rFonts w:hint="eastAsia" w:hAnsi="宋体" w:cs="宋体"/>
        </w:rPr>
        <w:t>式中：</w:t>
      </w:r>
    </w:p>
    <w:p>
      <w:pPr>
        <w:pStyle w:val="135"/>
        <w:ind w:firstLine="420" w:firstLineChars="200"/>
        <w:rPr>
          <w:rFonts w:hAnsi="宋体" w:cs="宋体"/>
        </w:rPr>
      </w:pPr>
      <m:oMath>
        <m:r>
          <m:rPr/>
          <w:rPr>
            <w:rFonts w:hint="eastAsia" w:ascii="Cambria Math" w:hAnsi="Cambria Math" w:cs="宋体"/>
          </w:rPr>
          <m:t>N</m:t>
        </m:r>
      </m:oMath>
      <w:r>
        <w:rPr>
          <w:rFonts w:hint="eastAsia" w:hAnsi="宋体" w:cs="宋体"/>
        </w:rPr>
        <w:t>——参与制修订标准数量；</w:t>
      </w:r>
    </w:p>
    <w:p>
      <w:pPr>
        <w:pStyle w:val="135"/>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F</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——第i个标准的编制形式折算系数；</w:t>
      </w:r>
    </w:p>
    <w:p>
      <w:pPr>
        <w:pStyle w:val="135"/>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D</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——第i个标准的制修订参与程度折算系数；</w:t>
      </w:r>
    </w:p>
    <w:p>
      <w:pPr>
        <w:pStyle w:val="135"/>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T</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——第i个标准的类别折算系数。</w:t>
      </w:r>
    </w:p>
    <w:p>
      <w:pPr>
        <w:pStyle w:val="135"/>
        <w:ind w:firstLine="420" w:firstLineChars="200"/>
        <w:rPr>
          <w:rFonts w:hAnsi="宋体" w:cs="宋体"/>
          <w:highlight w:val="none"/>
        </w:rPr>
      </w:pPr>
    </w:p>
    <w:p>
      <w:pPr>
        <w:pStyle w:val="63"/>
        <w:spacing w:before="156" w:after="156"/>
        <w:rPr>
          <w:rFonts w:ascii="Times New Roman"/>
          <w:highlight w:val="none"/>
        </w:rPr>
      </w:pPr>
      <w:r>
        <w:rPr>
          <w:rFonts w:ascii="Times New Roman"/>
          <w:highlight w:val="none"/>
        </w:rPr>
        <w:t>关键技术先进性</w:t>
      </w:r>
    </w:p>
    <w:p>
      <w:pPr>
        <w:autoSpaceDE w:val="0"/>
        <w:autoSpaceDN w:val="0"/>
        <w:ind w:firstLine="420" w:firstLineChars="200"/>
        <w:rPr>
          <w:rFonts w:hint="eastAsia"/>
          <w:szCs w:val="21"/>
          <w:highlight w:val="none"/>
        </w:rPr>
      </w:pPr>
      <w:r>
        <w:rPr>
          <w:rFonts w:hint="eastAsia"/>
          <w:szCs w:val="21"/>
          <w:highlight w:val="none"/>
        </w:rPr>
        <w:t>关键技术先进性评价内容及评价方法由相关行业技术规范进行明确，宜从行业通用核心技术先进性或其子行业特色核心技术先进性等方面进行评价，应选取行业公认具备典型代表性的核心技术作为主要评价内容，具体评分规则见表3。</w:t>
      </w:r>
    </w:p>
    <w:p>
      <w:pPr>
        <w:numPr>
          <w:ilvl w:val="0"/>
          <w:numId w:val="17"/>
        </w:numPr>
        <w:spacing w:before="156" w:beforeLines="50" w:after="156" w:afterLines="50"/>
        <w:jc w:val="center"/>
        <w:rPr>
          <w:rFonts w:eastAsia="黑体"/>
          <w:highlight w:val="none"/>
        </w:rPr>
      </w:pPr>
      <w:r>
        <w:rPr>
          <w:rFonts w:hint="eastAsia" w:eastAsia="黑体"/>
          <w:highlight w:val="none"/>
        </w:rPr>
        <w:t>关键</w:t>
      </w:r>
      <w:r>
        <w:rPr>
          <w:rFonts w:eastAsia="黑体"/>
          <w:highlight w:val="none"/>
        </w:rPr>
        <w:t>技术先进性评分规则表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8" w:type="dxa"/>
            <w:tcBorders>
              <w:top w:val="single" w:color="auto" w:sz="8" w:space="0"/>
              <w:left w:val="single" w:color="auto" w:sz="8" w:space="0"/>
              <w:bottom w:val="single" w:color="auto" w:sz="8" w:space="0"/>
              <w:right w:val="single" w:color="auto" w:sz="4" w:space="0"/>
            </w:tcBorders>
            <w:noWrap w:val="0"/>
            <w:vAlign w:val="center"/>
          </w:tcPr>
          <w:p>
            <w:pPr>
              <w:pStyle w:val="24"/>
              <w:ind w:firstLine="0" w:firstLineChars="0"/>
              <w:jc w:val="center"/>
              <w:rPr>
                <w:rFonts w:ascii="Times New Roman"/>
                <w:b/>
                <w:bCs/>
                <w:sz w:val="18"/>
                <w:szCs w:val="16"/>
                <w:highlight w:val="none"/>
              </w:rPr>
            </w:pPr>
            <w:r>
              <w:rPr>
                <w:rFonts w:hint="eastAsia" w:ascii="Times New Roman"/>
                <w:b/>
                <w:bCs/>
                <w:sz w:val="18"/>
                <w:szCs w:val="16"/>
                <w:highlight w:val="none"/>
              </w:rPr>
              <w:t>关键技术</w:t>
            </w:r>
            <w:r>
              <w:rPr>
                <w:rFonts w:ascii="Times New Roman"/>
                <w:b/>
                <w:bCs/>
                <w:sz w:val="18"/>
                <w:szCs w:val="16"/>
                <w:highlight w:val="none"/>
              </w:rPr>
              <w:t>先进性水平</w:t>
            </w:r>
          </w:p>
        </w:tc>
        <w:tc>
          <w:tcPr>
            <w:tcW w:w="1230" w:type="dxa"/>
            <w:tcBorders>
              <w:top w:val="single" w:color="auto" w:sz="8" w:space="0"/>
              <w:left w:val="single" w:color="auto" w:sz="4" w:space="0"/>
              <w:bottom w:val="single" w:color="auto" w:sz="8" w:space="0"/>
              <w:right w:val="single" w:color="auto" w:sz="8" w:space="0"/>
            </w:tcBorders>
            <w:noWrap w:val="0"/>
            <w:vAlign w:val="center"/>
          </w:tcPr>
          <w:p>
            <w:pPr>
              <w:pStyle w:val="24"/>
              <w:ind w:firstLine="0" w:firstLineChars="0"/>
              <w:jc w:val="center"/>
              <w:rPr>
                <w:rFonts w:ascii="Times New Roman"/>
                <w:b/>
                <w:bCs/>
                <w:sz w:val="18"/>
                <w:szCs w:val="16"/>
                <w:highlight w:val="none"/>
              </w:rPr>
            </w:pPr>
            <w:r>
              <w:rPr>
                <w:rFonts w:ascii="Times New Roman"/>
                <w:b/>
                <w:bCs/>
                <w:sz w:val="18"/>
                <w:szCs w:val="16"/>
                <w:highlight w:val="none"/>
              </w:rPr>
              <w:t>分值</w:t>
            </w:r>
            <w:r>
              <w:rPr>
                <w:rFonts w:hint="eastAsia" w:ascii="Times New Roman"/>
                <w:b/>
                <w:bCs/>
                <w:sz w:val="18"/>
                <w:szCs w:val="16"/>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8" w:type="dxa"/>
            <w:tcBorders>
              <w:top w:val="single" w:color="auto" w:sz="8" w:space="0"/>
              <w:left w:val="single" w:color="auto" w:sz="8" w:space="0"/>
              <w:bottom w:val="single" w:color="auto" w:sz="4" w:space="0"/>
              <w:right w:val="single" w:color="auto" w:sz="4" w:space="0"/>
            </w:tcBorders>
            <w:noWrap w:val="0"/>
            <w:vAlign w:val="top"/>
          </w:tcPr>
          <w:p>
            <w:pPr>
              <w:pStyle w:val="24"/>
              <w:ind w:firstLine="0" w:firstLineChars="0"/>
              <w:rPr>
                <w:rFonts w:hAnsi="宋体" w:cs="宋体"/>
                <w:sz w:val="18"/>
                <w:szCs w:val="16"/>
                <w:highlight w:val="none"/>
              </w:rPr>
            </w:pPr>
            <w:r>
              <w:rPr>
                <w:rFonts w:hint="eastAsia" w:hAnsi="宋体" w:cs="宋体"/>
                <w:sz w:val="18"/>
                <w:szCs w:val="16"/>
                <w:highlight w:val="none"/>
              </w:rPr>
              <w:t>在全面符合绿色低碳产业认定工作相关要求的基础上，关键技术处于行业领先水平，具有显著技术引领作用。</w:t>
            </w:r>
          </w:p>
        </w:tc>
        <w:tc>
          <w:tcPr>
            <w:tcW w:w="1230" w:type="dxa"/>
            <w:tcBorders>
              <w:top w:val="single" w:color="auto" w:sz="8" w:space="0"/>
              <w:left w:val="single" w:color="auto" w:sz="4" w:space="0"/>
              <w:bottom w:val="single" w:color="auto" w:sz="4" w:space="0"/>
              <w:right w:val="single" w:color="auto" w:sz="8"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8" w:type="dxa"/>
            <w:tcBorders>
              <w:top w:val="single" w:color="auto" w:sz="4" w:space="0"/>
              <w:left w:val="single" w:color="auto" w:sz="8" w:space="0"/>
              <w:bottom w:val="single" w:color="auto" w:sz="4" w:space="0"/>
              <w:right w:val="single" w:color="auto" w:sz="4" w:space="0"/>
            </w:tcBorders>
            <w:noWrap w:val="0"/>
            <w:vAlign w:val="top"/>
          </w:tcPr>
          <w:p>
            <w:pPr>
              <w:pStyle w:val="24"/>
              <w:ind w:firstLine="0" w:firstLineChars="0"/>
              <w:rPr>
                <w:rFonts w:hAnsi="宋体" w:cs="宋体"/>
                <w:sz w:val="18"/>
                <w:szCs w:val="16"/>
                <w:highlight w:val="none"/>
              </w:rPr>
            </w:pPr>
            <w:r>
              <w:rPr>
                <w:rFonts w:hint="eastAsia" w:hAnsi="宋体" w:cs="宋体"/>
                <w:sz w:val="18"/>
                <w:szCs w:val="16"/>
                <w:highlight w:val="none"/>
              </w:rPr>
              <w:t>在全面符合绿色低碳产业认定工作相关要求的基础上，关键技术处于行业较好水平，具有一定技术推动作用。</w:t>
            </w:r>
          </w:p>
        </w:tc>
        <w:tc>
          <w:tcPr>
            <w:tcW w:w="1230" w:type="dxa"/>
            <w:tcBorders>
              <w:top w:val="single" w:color="auto" w:sz="4" w:space="0"/>
              <w:left w:val="single" w:color="auto" w:sz="4" w:space="0"/>
              <w:bottom w:val="single" w:color="auto" w:sz="4" w:space="0"/>
              <w:right w:val="single" w:color="auto" w:sz="8"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8" w:type="dxa"/>
            <w:tcBorders>
              <w:top w:val="single" w:color="auto" w:sz="4" w:space="0"/>
              <w:left w:val="single" w:color="auto" w:sz="8" w:space="0"/>
              <w:bottom w:val="single" w:color="auto" w:sz="4" w:space="0"/>
              <w:right w:val="single" w:color="auto" w:sz="4" w:space="0"/>
            </w:tcBorders>
            <w:noWrap w:val="0"/>
            <w:vAlign w:val="top"/>
          </w:tcPr>
          <w:p>
            <w:pPr>
              <w:pStyle w:val="24"/>
              <w:ind w:firstLine="0" w:firstLineChars="0"/>
              <w:rPr>
                <w:rFonts w:hAnsi="宋体" w:cs="宋体"/>
                <w:sz w:val="18"/>
                <w:szCs w:val="16"/>
                <w:highlight w:val="none"/>
              </w:rPr>
            </w:pPr>
            <w:r>
              <w:rPr>
                <w:rFonts w:hint="eastAsia" w:hAnsi="宋体" w:cs="宋体"/>
                <w:sz w:val="18"/>
                <w:szCs w:val="16"/>
                <w:highlight w:val="none"/>
              </w:rPr>
              <w:t>在全面符合绿色低碳产业认定工作相关要求的基础上，关键技术处于行业平均水平。</w:t>
            </w:r>
          </w:p>
        </w:tc>
        <w:tc>
          <w:tcPr>
            <w:tcW w:w="1230" w:type="dxa"/>
            <w:tcBorders>
              <w:top w:val="single" w:color="auto" w:sz="4" w:space="0"/>
              <w:left w:val="single" w:color="auto" w:sz="4" w:space="0"/>
              <w:bottom w:val="single" w:color="auto" w:sz="4" w:space="0"/>
              <w:right w:val="single" w:color="auto" w:sz="8"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8" w:type="dxa"/>
            <w:tcBorders>
              <w:top w:val="single" w:color="auto" w:sz="4" w:space="0"/>
              <w:left w:val="single" w:color="auto" w:sz="8" w:space="0"/>
              <w:bottom w:val="single" w:color="auto" w:sz="8" w:space="0"/>
              <w:right w:val="single" w:color="auto" w:sz="4" w:space="0"/>
            </w:tcBorders>
            <w:noWrap w:val="0"/>
            <w:vAlign w:val="top"/>
          </w:tcPr>
          <w:p>
            <w:pPr>
              <w:pStyle w:val="24"/>
              <w:ind w:firstLine="0" w:firstLineChars="0"/>
              <w:rPr>
                <w:rFonts w:hAnsi="宋体" w:cs="宋体"/>
                <w:sz w:val="18"/>
                <w:szCs w:val="16"/>
                <w:highlight w:val="none"/>
              </w:rPr>
            </w:pPr>
            <w:r>
              <w:rPr>
                <w:rFonts w:hint="eastAsia" w:hAnsi="宋体" w:cs="宋体"/>
                <w:sz w:val="18"/>
                <w:szCs w:val="16"/>
                <w:highlight w:val="none"/>
              </w:rPr>
              <w:t>未满足上述任何一项。</w:t>
            </w:r>
          </w:p>
        </w:tc>
        <w:tc>
          <w:tcPr>
            <w:tcW w:w="1230" w:type="dxa"/>
            <w:tcBorders>
              <w:top w:val="single" w:color="auto" w:sz="4" w:space="0"/>
              <w:left w:val="single" w:color="auto" w:sz="4" w:space="0"/>
              <w:bottom w:val="single" w:color="auto" w:sz="8" w:space="0"/>
              <w:right w:val="single" w:color="auto" w:sz="8"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0</w:t>
            </w:r>
          </w:p>
        </w:tc>
      </w:tr>
    </w:tbl>
    <w:p>
      <w:pPr>
        <w:pStyle w:val="64"/>
        <w:spacing w:before="156" w:after="156"/>
        <w:rPr>
          <w:rFonts w:hAnsi="黑体" w:cs="黑体"/>
          <w:highlight w:val="none"/>
        </w:rPr>
      </w:pPr>
      <w:r>
        <w:rPr>
          <w:rFonts w:hint="eastAsia"/>
          <w:highlight w:val="none"/>
        </w:rPr>
        <w:t>新能源汽车整车</w:t>
      </w:r>
    </w:p>
    <w:p>
      <w:pPr>
        <w:autoSpaceDE w:val="0"/>
        <w:autoSpaceDN w:val="0"/>
        <w:ind w:firstLine="420" w:firstLineChars="200"/>
        <w:rPr>
          <w:szCs w:val="21"/>
          <w:highlight w:val="none"/>
        </w:rPr>
      </w:pPr>
      <w:r>
        <w:rPr>
          <w:rFonts w:hint="eastAsia"/>
          <w:szCs w:val="21"/>
          <w:highlight w:val="none"/>
        </w:rPr>
        <w:t>新能源汽车整车包括纯电动汽车、插电式混合动力（含增程式）汽车、氢燃料电池汽车生产制造，以及汽车轻量化技术开发及产品制造，具体评价内容及评价方法</w:t>
      </w:r>
      <w:r>
        <w:rPr>
          <w:rFonts w:hint="eastAsia" w:ascii="宋体" w:hAnsi="宋体" w:cs="宋体"/>
          <w:szCs w:val="21"/>
          <w:highlight w:val="none"/>
        </w:rPr>
        <w:t>见表</w:t>
      </w:r>
      <w:r>
        <w:rPr>
          <w:rFonts w:hint="eastAsia" w:ascii="宋体" w:hAnsi="宋体" w:cs="宋体"/>
          <w:szCs w:val="21"/>
          <w:highlight w:val="none"/>
          <w:lang w:val="en-US" w:eastAsia="zh-CN"/>
        </w:rPr>
        <w:t>4</w:t>
      </w:r>
      <w:r>
        <w:rPr>
          <w:rFonts w:hint="eastAsia" w:ascii="宋体" w:hAnsi="宋体" w:cs="宋体"/>
          <w:szCs w:val="21"/>
          <w:highlight w:val="none"/>
        </w:rPr>
        <w:t>。</w:t>
      </w:r>
    </w:p>
    <w:p>
      <w:pPr>
        <w:numPr>
          <w:ilvl w:val="0"/>
          <w:numId w:val="17"/>
        </w:numPr>
        <w:spacing w:before="156" w:beforeLines="50" w:after="156" w:afterLines="50"/>
        <w:jc w:val="center"/>
        <w:rPr>
          <w:szCs w:val="21"/>
          <w:highlight w:val="none"/>
        </w:rPr>
      </w:pPr>
      <w:r>
        <w:rPr>
          <w:rFonts w:hint="eastAsia" w:eastAsia="黑体"/>
          <w:highlight w:val="none"/>
        </w:rPr>
        <w:t>新能源汽车整车关键</w:t>
      </w:r>
      <w:r>
        <w:rPr>
          <w:rFonts w:eastAsia="黑体"/>
          <w:highlight w:val="none"/>
        </w:rPr>
        <w:t>技术先进性</w:t>
      </w:r>
      <w:r>
        <w:rPr>
          <w:rFonts w:hint="eastAsia" w:eastAsia="黑体"/>
          <w:highlight w:val="none"/>
        </w:rPr>
        <w:t>评价规则表</w:t>
      </w:r>
    </w:p>
    <w:tbl>
      <w:tblPr>
        <w:tblStyle w:val="3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484"/>
        <w:gridCol w:w="1360"/>
        <w:gridCol w:w="3907"/>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评价环节</w:t>
            </w:r>
          </w:p>
        </w:tc>
        <w:tc>
          <w:tcPr>
            <w:tcW w:w="776"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评价对象</w:t>
            </w:r>
          </w:p>
        </w:tc>
        <w:tc>
          <w:tcPr>
            <w:tcW w:w="711"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核心评价指标</w:t>
            </w:r>
          </w:p>
        </w:tc>
        <w:tc>
          <w:tcPr>
            <w:tcW w:w="2043"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评价维度</w:t>
            </w:r>
          </w:p>
        </w:tc>
        <w:tc>
          <w:tcPr>
            <w:tcW w:w="922"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pct"/>
            <w:vMerge w:val="restart"/>
            <w:tcBorders>
              <w:top w:val="single" w:color="auto" w:sz="4" w:space="0"/>
              <w:left w:val="single" w:color="auto" w:sz="4" w:space="0"/>
              <w:right w:val="single" w:color="auto" w:sz="4" w:space="0"/>
            </w:tcBorders>
            <w:noWrap w:val="0"/>
            <w:vAlign w:val="center"/>
          </w:tcPr>
          <w:p>
            <w:pPr>
              <w:autoSpaceDE w:val="0"/>
              <w:autoSpaceDN w:val="0"/>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rPr>
              <w:t>生产制造</w:t>
            </w:r>
          </w:p>
        </w:tc>
        <w:tc>
          <w:tcPr>
            <w:tcW w:w="77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纯电动乘用车</w:t>
            </w:r>
          </w:p>
        </w:tc>
        <w:tc>
          <w:tcPr>
            <w:tcW w:w="71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续航里程</w:t>
            </w:r>
          </w:p>
        </w:tc>
        <w:tc>
          <w:tcPr>
            <w:tcW w:w="2043" w:type="pct"/>
            <w:tcBorders>
              <w:left w:val="single" w:color="auto" w:sz="4" w:space="0"/>
            </w:tcBorders>
            <w:noWrap w:val="0"/>
            <w:vAlign w:val="center"/>
          </w:tcPr>
          <w:p>
            <w:pPr>
              <w:pStyle w:val="2"/>
              <w:jc w:val="both"/>
              <w:rPr>
                <w:rFonts w:hint="default" w:eastAsia="宋体"/>
                <w:highlight w:val="none"/>
                <w:lang w:val="en-US" w:eastAsia="zh-CN"/>
              </w:rPr>
            </w:pPr>
            <w:r>
              <w:rPr>
                <w:rFonts w:hint="eastAsia" w:ascii="宋体" w:hAnsi="宋体" w:eastAsia="宋体" w:cs="宋体"/>
                <w:kern w:val="2"/>
                <w:sz w:val="18"/>
                <w:szCs w:val="18"/>
                <w:highlight w:val="none"/>
                <w:lang w:val="en-US" w:eastAsia="zh-CN" w:bidi="ar-SA"/>
              </w:rPr>
              <w:t>≥500KM。</w:t>
            </w:r>
          </w:p>
        </w:tc>
        <w:tc>
          <w:tcPr>
            <w:tcW w:w="922" w:type="pct"/>
            <w:noWrap w:val="0"/>
            <w:vAlign w:val="center"/>
          </w:tcPr>
          <w:p>
            <w:pPr>
              <w:widowControl/>
              <w:numPr>
                <w:ilvl w:val="0"/>
                <w:numId w:val="0"/>
              </w:numPr>
              <w:ind w:left="0" w:leftChars="0" w:firstLine="0" w:firstLineChars="0"/>
              <w:jc w:val="center"/>
              <w:rPr>
                <w:rFonts w:hint="eastAsia" w:ascii="宋体" w:hAnsi="宋体" w:cs="宋体"/>
                <w:sz w:val="18"/>
                <w:szCs w:val="18"/>
                <w:highlight w:val="none"/>
              </w:rPr>
            </w:pPr>
            <w:r>
              <w:rPr>
                <w:rFonts w:hint="eastAsia" w:ascii="宋体" w:hAnsi="宋体" w:cs="宋体"/>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46" w:type="pct"/>
            <w:vMerge w:val="continue"/>
            <w:tcBorders>
              <w:left w:val="single" w:color="auto" w:sz="4" w:space="0"/>
              <w:right w:val="single" w:color="auto" w:sz="4" w:space="0"/>
            </w:tcBorders>
            <w:noWrap w:val="0"/>
            <w:vAlign w:val="center"/>
          </w:tcPr>
          <w:p>
            <w:pPr>
              <w:autoSpaceDE w:val="0"/>
              <w:autoSpaceDN w:val="0"/>
              <w:jc w:val="center"/>
              <w:rPr>
                <w:rFonts w:hint="eastAsia" w:ascii="宋体" w:hAnsi="宋体" w:cs="宋体"/>
                <w:sz w:val="18"/>
                <w:szCs w:val="18"/>
                <w:highlight w:val="none"/>
              </w:rPr>
            </w:pPr>
          </w:p>
        </w:tc>
        <w:tc>
          <w:tcPr>
            <w:tcW w:w="77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18"/>
                <w:highlight w:val="none"/>
                <w:lang w:val="en-US" w:eastAsia="zh-CN"/>
              </w:rPr>
            </w:pPr>
            <w:r>
              <w:rPr>
                <w:rFonts w:hint="eastAsia" w:ascii="宋体" w:hAnsi="宋体" w:cs="宋体"/>
                <w:sz w:val="18"/>
                <w:szCs w:val="18"/>
                <w:highlight w:val="none"/>
              </w:rPr>
              <w:t>纯电动货车</w:t>
            </w:r>
          </w:p>
        </w:tc>
        <w:tc>
          <w:tcPr>
            <w:tcW w:w="71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续航里程</w:t>
            </w:r>
          </w:p>
        </w:tc>
        <w:tc>
          <w:tcPr>
            <w:tcW w:w="2043" w:type="pct"/>
            <w:tcBorders>
              <w:left w:val="single" w:color="auto" w:sz="4" w:space="0"/>
            </w:tcBorders>
            <w:noWrap w:val="0"/>
            <w:vAlign w:val="center"/>
          </w:tcPr>
          <w:p>
            <w:pPr>
              <w:pStyle w:val="2"/>
              <w:jc w:val="both"/>
              <w:rPr>
                <w:rFonts w:hint="eastAsia" w:eastAsia="宋体"/>
                <w:highlight w:val="none"/>
                <w:lang w:val="en-US" w:eastAsia="zh-CN"/>
              </w:rPr>
            </w:pPr>
            <w:r>
              <w:rPr>
                <w:rFonts w:hint="eastAsia" w:ascii="宋体" w:hAnsi="宋体" w:eastAsia="宋体" w:cs="宋体"/>
                <w:kern w:val="2"/>
                <w:sz w:val="18"/>
                <w:szCs w:val="18"/>
                <w:highlight w:val="none"/>
                <w:lang w:val="en-US" w:eastAsia="zh-CN" w:bidi="ar-SA"/>
              </w:rPr>
              <w:t>≥300KM。</w:t>
            </w:r>
          </w:p>
        </w:tc>
        <w:tc>
          <w:tcPr>
            <w:tcW w:w="922" w:type="pct"/>
            <w:noWrap w:val="0"/>
            <w:vAlign w:val="center"/>
          </w:tcPr>
          <w:p>
            <w:pPr>
              <w:widowControl/>
              <w:numPr>
                <w:ilvl w:val="0"/>
                <w:numId w:val="0"/>
              </w:numPr>
              <w:ind w:left="0" w:leftChars="0" w:firstLine="0" w:firstLineChars="0"/>
              <w:jc w:val="center"/>
              <w:rPr>
                <w:rFonts w:hint="eastAsia" w:ascii="宋体" w:hAnsi="宋体" w:cs="宋体"/>
                <w:sz w:val="18"/>
                <w:szCs w:val="18"/>
                <w:highlight w:val="none"/>
              </w:rPr>
            </w:pPr>
            <w:r>
              <w:rPr>
                <w:rFonts w:hint="eastAsia" w:ascii="宋体" w:hAnsi="宋体" w:cs="宋体"/>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6" w:type="pct"/>
            <w:vMerge w:val="continue"/>
            <w:tcBorders>
              <w:left w:val="single" w:color="auto" w:sz="4" w:space="0"/>
              <w:right w:val="single" w:color="auto" w:sz="4" w:space="0"/>
            </w:tcBorders>
            <w:noWrap w:val="0"/>
            <w:vAlign w:val="center"/>
          </w:tcPr>
          <w:p>
            <w:pPr>
              <w:autoSpaceDE w:val="0"/>
              <w:autoSpaceDN w:val="0"/>
              <w:jc w:val="center"/>
              <w:rPr>
                <w:rFonts w:hint="eastAsia" w:ascii="宋体" w:hAnsi="宋体" w:cs="宋体"/>
                <w:sz w:val="18"/>
                <w:szCs w:val="18"/>
                <w:highlight w:val="none"/>
              </w:rPr>
            </w:pPr>
          </w:p>
        </w:tc>
        <w:tc>
          <w:tcPr>
            <w:tcW w:w="77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纯电动城市客车</w:t>
            </w:r>
          </w:p>
        </w:tc>
        <w:tc>
          <w:tcPr>
            <w:tcW w:w="71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续航里程</w:t>
            </w:r>
          </w:p>
        </w:tc>
        <w:tc>
          <w:tcPr>
            <w:tcW w:w="2043" w:type="pct"/>
            <w:tcBorders>
              <w:left w:val="single" w:color="auto" w:sz="4" w:space="0"/>
            </w:tcBorders>
            <w:noWrap w:val="0"/>
            <w:vAlign w:val="center"/>
          </w:tcPr>
          <w:p>
            <w:pPr>
              <w:pStyle w:val="2"/>
              <w:jc w:val="both"/>
              <w:rPr>
                <w:rFonts w:hint="default"/>
                <w:highlight w:val="none"/>
                <w:lang w:val="en-US" w:eastAsia="zh-CN"/>
              </w:rPr>
            </w:pPr>
            <w:r>
              <w:rPr>
                <w:rFonts w:hint="eastAsia" w:ascii="宋体" w:hAnsi="宋体" w:eastAsia="宋体" w:cs="宋体"/>
                <w:kern w:val="2"/>
                <w:sz w:val="18"/>
                <w:szCs w:val="18"/>
                <w:highlight w:val="none"/>
                <w:lang w:val="en-US" w:eastAsia="zh-CN" w:bidi="ar-SA"/>
              </w:rPr>
              <w:t>≥400KM。</w:t>
            </w:r>
          </w:p>
        </w:tc>
        <w:tc>
          <w:tcPr>
            <w:tcW w:w="922" w:type="pct"/>
            <w:noWrap w:val="0"/>
            <w:vAlign w:val="center"/>
          </w:tcPr>
          <w:p>
            <w:pPr>
              <w:widowControl/>
              <w:numPr>
                <w:ilvl w:val="0"/>
                <w:numId w:val="0"/>
              </w:numPr>
              <w:ind w:left="0" w:leftChars="0" w:firstLine="0" w:firstLineChars="0"/>
              <w:jc w:val="center"/>
              <w:rPr>
                <w:rFonts w:hint="eastAsia" w:ascii="宋体" w:hAnsi="宋体" w:cs="宋体"/>
                <w:sz w:val="18"/>
                <w:szCs w:val="18"/>
                <w:highlight w:val="none"/>
              </w:rPr>
            </w:pPr>
            <w:r>
              <w:rPr>
                <w:rFonts w:hint="eastAsia" w:ascii="宋体" w:hAnsi="宋体" w:cs="宋体"/>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6" w:type="pct"/>
            <w:vMerge w:val="continue"/>
            <w:tcBorders>
              <w:left w:val="single" w:color="auto" w:sz="4" w:space="0"/>
              <w:right w:val="single" w:color="auto" w:sz="4" w:space="0"/>
            </w:tcBorders>
            <w:noWrap w:val="0"/>
            <w:vAlign w:val="center"/>
          </w:tcPr>
          <w:p>
            <w:pPr>
              <w:autoSpaceDE w:val="0"/>
              <w:autoSpaceDN w:val="0"/>
              <w:jc w:val="center"/>
              <w:rPr>
                <w:rFonts w:ascii="宋体" w:hAnsi="宋体" w:cs="宋体"/>
                <w:sz w:val="18"/>
                <w:szCs w:val="18"/>
                <w:highlight w:val="none"/>
              </w:rPr>
            </w:pPr>
          </w:p>
        </w:tc>
        <w:tc>
          <w:tcPr>
            <w:tcW w:w="77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rPr>
              <w:t>插电式混合动力电动乘用车</w:t>
            </w:r>
            <w:r>
              <w:rPr>
                <w:rFonts w:hint="eastAsia" w:ascii="宋体" w:hAnsi="宋体" w:cs="宋体"/>
                <w:sz w:val="18"/>
                <w:szCs w:val="18"/>
                <w:highlight w:val="none"/>
                <w:lang w:eastAsia="zh-CN"/>
              </w:rPr>
              <w:t>、</w:t>
            </w:r>
            <w:r>
              <w:rPr>
                <w:rFonts w:hint="eastAsia" w:ascii="宋体" w:hAnsi="宋体" w:cs="宋体"/>
                <w:sz w:val="18"/>
                <w:szCs w:val="18"/>
                <w:highlight w:val="none"/>
              </w:rPr>
              <w:t>插电式混合动力电动</w:t>
            </w:r>
            <w:r>
              <w:rPr>
                <w:rFonts w:hint="eastAsia" w:ascii="宋体" w:hAnsi="宋体" w:cs="宋体"/>
                <w:sz w:val="18"/>
                <w:szCs w:val="18"/>
                <w:highlight w:val="none"/>
                <w:lang w:val="en-US" w:eastAsia="zh-CN"/>
              </w:rPr>
              <w:t>商</w:t>
            </w:r>
            <w:r>
              <w:rPr>
                <w:rFonts w:hint="eastAsia" w:ascii="宋体" w:hAnsi="宋体" w:cs="宋体"/>
                <w:sz w:val="18"/>
                <w:szCs w:val="18"/>
                <w:highlight w:val="none"/>
              </w:rPr>
              <w:t>用车</w:t>
            </w:r>
          </w:p>
        </w:tc>
        <w:tc>
          <w:tcPr>
            <w:tcW w:w="711" w:type="pct"/>
            <w:tcBorders>
              <w:top w:val="single" w:color="auto" w:sz="4" w:space="0"/>
              <w:left w:val="single" w:color="auto" w:sz="4" w:space="0"/>
              <w:right w:val="single" w:color="auto" w:sz="4" w:space="0"/>
            </w:tcBorders>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工信部百公里油耗</w:t>
            </w:r>
          </w:p>
        </w:tc>
        <w:tc>
          <w:tcPr>
            <w:tcW w:w="2043" w:type="pct"/>
            <w:tcBorders>
              <w:left w:val="single" w:color="auto" w:sz="4" w:space="0"/>
            </w:tcBorders>
            <w:noWrap w:val="0"/>
            <w:vAlign w:val="center"/>
          </w:tcPr>
          <w:p>
            <w:pPr>
              <w:jc w:val="both"/>
              <w:rPr>
                <w:rFonts w:hint="eastAsia" w:eastAsia="宋体"/>
                <w:highlight w:val="none"/>
                <w:lang w:eastAsia="zh-CN"/>
              </w:rPr>
            </w:pPr>
            <w:r>
              <w:rPr>
                <w:rFonts w:hint="eastAsia" w:ascii="宋体" w:hAnsi="宋体" w:cs="宋体"/>
                <w:sz w:val="18"/>
                <w:szCs w:val="18"/>
                <w:highlight w:val="none"/>
                <w:lang w:val="en-US" w:eastAsia="zh-CN"/>
              </w:rPr>
              <w:t>≤5L/100KM。</w:t>
            </w:r>
          </w:p>
        </w:tc>
        <w:tc>
          <w:tcPr>
            <w:tcW w:w="922" w:type="pct"/>
            <w:noWrap w:val="0"/>
            <w:vAlign w:val="center"/>
          </w:tcPr>
          <w:p>
            <w:pPr>
              <w:widowControl/>
              <w:numPr>
                <w:ilvl w:val="0"/>
                <w:numId w:val="0"/>
              </w:numPr>
              <w:ind w:left="0" w:leftChars="0" w:firstLine="0" w:firstLineChars="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46" w:type="pct"/>
            <w:vMerge w:val="continue"/>
            <w:tcBorders>
              <w:left w:val="single" w:color="auto" w:sz="4" w:space="0"/>
              <w:right w:val="single" w:color="auto" w:sz="4" w:space="0"/>
            </w:tcBorders>
            <w:noWrap w:val="0"/>
            <w:vAlign w:val="center"/>
          </w:tcPr>
          <w:p>
            <w:pPr>
              <w:autoSpaceDE w:val="0"/>
              <w:autoSpaceDN w:val="0"/>
              <w:jc w:val="center"/>
              <w:rPr>
                <w:rFonts w:ascii="宋体" w:hAnsi="宋体" w:cs="宋体"/>
                <w:sz w:val="18"/>
                <w:szCs w:val="18"/>
                <w:highlight w:val="none"/>
              </w:rPr>
            </w:pPr>
          </w:p>
        </w:tc>
        <w:tc>
          <w:tcPr>
            <w:tcW w:w="77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氢</w:t>
            </w:r>
            <w:r>
              <w:rPr>
                <w:rFonts w:hint="eastAsia" w:ascii="宋体" w:hAnsi="宋体" w:cs="宋体"/>
                <w:sz w:val="18"/>
                <w:szCs w:val="18"/>
                <w:highlight w:val="none"/>
              </w:rPr>
              <w:t>燃料电池汽车</w:t>
            </w:r>
          </w:p>
        </w:tc>
        <w:tc>
          <w:tcPr>
            <w:tcW w:w="711" w:type="pct"/>
            <w:tcBorders>
              <w:top w:val="single" w:color="auto" w:sz="4" w:space="0"/>
              <w:left w:val="single" w:color="auto" w:sz="4" w:space="0"/>
              <w:right w:val="single" w:color="auto" w:sz="4" w:space="0"/>
            </w:tcBorders>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续航里程</w:t>
            </w:r>
          </w:p>
        </w:tc>
        <w:tc>
          <w:tcPr>
            <w:tcW w:w="2043" w:type="pct"/>
            <w:tcBorders>
              <w:left w:val="single" w:color="auto" w:sz="4" w:space="0"/>
            </w:tcBorders>
            <w:noWrap w:val="0"/>
            <w:vAlign w:val="center"/>
          </w:tcPr>
          <w:p>
            <w:pPr>
              <w:jc w:val="both"/>
              <w:rPr>
                <w:rFonts w:hint="eastAsia" w:ascii="宋体" w:hAnsi="宋体" w:cs="宋体"/>
                <w:sz w:val="18"/>
                <w:szCs w:val="18"/>
                <w:highlight w:val="none"/>
              </w:rPr>
            </w:pPr>
            <w:r>
              <w:rPr>
                <w:rFonts w:hint="eastAsia" w:ascii="宋体" w:hAnsi="宋体" w:cs="宋体"/>
                <w:sz w:val="18"/>
                <w:szCs w:val="18"/>
                <w:highlight w:val="none"/>
                <w:lang w:val="en-US" w:eastAsia="zh-CN"/>
              </w:rPr>
              <w:t>≥400KM。</w:t>
            </w:r>
          </w:p>
        </w:tc>
        <w:tc>
          <w:tcPr>
            <w:tcW w:w="922" w:type="pct"/>
            <w:noWrap w:val="0"/>
            <w:vAlign w:val="center"/>
          </w:tcPr>
          <w:p>
            <w:pPr>
              <w:widowControl/>
              <w:numPr>
                <w:ilvl w:val="0"/>
                <w:numId w:val="0"/>
              </w:numPr>
              <w:ind w:left="0" w:leftChars="0" w:firstLine="0" w:firstLineChars="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46" w:type="pct"/>
            <w:vMerge w:val="continue"/>
            <w:tcBorders>
              <w:left w:val="single" w:color="auto" w:sz="4" w:space="0"/>
              <w:right w:val="single" w:color="auto" w:sz="4" w:space="0"/>
            </w:tcBorders>
            <w:noWrap w:val="0"/>
            <w:vAlign w:val="center"/>
          </w:tcPr>
          <w:p>
            <w:pPr>
              <w:autoSpaceDE w:val="0"/>
              <w:autoSpaceDN w:val="0"/>
              <w:jc w:val="center"/>
              <w:rPr>
                <w:rFonts w:hint="eastAsia" w:ascii="宋体" w:hAnsi="宋体" w:cs="宋体"/>
                <w:sz w:val="18"/>
                <w:szCs w:val="18"/>
                <w:highlight w:val="none"/>
                <w:lang w:val="en-US" w:eastAsia="zh-CN"/>
              </w:rPr>
            </w:pPr>
          </w:p>
        </w:tc>
        <w:tc>
          <w:tcPr>
            <w:tcW w:w="776" w:type="pct"/>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 w:val="18"/>
                <w:szCs w:val="18"/>
                <w:highlight w:val="none"/>
                <w:lang w:val="en-US" w:eastAsia="zh-CN"/>
              </w:rPr>
            </w:pPr>
          </w:p>
          <w:p>
            <w:pPr>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汽车轻量化技术开发及产品制造</w:t>
            </w:r>
          </w:p>
        </w:tc>
        <w:tc>
          <w:tcPr>
            <w:tcW w:w="71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宋体"/>
                <w:sz w:val="18"/>
                <w:szCs w:val="18"/>
                <w:highlight w:val="none"/>
                <w:lang w:val="en-US" w:eastAsia="zh-CN"/>
              </w:rPr>
            </w:pPr>
            <w:r>
              <w:rPr>
                <w:rFonts w:hint="eastAsia" w:ascii="宋体" w:hAnsi="宋体" w:eastAsia="宋体" w:cs="宋体"/>
                <w:i w:val="0"/>
                <w:iCs w:val="0"/>
                <w:caps w:val="0"/>
                <w:spacing w:val="0"/>
                <w:sz w:val="18"/>
                <w:szCs w:val="18"/>
                <w:highlight w:val="none"/>
                <w:shd w:val="clear" w:color="auto" w:fill="auto"/>
              </w:rPr>
              <w:t>轻量化系数</w:t>
            </w:r>
            <w:r>
              <w:rPr>
                <w:rFonts w:hint="eastAsia" w:ascii="宋体" w:hAnsi="宋体" w:cs="宋体"/>
                <w:i w:val="0"/>
                <w:iCs w:val="0"/>
                <w:caps w:val="0"/>
                <w:spacing w:val="0"/>
                <w:sz w:val="18"/>
                <w:szCs w:val="18"/>
                <w:highlight w:val="none"/>
                <w:shd w:val="clear" w:color="auto" w:fill="auto"/>
                <w:lang w:val="en-US" w:eastAsia="zh-CN"/>
              </w:rPr>
              <w:t>*</w:t>
            </w:r>
          </w:p>
        </w:tc>
        <w:tc>
          <w:tcPr>
            <w:tcW w:w="2043" w:type="pct"/>
            <w:tcBorders>
              <w:left w:val="single" w:color="auto" w:sz="4" w:space="0"/>
            </w:tcBorders>
            <w:noWrap w:val="0"/>
            <w:vAlign w:val="center"/>
          </w:tcPr>
          <w:p>
            <w:pPr>
              <w:numPr>
                <w:ilvl w:val="0"/>
                <w:numId w:val="0"/>
              </w:numPr>
              <w:jc w:val="both"/>
              <w:rPr>
                <w:rFonts w:hint="default" w:ascii="宋体" w:hAnsi="宋体" w:cs="宋体"/>
                <w:sz w:val="18"/>
                <w:szCs w:val="18"/>
                <w:highlight w:val="none"/>
                <w:lang w:val="en-US"/>
              </w:rPr>
            </w:pPr>
            <w:r>
              <w:rPr>
                <w:rFonts w:hint="eastAsia" w:ascii="宋体" w:hAnsi="宋体" w:cs="宋体"/>
                <w:sz w:val="18"/>
                <w:szCs w:val="18"/>
                <w:highlight w:val="none"/>
                <w:lang w:val="en-US" w:eastAsia="zh-CN"/>
              </w:rPr>
              <w:t>在</w:t>
            </w:r>
            <w:r>
              <w:rPr>
                <w:rFonts w:hint="eastAsia" w:ascii="宋体" w:hAnsi="宋体" w:cs="宋体"/>
                <w:sz w:val="18"/>
                <w:szCs w:val="18"/>
                <w:highlight w:val="none"/>
              </w:rPr>
              <w:t>2025、2030、2035年</w:t>
            </w:r>
            <w:r>
              <w:rPr>
                <w:rFonts w:hint="eastAsia" w:ascii="宋体" w:hAnsi="宋体" w:cs="宋体"/>
                <w:sz w:val="18"/>
                <w:szCs w:val="18"/>
                <w:highlight w:val="none"/>
                <w:lang w:eastAsia="zh-CN"/>
              </w:rPr>
              <w:t>，</w:t>
            </w:r>
            <w:r>
              <w:rPr>
                <w:rFonts w:hint="eastAsia" w:ascii="宋体" w:hAnsi="宋体" w:cs="宋体"/>
                <w:sz w:val="18"/>
                <w:szCs w:val="18"/>
                <w:highlight w:val="none"/>
              </w:rPr>
              <w:t>纯电动乘用车整车轻量化系数降低15%、25%、35%，客车整车轻量化系数降低5%、10%、15%</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载货车载质量利用系数提高5%、10%、15%。</w:t>
            </w:r>
          </w:p>
        </w:tc>
        <w:tc>
          <w:tcPr>
            <w:tcW w:w="922" w:type="pct"/>
            <w:noWrap w:val="0"/>
            <w:vAlign w:val="center"/>
          </w:tcPr>
          <w:p>
            <w:pPr>
              <w:widowControl/>
              <w:numPr>
                <w:ilvl w:val="0"/>
                <w:numId w:val="0"/>
              </w:numPr>
              <w:autoSpaceDE/>
              <w:autoSpaceDN/>
              <w:jc w:val="center"/>
              <w:rPr>
                <w:rFonts w:hint="eastAsia" w:ascii="宋体" w:hAnsi="宋体" w:cs="宋体"/>
                <w:sz w:val="18"/>
                <w:szCs w:val="18"/>
                <w:highlight w:val="none"/>
              </w:rPr>
            </w:pPr>
            <w:r>
              <w:rPr>
                <w:rFonts w:hint="eastAsia" w:ascii="宋体" w:hAnsi="宋体" w:cs="宋体"/>
                <w:sz w:val="18"/>
                <w:szCs w:val="18"/>
                <w:highlight w:val="none"/>
              </w:rPr>
              <w:t>节能与新能源汽车技术路线图2.0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46" w:type="pct"/>
            <w:vMerge w:val="continue"/>
            <w:tcBorders>
              <w:left w:val="single" w:color="auto" w:sz="4" w:space="0"/>
              <w:right w:val="single" w:color="auto" w:sz="4" w:space="0"/>
            </w:tcBorders>
            <w:noWrap w:val="0"/>
            <w:vAlign w:val="center"/>
          </w:tcPr>
          <w:p>
            <w:pPr>
              <w:autoSpaceDE w:val="0"/>
              <w:autoSpaceDN w:val="0"/>
              <w:jc w:val="center"/>
              <w:rPr>
                <w:rFonts w:hint="eastAsia" w:ascii="宋体" w:hAnsi="宋体" w:cs="宋体"/>
                <w:sz w:val="18"/>
                <w:szCs w:val="18"/>
                <w:highlight w:val="none"/>
                <w:lang w:val="en-US" w:eastAsia="zh-CN"/>
              </w:rPr>
            </w:pPr>
          </w:p>
        </w:tc>
        <w:tc>
          <w:tcPr>
            <w:tcW w:w="776" w:type="pct"/>
            <w:vMerge w:val="continue"/>
            <w:tcBorders>
              <w:left w:val="single" w:color="auto" w:sz="4" w:space="0"/>
              <w:right w:val="single" w:color="auto" w:sz="4" w:space="0"/>
            </w:tcBorders>
            <w:noWrap w:val="0"/>
            <w:vAlign w:val="center"/>
          </w:tcPr>
          <w:p>
            <w:pPr>
              <w:jc w:val="left"/>
              <w:rPr>
                <w:rFonts w:hint="eastAsia" w:ascii="宋体" w:hAnsi="宋体" w:cs="宋体"/>
                <w:sz w:val="18"/>
                <w:szCs w:val="18"/>
                <w:highlight w:val="none"/>
                <w:lang w:val="en-US" w:eastAsia="zh-CN"/>
              </w:rPr>
            </w:pPr>
          </w:p>
        </w:tc>
        <w:tc>
          <w:tcPr>
            <w:tcW w:w="711" w:type="pct"/>
            <w:tcBorders>
              <w:left w:val="single" w:color="auto" w:sz="4" w:space="0"/>
              <w:right w:val="single" w:color="auto" w:sz="4" w:space="0"/>
            </w:tcBorders>
            <w:noWrap w:val="0"/>
            <w:vAlign w:val="center"/>
          </w:tcPr>
          <w:p>
            <w:pPr>
              <w:autoSpaceDE w:val="0"/>
              <w:autoSpaceDN w:val="0"/>
              <w:jc w:val="center"/>
              <w:rPr>
                <w:rFonts w:hint="eastAsia" w:ascii="宋体" w:hAnsi="宋体" w:eastAsia="宋体" w:cs="宋体"/>
                <w:i w:val="0"/>
                <w:iCs w:val="0"/>
                <w:caps w:val="0"/>
                <w:spacing w:val="0"/>
                <w:sz w:val="18"/>
                <w:szCs w:val="18"/>
                <w:highlight w:val="none"/>
                <w:shd w:val="clear" w:color="auto" w:fill="auto"/>
                <w:lang w:val="en-US" w:eastAsia="zh-CN"/>
              </w:rPr>
            </w:pPr>
            <w:r>
              <w:rPr>
                <w:rFonts w:hint="default" w:ascii="宋体" w:hAnsi="宋体" w:cs="宋体"/>
                <w:sz w:val="18"/>
                <w:szCs w:val="18"/>
                <w:highlight w:val="none"/>
                <w:shd w:val="clear" w:color="auto" w:fill="auto"/>
              </w:rPr>
              <w:t>免热处理合金材料</w:t>
            </w:r>
            <w:r>
              <w:rPr>
                <w:rFonts w:hint="eastAsia" w:ascii="宋体" w:hAnsi="宋体" w:cs="宋体"/>
                <w:sz w:val="18"/>
                <w:szCs w:val="18"/>
                <w:highlight w:val="none"/>
                <w:shd w:val="clear" w:color="auto" w:fill="auto"/>
                <w:lang w:val="en-US" w:eastAsia="zh-CN"/>
              </w:rPr>
              <w:t>性能</w:t>
            </w:r>
          </w:p>
        </w:tc>
        <w:tc>
          <w:tcPr>
            <w:tcW w:w="2043" w:type="pct"/>
            <w:tcBorders>
              <w:left w:val="single" w:color="auto" w:sz="4" w:space="0"/>
            </w:tcBorders>
            <w:noWrap w:val="0"/>
            <w:vAlign w:val="center"/>
          </w:tcPr>
          <w:p>
            <w:pPr>
              <w:jc w:val="both"/>
              <w:rPr>
                <w:rFonts w:hint="eastAsia" w:ascii="宋体" w:hAnsi="宋体" w:eastAsia="宋体" w:cs="宋体"/>
                <w:sz w:val="18"/>
                <w:szCs w:val="18"/>
                <w:highlight w:val="none"/>
                <w:lang w:val="en-US" w:eastAsia="zh-CN"/>
              </w:rPr>
            </w:pPr>
            <w:r>
              <w:rPr>
                <w:rFonts w:hint="default" w:ascii="宋体" w:hAnsi="宋体" w:cs="宋体"/>
                <w:sz w:val="18"/>
                <w:szCs w:val="18"/>
                <w:highlight w:val="none"/>
              </w:rPr>
              <w:t>抗拉强度大于180MPa，屈服强度大于120MPa，同时伸长率大于8%</w:t>
            </w:r>
            <w:r>
              <w:rPr>
                <w:rFonts w:hint="eastAsia" w:ascii="宋体" w:hAnsi="宋体" w:cs="宋体"/>
                <w:sz w:val="18"/>
                <w:szCs w:val="18"/>
                <w:highlight w:val="none"/>
                <w:lang w:eastAsia="zh-CN"/>
              </w:rPr>
              <w:t>。</w:t>
            </w:r>
          </w:p>
        </w:tc>
        <w:tc>
          <w:tcPr>
            <w:tcW w:w="922" w:type="pct"/>
            <w:noWrap w:val="0"/>
            <w:vAlign w:val="center"/>
          </w:tcPr>
          <w:p>
            <w:pPr>
              <w:widowControl/>
              <w:numPr>
                <w:ilvl w:val="0"/>
                <w:numId w:val="0"/>
              </w:numPr>
              <w:autoSpaceDE/>
              <w:autoSpaceDN/>
              <w:jc w:val="center"/>
              <w:rPr>
                <w:rFonts w:hint="default" w:ascii="宋体" w:hAnsi="宋体" w:eastAsia="宋体" w:cs="宋体"/>
                <w:sz w:val="18"/>
                <w:szCs w:val="18"/>
                <w:highlight w:val="none"/>
                <w:lang w:val="en-US" w:eastAsia="zh-CN"/>
              </w:rPr>
            </w:pPr>
            <w:r>
              <w:rPr>
                <w:rFonts w:hint="default" w:ascii="宋体" w:hAnsi="宋体" w:cs="宋体"/>
                <w:sz w:val="18"/>
                <w:szCs w:val="18"/>
                <w:highlight w:val="none"/>
              </w:rPr>
              <w:t>T/CSAE 198－2021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46" w:type="pct"/>
            <w:vMerge w:val="continue"/>
            <w:tcBorders>
              <w:left w:val="single" w:color="auto" w:sz="4" w:space="0"/>
              <w:right w:val="single" w:color="auto" w:sz="4" w:space="0"/>
            </w:tcBorders>
            <w:noWrap w:val="0"/>
            <w:vAlign w:val="center"/>
          </w:tcPr>
          <w:p>
            <w:pPr>
              <w:autoSpaceDE w:val="0"/>
              <w:autoSpaceDN w:val="0"/>
              <w:jc w:val="center"/>
              <w:rPr>
                <w:rFonts w:hint="eastAsia" w:ascii="宋体" w:hAnsi="宋体" w:cs="宋体"/>
                <w:sz w:val="18"/>
                <w:szCs w:val="18"/>
                <w:highlight w:val="none"/>
                <w:lang w:val="en-US" w:eastAsia="zh-CN"/>
              </w:rPr>
            </w:pPr>
          </w:p>
        </w:tc>
        <w:tc>
          <w:tcPr>
            <w:tcW w:w="776" w:type="pct"/>
            <w:vMerge w:val="continue"/>
            <w:tcBorders>
              <w:left w:val="single" w:color="auto" w:sz="4" w:space="0"/>
              <w:right w:val="single" w:color="auto" w:sz="4" w:space="0"/>
            </w:tcBorders>
            <w:noWrap w:val="0"/>
            <w:vAlign w:val="center"/>
          </w:tcPr>
          <w:p>
            <w:pPr>
              <w:jc w:val="left"/>
              <w:rPr>
                <w:rFonts w:hint="eastAsia" w:ascii="宋体" w:hAnsi="宋体" w:cs="宋体"/>
                <w:sz w:val="18"/>
                <w:szCs w:val="18"/>
                <w:highlight w:val="none"/>
                <w:lang w:val="en-US" w:eastAsia="zh-CN"/>
              </w:rPr>
            </w:pPr>
          </w:p>
        </w:tc>
        <w:tc>
          <w:tcPr>
            <w:tcW w:w="711" w:type="pct"/>
            <w:tcBorders>
              <w:left w:val="single" w:color="auto" w:sz="4" w:space="0"/>
              <w:right w:val="single" w:color="auto" w:sz="4" w:space="0"/>
            </w:tcBorders>
            <w:noWrap w:val="0"/>
            <w:vAlign w:val="center"/>
          </w:tcPr>
          <w:p>
            <w:pPr>
              <w:autoSpaceDE w:val="0"/>
              <w:autoSpaceDN w:val="0"/>
              <w:jc w:val="center"/>
              <w:rPr>
                <w:rFonts w:hint="eastAsia" w:ascii="宋体" w:hAnsi="宋体" w:eastAsia="宋体" w:cs="宋体"/>
                <w:sz w:val="18"/>
                <w:szCs w:val="18"/>
                <w:highlight w:val="none"/>
                <w:shd w:val="clear" w:color="auto" w:fill="auto"/>
                <w:lang w:val="en-US" w:eastAsia="zh-CN"/>
              </w:rPr>
            </w:pPr>
            <w:r>
              <w:rPr>
                <w:rFonts w:ascii="宋体" w:hAnsi="宋体" w:eastAsia="宋体" w:cs="宋体"/>
                <w:i w:val="0"/>
                <w:iCs w:val="0"/>
                <w:caps w:val="0"/>
                <w:color w:val="333333"/>
                <w:spacing w:val="0"/>
                <w:sz w:val="18"/>
                <w:szCs w:val="18"/>
                <w:highlight w:val="none"/>
                <w:shd w:val="clear" w:color="auto" w:fill="auto"/>
              </w:rPr>
              <w:t>碳纤维及其复合材料</w:t>
            </w:r>
            <w:r>
              <w:rPr>
                <w:rFonts w:hint="eastAsia" w:ascii="宋体" w:hAnsi="宋体" w:cs="宋体"/>
                <w:i w:val="0"/>
                <w:iCs w:val="0"/>
                <w:caps w:val="0"/>
                <w:color w:val="333333"/>
                <w:spacing w:val="0"/>
                <w:sz w:val="18"/>
                <w:szCs w:val="18"/>
                <w:highlight w:val="none"/>
                <w:shd w:val="clear" w:color="auto" w:fill="auto"/>
                <w:lang w:val="en-US" w:eastAsia="zh-CN"/>
              </w:rPr>
              <w:t>性能</w:t>
            </w:r>
          </w:p>
        </w:tc>
        <w:tc>
          <w:tcPr>
            <w:tcW w:w="2043" w:type="pct"/>
            <w:tcBorders>
              <w:left w:val="single" w:color="auto" w:sz="4" w:space="0"/>
            </w:tcBorders>
            <w:noWrap w:val="0"/>
            <w:vAlign w:val="center"/>
          </w:tcPr>
          <w:p>
            <w:pPr>
              <w:jc w:val="both"/>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应符合</w:t>
            </w:r>
            <w:r>
              <w:rPr>
                <w:rFonts w:hint="eastAsia" w:ascii="宋体" w:hAnsi="宋体" w:cs="宋体"/>
                <w:sz w:val="18"/>
                <w:szCs w:val="18"/>
                <w:highlight w:val="none"/>
              </w:rPr>
              <w:t>GB/T 39491-2020</w:t>
            </w:r>
            <w:r>
              <w:rPr>
                <w:rFonts w:hint="eastAsia" w:ascii="宋体" w:hAnsi="宋体" w:cs="宋体"/>
                <w:sz w:val="18"/>
                <w:szCs w:val="18"/>
                <w:highlight w:val="none"/>
                <w:lang w:val="en-US" w:eastAsia="zh-CN"/>
              </w:rPr>
              <w:t>有关要求。</w:t>
            </w:r>
          </w:p>
        </w:tc>
        <w:tc>
          <w:tcPr>
            <w:tcW w:w="922" w:type="pct"/>
            <w:noWrap w:val="0"/>
            <w:vAlign w:val="center"/>
          </w:tcPr>
          <w:p>
            <w:pPr>
              <w:widowControl/>
              <w:numPr>
                <w:ilvl w:val="0"/>
                <w:numId w:val="0"/>
              </w:numPr>
              <w:autoSpaceDE/>
              <w:autoSpaceDN/>
              <w:jc w:val="center"/>
              <w:rPr>
                <w:rFonts w:hint="eastAsia" w:ascii="宋体" w:hAnsi="宋体" w:cs="宋体"/>
                <w:sz w:val="18"/>
                <w:szCs w:val="18"/>
                <w:highlight w:val="none"/>
                <w:lang w:val="en-US" w:eastAsia="zh-CN"/>
              </w:rPr>
            </w:pPr>
            <w:r>
              <w:rPr>
                <w:rFonts w:hint="eastAsia" w:ascii="宋体" w:hAnsi="宋体" w:cs="宋体"/>
                <w:sz w:val="18"/>
                <w:szCs w:val="18"/>
                <w:highlight w:val="none"/>
              </w:rPr>
              <w:t>GB/T 39491-2020</w:t>
            </w:r>
          </w:p>
        </w:tc>
      </w:tr>
    </w:tbl>
    <w:p>
      <w:pPr>
        <w:pStyle w:val="64"/>
        <w:spacing w:before="156" w:after="156"/>
        <w:rPr>
          <w:rFonts w:hAnsi="黑体" w:cs="黑体"/>
          <w:highlight w:val="none"/>
        </w:rPr>
      </w:pPr>
      <w:r>
        <w:rPr>
          <w:rFonts w:hint="eastAsia"/>
          <w:highlight w:val="none"/>
        </w:rPr>
        <w:t>动力电池系统及核心零部件</w:t>
      </w:r>
    </w:p>
    <w:p>
      <w:pPr>
        <w:autoSpaceDE w:val="0"/>
        <w:autoSpaceDN w:val="0"/>
        <w:spacing w:line="240" w:lineRule="auto"/>
        <w:ind w:firstLine="420" w:firstLineChars="200"/>
        <w:rPr>
          <w:rFonts w:hint="eastAsia" w:ascii="Times New Roman" w:hAnsi="Times New Roman" w:eastAsia="宋体" w:cs="Times New Roman"/>
          <w:szCs w:val="21"/>
          <w:highlight w:val="none"/>
        </w:rPr>
      </w:pPr>
      <w:r>
        <w:rPr>
          <w:rFonts w:hint="eastAsia"/>
          <w:szCs w:val="21"/>
          <w:highlight w:val="none"/>
        </w:rPr>
        <w:t>为新能源汽车动力系统提供能量的相关装置制造。包括锂离子电池、锂硫电池、固态电池等各类储能装置及关键原材料和核心零部件的生产制造</w:t>
      </w:r>
      <w:r>
        <w:rPr>
          <w:rFonts w:hint="eastAsia"/>
          <w:szCs w:val="21"/>
          <w:highlight w:val="none"/>
          <w:lang w:eastAsia="zh-CN"/>
        </w:rPr>
        <w:t>（</w:t>
      </w:r>
      <w:r>
        <w:rPr>
          <w:rFonts w:hint="eastAsia"/>
          <w:szCs w:val="21"/>
          <w:highlight w:val="none"/>
        </w:rPr>
        <w:t>包括正极、负极、隔膜、电解液等</w:t>
      </w:r>
      <w:r>
        <w:rPr>
          <w:rFonts w:hint="eastAsia"/>
          <w:szCs w:val="21"/>
          <w:highlight w:val="none"/>
          <w:lang w:eastAsia="zh-CN"/>
        </w:rPr>
        <w:t>）</w:t>
      </w:r>
      <w:r>
        <w:rPr>
          <w:rFonts w:hint="eastAsia"/>
          <w:szCs w:val="21"/>
          <w:highlight w:val="none"/>
        </w:rPr>
        <w:t>，以及电池管理系统</w:t>
      </w:r>
      <w:r>
        <w:rPr>
          <w:rFonts w:hint="eastAsia"/>
          <w:szCs w:val="21"/>
          <w:highlight w:val="none"/>
          <w:lang w:eastAsia="zh-CN"/>
        </w:rPr>
        <w:t>，</w:t>
      </w:r>
      <w:r>
        <w:rPr>
          <w:rFonts w:hint="eastAsia"/>
          <w:szCs w:val="21"/>
          <w:highlight w:val="none"/>
        </w:rPr>
        <w:t>具体评价内容及评价方法</w:t>
      </w:r>
      <w:r>
        <w:rPr>
          <w:rFonts w:hint="eastAsia" w:ascii="宋体" w:hAnsi="宋体" w:cs="宋体"/>
          <w:szCs w:val="21"/>
          <w:highlight w:val="none"/>
        </w:rPr>
        <w:t>见表</w:t>
      </w:r>
      <w:r>
        <w:rPr>
          <w:rFonts w:hint="eastAsia" w:ascii="宋体" w:hAnsi="宋体" w:cs="宋体"/>
          <w:szCs w:val="21"/>
          <w:highlight w:val="none"/>
          <w:lang w:val="en-US" w:eastAsia="zh-CN"/>
        </w:rPr>
        <w:t>5</w:t>
      </w:r>
      <w:r>
        <w:rPr>
          <w:rFonts w:hint="eastAsia"/>
          <w:szCs w:val="21"/>
          <w:highlight w:val="none"/>
        </w:rPr>
        <w:t>。</w:t>
      </w:r>
    </w:p>
    <w:p>
      <w:pPr>
        <w:numPr>
          <w:ilvl w:val="0"/>
          <w:numId w:val="17"/>
        </w:numPr>
        <w:spacing w:before="156" w:beforeLines="50" w:after="156" w:afterLines="50"/>
        <w:jc w:val="center"/>
        <w:rPr>
          <w:szCs w:val="21"/>
          <w:highlight w:val="none"/>
        </w:rPr>
      </w:pPr>
      <w:r>
        <w:rPr>
          <w:rFonts w:hint="eastAsia" w:eastAsia="黑体"/>
          <w:highlight w:val="none"/>
        </w:rPr>
        <w:t>动力电池系统及核心零部件关键</w:t>
      </w:r>
      <w:r>
        <w:rPr>
          <w:rFonts w:eastAsia="黑体"/>
          <w:highlight w:val="none"/>
        </w:rPr>
        <w:t>技术先进性</w:t>
      </w:r>
      <w:r>
        <w:rPr>
          <w:rFonts w:hint="eastAsia" w:eastAsia="黑体"/>
          <w:highlight w:val="none"/>
        </w:rPr>
        <w:t>评价规则表</w:t>
      </w:r>
    </w:p>
    <w:tbl>
      <w:tblPr>
        <w:tblStyle w:val="3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377"/>
        <w:gridCol w:w="1710"/>
        <w:gridCol w:w="2980"/>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评价环节</w:t>
            </w:r>
          </w:p>
        </w:tc>
        <w:tc>
          <w:tcPr>
            <w:tcW w:w="720"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评价对象</w:t>
            </w:r>
          </w:p>
        </w:tc>
        <w:tc>
          <w:tcPr>
            <w:tcW w:w="894"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核心评价指标</w:t>
            </w:r>
          </w:p>
        </w:tc>
        <w:tc>
          <w:tcPr>
            <w:tcW w:w="1558"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评价维度</w:t>
            </w:r>
          </w:p>
        </w:tc>
        <w:tc>
          <w:tcPr>
            <w:tcW w:w="1280"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46" w:type="pct"/>
            <w:vMerge w:val="restart"/>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生产制造</w:t>
            </w:r>
          </w:p>
        </w:tc>
        <w:tc>
          <w:tcPr>
            <w:tcW w:w="720" w:type="pct"/>
            <w:noWrap w:val="0"/>
            <w:vAlign w:val="center"/>
          </w:tcPr>
          <w:p>
            <w:pPr>
              <w:jc w:val="center"/>
              <w:rPr>
                <w:rFonts w:hint="default" w:ascii="宋体" w:hAnsi="宋体" w:cs="宋体"/>
                <w:sz w:val="18"/>
                <w:szCs w:val="18"/>
                <w:highlight w:val="none"/>
                <w:lang w:val="en-US"/>
              </w:rPr>
            </w:pPr>
            <w:r>
              <w:rPr>
                <w:rFonts w:hint="eastAsia" w:ascii="宋体" w:hAnsi="宋体" w:cs="宋体"/>
                <w:sz w:val="18"/>
                <w:szCs w:val="18"/>
                <w:highlight w:val="none"/>
              </w:rPr>
              <w:t>锂离子电池、锂硫电池、固态电池等</w:t>
            </w:r>
          </w:p>
        </w:tc>
        <w:tc>
          <w:tcPr>
            <w:tcW w:w="894" w:type="pct"/>
            <w:noWrap w:val="0"/>
            <w:vAlign w:val="center"/>
          </w:tcPr>
          <w:p>
            <w:p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能量密度</w:t>
            </w:r>
          </w:p>
        </w:tc>
        <w:tc>
          <w:tcPr>
            <w:tcW w:w="1558" w:type="pct"/>
            <w:noWrap w:val="0"/>
            <w:vAlign w:val="center"/>
          </w:tcPr>
          <w:p>
            <w:pPr>
              <w:pStyle w:val="2"/>
              <w:numPr>
                <w:ilvl w:val="0"/>
                <w:numId w:val="0"/>
              </w:numPr>
              <w:ind w:left="0" w:leftChars="0" w:firstLine="0" w:firstLineChars="0"/>
              <w:jc w:val="both"/>
              <w:rPr>
                <w:rFonts w:hint="default"/>
                <w:kern w:val="2"/>
                <w:sz w:val="18"/>
                <w:szCs w:val="18"/>
                <w:highlight w:val="none"/>
                <w:lang w:val="en-US" w:eastAsia="zh-CN" w:bidi="ar-SA"/>
              </w:rPr>
            </w:pPr>
            <w:r>
              <w:rPr>
                <w:rFonts w:hint="eastAsia"/>
                <w:kern w:val="2"/>
                <w:sz w:val="18"/>
                <w:szCs w:val="18"/>
                <w:highlight w:val="none"/>
                <w:lang w:val="en-US" w:eastAsia="zh-CN" w:bidi="ar-SA"/>
              </w:rPr>
              <w:t>三元单体电池能量密度≥210Wh/kg，电池组能量密度≥150Wh/kg；其他能量型单体电池能量密度≥160Wh/kg，电池组能量密度≥115Wh/kg。</w:t>
            </w:r>
          </w:p>
        </w:tc>
        <w:tc>
          <w:tcPr>
            <w:tcW w:w="1280" w:type="pct"/>
            <w:noWrap w:val="0"/>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锂离子电池行业规范条件（2021年本）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ascii="宋体" w:hAnsi="宋体" w:cs="宋体"/>
                <w:sz w:val="18"/>
                <w:szCs w:val="18"/>
                <w:highlight w:val="none"/>
              </w:rPr>
            </w:pPr>
          </w:p>
        </w:tc>
        <w:tc>
          <w:tcPr>
            <w:tcW w:w="720" w:type="pct"/>
            <w:noWrap w:val="0"/>
            <w:vAlign w:val="center"/>
          </w:tcPr>
          <w:p>
            <w:pPr>
              <w:autoSpaceDE w:val="0"/>
              <w:autoSpaceDN w:val="0"/>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负极材料</w:t>
            </w:r>
          </w:p>
        </w:tc>
        <w:tc>
          <w:tcPr>
            <w:tcW w:w="894" w:type="pct"/>
            <w:noWrap w:val="0"/>
            <w:vAlign w:val="center"/>
          </w:tcPr>
          <w:p>
            <w:pPr>
              <w:autoSpaceDE w:val="0"/>
              <w:autoSpaceDN w:val="0"/>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克容量</w:t>
            </w:r>
          </w:p>
        </w:tc>
        <w:tc>
          <w:tcPr>
            <w:tcW w:w="1558" w:type="pct"/>
            <w:noWrap w:val="0"/>
            <w:vAlign w:val="center"/>
          </w:tcPr>
          <w:p>
            <w:pPr>
              <w:numPr>
                <w:ilvl w:val="0"/>
                <w:numId w:val="0"/>
              </w:numPr>
              <w:jc w:val="both"/>
              <w:rPr>
                <w:rFonts w:hint="eastAsia" w:ascii="宋体" w:hAnsi="宋体" w:cs="宋体"/>
                <w:sz w:val="18"/>
                <w:szCs w:val="18"/>
                <w:highlight w:val="none"/>
              </w:rPr>
            </w:pPr>
            <w:r>
              <w:rPr>
                <w:rFonts w:hint="eastAsia" w:ascii="宋体" w:hAnsi="宋体" w:cs="宋体"/>
                <w:sz w:val="18"/>
                <w:szCs w:val="18"/>
                <w:highlight w:val="none"/>
              </w:rPr>
              <w:t>碳（石墨）：</w:t>
            </w:r>
            <w:r>
              <w:rPr>
                <w:rFonts w:hint="eastAsia" w:ascii="宋体" w:hAnsi="宋体" w:cs="宋体"/>
                <w:sz w:val="18"/>
                <w:szCs w:val="18"/>
                <w:highlight w:val="none"/>
                <w:lang w:val="en-US" w:eastAsia="zh-CN"/>
              </w:rPr>
              <w:t>克</w:t>
            </w:r>
            <w:r>
              <w:rPr>
                <w:rFonts w:hint="eastAsia" w:ascii="宋体" w:hAnsi="宋体" w:cs="宋体"/>
                <w:sz w:val="18"/>
                <w:szCs w:val="18"/>
                <w:highlight w:val="none"/>
              </w:rPr>
              <w:t>容量≥3</w:t>
            </w:r>
            <w:r>
              <w:rPr>
                <w:rFonts w:hint="eastAsia" w:ascii="宋体" w:hAnsi="宋体" w:cs="宋体"/>
                <w:sz w:val="18"/>
                <w:szCs w:val="18"/>
                <w:highlight w:val="none"/>
                <w:lang w:val="en-US" w:eastAsia="zh-CN"/>
              </w:rPr>
              <w:t>72m</w:t>
            </w:r>
            <w:r>
              <w:rPr>
                <w:rFonts w:hint="eastAsia" w:ascii="宋体" w:hAnsi="宋体" w:eastAsia="宋体" w:cs="宋体"/>
                <w:kern w:val="2"/>
                <w:sz w:val="18"/>
                <w:szCs w:val="18"/>
                <w:highlight w:val="none"/>
                <w:lang w:val="en-US" w:eastAsia="zh-CN" w:bidi="ar-SA"/>
              </w:rPr>
              <w:t>A</w:t>
            </w:r>
            <w:r>
              <w:rPr>
                <w:rFonts w:hint="eastAsia" w:ascii="微软雅黑" w:hAnsi="微软雅黑" w:eastAsia="微软雅黑" w:cs="微软雅黑"/>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h/g</w:t>
            </w:r>
            <w:r>
              <w:rPr>
                <w:rFonts w:hint="eastAsia" w:ascii="宋体" w:hAnsi="宋体" w:eastAsia="宋体" w:cs="宋体"/>
                <w:sz w:val="18"/>
                <w:szCs w:val="18"/>
                <w:highlight w:val="none"/>
                <w:lang w:eastAsia="zh-CN"/>
              </w:rPr>
              <w:t>；</w:t>
            </w:r>
          </w:p>
          <w:p>
            <w:pPr>
              <w:pStyle w:val="2"/>
              <w:jc w:val="both"/>
              <w:rPr>
                <w:rFonts w:hint="default" w:eastAsia="宋体"/>
                <w:lang w:val="en-US" w:eastAsia="zh-CN"/>
              </w:rPr>
            </w:pPr>
            <w:r>
              <w:rPr>
                <w:rFonts w:hint="eastAsia" w:cs="宋体"/>
                <w:sz w:val="18"/>
                <w:szCs w:val="18"/>
                <w:highlight w:val="none"/>
                <w:lang w:val="en-US" w:eastAsia="zh-CN"/>
              </w:rPr>
              <w:t>硅负极：</w:t>
            </w:r>
            <w:r>
              <w:rPr>
                <w:rFonts w:hint="eastAsia" w:ascii="宋体" w:hAnsi="宋体" w:eastAsia="宋体" w:cs="宋体"/>
                <w:sz w:val="18"/>
                <w:szCs w:val="18"/>
                <w:highlight w:val="none"/>
                <w:lang w:val="en-US" w:eastAsia="zh-CN"/>
              </w:rPr>
              <w:t>克</w:t>
            </w:r>
            <w:r>
              <w:rPr>
                <w:rFonts w:hint="eastAsia" w:ascii="宋体" w:hAnsi="宋体" w:eastAsia="宋体" w:cs="宋体"/>
                <w:sz w:val="18"/>
                <w:szCs w:val="18"/>
                <w:highlight w:val="none"/>
              </w:rPr>
              <w:t>容量≥</w:t>
            </w:r>
            <w:r>
              <w:rPr>
                <w:rFonts w:hint="eastAsia" w:cs="宋体"/>
                <w:sz w:val="18"/>
                <w:szCs w:val="18"/>
                <w:highlight w:val="none"/>
                <w:lang w:val="en-US" w:eastAsia="zh-CN"/>
              </w:rPr>
              <w:t>400</w:t>
            </w:r>
            <w:r>
              <w:rPr>
                <w:rFonts w:hint="eastAsia" w:ascii="宋体" w:hAnsi="宋体" w:cs="宋体"/>
                <w:sz w:val="18"/>
                <w:szCs w:val="18"/>
                <w:highlight w:val="none"/>
                <w:lang w:val="en-US" w:eastAsia="zh-CN"/>
              </w:rPr>
              <w:t>m</w:t>
            </w:r>
            <w:r>
              <w:rPr>
                <w:rFonts w:hint="eastAsia" w:ascii="宋体" w:hAnsi="宋体" w:eastAsia="宋体" w:cs="宋体"/>
                <w:kern w:val="2"/>
                <w:sz w:val="18"/>
                <w:szCs w:val="18"/>
                <w:highlight w:val="none"/>
                <w:lang w:val="en-US" w:eastAsia="zh-CN" w:bidi="ar-SA"/>
              </w:rPr>
              <w:t>A</w:t>
            </w:r>
            <w:r>
              <w:rPr>
                <w:rFonts w:hint="eastAsia" w:ascii="微软雅黑" w:hAnsi="微软雅黑" w:eastAsia="微软雅黑" w:cs="微软雅黑"/>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h/g</w:t>
            </w:r>
            <w:r>
              <w:rPr>
                <w:rFonts w:hint="eastAsia" w:ascii="宋体" w:hAnsi="宋体" w:cs="宋体"/>
                <w:sz w:val="18"/>
                <w:szCs w:val="18"/>
                <w:highlight w:val="none"/>
              </w:rPr>
              <w:t>。</w:t>
            </w:r>
          </w:p>
          <w:p>
            <w:pPr>
              <w:numPr>
                <w:ilvl w:val="0"/>
                <w:numId w:val="0"/>
              </w:numPr>
              <w:ind w:left="0" w:leftChars="0" w:firstLine="0" w:firstLineChars="0"/>
              <w:jc w:val="both"/>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其他：可参照上述要求。</w:t>
            </w:r>
          </w:p>
        </w:tc>
        <w:tc>
          <w:tcPr>
            <w:tcW w:w="1280" w:type="pct"/>
            <w:noWrap w:val="0"/>
            <w:vAlign w:val="center"/>
          </w:tcPr>
          <w:p>
            <w:pPr>
              <w:pStyle w:val="2"/>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46" w:type="pct"/>
            <w:vMerge w:val="continue"/>
            <w:noWrap w:val="0"/>
            <w:vAlign w:val="center"/>
          </w:tcPr>
          <w:p>
            <w:pPr>
              <w:autoSpaceDE w:val="0"/>
              <w:autoSpaceDN w:val="0"/>
              <w:jc w:val="center"/>
              <w:rPr>
                <w:rFonts w:ascii="宋体" w:hAnsi="宋体" w:cs="宋体"/>
                <w:sz w:val="18"/>
                <w:szCs w:val="18"/>
                <w:highlight w:val="none"/>
              </w:rPr>
            </w:pPr>
          </w:p>
        </w:tc>
        <w:tc>
          <w:tcPr>
            <w:tcW w:w="720" w:type="pct"/>
            <w:noWrap w:val="0"/>
            <w:vAlign w:val="center"/>
          </w:tcPr>
          <w:p>
            <w:pPr>
              <w:autoSpaceDE w:val="0"/>
              <w:autoSpaceDN w:val="0"/>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正极材料</w:t>
            </w:r>
          </w:p>
        </w:tc>
        <w:tc>
          <w:tcPr>
            <w:tcW w:w="894" w:type="pct"/>
            <w:noWrap w:val="0"/>
            <w:vAlign w:val="center"/>
          </w:tcPr>
          <w:p>
            <w:pPr>
              <w:autoSpaceDE w:val="0"/>
              <w:autoSpaceDN w:val="0"/>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克容量</w:t>
            </w:r>
          </w:p>
        </w:tc>
        <w:tc>
          <w:tcPr>
            <w:tcW w:w="1558" w:type="pct"/>
            <w:noWrap w:val="0"/>
            <w:vAlign w:val="center"/>
          </w:tcPr>
          <w:p>
            <w:pPr>
              <w:pStyle w:val="2"/>
              <w:numPr>
                <w:ilvl w:val="0"/>
                <w:numId w:val="0"/>
              </w:numPr>
              <w:jc w:val="both"/>
              <w:rPr>
                <w:rFonts w:hint="eastAsia"/>
                <w:kern w:val="2"/>
                <w:sz w:val="18"/>
                <w:szCs w:val="18"/>
                <w:highlight w:val="none"/>
                <w:lang w:val="en-US" w:eastAsia="zh-CN" w:bidi="ar-SA"/>
              </w:rPr>
            </w:pPr>
            <w:r>
              <w:rPr>
                <w:rFonts w:hint="eastAsia"/>
                <w:kern w:val="2"/>
                <w:sz w:val="18"/>
                <w:szCs w:val="18"/>
                <w:highlight w:val="none"/>
                <w:lang w:val="en-US" w:eastAsia="zh-CN" w:bidi="ar-SA"/>
              </w:rPr>
              <w:t>磷酸铁锂：比容量≥156</w:t>
            </w:r>
            <w:r>
              <w:rPr>
                <w:rFonts w:hint="eastAsia" w:ascii="宋体" w:hAnsi="宋体" w:cs="宋体"/>
                <w:sz w:val="18"/>
                <w:szCs w:val="18"/>
                <w:highlight w:val="none"/>
                <w:lang w:val="en-US" w:eastAsia="zh-CN"/>
              </w:rPr>
              <w:t>m</w:t>
            </w:r>
            <w:r>
              <w:rPr>
                <w:rFonts w:hint="eastAsia" w:ascii="宋体" w:hAnsi="宋体" w:eastAsia="宋体" w:cs="宋体"/>
                <w:kern w:val="2"/>
                <w:sz w:val="18"/>
                <w:szCs w:val="18"/>
                <w:highlight w:val="none"/>
                <w:lang w:val="en-US" w:eastAsia="zh-CN" w:bidi="ar-SA"/>
              </w:rPr>
              <w:t>A</w:t>
            </w:r>
            <w:r>
              <w:rPr>
                <w:rFonts w:hint="eastAsia" w:ascii="微软雅黑" w:hAnsi="微软雅黑" w:eastAsia="微软雅黑" w:cs="微软雅黑"/>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h/g</w:t>
            </w:r>
            <w:r>
              <w:rPr>
                <w:rFonts w:hint="eastAsia"/>
                <w:kern w:val="2"/>
                <w:sz w:val="18"/>
                <w:szCs w:val="18"/>
                <w:highlight w:val="none"/>
                <w:lang w:val="en-US" w:eastAsia="zh-CN" w:bidi="ar-SA"/>
              </w:rPr>
              <w:t>。</w:t>
            </w:r>
          </w:p>
          <w:p>
            <w:pPr>
              <w:pStyle w:val="2"/>
              <w:numPr>
                <w:ilvl w:val="0"/>
                <w:numId w:val="0"/>
              </w:numPr>
              <w:jc w:val="both"/>
              <w:rPr>
                <w:rFonts w:hint="eastAsia"/>
                <w:kern w:val="2"/>
                <w:sz w:val="18"/>
                <w:szCs w:val="18"/>
                <w:highlight w:val="none"/>
                <w:lang w:val="en-US" w:eastAsia="zh-CN" w:bidi="ar-SA"/>
              </w:rPr>
            </w:pPr>
            <w:r>
              <w:rPr>
                <w:rFonts w:hint="eastAsia"/>
                <w:kern w:val="2"/>
                <w:sz w:val="18"/>
                <w:szCs w:val="18"/>
                <w:highlight w:val="none"/>
                <w:lang w:val="en-US" w:eastAsia="zh-CN" w:bidi="ar-SA"/>
              </w:rPr>
              <w:t>三元材料：比容量≥200</w:t>
            </w:r>
            <w:r>
              <w:rPr>
                <w:rFonts w:hint="eastAsia" w:ascii="宋体" w:hAnsi="宋体" w:cs="宋体"/>
                <w:sz w:val="18"/>
                <w:szCs w:val="18"/>
                <w:highlight w:val="none"/>
                <w:lang w:val="en-US" w:eastAsia="zh-CN"/>
              </w:rPr>
              <w:t>m</w:t>
            </w:r>
            <w:r>
              <w:rPr>
                <w:rFonts w:hint="eastAsia" w:ascii="宋体" w:hAnsi="宋体" w:eastAsia="宋体" w:cs="宋体"/>
                <w:kern w:val="2"/>
                <w:sz w:val="18"/>
                <w:szCs w:val="18"/>
                <w:highlight w:val="none"/>
                <w:lang w:val="en-US" w:eastAsia="zh-CN" w:bidi="ar-SA"/>
              </w:rPr>
              <w:t>A</w:t>
            </w:r>
            <w:r>
              <w:rPr>
                <w:rFonts w:hint="eastAsia" w:ascii="微软雅黑" w:hAnsi="微软雅黑" w:eastAsia="微软雅黑" w:cs="微软雅黑"/>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h/g</w:t>
            </w:r>
            <w:r>
              <w:rPr>
                <w:rFonts w:hint="eastAsia"/>
                <w:kern w:val="2"/>
                <w:sz w:val="18"/>
                <w:szCs w:val="18"/>
                <w:highlight w:val="none"/>
                <w:lang w:val="en-US" w:eastAsia="zh-CN" w:bidi="ar-SA"/>
              </w:rPr>
              <w:t>。</w:t>
            </w:r>
          </w:p>
          <w:p>
            <w:pPr>
              <w:pStyle w:val="2"/>
              <w:numPr>
                <w:ilvl w:val="0"/>
                <w:numId w:val="0"/>
              </w:numPr>
              <w:jc w:val="both"/>
              <w:rPr>
                <w:rFonts w:hint="eastAsia"/>
                <w:kern w:val="2"/>
                <w:sz w:val="18"/>
                <w:szCs w:val="18"/>
                <w:highlight w:val="none"/>
                <w:lang w:val="en-US" w:eastAsia="zh-CN" w:bidi="ar-SA"/>
              </w:rPr>
            </w:pPr>
            <w:r>
              <w:rPr>
                <w:rFonts w:hint="eastAsia"/>
                <w:kern w:val="2"/>
                <w:sz w:val="18"/>
                <w:szCs w:val="18"/>
                <w:highlight w:val="none"/>
                <w:lang w:val="en-US" w:eastAsia="zh-CN" w:bidi="ar-SA"/>
              </w:rPr>
              <w:t>钴酸锂：比容量≥137</w:t>
            </w:r>
            <w:r>
              <w:rPr>
                <w:rFonts w:hint="eastAsia" w:ascii="宋体" w:hAnsi="宋体" w:cs="宋体"/>
                <w:sz w:val="18"/>
                <w:szCs w:val="18"/>
                <w:highlight w:val="none"/>
                <w:lang w:val="en-US" w:eastAsia="zh-CN"/>
              </w:rPr>
              <w:t>m</w:t>
            </w:r>
            <w:r>
              <w:rPr>
                <w:rFonts w:hint="eastAsia" w:ascii="宋体" w:hAnsi="宋体" w:eastAsia="宋体" w:cs="宋体"/>
                <w:kern w:val="2"/>
                <w:sz w:val="18"/>
                <w:szCs w:val="18"/>
                <w:highlight w:val="none"/>
                <w:lang w:val="en-US" w:eastAsia="zh-CN" w:bidi="ar-SA"/>
              </w:rPr>
              <w:t>A</w:t>
            </w:r>
            <w:r>
              <w:rPr>
                <w:rFonts w:hint="eastAsia" w:ascii="微软雅黑" w:hAnsi="微软雅黑" w:eastAsia="微软雅黑" w:cs="微软雅黑"/>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h/g</w:t>
            </w:r>
            <w:r>
              <w:rPr>
                <w:rFonts w:hint="eastAsia"/>
                <w:kern w:val="2"/>
                <w:sz w:val="18"/>
                <w:szCs w:val="18"/>
                <w:highlight w:val="none"/>
                <w:lang w:val="en-US" w:eastAsia="zh-CN" w:bidi="ar-SA"/>
              </w:rPr>
              <w:t>。</w:t>
            </w:r>
          </w:p>
          <w:p>
            <w:pPr>
              <w:pStyle w:val="2"/>
              <w:numPr>
                <w:ilvl w:val="0"/>
                <w:numId w:val="0"/>
              </w:numPr>
              <w:jc w:val="both"/>
              <w:rPr>
                <w:rFonts w:hint="eastAsia"/>
                <w:kern w:val="2"/>
                <w:sz w:val="18"/>
                <w:szCs w:val="18"/>
                <w:highlight w:val="none"/>
                <w:lang w:val="en-US" w:eastAsia="zh-CN" w:bidi="ar-SA"/>
              </w:rPr>
            </w:pPr>
            <w:r>
              <w:rPr>
                <w:rFonts w:hint="eastAsia"/>
                <w:kern w:val="2"/>
                <w:sz w:val="18"/>
                <w:szCs w:val="18"/>
                <w:highlight w:val="none"/>
                <w:lang w:val="en-US" w:eastAsia="zh-CN" w:bidi="ar-SA"/>
              </w:rPr>
              <w:t>锰酸锂：比容量≥120</w:t>
            </w:r>
            <w:r>
              <w:rPr>
                <w:rFonts w:hint="eastAsia" w:ascii="宋体" w:hAnsi="宋体" w:cs="宋体"/>
                <w:sz w:val="18"/>
                <w:szCs w:val="18"/>
                <w:highlight w:val="none"/>
                <w:lang w:val="en-US" w:eastAsia="zh-CN"/>
              </w:rPr>
              <w:t>m</w:t>
            </w:r>
            <w:r>
              <w:rPr>
                <w:rFonts w:hint="eastAsia" w:ascii="宋体" w:hAnsi="宋体" w:eastAsia="宋体" w:cs="宋体"/>
                <w:kern w:val="2"/>
                <w:sz w:val="18"/>
                <w:szCs w:val="18"/>
                <w:highlight w:val="none"/>
                <w:lang w:val="en-US" w:eastAsia="zh-CN" w:bidi="ar-SA"/>
              </w:rPr>
              <w:t>A</w:t>
            </w:r>
            <w:r>
              <w:rPr>
                <w:rFonts w:hint="eastAsia" w:ascii="微软雅黑" w:hAnsi="微软雅黑" w:eastAsia="微软雅黑" w:cs="微软雅黑"/>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h/g</w:t>
            </w:r>
            <w:r>
              <w:rPr>
                <w:rFonts w:hint="eastAsia"/>
                <w:kern w:val="2"/>
                <w:sz w:val="18"/>
                <w:szCs w:val="18"/>
                <w:highlight w:val="none"/>
                <w:lang w:val="en-US" w:eastAsia="zh-CN" w:bidi="ar-SA"/>
              </w:rPr>
              <w:t>。</w:t>
            </w:r>
          </w:p>
          <w:p>
            <w:pPr>
              <w:pStyle w:val="2"/>
              <w:numPr>
                <w:ilvl w:val="0"/>
                <w:numId w:val="0"/>
              </w:numPr>
              <w:ind w:left="0" w:leftChars="0" w:firstLine="0" w:firstLineChars="0"/>
              <w:jc w:val="both"/>
              <w:rPr>
                <w:rFonts w:hint="eastAsia" w:ascii="宋体" w:hAnsi="宋体" w:eastAsia="宋体" w:cs="宋体"/>
                <w:kern w:val="2"/>
                <w:sz w:val="18"/>
                <w:szCs w:val="18"/>
                <w:highlight w:val="none"/>
                <w:lang w:val="en-US" w:eastAsia="zh-CN" w:bidi="ar-SA"/>
              </w:rPr>
            </w:pPr>
            <w:r>
              <w:rPr>
                <w:rFonts w:hint="eastAsia"/>
                <w:kern w:val="2"/>
                <w:sz w:val="18"/>
                <w:szCs w:val="18"/>
                <w:highlight w:val="none"/>
                <w:lang w:val="en-US" w:eastAsia="zh-CN" w:bidi="ar-SA"/>
              </w:rPr>
              <w:t>其他：可参照上述要求。</w:t>
            </w:r>
          </w:p>
        </w:tc>
        <w:tc>
          <w:tcPr>
            <w:tcW w:w="1280" w:type="pct"/>
            <w:noWrap w:val="0"/>
            <w:vAlign w:val="center"/>
          </w:tcPr>
          <w:p>
            <w:pPr>
              <w:numPr>
                <w:ilvl w:val="0"/>
                <w:numId w:val="0"/>
              </w:numPr>
              <w:autoSpaceDE/>
              <w:autoSpaceDN/>
              <w:jc w:val="center"/>
              <w:rPr>
                <w:rFonts w:hint="default" w:ascii="宋体" w:hAnsi="宋体" w:cs="宋体"/>
                <w:sz w:val="18"/>
                <w:szCs w:val="18"/>
                <w:highlight w:val="none"/>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ascii="宋体" w:hAnsi="宋体" w:cs="宋体"/>
                <w:sz w:val="18"/>
                <w:szCs w:val="18"/>
                <w:highlight w:val="none"/>
              </w:rPr>
            </w:pPr>
          </w:p>
        </w:tc>
        <w:tc>
          <w:tcPr>
            <w:tcW w:w="720" w:type="pct"/>
            <w:noWrap w:val="0"/>
            <w:vAlign w:val="center"/>
          </w:tcPr>
          <w:p>
            <w:pPr>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rPr>
              <w:t>电池管理系统</w:t>
            </w:r>
          </w:p>
        </w:tc>
        <w:tc>
          <w:tcPr>
            <w:tcW w:w="894" w:type="pct"/>
            <w:noWrap w:val="0"/>
            <w:vAlign w:val="center"/>
          </w:tcPr>
          <w:p>
            <w:pPr>
              <w:autoSpaceDE w:val="0"/>
              <w:autoSpaceDN w:val="0"/>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SOC估算累积误差</w:t>
            </w:r>
          </w:p>
        </w:tc>
        <w:tc>
          <w:tcPr>
            <w:tcW w:w="1558" w:type="pct"/>
            <w:noWrap w:val="0"/>
            <w:vAlign w:val="center"/>
          </w:tcPr>
          <w:p>
            <w:pPr>
              <w:pStyle w:val="2"/>
              <w:numPr>
                <w:ilvl w:val="0"/>
                <w:numId w:val="0"/>
              </w:numPr>
              <w:jc w:val="both"/>
              <w:rPr>
                <w:rFonts w:hint="eastAsia"/>
                <w:kern w:val="2"/>
                <w:sz w:val="18"/>
                <w:szCs w:val="18"/>
                <w:highlight w:val="none"/>
                <w:lang w:val="en-US" w:eastAsia="zh-CN" w:bidi="ar-SA"/>
              </w:rPr>
            </w:pPr>
            <w:r>
              <w:rPr>
                <w:rFonts w:hint="eastAsia" w:cs="宋体"/>
                <w:kern w:val="2"/>
                <w:sz w:val="18"/>
                <w:szCs w:val="18"/>
                <w:highlight w:val="none"/>
                <w:lang w:val="en-US" w:eastAsia="zh-CN" w:bidi="ar-SA"/>
              </w:rPr>
              <w:t>常温状态下，</w:t>
            </w:r>
            <w:r>
              <w:rPr>
                <w:rFonts w:hint="eastAsia" w:ascii="宋体" w:hAnsi="宋体" w:cs="宋体"/>
                <w:sz w:val="18"/>
                <w:szCs w:val="18"/>
                <w:highlight w:val="none"/>
                <w:lang w:val="en-US" w:eastAsia="zh-CN"/>
              </w:rPr>
              <w:t>SOC估算累积误差</w:t>
            </w:r>
            <w:r>
              <w:rPr>
                <w:rFonts w:hint="eastAsia" w:ascii="宋体" w:hAnsi="宋体" w:cs="宋体"/>
                <w:kern w:val="2"/>
                <w:sz w:val="18"/>
                <w:szCs w:val="18"/>
                <w:highlight w:val="none"/>
                <w:lang w:val="en-US" w:eastAsia="zh-CN" w:bidi="ar-SA"/>
              </w:rPr>
              <w:t>≤</w:t>
            </w:r>
            <w:r>
              <w:rPr>
                <w:rFonts w:hint="eastAsia" w:cs="宋体"/>
                <w:kern w:val="2"/>
                <w:sz w:val="18"/>
                <w:szCs w:val="18"/>
                <w:highlight w:val="none"/>
                <w:lang w:val="en-US" w:eastAsia="zh-CN" w:bidi="ar-SA"/>
              </w:rPr>
              <w:t>3</w:t>
            </w:r>
            <w:r>
              <w:rPr>
                <w:rFonts w:hint="eastAsia" w:ascii="宋体" w:hAnsi="宋体" w:cs="宋体"/>
                <w:kern w:val="2"/>
                <w:sz w:val="18"/>
                <w:szCs w:val="18"/>
                <w:highlight w:val="none"/>
                <w:lang w:val="en-US" w:eastAsia="zh-CN" w:bidi="ar-SA"/>
              </w:rPr>
              <w:t>%</w:t>
            </w:r>
            <w:r>
              <w:rPr>
                <w:rFonts w:hint="eastAsia" w:cs="宋体"/>
                <w:kern w:val="2"/>
                <w:sz w:val="18"/>
                <w:szCs w:val="18"/>
                <w:highlight w:val="none"/>
                <w:lang w:val="en-US" w:eastAsia="zh-CN" w:bidi="ar-SA"/>
              </w:rPr>
              <w:t>。</w:t>
            </w:r>
          </w:p>
        </w:tc>
        <w:tc>
          <w:tcPr>
            <w:tcW w:w="1280" w:type="pct"/>
            <w:noWrap w:val="0"/>
            <w:vAlign w:val="center"/>
          </w:tcPr>
          <w:p>
            <w:pPr>
              <w:jc w:val="center"/>
              <w:rPr>
                <w:rFonts w:hint="default" w:ascii="宋体" w:hAnsi="宋体" w:eastAsia="宋体" w:cs="宋体"/>
                <w:kern w:val="2"/>
                <w:sz w:val="18"/>
                <w:szCs w:val="18"/>
                <w:highlight w:val="none"/>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ascii="宋体" w:hAnsi="宋体" w:cs="宋体"/>
                <w:sz w:val="18"/>
                <w:szCs w:val="18"/>
                <w:highlight w:val="none"/>
              </w:rPr>
            </w:pPr>
          </w:p>
        </w:tc>
        <w:tc>
          <w:tcPr>
            <w:tcW w:w="720" w:type="pct"/>
            <w:noWrap w:val="0"/>
            <w:vAlign w:val="center"/>
          </w:tcPr>
          <w:p>
            <w:pPr>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隔膜</w:t>
            </w:r>
          </w:p>
        </w:tc>
        <w:tc>
          <w:tcPr>
            <w:tcW w:w="894" w:type="pct"/>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拉伸强度、穿刺度</w:t>
            </w:r>
          </w:p>
        </w:tc>
        <w:tc>
          <w:tcPr>
            <w:tcW w:w="1558" w:type="pct"/>
            <w:noWrap w:val="0"/>
            <w:vAlign w:val="center"/>
          </w:tcPr>
          <w:p>
            <w:pPr>
              <w:jc w:val="both"/>
              <w:rPr>
                <w:rFonts w:hint="eastAsia" w:ascii="宋体" w:hAnsi="宋体" w:cs="宋体"/>
                <w:sz w:val="18"/>
                <w:szCs w:val="18"/>
                <w:lang w:eastAsia="zh-CN"/>
              </w:rPr>
            </w:pPr>
            <w:r>
              <w:rPr>
                <w:rFonts w:hint="eastAsia" w:ascii="宋体" w:hAnsi="宋体" w:cs="宋体"/>
                <w:sz w:val="18"/>
                <w:szCs w:val="18"/>
                <w:lang w:eastAsia="zh-CN"/>
              </w:rPr>
              <w:t>1.干法单向拉伸: 纵向拉伸强度≥110MPa，横向拉伸强度≥10MPa，穿刺度≥0.133N/um。</w:t>
            </w:r>
          </w:p>
          <w:p>
            <w:pPr>
              <w:jc w:val="both"/>
              <w:rPr>
                <w:rFonts w:hint="eastAsia" w:ascii="宋体" w:hAnsi="宋体" w:cs="宋体"/>
                <w:sz w:val="18"/>
                <w:szCs w:val="18"/>
                <w:lang w:eastAsia="zh-CN"/>
              </w:rPr>
            </w:pPr>
            <w:r>
              <w:rPr>
                <w:rFonts w:hint="eastAsia" w:ascii="宋体" w:hAnsi="宋体" w:cs="宋体"/>
                <w:sz w:val="18"/>
                <w:szCs w:val="18"/>
                <w:lang w:eastAsia="zh-CN"/>
              </w:rPr>
              <w:t>2.干法双向拉伸: 纵向拉伸强度≥100MPa，横向拉伸强度≥25MPa，穿刺度≥0.133N/um。</w:t>
            </w:r>
          </w:p>
          <w:p>
            <w:pPr>
              <w:jc w:val="both"/>
              <w:rPr>
                <w:rFonts w:hint="default" w:ascii="宋体" w:hAnsi="宋体" w:cs="宋体"/>
                <w:sz w:val="18"/>
                <w:szCs w:val="18"/>
                <w:highlight w:val="none"/>
                <w:lang w:val="en-US" w:eastAsia="zh-CN"/>
              </w:rPr>
            </w:pPr>
            <w:r>
              <w:rPr>
                <w:rFonts w:hint="eastAsia" w:ascii="宋体" w:hAnsi="宋体" w:cs="宋体"/>
                <w:sz w:val="18"/>
                <w:szCs w:val="18"/>
                <w:lang w:eastAsia="zh-CN"/>
              </w:rPr>
              <w:t>3.湿法双向拉伸: 纵向拉伸强度≥100MPa，横向拉伸强度≥60MPa，穿刺度≥0.204N/um。</w:t>
            </w:r>
          </w:p>
        </w:tc>
        <w:tc>
          <w:tcPr>
            <w:tcW w:w="1280" w:type="pct"/>
            <w:noWrap w:val="0"/>
            <w:vAlign w:val="center"/>
          </w:tcPr>
          <w:p>
            <w:pPr>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锂离子电池行业规范条件（2021年本）</w:t>
            </w:r>
          </w:p>
        </w:tc>
      </w:tr>
    </w:tbl>
    <w:p>
      <w:pPr>
        <w:pStyle w:val="2"/>
      </w:pPr>
    </w:p>
    <w:p>
      <w:pPr>
        <w:pStyle w:val="64"/>
        <w:spacing w:before="156" w:after="156"/>
        <w:rPr>
          <w:rFonts w:hAnsi="黑体" w:cs="黑体"/>
          <w:highlight w:val="none"/>
        </w:rPr>
      </w:pPr>
      <w:r>
        <w:rPr>
          <w:rFonts w:hint="eastAsia"/>
          <w:highlight w:val="none"/>
        </w:rPr>
        <w:t>新能源汽车电机/发动机</w:t>
      </w:r>
    </w:p>
    <w:p>
      <w:pPr>
        <w:autoSpaceDE w:val="0"/>
        <w:autoSpaceDN w:val="0"/>
        <w:spacing w:line="240" w:lineRule="auto"/>
        <w:ind w:firstLine="420" w:firstLineChars="200"/>
        <w:rPr>
          <w:rFonts w:hint="eastAsia" w:ascii="Times New Roman" w:hAnsi="Times New Roman" w:eastAsia="宋体" w:cs="Times New Roman"/>
          <w:szCs w:val="21"/>
          <w:highlight w:val="none"/>
        </w:rPr>
      </w:pPr>
      <w:r>
        <w:rPr>
          <w:rFonts w:hint="eastAsia"/>
          <w:szCs w:val="21"/>
          <w:highlight w:val="none"/>
        </w:rPr>
        <w:t>新能源汽车用电机、发动机、插电式混合动力专用发动机、电机控制器以及电驱动总成技术开发以及产品制造，包括永磁同步电机、交流异步电机、开关磁阻电机、电机永磁材料、专用硅钢片、阿特金森循环发动机，增程器专用发动机，绝缘栅双极晶体管（IGBT）、膜电容、微控制单元（MCU）等</w:t>
      </w:r>
      <w:r>
        <w:rPr>
          <w:rFonts w:hint="eastAsia"/>
          <w:szCs w:val="21"/>
          <w:highlight w:val="none"/>
          <w:lang w:eastAsia="zh-CN"/>
        </w:rPr>
        <w:t>，</w:t>
      </w:r>
      <w:r>
        <w:rPr>
          <w:rFonts w:hint="eastAsia"/>
          <w:szCs w:val="21"/>
          <w:highlight w:val="none"/>
        </w:rPr>
        <w:t>具体评价内容及评价方法</w:t>
      </w:r>
      <w:r>
        <w:rPr>
          <w:rFonts w:hint="eastAsia" w:ascii="宋体" w:hAnsi="宋体" w:cs="宋体"/>
          <w:szCs w:val="21"/>
          <w:highlight w:val="none"/>
        </w:rPr>
        <w:t>见表</w:t>
      </w:r>
      <w:r>
        <w:rPr>
          <w:rFonts w:hint="eastAsia" w:ascii="宋体" w:hAnsi="宋体" w:cs="宋体"/>
          <w:szCs w:val="21"/>
          <w:highlight w:val="none"/>
          <w:lang w:val="en-US" w:eastAsia="zh-CN"/>
        </w:rPr>
        <w:t>6</w:t>
      </w:r>
      <w:r>
        <w:rPr>
          <w:rFonts w:hint="eastAsia"/>
          <w:szCs w:val="21"/>
          <w:highlight w:val="none"/>
        </w:rPr>
        <w:t>。</w:t>
      </w:r>
    </w:p>
    <w:p>
      <w:pPr>
        <w:numPr>
          <w:ilvl w:val="0"/>
          <w:numId w:val="17"/>
        </w:numPr>
        <w:spacing w:before="156" w:beforeLines="50" w:after="156" w:afterLines="50"/>
        <w:jc w:val="center"/>
        <w:rPr>
          <w:szCs w:val="21"/>
          <w:highlight w:val="none"/>
        </w:rPr>
      </w:pPr>
      <w:r>
        <w:rPr>
          <w:rFonts w:hint="eastAsia" w:eastAsia="黑体"/>
          <w:highlight w:val="none"/>
        </w:rPr>
        <w:t>新能源汽车电机/发动机关键</w:t>
      </w:r>
      <w:r>
        <w:rPr>
          <w:rFonts w:eastAsia="黑体"/>
          <w:highlight w:val="none"/>
        </w:rPr>
        <w:t>技术先进性</w:t>
      </w:r>
      <w:r>
        <w:rPr>
          <w:rFonts w:hint="eastAsia" w:eastAsia="黑体"/>
          <w:highlight w:val="none"/>
        </w:rPr>
        <w:t>评价规则表</w:t>
      </w:r>
    </w:p>
    <w:tbl>
      <w:tblPr>
        <w:tblStyle w:val="3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1630"/>
        <w:gridCol w:w="1459"/>
        <w:gridCol w:w="3657"/>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评价环节</w:t>
            </w:r>
          </w:p>
        </w:tc>
        <w:tc>
          <w:tcPr>
            <w:tcW w:w="852"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评价对象</w:t>
            </w:r>
          </w:p>
        </w:tc>
        <w:tc>
          <w:tcPr>
            <w:tcW w:w="763"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核心评价指标</w:t>
            </w:r>
          </w:p>
        </w:tc>
        <w:tc>
          <w:tcPr>
            <w:tcW w:w="1912"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评价维度</w:t>
            </w:r>
          </w:p>
        </w:tc>
        <w:tc>
          <w:tcPr>
            <w:tcW w:w="923"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48" w:type="pct"/>
            <w:vMerge w:val="restart"/>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生产制造</w:t>
            </w:r>
          </w:p>
        </w:tc>
        <w:tc>
          <w:tcPr>
            <w:tcW w:w="852" w:type="pct"/>
            <w:vMerge w:val="restart"/>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永磁同步电机、交流异步电机、开关磁阻电机</w:t>
            </w:r>
          </w:p>
        </w:tc>
        <w:tc>
          <w:tcPr>
            <w:tcW w:w="763" w:type="pct"/>
            <w:noWrap w:val="0"/>
            <w:vAlign w:val="center"/>
          </w:tcPr>
          <w:p>
            <w:pPr>
              <w:autoSpaceDE w:val="0"/>
              <w:autoSpaceDN w:val="0"/>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最高工作转速</w:t>
            </w:r>
          </w:p>
        </w:tc>
        <w:tc>
          <w:tcPr>
            <w:tcW w:w="1912" w:type="pct"/>
            <w:noWrap w:val="0"/>
            <w:vAlign w:val="center"/>
          </w:tcPr>
          <w:p>
            <w:pPr>
              <w:jc w:val="both"/>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不低于18000转/分。</w:t>
            </w:r>
          </w:p>
        </w:tc>
        <w:tc>
          <w:tcPr>
            <w:tcW w:w="923" w:type="pct"/>
            <w:vMerge w:val="restart"/>
            <w:noWrap w:val="0"/>
            <w:vAlign w:val="center"/>
          </w:tcPr>
          <w:p>
            <w:pPr>
              <w:widowControl/>
              <w:numPr>
                <w:ilvl w:val="0"/>
                <w:numId w:val="0"/>
              </w:num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科技部关于发布国家重点研发计划“先进结构与复合材料”等重点专项2022年度项目申报指南的通知  国科发资〔2022〕100号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48" w:type="pct"/>
            <w:vMerge w:val="continue"/>
            <w:noWrap w:val="0"/>
            <w:vAlign w:val="center"/>
          </w:tcPr>
          <w:p>
            <w:pPr>
              <w:autoSpaceDE w:val="0"/>
              <w:autoSpaceDN w:val="0"/>
              <w:jc w:val="center"/>
              <w:rPr>
                <w:rFonts w:ascii="宋体" w:hAnsi="宋体" w:cs="宋体"/>
                <w:sz w:val="18"/>
                <w:szCs w:val="18"/>
                <w:highlight w:val="none"/>
              </w:rPr>
            </w:pPr>
          </w:p>
        </w:tc>
        <w:tc>
          <w:tcPr>
            <w:tcW w:w="852" w:type="pct"/>
            <w:vMerge w:val="continue"/>
            <w:noWrap w:val="0"/>
            <w:vAlign w:val="center"/>
          </w:tcPr>
          <w:p>
            <w:pPr>
              <w:jc w:val="center"/>
              <w:rPr>
                <w:rFonts w:ascii="宋体" w:hAnsi="宋体" w:cs="宋体"/>
                <w:sz w:val="18"/>
                <w:szCs w:val="18"/>
                <w:highlight w:val="none"/>
              </w:rPr>
            </w:pPr>
          </w:p>
        </w:tc>
        <w:tc>
          <w:tcPr>
            <w:tcW w:w="76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峰值比功率</w:t>
            </w:r>
          </w:p>
        </w:tc>
        <w:tc>
          <w:tcPr>
            <w:tcW w:w="1912" w:type="pct"/>
            <w:noWrap w:val="0"/>
            <w:vAlign w:val="center"/>
          </w:tcPr>
          <w:p>
            <w:pPr>
              <w:rPr>
                <w:rFonts w:hint="default"/>
                <w:highlight w:val="none"/>
                <w:lang w:val="en-US" w:eastAsia="zh-CN"/>
              </w:rPr>
            </w:pPr>
            <w:r>
              <w:rPr>
                <w:rFonts w:hint="eastAsia" w:ascii="宋体" w:hAnsi="宋体" w:cs="宋体"/>
                <w:sz w:val="18"/>
                <w:szCs w:val="18"/>
                <w:highlight w:val="none"/>
                <w:lang w:val="en-US" w:eastAsia="zh-CN"/>
              </w:rPr>
              <w:t>不低于5.5千瓦/公斤。</w:t>
            </w:r>
          </w:p>
        </w:tc>
        <w:tc>
          <w:tcPr>
            <w:tcW w:w="923" w:type="pct"/>
            <w:vMerge w:val="continue"/>
            <w:noWrap w:val="0"/>
            <w:vAlign w:val="center"/>
          </w:tcPr>
          <w:p>
            <w:pPr>
              <w:pStyle w:val="2"/>
              <w:jc w:val="center"/>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48" w:type="pct"/>
            <w:vMerge w:val="continue"/>
            <w:noWrap w:val="0"/>
            <w:vAlign w:val="center"/>
          </w:tcPr>
          <w:p>
            <w:pPr>
              <w:autoSpaceDE w:val="0"/>
              <w:autoSpaceDN w:val="0"/>
              <w:jc w:val="center"/>
              <w:rPr>
                <w:rFonts w:ascii="宋体" w:hAnsi="宋体" w:cs="宋体"/>
                <w:sz w:val="18"/>
                <w:szCs w:val="18"/>
                <w:highlight w:val="none"/>
              </w:rPr>
            </w:pPr>
          </w:p>
        </w:tc>
        <w:tc>
          <w:tcPr>
            <w:tcW w:w="852" w:type="pct"/>
            <w:vMerge w:val="continue"/>
            <w:noWrap w:val="0"/>
            <w:vAlign w:val="center"/>
          </w:tcPr>
          <w:p>
            <w:pPr>
              <w:jc w:val="center"/>
              <w:rPr>
                <w:rFonts w:ascii="宋体" w:hAnsi="宋体" w:cs="宋体"/>
                <w:sz w:val="18"/>
                <w:szCs w:val="18"/>
                <w:highlight w:val="none"/>
              </w:rPr>
            </w:pPr>
          </w:p>
        </w:tc>
        <w:tc>
          <w:tcPr>
            <w:tcW w:w="76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峰值效率</w:t>
            </w:r>
          </w:p>
        </w:tc>
        <w:tc>
          <w:tcPr>
            <w:tcW w:w="1912" w:type="pct"/>
            <w:noWrap w:val="0"/>
            <w:vAlign w:val="center"/>
          </w:tcPr>
          <w:p>
            <w:pPr>
              <w:jc w:val="both"/>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不低于97.5%。</w:t>
            </w:r>
          </w:p>
        </w:tc>
        <w:tc>
          <w:tcPr>
            <w:tcW w:w="923" w:type="pct"/>
            <w:vMerge w:val="continue"/>
            <w:noWrap w:val="0"/>
            <w:vAlign w:val="center"/>
          </w:tcPr>
          <w:p>
            <w:pPr>
              <w:pStyle w:val="2"/>
              <w:jc w:val="center"/>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8" w:type="pct"/>
            <w:vMerge w:val="continue"/>
            <w:noWrap w:val="0"/>
            <w:vAlign w:val="center"/>
          </w:tcPr>
          <w:p>
            <w:pPr>
              <w:autoSpaceDE w:val="0"/>
              <w:autoSpaceDN w:val="0"/>
              <w:jc w:val="center"/>
              <w:rPr>
                <w:rFonts w:ascii="宋体" w:hAnsi="宋体" w:cs="宋体"/>
                <w:sz w:val="18"/>
                <w:szCs w:val="18"/>
                <w:highlight w:val="none"/>
              </w:rPr>
            </w:pPr>
          </w:p>
        </w:tc>
        <w:tc>
          <w:tcPr>
            <w:tcW w:w="852" w:type="pct"/>
            <w:vMerge w:val="continue"/>
            <w:noWrap w:val="0"/>
            <w:vAlign w:val="center"/>
          </w:tcPr>
          <w:p>
            <w:pPr>
              <w:jc w:val="center"/>
              <w:rPr>
                <w:rFonts w:ascii="宋体" w:hAnsi="宋体" w:cs="宋体"/>
                <w:sz w:val="18"/>
                <w:szCs w:val="18"/>
                <w:highlight w:val="none"/>
              </w:rPr>
            </w:pPr>
          </w:p>
        </w:tc>
        <w:tc>
          <w:tcPr>
            <w:tcW w:w="763" w:type="pct"/>
            <w:noWrap w:val="0"/>
            <w:vAlign w:val="center"/>
          </w:tcPr>
          <w:p>
            <w:pPr>
              <w:autoSpaceDE w:val="0"/>
              <w:autoSpaceDN w:val="0"/>
              <w:jc w:val="center"/>
              <w:rPr>
                <w:rFonts w:hint="eastAsia" w:ascii="宋体" w:hAnsi="宋体" w:cs="宋体"/>
                <w:sz w:val="18"/>
                <w:szCs w:val="18"/>
                <w:highlight w:val="none"/>
                <w:lang w:val="en-US" w:eastAsia="zh-CN"/>
              </w:rPr>
            </w:pPr>
            <w:r>
              <w:rPr>
                <w:rFonts w:hint="eastAsia" w:ascii="宋体" w:hAnsi="宋体" w:cs="宋体"/>
                <w:sz w:val="18"/>
                <w:szCs w:val="18"/>
                <w:highlight w:val="none"/>
              </w:rPr>
              <w:t>电机性能包络线的1米噪声总声压级</w:t>
            </w:r>
          </w:p>
        </w:tc>
        <w:tc>
          <w:tcPr>
            <w:tcW w:w="1912" w:type="pct"/>
            <w:noWrap w:val="0"/>
            <w:vAlign w:val="center"/>
          </w:tcPr>
          <w:p>
            <w:pPr>
              <w:jc w:val="both"/>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不超过75分贝。</w:t>
            </w:r>
          </w:p>
        </w:tc>
        <w:tc>
          <w:tcPr>
            <w:tcW w:w="923" w:type="pct"/>
            <w:vMerge w:val="continue"/>
            <w:noWrap w:val="0"/>
            <w:vAlign w:val="center"/>
          </w:tcPr>
          <w:p>
            <w:pPr>
              <w:pStyle w:val="2"/>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Merge w:val="continue"/>
            <w:noWrap w:val="0"/>
            <w:vAlign w:val="center"/>
          </w:tcPr>
          <w:p>
            <w:pPr>
              <w:autoSpaceDE w:val="0"/>
              <w:autoSpaceDN w:val="0"/>
              <w:jc w:val="center"/>
              <w:rPr>
                <w:rFonts w:ascii="宋体" w:hAnsi="宋体" w:cs="宋体"/>
                <w:sz w:val="18"/>
                <w:szCs w:val="18"/>
                <w:highlight w:val="none"/>
              </w:rPr>
            </w:pPr>
          </w:p>
        </w:tc>
        <w:tc>
          <w:tcPr>
            <w:tcW w:w="852" w:type="pct"/>
            <w:noWrap w:val="0"/>
            <w:vAlign w:val="center"/>
          </w:tcPr>
          <w:p>
            <w:pPr>
              <w:jc w:val="center"/>
              <w:rPr>
                <w:rFonts w:hint="default" w:ascii="宋体" w:hAnsi="宋体" w:cs="宋体"/>
                <w:sz w:val="18"/>
                <w:szCs w:val="18"/>
                <w:highlight w:val="none"/>
              </w:rPr>
            </w:pPr>
            <w:r>
              <w:rPr>
                <w:rFonts w:hint="eastAsia" w:ascii="宋体" w:hAnsi="宋体" w:cs="宋体"/>
                <w:sz w:val="18"/>
                <w:szCs w:val="18"/>
                <w:highlight w:val="none"/>
              </w:rPr>
              <w:t>阿特金森循环发动机</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增程器专用发动机</w:t>
            </w:r>
          </w:p>
        </w:tc>
        <w:tc>
          <w:tcPr>
            <w:tcW w:w="76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热效率</w:t>
            </w:r>
          </w:p>
        </w:tc>
        <w:tc>
          <w:tcPr>
            <w:tcW w:w="1912" w:type="pct"/>
            <w:noWrap w:val="0"/>
            <w:vAlign w:val="center"/>
          </w:tcPr>
          <w:p>
            <w:pPr>
              <w:jc w:val="both"/>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不低于45%。</w:t>
            </w:r>
          </w:p>
        </w:tc>
        <w:tc>
          <w:tcPr>
            <w:tcW w:w="923" w:type="pct"/>
            <w:noWrap w:val="0"/>
            <w:vAlign w:val="center"/>
          </w:tcPr>
          <w:p>
            <w:pPr>
              <w:autoSpaceDE/>
              <w:autoSpaceDN/>
              <w:jc w:val="center"/>
              <w:rPr>
                <w:rFonts w:hint="eastAsia" w:ascii="宋体" w:hAnsi="宋体" w:cs="宋体"/>
                <w:sz w:val="18"/>
                <w:szCs w:val="18"/>
                <w:highlight w:val="none"/>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Merge w:val="continue"/>
            <w:noWrap w:val="0"/>
            <w:vAlign w:val="center"/>
          </w:tcPr>
          <w:p>
            <w:pPr>
              <w:autoSpaceDE w:val="0"/>
              <w:autoSpaceDN w:val="0"/>
              <w:jc w:val="center"/>
              <w:rPr>
                <w:rFonts w:ascii="宋体" w:hAnsi="宋体" w:cs="宋体"/>
                <w:sz w:val="18"/>
                <w:szCs w:val="18"/>
                <w:highlight w:val="none"/>
              </w:rPr>
            </w:pPr>
          </w:p>
        </w:tc>
        <w:tc>
          <w:tcPr>
            <w:tcW w:w="852" w:type="pct"/>
            <w:vMerge w:val="restart"/>
            <w:noWrap w:val="0"/>
            <w:vAlign w:val="center"/>
          </w:tcPr>
          <w:p>
            <w:pPr>
              <w:jc w:val="center"/>
              <w:rPr>
                <w:rFonts w:hint="default" w:ascii="宋体" w:hAnsi="宋体" w:eastAsia="宋体" w:cs="宋体"/>
                <w:sz w:val="18"/>
                <w:szCs w:val="18"/>
                <w:highlight w:val="none"/>
                <w:lang w:val="en-US" w:eastAsia="zh-CN"/>
              </w:rPr>
            </w:pPr>
            <w:r>
              <w:rPr>
                <w:rFonts w:hint="default" w:ascii="宋体" w:hAnsi="宋体" w:cs="宋体"/>
                <w:sz w:val="18"/>
                <w:szCs w:val="18"/>
                <w:highlight w:val="none"/>
              </w:rPr>
              <w:t>电机永磁材料</w:t>
            </w:r>
          </w:p>
        </w:tc>
        <w:tc>
          <w:tcPr>
            <w:tcW w:w="76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矫顽力（Br）、剩磁强度（Hcb）</w:t>
            </w:r>
          </w:p>
        </w:tc>
        <w:tc>
          <w:tcPr>
            <w:tcW w:w="1912" w:type="pct"/>
            <w:noWrap w:val="0"/>
            <w:vAlign w:val="center"/>
          </w:tcPr>
          <w:p>
            <w:pPr>
              <w:jc w:val="both"/>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最高工作温度：</w:t>
            </w:r>
          </w:p>
          <w:p>
            <w:pPr>
              <w:jc w:val="both"/>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1.≥150℃：Br＞1.32T，Hcb大于976kA/m</w:t>
            </w:r>
          </w:p>
          <w:p>
            <w:pPr>
              <w:jc w:val="both"/>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2.≥180℃：Br＞1.27T，Hcb大于971kA/m</w:t>
            </w:r>
          </w:p>
          <w:p>
            <w:pPr>
              <w:jc w:val="both"/>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3.≥200℃：Br＞1.272T，Hcb大于968kA/m</w:t>
            </w:r>
          </w:p>
          <w:p>
            <w:pPr>
              <w:jc w:val="both"/>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4.≥240℃：Br＞1.17T，Hcb大于860kA/m</w:t>
            </w:r>
          </w:p>
        </w:tc>
        <w:tc>
          <w:tcPr>
            <w:tcW w:w="923" w:type="pct"/>
            <w:noWrap w:val="0"/>
            <w:vAlign w:val="center"/>
          </w:tcPr>
          <w:p>
            <w:pPr>
              <w:autoSpaceDE/>
              <w:autoSpaceDN/>
              <w:jc w:val="center"/>
              <w:rPr>
                <w:rFonts w:hint="eastAsia" w:ascii="宋体" w:hAnsi="宋体" w:cs="宋体"/>
                <w:sz w:val="18"/>
                <w:szCs w:val="18"/>
                <w:highlight w:val="none"/>
              </w:rPr>
            </w:pPr>
            <w:r>
              <w:rPr>
                <w:rFonts w:hint="eastAsia" w:ascii="宋体" w:hAnsi="宋体" w:cs="宋体"/>
                <w:sz w:val="18"/>
                <w:szCs w:val="18"/>
                <w:highlight w:val="none"/>
              </w:rPr>
              <w:t>GB/T 38090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Merge w:val="continue"/>
            <w:noWrap w:val="0"/>
            <w:vAlign w:val="center"/>
          </w:tcPr>
          <w:p>
            <w:pPr>
              <w:autoSpaceDE w:val="0"/>
              <w:autoSpaceDN w:val="0"/>
              <w:jc w:val="center"/>
              <w:rPr>
                <w:rFonts w:ascii="宋体" w:hAnsi="宋体" w:cs="宋体"/>
                <w:sz w:val="18"/>
                <w:szCs w:val="18"/>
                <w:highlight w:val="none"/>
              </w:rPr>
            </w:pPr>
          </w:p>
        </w:tc>
        <w:tc>
          <w:tcPr>
            <w:tcW w:w="852" w:type="pct"/>
            <w:vMerge w:val="restart"/>
            <w:noWrap w:val="0"/>
            <w:vAlign w:val="center"/>
          </w:tcPr>
          <w:p>
            <w:p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专用硅钢片</w:t>
            </w:r>
          </w:p>
        </w:tc>
        <w:tc>
          <w:tcPr>
            <w:tcW w:w="76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厚度</w:t>
            </w:r>
          </w:p>
        </w:tc>
        <w:tc>
          <w:tcPr>
            <w:tcW w:w="1912" w:type="pct"/>
            <w:noWrap w:val="0"/>
            <w:vAlign w:val="center"/>
          </w:tcPr>
          <w:p>
            <w:pPr>
              <w:jc w:val="both"/>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≤0.30mm。</w:t>
            </w:r>
          </w:p>
        </w:tc>
        <w:tc>
          <w:tcPr>
            <w:tcW w:w="923" w:type="pct"/>
            <w:noWrap w:val="0"/>
            <w:vAlign w:val="center"/>
          </w:tcPr>
          <w:p>
            <w:pPr>
              <w:autoSpaceDE/>
              <w:autoSpaceDN/>
              <w:jc w:val="center"/>
              <w:rPr>
                <w:rFonts w:hint="eastAsia" w:ascii="宋体" w:hAnsi="宋体" w:cs="宋体"/>
                <w:sz w:val="18"/>
                <w:szCs w:val="18"/>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8" w:type="pct"/>
            <w:vMerge w:val="continue"/>
            <w:noWrap w:val="0"/>
            <w:vAlign w:val="center"/>
          </w:tcPr>
          <w:p>
            <w:pPr>
              <w:autoSpaceDE w:val="0"/>
              <w:autoSpaceDN w:val="0"/>
              <w:jc w:val="center"/>
              <w:rPr>
                <w:rFonts w:ascii="宋体" w:hAnsi="宋体" w:cs="宋体"/>
                <w:sz w:val="18"/>
                <w:szCs w:val="18"/>
                <w:highlight w:val="none"/>
              </w:rPr>
            </w:pPr>
          </w:p>
        </w:tc>
        <w:tc>
          <w:tcPr>
            <w:tcW w:w="852" w:type="pct"/>
            <w:noWrap w:val="0"/>
            <w:vAlign w:val="center"/>
          </w:tcPr>
          <w:p>
            <w:pPr>
              <w:autoSpaceDE w:val="0"/>
              <w:autoSpaceDN w:val="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绝缘栅双极晶体管（IGBT）</w:t>
            </w:r>
          </w:p>
        </w:tc>
        <w:tc>
          <w:tcPr>
            <w:tcW w:w="763" w:type="pct"/>
            <w:noWrap w:val="0"/>
            <w:vAlign w:val="center"/>
          </w:tcPr>
          <w:p>
            <w:pPr>
              <w:autoSpaceDE w:val="0"/>
              <w:autoSpaceDN w:val="0"/>
              <w:jc w:val="center"/>
              <w:rPr>
                <w:rFonts w:hint="default" w:ascii="宋体" w:hAnsi="宋体" w:cs="宋体"/>
                <w:sz w:val="18"/>
                <w:szCs w:val="18"/>
                <w:highlight w:val="none"/>
                <w:lang w:val="en-US" w:eastAsia="zh-CN"/>
              </w:rPr>
            </w:pPr>
            <w:r>
              <w:rPr>
                <w:rFonts w:hint="default" w:ascii="宋体" w:hAnsi="宋体" w:cs="宋体"/>
                <w:sz w:val="18"/>
                <w:szCs w:val="18"/>
                <w:highlight w:val="none"/>
                <w:lang w:val="en-US" w:eastAsia="zh-CN"/>
              </w:rPr>
              <w:t>断态电压</w:t>
            </w:r>
          </w:p>
        </w:tc>
        <w:tc>
          <w:tcPr>
            <w:tcW w:w="1912" w:type="pct"/>
            <w:noWrap w:val="0"/>
            <w:vAlign w:val="center"/>
          </w:tcPr>
          <w:p>
            <w:pPr>
              <w:jc w:val="both"/>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≥6500V</w:t>
            </w:r>
          </w:p>
        </w:tc>
        <w:tc>
          <w:tcPr>
            <w:tcW w:w="923" w:type="pct"/>
            <w:noWrap w:val="0"/>
            <w:vAlign w:val="center"/>
          </w:tcPr>
          <w:p>
            <w:pPr>
              <w:autoSpaceDE/>
              <w:autoSpaceDN/>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48" w:type="pct"/>
            <w:vMerge w:val="continue"/>
            <w:noWrap w:val="0"/>
            <w:vAlign w:val="center"/>
          </w:tcPr>
          <w:p>
            <w:pPr>
              <w:autoSpaceDE w:val="0"/>
              <w:autoSpaceDN w:val="0"/>
              <w:jc w:val="center"/>
              <w:rPr>
                <w:rFonts w:ascii="宋体" w:hAnsi="宋体" w:cs="宋体"/>
                <w:sz w:val="18"/>
                <w:szCs w:val="18"/>
                <w:highlight w:val="none"/>
              </w:rPr>
            </w:pPr>
          </w:p>
        </w:tc>
        <w:tc>
          <w:tcPr>
            <w:tcW w:w="852" w:type="pct"/>
            <w:noWrap w:val="0"/>
            <w:vAlign w:val="center"/>
          </w:tcPr>
          <w:p>
            <w:pPr>
              <w:jc w:val="center"/>
              <w:rPr>
                <w:rFonts w:hint="eastAsia" w:ascii="宋体" w:hAnsi="宋体" w:cs="宋体"/>
                <w:sz w:val="18"/>
                <w:szCs w:val="18"/>
                <w:highlight w:val="none"/>
                <w:lang w:val="en-US" w:eastAsia="zh-CN"/>
              </w:rPr>
            </w:pPr>
            <w:r>
              <w:rPr>
                <w:rFonts w:hint="eastAsia" w:ascii="宋体" w:hAnsi="宋体" w:cs="宋体"/>
                <w:sz w:val="18"/>
                <w:szCs w:val="18"/>
                <w:highlight w:val="none"/>
              </w:rPr>
              <w:t>膜电容</w:t>
            </w:r>
          </w:p>
        </w:tc>
        <w:tc>
          <w:tcPr>
            <w:tcW w:w="763" w:type="pct"/>
            <w:noWrap w:val="0"/>
            <w:vAlign w:val="center"/>
          </w:tcPr>
          <w:p>
            <w:pPr>
              <w:autoSpaceDE/>
              <w:autoSpaceDN/>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高温工作寿命</w:t>
            </w:r>
          </w:p>
        </w:tc>
        <w:tc>
          <w:tcPr>
            <w:tcW w:w="1912" w:type="pct"/>
            <w:noWrap w:val="0"/>
            <w:vAlign w:val="center"/>
          </w:tcPr>
          <w:p>
            <w:pPr>
              <w:jc w:val="both"/>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1000h/（85℃/125%额定电压、105℃&amp;125℃/100%额定电压）。</w:t>
            </w:r>
          </w:p>
        </w:tc>
        <w:tc>
          <w:tcPr>
            <w:tcW w:w="923" w:type="pct"/>
            <w:noWrap w:val="0"/>
            <w:vAlign w:val="center"/>
          </w:tcPr>
          <w:p>
            <w:pPr>
              <w:autoSpaceDE/>
              <w:autoSpaceDN/>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rPr>
              <w:t>AEC-Q200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48" w:type="pct"/>
            <w:vMerge w:val="continue"/>
            <w:noWrap w:val="0"/>
            <w:vAlign w:val="center"/>
          </w:tcPr>
          <w:p>
            <w:pPr>
              <w:autoSpaceDE w:val="0"/>
              <w:autoSpaceDN w:val="0"/>
              <w:jc w:val="center"/>
              <w:rPr>
                <w:rFonts w:ascii="宋体" w:hAnsi="宋体" w:cs="宋体"/>
                <w:sz w:val="18"/>
                <w:szCs w:val="18"/>
                <w:highlight w:val="none"/>
              </w:rPr>
            </w:pPr>
          </w:p>
        </w:tc>
        <w:tc>
          <w:tcPr>
            <w:tcW w:w="852" w:type="pct"/>
            <w:vMerge w:val="restart"/>
            <w:noWrap w:val="0"/>
            <w:vAlign w:val="center"/>
          </w:tcPr>
          <w:p>
            <w:pPr>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MCU</w:t>
            </w:r>
          </w:p>
        </w:tc>
        <w:tc>
          <w:tcPr>
            <w:tcW w:w="763" w:type="pct"/>
            <w:noWrap w:val="0"/>
            <w:vAlign w:val="center"/>
          </w:tcPr>
          <w:p>
            <w:pPr>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可靠度</w:t>
            </w:r>
          </w:p>
        </w:tc>
        <w:tc>
          <w:tcPr>
            <w:tcW w:w="1912" w:type="pct"/>
            <w:noWrap w:val="0"/>
            <w:vAlign w:val="center"/>
          </w:tcPr>
          <w:p>
            <w:pPr>
              <w:jc w:val="both"/>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通过AEC认证。</w:t>
            </w:r>
          </w:p>
        </w:tc>
        <w:tc>
          <w:tcPr>
            <w:tcW w:w="923" w:type="pct"/>
            <w:noWrap w:val="0"/>
            <w:vAlign w:val="center"/>
          </w:tcPr>
          <w:p>
            <w:pPr>
              <w:autoSpaceDE/>
              <w:autoSpaceDN/>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rPr>
              <w:t>AEC-Q100</w:t>
            </w:r>
            <w:r>
              <w:rPr>
                <w:rFonts w:hint="eastAsia" w:ascii="宋体" w:hAnsi="宋体" w:cs="宋体"/>
                <w:sz w:val="18"/>
                <w:szCs w:val="18"/>
                <w:highlight w:val="none"/>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Merge w:val="continue"/>
            <w:noWrap w:val="0"/>
            <w:vAlign w:val="center"/>
          </w:tcPr>
          <w:p>
            <w:pPr>
              <w:autoSpaceDE w:val="0"/>
              <w:autoSpaceDN w:val="0"/>
              <w:jc w:val="center"/>
              <w:rPr>
                <w:rFonts w:ascii="宋体" w:hAnsi="宋体" w:cs="宋体"/>
                <w:sz w:val="18"/>
                <w:szCs w:val="18"/>
                <w:highlight w:val="none"/>
              </w:rPr>
            </w:pPr>
          </w:p>
        </w:tc>
        <w:tc>
          <w:tcPr>
            <w:tcW w:w="852" w:type="pct"/>
            <w:vMerge w:val="restart"/>
            <w:noWrap w:val="0"/>
            <w:vAlign w:val="center"/>
          </w:tcPr>
          <w:p>
            <w:pPr>
              <w:jc w:val="center"/>
              <w:rPr>
                <w:rFonts w:hint="default" w:ascii="宋体" w:hAnsi="宋体" w:cs="宋体"/>
                <w:sz w:val="18"/>
                <w:szCs w:val="18"/>
                <w:highlight w:val="none"/>
                <w:lang w:val="en-US" w:eastAsia="zh-CN"/>
              </w:rPr>
            </w:pPr>
            <w:r>
              <w:rPr>
                <w:rFonts w:hint="eastAsia" w:ascii="宋体" w:hAnsi="宋体" w:cs="宋体"/>
                <w:sz w:val="18"/>
                <w:szCs w:val="18"/>
                <w:highlight w:val="none"/>
              </w:rPr>
              <w:t>电驱动总成技术</w:t>
            </w:r>
          </w:p>
        </w:tc>
        <w:tc>
          <w:tcPr>
            <w:tcW w:w="76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纯电驱动系统比功率</w:t>
            </w:r>
          </w:p>
        </w:tc>
        <w:tc>
          <w:tcPr>
            <w:tcW w:w="1912" w:type="pct"/>
            <w:noWrap w:val="0"/>
            <w:vAlign w:val="center"/>
          </w:tcPr>
          <w:p>
            <w:pPr>
              <w:jc w:val="both"/>
              <w:rPr>
                <w:rFonts w:hint="default" w:ascii="宋体" w:hAnsi="宋体" w:cs="宋体"/>
                <w:sz w:val="18"/>
                <w:szCs w:val="18"/>
                <w:highlight w:val="none"/>
                <w:lang w:val="en-US"/>
              </w:rPr>
            </w:pPr>
            <w:r>
              <w:rPr>
                <w:rFonts w:hint="eastAsia" w:ascii="宋体" w:hAnsi="宋体" w:cs="宋体"/>
                <w:sz w:val="18"/>
                <w:szCs w:val="18"/>
                <w:highlight w:val="none"/>
                <w:lang w:val="en-US" w:eastAsia="zh-CN"/>
              </w:rPr>
              <w:t>2025年，纯电驱动系统比功率</w:t>
            </w:r>
            <w:r>
              <w:rPr>
                <w:rFonts w:hint="eastAsia" w:ascii="宋体" w:hAnsi="宋体" w:cs="宋体"/>
                <w:sz w:val="18"/>
                <w:szCs w:val="18"/>
                <w:highlight w:val="none"/>
              </w:rPr>
              <w:t>达到</w:t>
            </w:r>
            <w:r>
              <w:rPr>
                <w:rFonts w:hint="eastAsia" w:ascii="宋体" w:hAnsi="宋体" w:cs="宋体"/>
                <w:sz w:val="18"/>
                <w:szCs w:val="18"/>
                <w:highlight w:val="none"/>
                <w:lang w:val="en-US" w:eastAsia="zh-CN"/>
              </w:rPr>
              <w:t>2.0</w:t>
            </w:r>
            <w:r>
              <w:rPr>
                <w:rFonts w:hint="eastAsia" w:ascii="宋体" w:hAnsi="宋体" w:cs="宋体"/>
                <w:sz w:val="18"/>
                <w:szCs w:val="18"/>
                <w:highlight w:val="none"/>
              </w:rPr>
              <w:t>kW/</w:t>
            </w:r>
            <w:r>
              <w:rPr>
                <w:rFonts w:hint="eastAsia" w:ascii="宋体" w:hAnsi="宋体" w:cs="宋体"/>
                <w:sz w:val="18"/>
                <w:szCs w:val="18"/>
                <w:highlight w:val="none"/>
                <w:lang w:val="en-US" w:eastAsia="zh-CN"/>
              </w:rPr>
              <w:t>kg</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2030年达到2.4</w:t>
            </w:r>
            <w:r>
              <w:rPr>
                <w:rFonts w:hint="eastAsia" w:ascii="宋体" w:hAnsi="宋体" w:cs="宋体"/>
                <w:sz w:val="18"/>
                <w:szCs w:val="18"/>
                <w:highlight w:val="none"/>
              </w:rPr>
              <w:t>kW/</w:t>
            </w:r>
            <w:r>
              <w:rPr>
                <w:rFonts w:hint="eastAsia" w:ascii="宋体" w:hAnsi="宋体" w:cs="宋体"/>
                <w:sz w:val="18"/>
                <w:szCs w:val="18"/>
                <w:highlight w:val="none"/>
                <w:lang w:val="en-US" w:eastAsia="zh-CN"/>
              </w:rPr>
              <w:t>kg</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2035达到3.0</w:t>
            </w:r>
            <w:r>
              <w:rPr>
                <w:rFonts w:hint="eastAsia" w:ascii="宋体" w:hAnsi="宋体" w:cs="宋体"/>
                <w:sz w:val="18"/>
                <w:szCs w:val="18"/>
                <w:highlight w:val="none"/>
              </w:rPr>
              <w:t>kW/</w:t>
            </w:r>
            <w:r>
              <w:rPr>
                <w:rFonts w:hint="eastAsia" w:ascii="宋体" w:hAnsi="宋体" w:cs="宋体"/>
                <w:sz w:val="18"/>
                <w:szCs w:val="18"/>
                <w:highlight w:val="none"/>
                <w:lang w:val="en-US" w:eastAsia="zh-CN"/>
              </w:rPr>
              <w:t>kg</w:t>
            </w:r>
            <w:r>
              <w:rPr>
                <w:rFonts w:hint="eastAsia" w:ascii="宋体" w:hAnsi="宋体" w:cs="宋体"/>
                <w:sz w:val="18"/>
                <w:szCs w:val="18"/>
                <w:highlight w:val="none"/>
                <w:lang w:eastAsia="zh-CN"/>
              </w:rPr>
              <w:t>。</w:t>
            </w:r>
          </w:p>
        </w:tc>
        <w:tc>
          <w:tcPr>
            <w:tcW w:w="923" w:type="pct"/>
            <w:vMerge w:val="restart"/>
            <w:noWrap w:val="0"/>
            <w:vAlign w:val="center"/>
          </w:tcPr>
          <w:p>
            <w:pPr>
              <w:autoSpaceDE/>
              <w:autoSpaceDN/>
              <w:jc w:val="center"/>
              <w:rPr>
                <w:rFonts w:hint="eastAsia" w:ascii="宋体" w:hAnsi="宋体" w:cs="宋体"/>
                <w:sz w:val="18"/>
                <w:szCs w:val="18"/>
                <w:highlight w:val="none"/>
              </w:rPr>
            </w:pPr>
            <w:r>
              <w:rPr>
                <w:rFonts w:hint="eastAsia" w:ascii="宋体" w:hAnsi="宋体" w:cs="宋体"/>
                <w:sz w:val="18"/>
                <w:szCs w:val="18"/>
                <w:highlight w:val="none"/>
              </w:rPr>
              <w:t>《节能与新能源汽车技术路线图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Merge w:val="continue"/>
            <w:noWrap w:val="0"/>
            <w:vAlign w:val="center"/>
          </w:tcPr>
          <w:p>
            <w:pPr>
              <w:autoSpaceDE w:val="0"/>
              <w:autoSpaceDN w:val="0"/>
              <w:jc w:val="center"/>
              <w:rPr>
                <w:rFonts w:ascii="宋体" w:hAnsi="宋体" w:cs="宋体"/>
                <w:sz w:val="18"/>
                <w:szCs w:val="18"/>
                <w:highlight w:val="none"/>
              </w:rPr>
            </w:pPr>
          </w:p>
        </w:tc>
        <w:tc>
          <w:tcPr>
            <w:tcW w:w="852" w:type="pct"/>
            <w:vMerge w:val="continue"/>
            <w:noWrap w:val="0"/>
            <w:vAlign w:val="center"/>
          </w:tcPr>
          <w:p>
            <w:pPr>
              <w:jc w:val="center"/>
              <w:rPr>
                <w:rFonts w:hint="eastAsia" w:ascii="宋体" w:hAnsi="宋体" w:cs="宋体"/>
                <w:sz w:val="18"/>
                <w:szCs w:val="18"/>
                <w:highlight w:val="none"/>
              </w:rPr>
            </w:pPr>
          </w:p>
        </w:tc>
        <w:tc>
          <w:tcPr>
            <w:tcW w:w="76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综合使用效率</w:t>
            </w:r>
          </w:p>
        </w:tc>
        <w:tc>
          <w:tcPr>
            <w:tcW w:w="1912" w:type="pct"/>
            <w:noWrap w:val="0"/>
            <w:vAlign w:val="center"/>
          </w:tcPr>
          <w:p>
            <w:pPr>
              <w:jc w:val="both"/>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2025年，纯电驱动系统</w:t>
            </w:r>
            <w:r>
              <w:rPr>
                <w:rFonts w:hint="eastAsia" w:ascii="宋体" w:hAnsi="宋体" w:cs="宋体"/>
                <w:sz w:val="18"/>
                <w:szCs w:val="18"/>
                <w:highlight w:val="none"/>
              </w:rPr>
              <w:t>综合效率</w:t>
            </w:r>
            <w:r>
              <w:rPr>
                <w:rFonts w:hint="eastAsia" w:ascii="宋体" w:hAnsi="宋体" w:cs="宋体"/>
                <w:sz w:val="18"/>
                <w:szCs w:val="18"/>
                <w:highlight w:val="none"/>
                <w:lang w:val="en-US" w:eastAsia="zh-CN"/>
              </w:rPr>
              <w:t>达到</w:t>
            </w:r>
            <w:r>
              <w:rPr>
                <w:rFonts w:hint="eastAsia" w:ascii="宋体" w:hAnsi="宋体" w:cs="宋体"/>
                <w:sz w:val="18"/>
                <w:szCs w:val="18"/>
                <w:highlight w:val="none"/>
              </w:rPr>
              <w:t>8</w:t>
            </w:r>
            <w:r>
              <w:rPr>
                <w:rFonts w:hint="eastAsia" w:ascii="宋体" w:hAnsi="宋体" w:cs="宋体"/>
                <w:sz w:val="18"/>
                <w:szCs w:val="18"/>
                <w:highlight w:val="none"/>
                <w:lang w:val="en-US" w:eastAsia="zh-CN"/>
              </w:rPr>
              <w:t>7</w:t>
            </w:r>
            <w:r>
              <w:rPr>
                <w:rFonts w:hint="eastAsia" w:ascii="宋体" w:hAnsi="宋体" w:cs="宋体"/>
                <w:sz w:val="18"/>
                <w:szCs w:val="18"/>
                <w:highlight w:val="none"/>
              </w:rPr>
              <w:t>%(</w:t>
            </w:r>
            <w:r>
              <w:rPr>
                <w:rFonts w:hint="eastAsia" w:ascii="宋体" w:hAnsi="宋体" w:cs="宋体"/>
                <w:sz w:val="18"/>
                <w:szCs w:val="18"/>
                <w:highlight w:val="none"/>
                <w:lang w:val="en-US" w:eastAsia="zh-CN"/>
              </w:rPr>
              <w:t>C</w:t>
            </w:r>
            <w:r>
              <w:rPr>
                <w:rFonts w:hint="eastAsia" w:ascii="宋体" w:hAnsi="宋体" w:cs="宋体"/>
                <w:sz w:val="18"/>
                <w:szCs w:val="18"/>
                <w:highlight w:val="none"/>
              </w:rPr>
              <w:t>LTC)</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2030年达到88.5%</w:t>
            </w:r>
            <w:r>
              <w:rPr>
                <w:rFonts w:hint="eastAsia" w:ascii="宋体" w:hAnsi="宋体" w:cs="宋体"/>
                <w:sz w:val="18"/>
                <w:szCs w:val="18"/>
                <w:highlight w:val="none"/>
              </w:rPr>
              <w:t>(</w:t>
            </w:r>
            <w:r>
              <w:rPr>
                <w:rFonts w:hint="eastAsia" w:ascii="宋体" w:hAnsi="宋体" w:cs="宋体"/>
                <w:sz w:val="18"/>
                <w:szCs w:val="18"/>
                <w:highlight w:val="none"/>
                <w:lang w:val="en-US" w:eastAsia="zh-CN"/>
              </w:rPr>
              <w:t>C</w:t>
            </w:r>
            <w:r>
              <w:rPr>
                <w:rFonts w:hint="eastAsia" w:ascii="宋体" w:hAnsi="宋体" w:cs="宋体"/>
                <w:sz w:val="18"/>
                <w:szCs w:val="18"/>
                <w:highlight w:val="none"/>
              </w:rPr>
              <w:t>LTC)</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2035年达到90%</w:t>
            </w:r>
            <w:r>
              <w:rPr>
                <w:rFonts w:hint="eastAsia" w:ascii="宋体" w:hAnsi="宋体" w:cs="宋体"/>
                <w:sz w:val="18"/>
                <w:szCs w:val="18"/>
                <w:highlight w:val="none"/>
              </w:rPr>
              <w:t>(</w:t>
            </w:r>
            <w:r>
              <w:rPr>
                <w:rFonts w:hint="eastAsia" w:ascii="宋体" w:hAnsi="宋体" w:cs="宋体"/>
                <w:sz w:val="18"/>
                <w:szCs w:val="18"/>
                <w:highlight w:val="none"/>
                <w:lang w:val="en-US" w:eastAsia="zh-CN"/>
              </w:rPr>
              <w:t>C</w:t>
            </w:r>
            <w:r>
              <w:rPr>
                <w:rFonts w:hint="eastAsia" w:ascii="宋体" w:hAnsi="宋体" w:cs="宋体"/>
                <w:sz w:val="18"/>
                <w:szCs w:val="18"/>
                <w:highlight w:val="none"/>
              </w:rPr>
              <w:t>LTC)</w:t>
            </w:r>
            <w:r>
              <w:rPr>
                <w:rFonts w:hint="eastAsia" w:ascii="宋体" w:hAnsi="宋体" w:cs="宋体"/>
                <w:sz w:val="18"/>
                <w:szCs w:val="18"/>
                <w:highlight w:val="none"/>
                <w:lang w:eastAsia="zh-CN"/>
              </w:rPr>
              <w:t>。</w:t>
            </w:r>
          </w:p>
        </w:tc>
        <w:tc>
          <w:tcPr>
            <w:tcW w:w="923" w:type="pct"/>
            <w:vMerge w:val="continue"/>
            <w:noWrap w:val="0"/>
            <w:vAlign w:val="center"/>
          </w:tcPr>
          <w:p>
            <w:pPr>
              <w:autoSpaceDE/>
              <w:autoSpaceDN/>
              <w:jc w:val="center"/>
              <w:rPr>
                <w:rFonts w:hint="eastAsia" w:ascii="宋体" w:hAnsi="宋体" w:cs="宋体"/>
                <w:sz w:val="18"/>
                <w:szCs w:val="18"/>
                <w:highlight w:val="none"/>
              </w:rPr>
            </w:pPr>
          </w:p>
        </w:tc>
      </w:tr>
    </w:tbl>
    <w:p>
      <w:pPr>
        <w:pStyle w:val="64"/>
        <w:spacing w:before="156" w:after="156"/>
        <w:rPr>
          <w:rFonts w:hAnsi="黑体" w:cs="黑体"/>
          <w:highlight w:val="none"/>
        </w:rPr>
      </w:pPr>
      <w:bookmarkStart w:id="101" w:name="OLE_LINK1"/>
      <w:r>
        <w:rPr>
          <w:rFonts w:hint="eastAsia"/>
          <w:highlight w:val="none"/>
        </w:rPr>
        <w:t>新能源汽车控制系统</w:t>
      </w:r>
      <w:bookmarkEnd w:id="101"/>
    </w:p>
    <w:p>
      <w:pPr>
        <w:autoSpaceDE w:val="0"/>
        <w:autoSpaceDN w:val="0"/>
        <w:spacing w:line="240" w:lineRule="auto"/>
        <w:ind w:firstLine="420" w:firstLineChars="200"/>
        <w:rPr>
          <w:rFonts w:hint="eastAsia"/>
          <w:szCs w:val="21"/>
          <w:highlight w:val="none"/>
        </w:rPr>
      </w:pPr>
      <w:r>
        <w:rPr>
          <w:rFonts w:hint="eastAsia"/>
          <w:szCs w:val="21"/>
          <w:highlight w:val="none"/>
        </w:rPr>
        <w:t>新能源汽车车辆</w:t>
      </w:r>
      <w:r>
        <w:rPr>
          <w:rFonts w:hint="eastAsia"/>
          <w:szCs w:val="21"/>
          <w:highlight w:val="none"/>
          <w:lang w:val="en-US" w:eastAsia="zh-CN"/>
        </w:rPr>
        <w:t>行驶</w:t>
      </w:r>
      <w:r>
        <w:rPr>
          <w:rFonts w:hint="eastAsia"/>
          <w:szCs w:val="21"/>
          <w:highlight w:val="none"/>
        </w:rPr>
        <w:t>中的主要执行结构，包含整车控制器（VCU）等制造</w:t>
      </w:r>
      <w:r>
        <w:rPr>
          <w:rFonts w:hint="eastAsia"/>
          <w:szCs w:val="21"/>
          <w:highlight w:val="none"/>
          <w:lang w:eastAsia="zh-CN"/>
        </w:rPr>
        <w:t>，</w:t>
      </w:r>
      <w:r>
        <w:rPr>
          <w:rFonts w:hint="eastAsia"/>
          <w:szCs w:val="21"/>
          <w:highlight w:val="none"/>
        </w:rPr>
        <w:t>纯电动及插电式混合动力乘用车及商用车机电耦合系统，两档及多档自动变速传动系统及其电控自动执行机构，动力分流用行星齿轮，高性能自动离合器和制动器及其执行机构，新能源乘用车和商用车用机电分配式回收制动系统制造</w:t>
      </w:r>
      <w:r>
        <w:rPr>
          <w:rFonts w:hint="eastAsia"/>
          <w:szCs w:val="21"/>
          <w:highlight w:val="none"/>
          <w:lang w:eastAsia="zh-CN"/>
        </w:rPr>
        <w:t>。</w:t>
      </w:r>
      <w:r>
        <w:rPr>
          <w:rFonts w:hint="eastAsia"/>
          <w:szCs w:val="21"/>
          <w:highlight w:val="none"/>
        </w:rPr>
        <w:t>具体评价内容及评价方法</w:t>
      </w:r>
      <w:r>
        <w:rPr>
          <w:rFonts w:hint="eastAsia" w:ascii="宋体" w:hAnsi="宋体" w:cs="宋体"/>
          <w:szCs w:val="21"/>
          <w:highlight w:val="none"/>
        </w:rPr>
        <w:t>见表</w:t>
      </w:r>
      <w:r>
        <w:rPr>
          <w:rFonts w:hint="eastAsia" w:ascii="宋体" w:hAnsi="宋体" w:cs="宋体"/>
          <w:szCs w:val="21"/>
          <w:highlight w:val="none"/>
          <w:lang w:val="en-US" w:eastAsia="zh-CN"/>
        </w:rPr>
        <w:t>7</w:t>
      </w:r>
      <w:r>
        <w:rPr>
          <w:rFonts w:hint="eastAsia"/>
          <w:szCs w:val="21"/>
          <w:highlight w:val="none"/>
        </w:rPr>
        <w:t>。</w:t>
      </w:r>
    </w:p>
    <w:p>
      <w:pPr>
        <w:numPr>
          <w:ilvl w:val="0"/>
          <w:numId w:val="17"/>
        </w:numPr>
        <w:spacing w:before="156" w:beforeLines="50" w:after="156" w:afterLines="50"/>
        <w:jc w:val="center"/>
        <w:rPr>
          <w:szCs w:val="21"/>
          <w:highlight w:val="none"/>
        </w:rPr>
      </w:pPr>
      <w:r>
        <w:rPr>
          <w:rFonts w:hint="eastAsia" w:eastAsia="黑体"/>
          <w:highlight w:val="none"/>
        </w:rPr>
        <w:t>新能源汽车控制系统关键</w:t>
      </w:r>
      <w:r>
        <w:rPr>
          <w:rFonts w:eastAsia="黑体"/>
          <w:highlight w:val="none"/>
        </w:rPr>
        <w:t>技术先进性</w:t>
      </w:r>
      <w:r>
        <w:rPr>
          <w:rFonts w:hint="eastAsia" w:eastAsia="黑体"/>
          <w:highlight w:val="none"/>
        </w:rPr>
        <w:t>评价规则表</w:t>
      </w:r>
    </w:p>
    <w:tbl>
      <w:tblPr>
        <w:tblStyle w:val="3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731"/>
        <w:gridCol w:w="1429"/>
        <w:gridCol w:w="3590"/>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评价环节</w:t>
            </w:r>
          </w:p>
        </w:tc>
        <w:tc>
          <w:tcPr>
            <w:tcW w:w="905"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评价对象</w:t>
            </w:r>
          </w:p>
        </w:tc>
        <w:tc>
          <w:tcPr>
            <w:tcW w:w="747"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核心评价指标</w:t>
            </w:r>
          </w:p>
        </w:tc>
        <w:tc>
          <w:tcPr>
            <w:tcW w:w="1877"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评价维度</w:t>
            </w:r>
          </w:p>
        </w:tc>
        <w:tc>
          <w:tcPr>
            <w:tcW w:w="923"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pct"/>
            <w:vMerge w:val="restart"/>
            <w:noWrap w:val="0"/>
            <w:vAlign w:val="center"/>
          </w:tcPr>
          <w:p>
            <w:pPr>
              <w:autoSpaceDE/>
              <w:autoSpaceDN/>
              <w:jc w:val="center"/>
              <w:rPr>
                <w:rFonts w:hint="eastAsia" w:ascii="宋体" w:hAnsi="宋体" w:cs="宋体"/>
                <w:sz w:val="18"/>
                <w:szCs w:val="18"/>
                <w:highlight w:val="none"/>
                <w:lang w:val="en-US" w:eastAsia="zh-CN"/>
              </w:rPr>
            </w:pPr>
            <w:r>
              <w:rPr>
                <w:rFonts w:hint="eastAsia" w:ascii="宋体" w:hAnsi="宋体" w:cs="宋体"/>
                <w:sz w:val="18"/>
                <w:szCs w:val="18"/>
                <w:highlight w:val="none"/>
              </w:rPr>
              <w:t>生产制造</w:t>
            </w:r>
          </w:p>
        </w:tc>
        <w:tc>
          <w:tcPr>
            <w:tcW w:w="905" w:type="pct"/>
            <w:noWrap w:val="0"/>
            <w:vAlign w:val="center"/>
          </w:tcPr>
          <w:p>
            <w:pPr>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乘用车控制器</w:t>
            </w:r>
          </w:p>
        </w:tc>
        <w:tc>
          <w:tcPr>
            <w:tcW w:w="747" w:type="pct"/>
            <w:noWrap w:val="0"/>
            <w:vAlign w:val="center"/>
          </w:tcPr>
          <w:p>
            <w:pPr>
              <w:autoSpaceDE w:val="0"/>
              <w:autoSpaceDN w:val="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功率密度</w:t>
            </w:r>
          </w:p>
        </w:tc>
        <w:tc>
          <w:tcPr>
            <w:tcW w:w="1877" w:type="pct"/>
            <w:noWrap w:val="0"/>
            <w:vAlign w:val="center"/>
          </w:tcPr>
          <w:p>
            <w:pPr>
              <w:jc w:val="both"/>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2025年，</w:t>
            </w:r>
            <w:r>
              <w:rPr>
                <w:rFonts w:hint="eastAsia" w:ascii="宋体" w:hAnsi="宋体" w:cs="宋体"/>
                <w:sz w:val="18"/>
                <w:szCs w:val="18"/>
                <w:highlight w:val="none"/>
              </w:rPr>
              <w:t>乘用车电机控制器功率密度达到40kW/L</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2030年达到50</w:t>
            </w:r>
            <w:r>
              <w:rPr>
                <w:rFonts w:hint="eastAsia" w:ascii="宋体" w:hAnsi="宋体" w:cs="宋体"/>
                <w:sz w:val="18"/>
                <w:szCs w:val="18"/>
                <w:highlight w:val="none"/>
              </w:rPr>
              <w:t>kW/L</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2035达到70</w:t>
            </w:r>
            <w:r>
              <w:rPr>
                <w:rFonts w:hint="eastAsia" w:ascii="宋体" w:hAnsi="宋体" w:cs="宋体"/>
                <w:sz w:val="18"/>
                <w:szCs w:val="18"/>
                <w:highlight w:val="none"/>
              </w:rPr>
              <w:t>kW/L</w:t>
            </w:r>
            <w:r>
              <w:rPr>
                <w:rFonts w:hint="eastAsia" w:ascii="宋体" w:hAnsi="宋体" w:cs="宋体"/>
                <w:sz w:val="18"/>
                <w:szCs w:val="18"/>
                <w:highlight w:val="none"/>
                <w:lang w:eastAsia="zh-CN"/>
              </w:rPr>
              <w:t>。</w:t>
            </w:r>
          </w:p>
        </w:tc>
        <w:tc>
          <w:tcPr>
            <w:tcW w:w="923" w:type="pct"/>
            <w:vMerge w:val="restart"/>
            <w:noWrap w:val="0"/>
            <w:vAlign w:val="center"/>
          </w:tcPr>
          <w:p>
            <w:pPr>
              <w:autoSpaceDE/>
              <w:autoSpaceDN/>
              <w:jc w:val="center"/>
              <w:rPr>
                <w:rFonts w:hint="eastAsia" w:ascii="宋体" w:hAnsi="宋体" w:cs="宋体"/>
                <w:sz w:val="18"/>
                <w:szCs w:val="18"/>
                <w:highlight w:val="none"/>
              </w:rPr>
            </w:pPr>
            <w:r>
              <w:rPr>
                <w:rFonts w:hint="eastAsia" w:ascii="宋体" w:hAnsi="宋体" w:cs="宋体"/>
                <w:sz w:val="18"/>
                <w:szCs w:val="18"/>
                <w:highlight w:val="none"/>
              </w:rPr>
              <w:t>节能与新能源汽车技术路线图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autoSpaceDN/>
              <w:jc w:val="center"/>
              <w:rPr>
                <w:rFonts w:hint="eastAsia" w:ascii="宋体" w:hAnsi="宋体" w:cs="宋体"/>
                <w:sz w:val="18"/>
                <w:szCs w:val="18"/>
                <w:highlight w:val="none"/>
              </w:rPr>
            </w:pPr>
          </w:p>
        </w:tc>
        <w:tc>
          <w:tcPr>
            <w:tcW w:w="905" w:type="pct"/>
            <w:noWrap w:val="0"/>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rPr>
              <w:t>商用车控制器</w:t>
            </w:r>
          </w:p>
        </w:tc>
        <w:tc>
          <w:tcPr>
            <w:tcW w:w="747" w:type="pct"/>
            <w:noWrap w:val="0"/>
            <w:vAlign w:val="center"/>
          </w:tcPr>
          <w:p>
            <w:pPr>
              <w:autoSpaceDE w:val="0"/>
              <w:autoSpaceDN w:val="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rPr>
              <w:t>功率密度</w:t>
            </w:r>
          </w:p>
        </w:tc>
        <w:tc>
          <w:tcPr>
            <w:tcW w:w="1877" w:type="pct"/>
            <w:noWrap w:val="0"/>
            <w:vAlign w:val="center"/>
          </w:tcPr>
          <w:p>
            <w:pPr>
              <w:jc w:val="both"/>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2025年，商</w:t>
            </w:r>
            <w:r>
              <w:rPr>
                <w:rFonts w:hint="eastAsia" w:ascii="宋体" w:hAnsi="宋体" w:cs="宋体"/>
                <w:sz w:val="18"/>
                <w:szCs w:val="18"/>
                <w:highlight w:val="none"/>
              </w:rPr>
              <w:t>用车电机控制器功率密度达到</w:t>
            </w:r>
            <w:r>
              <w:rPr>
                <w:rFonts w:hint="eastAsia" w:ascii="宋体" w:hAnsi="宋体" w:cs="宋体"/>
                <w:sz w:val="18"/>
                <w:szCs w:val="18"/>
                <w:highlight w:val="none"/>
                <w:lang w:val="en-US" w:eastAsia="zh-CN"/>
              </w:rPr>
              <w:t>30</w:t>
            </w:r>
            <w:r>
              <w:rPr>
                <w:rFonts w:hint="eastAsia" w:ascii="宋体" w:hAnsi="宋体" w:cs="宋体"/>
                <w:sz w:val="18"/>
                <w:szCs w:val="18"/>
                <w:highlight w:val="none"/>
              </w:rPr>
              <w:t>kW/L</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2030年达到40</w:t>
            </w:r>
            <w:r>
              <w:rPr>
                <w:rFonts w:hint="eastAsia" w:ascii="宋体" w:hAnsi="宋体" w:cs="宋体"/>
                <w:sz w:val="18"/>
                <w:szCs w:val="18"/>
                <w:highlight w:val="none"/>
              </w:rPr>
              <w:t>kW/L</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2035达到60</w:t>
            </w:r>
            <w:r>
              <w:rPr>
                <w:rFonts w:hint="eastAsia" w:ascii="宋体" w:hAnsi="宋体" w:cs="宋体"/>
                <w:sz w:val="18"/>
                <w:szCs w:val="18"/>
                <w:highlight w:val="none"/>
              </w:rPr>
              <w:t>kW/L</w:t>
            </w:r>
            <w:r>
              <w:rPr>
                <w:rFonts w:hint="eastAsia" w:ascii="宋体" w:hAnsi="宋体" w:cs="宋体"/>
                <w:sz w:val="18"/>
                <w:szCs w:val="18"/>
                <w:highlight w:val="none"/>
                <w:lang w:eastAsia="zh-CN"/>
              </w:rPr>
              <w:t>。</w:t>
            </w:r>
          </w:p>
        </w:tc>
        <w:tc>
          <w:tcPr>
            <w:tcW w:w="923" w:type="pct"/>
            <w:vMerge w:val="continue"/>
            <w:noWrap w:val="0"/>
            <w:vAlign w:val="center"/>
          </w:tcPr>
          <w:p>
            <w:pPr>
              <w:autoSpaceDE/>
              <w:autoSpaceDN/>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905" w:type="pct"/>
            <w:noWrap w:val="0"/>
            <w:vAlign w:val="center"/>
          </w:tcPr>
          <w:p>
            <w:pPr>
              <w:jc w:val="center"/>
              <w:rPr>
                <w:rFonts w:hint="eastAsia" w:ascii="宋体" w:hAnsi="宋体" w:cs="宋体"/>
                <w:sz w:val="18"/>
                <w:szCs w:val="18"/>
                <w:highlight w:val="none"/>
              </w:rPr>
            </w:pPr>
            <w:r>
              <w:rPr>
                <w:rFonts w:hint="eastAsia" w:ascii="宋体" w:hAnsi="宋体" w:cs="宋体"/>
                <w:sz w:val="18"/>
                <w:szCs w:val="18"/>
                <w:highlight w:val="none"/>
              </w:rPr>
              <w:t>机电耦合总成</w:t>
            </w:r>
            <w:r>
              <w:rPr>
                <w:rFonts w:hint="eastAsia" w:ascii="宋体" w:hAnsi="宋体" w:cs="宋体"/>
                <w:sz w:val="18"/>
                <w:szCs w:val="18"/>
                <w:highlight w:val="none"/>
                <w:lang w:val="en-US" w:eastAsia="zh-CN"/>
              </w:rPr>
              <w:t>系统</w:t>
            </w:r>
          </w:p>
        </w:tc>
        <w:tc>
          <w:tcPr>
            <w:tcW w:w="747" w:type="pct"/>
            <w:noWrap w:val="0"/>
            <w:vAlign w:val="center"/>
          </w:tcPr>
          <w:p>
            <w:pPr>
              <w:autoSpaceDE w:val="0"/>
              <w:autoSpaceDN w:val="0"/>
              <w:jc w:val="center"/>
              <w:rPr>
                <w:rFonts w:hint="eastAsia" w:ascii="宋体" w:hAnsi="宋体" w:cs="宋体"/>
                <w:sz w:val="18"/>
                <w:szCs w:val="18"/>
                <w:highlight w:val="none"/>
                <w:lang w:val="en-US" w:eastAsia="zh-CN"/>
              </w:rPr>
            </w:pPr>
            <w:r>
              <w:rPr>
                <w:rFonts w:hint="eastAsia" w:ascii="宋体" w:hAnsi="宋体" w:cs="宋体"/>
                <w:sz w:val="18"/>
                <w:szCs w:val="18"/>
                <w:highlight w:val="none"/>
              </w:rPr>
              <w:t>综合使用效率</w:t>
            </w:r>
          </w:p>
        </w:tc>
        <w:tc>
          <w:tcPr>
            <w:tcW w:w="1877" w:type="pct"/>
            <w:noWrap w:val="0"/>
            <w:vAlign w:val="center"/>
          </w:tcPr>
          <w:p>
            <w:pPr>
              <w:jc w:val="both"/>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2025年，</w:t>
            </w:r>
            <w:r>
              <w:rPr>
                <w:rFonts w:hint="eastAsia" w:ascii="宋体" w:hAnsi="宋体" w:cs="宋体"/>
                <w:sz w:val="18"/>
                <w:szCs w:val="18"/>
                <w:highlight w:val="none"/>
              </w:rPr>
              <w:t>机电耦合综合效率</w:t>
            </w:r>
            <w:r>
              <w:rPr>
                <w:rFonts w:hint="eastAsia" w:ascii="宋体" w:hAnsi="宋体" w:cs="宋体"/>
                <w:sz w:val="18"/>
                <w:szCs w:val="18"/>
                <w:highlight w:val="none"/>
                <w:lang w:val="en-US" w:eastAsia="zh-CN"/>
              </w:rPr>
              <w:t>达到</w:t>
            </w:r>
            <w:r>
              <w:rPr>
                <w:rFonts w:hint="eastAsia" w:ascii="宋体" w:hAnsi="宋体" w:cs="宋体"/>
                <w:sz w:val="18"/>
                <w:szCs w:val="18"/>
                <w:highlight w:val="none"/>
              </w:rPr>
              <w:t>83%(WLTC)</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2030年达到84.5%</w:t>
            </w:r>
            <w:r>
              <w:rPr>
                <w:rFonts w:hint="eastAsia" w:ascii="宋体" w:hAnsi="宋体" w:cs="宋体"/>
                <w:sz w:val="18"/>
                <w:szCs w:val="18"/>
                <w:highlight w:val="none"/>
              </w:rPr>
              <w:t>(WLTC)</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2035年达到86%</w:t>
            </w:r>
            <w:r>
              <w:rPr>
                <w:rFonts w:hint="eastAsia" w:ascii="宋体" w:hAnsi="宋体" w:cs="宋体"/>
                <w:sz w:val="18"/>
                <w:szCs w:val="18"/>
                <w:highlight w:val="none"/>
              </w:rPr>
              <w:t>(WLTC)</w:t>
            </w:r>
            <w:r>
              <w:rPr>
                <w:rFonts w:hint="eastAsia" w:ascii="宋体" w:hAnsi="宋体" w:cs="宋体"/>
                <w:sz w:val="18"/>
                <w:szCs w:val="18"/>
                <w:highlight w:val="none"/>
                <w:lang w:eastAsia="zh-CN"/>
              </w:rPr>
              <w:t>。</w:t>
            </w:r>
          </w:p>
        </w:tc>
        <w:tc>
          <w:tcPr>
            <w:tcW w:w="923" w:type="pct"/>
            <w:vMerge w:val="continue"/>
            <w:noWrap w:val="0"/>
            <w:vAlign w:val="center"/>
          </w:tcPr>
          <w:p>
            <w:pPr>
              <w:autoSpaceDE/>
              <w:autoSpaceDN/>
              <w:jc w:val="center"/>
              <w:rPr>
                <w:rFonts w:hint="eastAsia" w:ascii="宋体" w:hAnsi="宋体" w:cs="宋体"/>
                <w:sz w:val="18"/>
                <w:szCs w:val="18"/>
                <w:highlight w:val="none"/>
              </w:rPr>
            </w:pPr>
          </w:p>
        </w:tc>
      </w:tr>
    </w:tbl>
    <w:p>
      <w:pPr>
        <w:pStyle w:val="64"/>
        <w:spacing w:before="156" w:after="156"/>
        <w:rPr>
          <w:rFonts w:hAnsi="黑体" w:cs="黑体"/>
          <w:highlight w:val="none"/>
        </w:rPr>
      </w:pPr>
      <w:r>
        <w:rPr>
          <w:rFonts w:hint="eastAsia"/>
          <w:highlight w:val="none"/>
        </w:rPr>
        <w:t>新能源汽车电附件</w:t>
      </w:r>
    </w:p>
    <w:p>
      <w:pPr>
        <w:autoSpaceDE w:val="0"/>
        <w:autoSpaceDN w:val="0"/>
        <w:spacing w:line="240" w:lineRule="auto"/>
        <w:ind w:firstLine="420" w:firstLineChars="200"/>
        <w:rPr>
          <w:rFonts w:hint="eastAsia" w:ascii="Times New Roman" w:hAnsi="Times New Roman" w:eastAsia="宋体" w:cs="Times New Roman"/>
          <w:szCs w:val="21"/>
          <w:highlight w:val="none"/>
        </w:rPr>
      </w:pPr>
      <w:r>
        <w:rPr>
          <w:rFonts w:hint="eastAsia"/>
          <w:szCs w:val="21"/>
          <w:highlight w:val="none"/>
        </w:rPr>
        <w:t>高可靠性高压继电器，高压熔断器，高压线缆，高压插接件，绝缘检测仪，电动制动真空泵，电动空压机，电动助力转向系统，电动空调及热管理系统（含热泵空调、电动压缩机、二氧化碳电动压缩机、电池冷却器、空调箱及冷却模块等），直流转直流电源（DC/DC）转换器，车载充电机，车载交直流充电接口等制造</w:t>
      </w:r>
      <w:r>
        <w:rPr>
          <w:rFonts w:hint="eastAsia"/>
          <w:szCs w:val="21"/>
          <w:highlight w:val="none"/>
          <w:lang w:eastAsia="zh-CN"/>
        </w:rPr>
        <w:t>，</w:t>
      </w:r>
      <w:r>
        <w:rPr>
          <w:rFonts w:hint="eastAsia"/>
          <w:szCs w:val="21"/>
          <w:highlight w:val="none"/>
        </w:rPr>
        <w:t>具体评价内容及评价方法</w:t>
      </w:r>
      <w:r>
        <w:rPr>
          <w:rFonts w:hint="eastAsia" w:ascii="宋体" w:hAnsi="宋体" w:cs="宋体"/>
          <w:szCs w:val="21"/>
          <w:highlight w:val="none"/>
        </w:rPr>
        <w:t>见表</w:t>
      </w:r>
      <w:r>
        <w:rPr>
          <w:rFonts w:hint="eastAsia" w:ascii="宋体" w:hAnsi="宋体" w:cs="宋体"/>
          <w:szCs w:val="21"/>
          <w:highlight w:val="none"/>
          <w:lang w:val="en-US" w:eastAsia="zh-CN"/>
        </w:rPr>
        <w:t>8</w:t>
      </w:r>
      <w:r>
        <w:rPr>
          <w:rFonts w:hint="eastAsia"/>
          <w:szCs w:val="21"/>
          <w:highlight w:val="none"/>
        </w:rPr>
        <w:t>。</w:t>
      </w:r>
    </w:p>
    <w:p>
      <w:pPr>
        <w:numPr>
          <w:ilvl w:val="0"/>
          <w:numId w:val="17"/>
        </w:numPr>
        <w:spacing w:before="156" w:beforeLines="50" w:after="156" w:afterLines="50"/>
        <w:jc w:val="center"/>
        <w:rPr>
          <w:szCs w:val="21"/>
          <w:highlight w:val="none"/>
        </w:rPr>
      </w:pPr>
      <w:r>
        <w:rPr>
          <w:rFonts w:hint="eastAsia" w:eastAsia="黑体"/>
          <w:highlight w:val="none"/>
        </w:rPr>
        <w:t>新能源汽车控制系统关键</w:t>
      </w:r>
      <w:r>
        <w:rPr>
          <w:rFonts w:eastAsia="黑体"/>
          <w:highlight w:val="none"/>
        </w:rPr>
        <w:t>技术先进性</w:t>
      </w:r>
      <w:r>
        <w:rPr>
          <w:rFonts w:hint="eastAsia" w:eastAsia="黑体"/>
          <w:highlight w:val="none"/>
        </w:rPr>
        <w:t>评价规则表</w:t>
      </w:r>
    </w:p>
    <w:tbl>
      <w:tblPr>
        <w:tblStyle w:val="3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631"/>
        <w:gridCol w:w="1593"/>
        <w:gridCol w:w="3525"/>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评价环节</w:t>
            </w:r>
          </w:p>
        </w:tc>
        <w:tc>
          <w:tcPr>
            <w:tcW w:w="853"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评价对象</w:t>
            </w:r>
          </w:p>
        </w:tc>
        <w:tc>
          <w:tcPr>
            <w:tcW w:w="833"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核心评价指标</w:t>
            </w:r>
          </w:p>
        </w:tc>
        <w:tc>
          <w:tcPr>
            <w:tcW w:w="1843"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评价维度</w:t>
            </w:r>
          </w:p>
        </w:tc>
        <w:tc>
          <w:tcPr>
            <w:tcW w:w="923" w:type="pct"/>
            <w:noWrap w:val="0"/>
            <w:vAlign w:val="top"/>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46" w:type="pct"/>
            <w:vMerge w:val="restart"/>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生产制造</w:t>
            </w:r>
          </w:p>
        </w:tc>
        <w:tc>
          <w:tcPr>
            <w:tcW w:w="853" w:type="pct"/>
            <w:noWrap w:val="0"/>
            <w:vAlign w:val="center"/>
          </w:tcPr>
          <w:p>
            <w:p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DC/DC转换器</w:t>
            </w: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转换效率</w:t>
            </w:r>
          </w:p>
        </w:tc>
        <w:tc>
          <w:tcPr>
            <w:tcW w:w="1843" w:type="pct"/>
            <w:noWrap w:val="0"/>
            <w:vAlign w:val="center"/>
          </w:tcPr>
          <w:p>
            <w:pPr>
              <w:autoSpaceDE w:val="0"/>
              <w:autoSpaceDN w:val="0"/>
              <w:jc w:val="both"/>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不低于95%。</w:t>
            </w:r>
          </w:p>
        </w:tc>
        <w:tc>
          <w:tcPr>
            <w:tcW w:w="923" w:type="pct"/>
            <w:noWrap w:val="0"/>
            <w:vAlign w:val="center"/>
          </w:tcPr>
          <w:p>
            <w:pPr>
              <w:autoSpaceDE/>
              <w:autoSpaceDN/>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46" w:type="pct"/>
            <w:vMerge w:val="continue"/>
            <w:noWrap w:val="0"/>
            <w:vAlign w:val="center"/>
          </w:tcPr>
          <w:p>
            <w:pPr>
              <w:autoSpaceDE w:val="0"/>
              <w:autoSpaceDN w:val="0"/>
              <w:jc w:val="center"/>
              <w:rPr>
                <w:rFonts w:ascii="宋体" w:hAnsi="宋体" w:cs="宋体"/>
                <w:sz w:val="18"/>
                <w:szCs w:val="18"/>
                <w:highlight w:val="none"/>
              </w:rPr>
            </w:pPr>
          </w:p>
        </w:tc>
        <w:tc>
          <w:tcPr>
            <w:tcW w:w="853" w:type="pct"/>
            <w:vMerge w:val="restart"/>
            <w:noWrap w:val="0"/>
            <w:vAlign w:val="center"/>
          </w:tcPr>
          <w:p>
            <w:pPr>
              <w:jc w:val="center"/>
              <w:rPr>
                <w:rFonts w:ascii="宋体" w:hAnsi="宋体" w:cs="宋体"/>
                <w:sz w:val="18"/>
                <w:szCs w:val="18"/>
                <w:highlight w:val="none"/>
              </w:rPr>
            </w:pPr>
            <w:r>
              <w:rPr>
                <w:rFonts w:hint="eastAsia" w:ascii="宋体" w:hAnsi="宋体" w:cs="宋体"/>
                <w:sz w:val="18"/>
                <w:szCs w:val="18"/>
                <w:highlight w:val="none"/>
                <w:lang w:val="en-US" w:eastAsia="zh-CN"/>
              </w:rPr>
              <w:t>高压继电器</w:t>
            </w:r>
          </w:p>
        </w:tc>
        <w:tc>
          <w:tcPr>
            <w:tcW w:w="833" w:type="pct"/>
            <w:noWrap w:val="0"/>
            <w:vAlign w:val="center"/>
          </w:tcPr>
          <w:p>
            <w:pPr>
              <w:autoSpaceDE w:val="0"/>
              <w:autoSpaceDN w:val="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rPr>
              <w:t>产品机械耐久性</w:t>
            </w:r>
          </w:p>
        </w:tc>
        <w:tc>
          <w:tcPr>
            <w:tcW w:w="1843" w:type="pct"/>
            <w:noWrap w:val="0"/>
            <w:vAlign w:val="center"/>
          </w:tcPr>
          <w:p>
            <w:pPr>
              <w:jc w:val="both"/>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rPr>
              <w:t>循环次数为300000次，出现循环失效次数</w:t>
            </w:r>
            <w:r>
              <w:rPr>
                <w:rFonts w:hint="eastAsia" w:ascii="宋体" w:hAnsi="宋体" w:cs="宋体"/>
                <w:sz w:val="18"/>
                <w:szCs w:val="18"/>
                <w:highlight w:val="none"/>
                <w:lang w:val="en-US" w:eastAsia="zh-CN"/>
              </w:rPr>
              <w:t>为0</w:t>
            </w:r>
            <w:r>
              <w:rPr>
                <w:rFonts w:hint="eastAsia" w:ascii="宋体" w:hAnsi="宋体" w:cs="宋体"/>
                <w:sz w:val="18"/>
                <w:szCs w:val="18"/>
                <w:highlight w:val="none"/>
                <w:lang w:eastAsia="zh-CN"/>
              </w:rPr>
              <w:t>。</w:t>
            </w:r>
          </w:p>
        </w:tc>
        <w:tc>
          <w:tcPr>
            <w:tcW w:w="923" w:type="pct"/>
            <w:vMerge w:val="restart"/>
            <w:noWrap w:val="0"/>
            <w:vAlign w:val="center"/>
          </w:tcPr>
          <w:p>
            <w:pPr>
              <w:autoSpaceDE/>
              <w:autoSpaceDN/>
              <w:jc w:val="center"/>
              <w:rPr>
                <w:rFonts w:hint="default"/>
                <w:highlight w:val="none"/>
                <w:lang w:val="en-US" w:eastAsia="zh-CN"/>
              </w:rPr>
            </w:pPr>
            <w:r>
              <w:rPr>
                <w:rFonts w:hint="eastAsia" w:ascii="宋体" w:hAnsi="宋体" w:cs="宋体"/>
                <w:sz w:val="18"/>
                <w:szCs w:val="18"/>
                <w:highlight w:val="none"/>
              </w:rPr>
              <w:t>T/ZZB</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46" w:type="pct"/>
            <w:vMerge w:val="continue"/>
            <w:noWrap w:val="0"/>
            <w:vAlign w:val="center"/>
          </w:tcPr>
          <w:p>
            <w:pPr>
              <w:autoSpaceDE w:val="0"/>
              <w:autoSpaceDN w:val="0"/>
              <w:jc w:val="center"/>
              <w:rPr>
                <w:rFonts w:ascii="宋体" w:hAnsi="宋体" w:cs="宋体"/>
                <w:sz w:val="18"/>
                <w:szCs w:val="18"/>
                <w:highlight w:val="none"/>
              </w:rPr>
            </w:pPr>
          </w:p>
        </w:tc>
        <w:tc>
          <w:tcPr>
            <w:tcW w:w="853" w:type="pct"/>
            <w:vMerge w:val="continue"/>
            <w:noWrap w:val="0"/>
            <w:vAlign w:val="center"/>
          </w:tcPr>
          <w:p>
            <w:pPr>
              <w:jc w:val="center"/>
              <w:rPr>
                <w:rFonts w:ascii="宋体" w:hAnsi="宋体" w:cs="宋体"/>
                <w:sz w:val="18"/>
                <w:szCs w:val="18"/>
                <w:highlight w:val="none"/>
              </w:rPr>
            </w:pPr>
          </w:p>
        </w:tc>
        <w:tc>
          <w:tcPr>
            <w:tcW w:w="833" w:type="pct"/>
            <w:noWrap w:val="0"/>
            <w:vAlign w:val="center"/>
          </w:tcPr>
          <w:p>
            <w:pPr>
              <w:autoSpaceDE w:val="0"/>
              <w:autoSpaceDN w:val="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瞬时抗短路能力</w:t>
            </w:r>
          </w:p>
        </w:tc>
        <w:tc>
          <w:tcPr>
            <w:tcW w:w="1843" w:type="pct"/>
            <w:noWrap w:val="0"/>
            <w:vAlign w:val="center"/>
          </w:tcPr>
          <w:p>
            <w:pPr>
              <w:jc w:val="both"/>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标称工作电流为150A，在耐受电流3000A，持续作用10ms 1次以上，或标称工作电流为200A，在耐受电流4000A，持续作用10ms 1次以上，或标称工作电流为250A，在耐受电流5000A，持续作用5ms 1次以上，或标称工作电流300A以上，在耐受电流6000A，持续作用5ms 1次以上，出现</w:t>
            </w:r>
            <w:r>
              <w:rPr>
                <w:rFonts w:hint="eastAsia" w:ascii="宋体" w:hAnsi="宋体" w:cs="宋体"/>
                <w:sz w:val="18"/>
                <w:szCs w:val="18"/>
                <w:highlight w:val="none"/>
              </w:rPr>
              <w:t>爆炸、起火、触点粘连</w:t>
            </w:r>
            <w:r>
              <w:rPr>
                <w:rFonts w:hint="eastAsia" w:ascii="宋体" w:hAnsi="宋体" w:cs="宋体"/>
                <w:sz w:val="18"/>
                <w:szCs w:val="18"/>
                <w:highlight w:val="none"/>
                <w:lang w:val="en-US" w:eastAsia="zh-CN"/>
              </w:rPr>
              <w:t>的次数为0。</w:t>
            </w:r>
          </w:p>
        </w:tc>
        <w:tc>
          <w:tcPr>
            <w:tcW w:w="923" w:type="pct"/>
            <w:vMerge w:val="continue"/>
            <w:noWrap w:val="0"/>
            <w:vAlign w:val="center"/>
          </w:tcPr>
          <w:p>
            <w:pPr>
              <w:autoSpaceDE/>
              <w:autoSpaceDN/>
              <w:jc w:val="center"/>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546" w:type="pct"/>
            <w:vMerge w:val="continue"/>
            <w:noWrap w:val="0"/>
            <w:vAlign w:val="center"/>
          </w:tcPr>
          <w:p>
            <w:pPr>
              <w:autoSpaceDE w:val="0"/>
              <w:autoSpaceDN w:val="0"/>
              <w:jc w:val="center"/>
              <w:rPr>
                <w:rFonts w:ascii="宋体" w:hAnsi="宋体" w:cs="宋体"/>
                <w:sz w:val="18"/>
                <w:szCs w:val="18"/>
                <w:highlight w:val="none"/>
              </w:rPr>
            </w:pPr>
          </w:p>
        </w:tc>
        <w:tc>
          <w:tcPr>
            <w:tcW w:w="853" w:type="pct"/>
            <w:vMerge w:val="continue"/>
            <w:noWrap w:val="0"/>
            <w:vAlign w:val="center"/>
          </w:tcPr>
          <w:p>
            <w:pPr>
              <w:jc w:val="center"/>
              <w:rPr>
                <w:rFonts w:ascii="宋体" w:hAnsi="宋体" w:cs="宋体"/>
                <w:sz w:val="18"/>
                <w:szCs w:val="18"/>
                <w:highlight w:val="none"/>
              </w:rPr>
            </w:pP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极限电流分断能力</w:t>
            </w:r>
          </w:p>
        </w:tc>
        <w:tc>
          <w:tcPr>
            <w:tcW w:w="1843" w:type="pct"/>
            <w:noWrap w:val="0"/>
            <w:vAlign w:val="center"/>
          </w:tcPr>
          <w:p>
            <w:pPr>
              <w:jc w:val="both"/>
              <w:rPr>
                <w:rFonts w:hint="eastAsia" w:ascii="宋体" w:hAnsi="宋体" w:cs="宋体"/>
                <w:sz w:val="18"/>
                <w:szCs w:val="18"/>
                <w:highlight w:val="none"/>
              </w:rPr>
            </w:pPr>
            <w:r>
              <w:rPr>
                <w:rFonts w:hint="eastAsia" w:ascii="宋体" w:hAnsi="宋体" w:cs="宋体"/>
                <w:kern w:val="2"/>
                <w:sz w:val="18"/>
                <w:szCs w:val="18"/>
                <w:highlight w:val="none"/>
                <w:lang w:val="en-US" w:eastAsia="zh-CN" w:bidi="ar-SA"/>
              </w:rPr>
              <w:t>标称工作电流≤200A，在耐受电流10InA，持续作用2ms 1次以上，或标称工作电流大于200A，在耐受电流2000A，持续作用2ms 1次以上，出现</w:t>
            </w:r>
            <w:r>
              <w:rPr>
                <w:rFonts w:hint="eastAsia" w:ascii="宋体" w:hAnsi="宋体" w:cs="宋体"/>
                <w:sz w:val="18"/>
                <w:szCs w:val="18"/>
                <w:highlight w:val="none"/>
              </w:rPr>
              <w:t>爆炸、起火、触点粘连</w:t>
            </w:r>
            <w:r>
              <w:rPr>
                <w:rFonts w:hint="eastAsia" w:ascii="宋体" w:hAnsi="宋体" w:cs="宋体"/>
                <w:sz w:val="18"/>
                <w:szCs w:val="18"/>
                <w:highlight w:val="none"/>
                <w:lang w:val="en-US" w:eastAsia="zh-CN"/>
              </w:rPr>
              <w:t>的次数为0。</w:t>
            </w:r>
          </w:p>
        </w:tc>
        <w:tc>
          <w:tcPr>
            <w:tcW w:w="923" w:type="pct"/>
            <w:vMerge w:val="continue"/>
            <w:noWrap w:val="0"/>
            <w:vAlign w:val="center"/>
          </w:tcPr>
          <w:p>
            <w:pPr>
              <w:autoSpaceDE/>
              <w:autoSpaceDN/>
              <w:jc w:val="center"/>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46" w:type="pct"/>
            <w:vMerge w:val="continue"/>
            <w:noWrap w:val="0"/>
            <w:vAlign w:val="center"/>
          </w:tcPr>
          <w:p>
            <w:pPr>
              <w:autoSpaceDE w:val="0"/>
              <w:autoSpaceDN w:val="0"/>
              <w:jc w:val="center"/>
              <w:rPr>
                <w:rFonts w:ascii="宋体" w:hAnsi="宋体" w:cs="宋体"/>
                <w:sz w:val="18"/>
                <w:szCs w:val="18"/>
                <w:highlight w:val="none"/>
              </w:rPr>
            </w:pPr>
          </w:p>
        </w:tc>
        <w:tc>
          <w:tcPr>
            <w:tcW w:w="853" w:type="pct"/>
            <w:vMerge w:val="continue"/>
            <w:noWrap w:val="0"/>
            <w:vAlign w:val="center"/>
          </w:tcPr>
          <w:p>
            <w:pPr>
              <w:jc w:val="center"/>
              <w:rPr>
                <w:rFonts w:ascii="宋体" w:hAnsi="宋体" w:cs="宋体"/>
                <w:sz w:val="18"/>
                <w:szCs w:val="18"/>
                <w:highlight w:val="none"/>
              </w:rPr>
            </w:pPr>
          </w:p>
        </w:tc>
        <w:tc>
          <w:tcPr>
            <w:tcW w:w="833" w:type="pct"/>
            <w:noWrap w:val="0"/>
            <w:vAlign w:val="center"/>
          </w:tcPr>
          <w:p>
            <w:pPr>
              <w:autoSpaceDE w:val="0"/>
              <w:autoSpaceDN w:val="0"/>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噪声值</w:t>
            </w:r>
          </w:p>
        </w:tc>
        <w:tc>
          <w:tcPr>
            <w:tcW w:w="1843" w:type="pct"/>
            <w:noWrap w:val="0"/>
            <w:vAlign w:val="center"/>
          </w:tcPr>
          <w:p>
            <w:pPr>
              <w:jc w:val="both"/>
              <w:rPr>
                <w:rFonts w:hint="default" w:ascii="宋体" w:hAnsi="宋体" w:eastAsia="宋体" w:cs="宋体"/>
                <w:sz w:val="18"/>
                <w:szCs w:val="18"/>
                <w:highlight w:val="none"/>
                <w:lang w:val="en-US" w:eastAsia="zh-CN"/>
              </w:rPr>
            </w:pPr>
            <w:r>
              <w:rPr>
                <w:rFonts w:hint="eastAsia" w:ascii="宋体" w:hAnsi="宋体" w:cs="宋体"/>
                <w:sz w:val="18"/>
                <w:szCs w:val="18"/>
                <w:highlight w:val="none"/>
              </w:rPr>
              <w:t>不大于</w:t>
            </w:r>
            <w:r>
              <w:rPr>
                <w:rFonts w:hint="eastAsia" w:ascii="宋体" w:hAnsi="宋体" w:cs="宋体"/>
                <w:sz w:val="18"/>
                <w:szCs w:val="18"/>
                <w:highlight w:val="none"/>
                <w:lang w:eastAsia="zh-CN"/>
              </w:rPr>
              <w:t>6</w:t>
            </w:r>
            <w:r>
              <w:rPr>
                <w:rFonts w:hint="eastAsia" w:ascii="宋体" w:hAnsi="宋体" w:cs="宋体"/>
                <w:sz w:val="18"/>
                <w:szCs w:val="18"/>
                <w:highlight w:val="none"/>
                <w:lang w:val="en-US" w:eastAsia="zh-CN"/>
              </w:rPr>
              <w:t>5</w:t>
            </w:r>
            <w:r>
              <w:rPr>
                <w:rFonts w:hint="eastAsia" w:ascii="宋体" w:hAnsi="宋体" w:cs="宋体"/>
                <w:sz w:val="18"/>
                <w:szCs w:val="18"/>
                <w:highlight w:val="none"/>
              </w:rPr>
              <w:t>dB(A)。</w:t>
            </w:r>
          </w:p>
        </w:tc>
        <w:tc>
          <w:tcPr>
            <w:tcW w:w="923" w:type="pct"/>
            <w:vMerge w:val="continue"/>
            <w:noWrap w:val="0"/>
            <w:vAlign w:val="center"/>
          </w:tcPr>
          <w:p>
            <w:pPr>
              <w:autoSpaceDE/>
              <w:autoSpaceDN/>
              <w:jc w:val="center"/>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46" w:type="pct"/>
            <w:vMerge w:val="continue"/>
            <w:noWrap w:val="0"/>
            <w:vAlign w:val="center"/>
          </w:tcPr>
          <w:p>
            <w:pPr>
              <w:autoSpaceDE w:val="0"/>
              <w:autoSpaceDN w:val="0"/>
              <w:jc w:val="center"/>
              <w:rPr>
                <w:rFonts w:ascii="宋体" w:hAnsi="宋体" w:cs="宋体"/>
                <w:sz w:val="18"/>
                <w:szCs w:val="18"/>
                <w:highlight w:val="none"/>
              </w:rPr>
            </w:pPr>
          </w:p>
        </w:tc>
        <w:tc>
          <w:tcPr>
            <w:tcW w:w="853" w:type="pct"/>
            <w:vMerge w:val="restart"/>
            <w:noWrap w:val="0"/>
            <w:vAlign w:val="center"/>
          </w:tcPr>
          <w:p>
            <w:p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高压熔断器</w:t>
            </w: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熔断器弧前时间</w:t>
            </w:r>
          </w:p>
        </w:tc>
        <w:tc>
          <w:tcPr>
            <w:tcW w:w="1843" w:type="pct"/>
            <w:noWrap w:val="0"/>
            <w:vAlign w:val="center"/>
          </w:tcPr>
          <w:p>
            <w:pPr>
              <w:jc w:val="both"/>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不同熔断器额定电流在不同试验电流下的弧前时间在上下限范围。</w:t>
            </w:r>
          </w:p>
        </w:tc>
        <w:tc>
          <w:tcPr>
            <w:tcW w:w="923" w:type="pct"/>
            <w:vMerge w:val="restart"/>
            <w:noWrap w:val="0"/>
            <w:vAlign w:val="center"/>
          </w:tcPr>
          <w:p>
            <w:pPr>
              <w:autoSpaceDE/>
              <w:autoSpaceDN/>
              <w:jc w:val="center"/>
              <w:rPr>
                <w:rFonts w:hint="default"/>
                <w:highlight w:val="none"/>
                <w:lang w:val="en-US" w:eastAsia="zh-CN"/>
              </w:rPr>
            </w:pPr>
            <w:r>
              <w:rPr>
                <w:rFonts w:hint="eastAsia" w:ascii="宋体" w:hAnsi="宋体" w:cs="宋体"/>
                <w:sz w:val="18"/>
                <w:szCs w:val="18"/>
                <w:highlight w:val="none"/>
              </w:rPr>
              <w:t xml:space="preserve"> QC</w:t>
            </w:r>
            <w:r>
              <w:rPr>
                <w:rFonts w:hint="eastAsia" w:ascii="宋体" w:hAnsi="宋体" w:cs="宋体"/>
                <w:sz w:val="18"/>
                <w:szCs w:val="18"/>
                <w:highlight w:val="none"/>
                <w:lang w:val="en-US" w:eastAsia="zh-CN"/>
              </w:rPr>
              <w:t>/</w:t>
            </w:r>
            <w:r>
              <w:rPr>
                <w:rFonts w:hint="eastAsia" w:ascii="宋体" w:hAnsi="宋体" w:cs="宋体"/>
                <w:sz w:val="18"/>
                <w:szCs w:val="18"/>
                <w:highlight w:val="none"/>
              </w:rPr>
              <w:t>T 1174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default" w:ascii="宋体" w:hAnsi="宋体" w:cs="宋体"/>
                <w:sz w:val="18"/>
                <w:szCs w:val="18"/>
                <w:highlight w:val="none"/>
                <w:lang w:val="en-US" w:eastAsia="zh-CN"/>
              </w:rPr>
            </w:pP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分断能力</w:t>
            </w:r>
          </w:p>
        </w:tc>
        <w:tc>
          <w:tcPr>
            <w:tcW w:w="1843" w:type="pct"/>
            <w:noWrap w:val="0"/>
            <w:vAlign w:val="center"/>
          </w:tcPr>
          <w:p>
            <w:pPr>
              <w:jc w:val="both"/>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按照</w:t>
            </w:r>
            <w:r>
              <w:rPr>
                <w:rFonts w:hint="eastAsia" w:ascii="宋体" w:hAnsi="宋体" w:cs="宋体"/>
                <w:sz w:val="18"/>
                <w:szCs w:val="18"/>
                <w:highlight w:val="none"/>
              </w:rPr>
              <w:t xml:space="preserve"> QC/T 1174</w:t>
            </w:r>
            <w:r>
              <w:rPr>
                <w:rFonts w:hint="eastAsia" w:ascii="宋体" w:hAnsi="宋体" w:cs="宋体"/>
                <w:sz w:val="18"/>
                <w:szCs w:val="18"/>
                <w:highlight w:val="none"/>
                <w:lang w:val="en-US" w:eastAsia="zh-CN"/>
              </w:rPr>
              <w:t xml:space="preserve"> 6.4.4分断能力试验方法，熔断器</w:t>
            </w:r>
            <w:r>
              <w:rPr>
                <w:rFonts w:hint="eastAsia" w:ascii="宋体" w:hAnsi="宋体" w:cs="宋体"/>
                <w:sz w:val="18"/>
                <w:szCs w:val="18"/>
                <w:highlight w:val="none"/>
              </w:rPr>
              <w:t>不应有持续燃弧、飞弧、爆炸或危及周围的任何火焰喷出</w:t>
            </w:r>
            <w:r>
              <w:rPr>
                <w:rFonts w:hint="eastAsia" w:ascii="宋体" w:hAnsi="宋体" w:cs="宋体"/>
                <w:sz w:val="18"/>
                <w:szCs w:val="18"/>
                <w:highlight w:val="none"/>
                <w:lang w:eastAsia="zh-CN"/>
              </w:rPr>
              <w:t>，</w:t>
            </w:r>
            <w:r>
              <w:rPr>
                <w:rFonts w:hint="eastAsia" w:ascii="宋体" w:hAnsi="宋体" w:cs="宋体"/>
                <w:sz w:val="18"/>
                <w:szCs w:val="18"/>
                <w:highlight w:val="none"/>
              </w:rPr>
              <w:t>熔断器不应损坏到使其更换困难或者危及操作者的程度,熔断器从载熔件或试验底座取出之前保持为一整体，熔断器及其部件可以改变颜色</w:t>
            </w:r>
            <w:r>
              <w:rPr>
                <w:rFonts w:hint="eastAsia" w:ascii="宋体" w:hAnsi="宋体" w:cs="宋体"/>
                <w:sz w:val="18"/>
                <w:szCs w:val="18"/>
                <w:highlight w:val="none"/>
                <w:lang w:eastAsia="zh-CN"/>
              </w:rPr>
              <w:t>，</w:t>
            </w:r>
            <w:r>
              <w:rPr>
                <w:rFonts w:hint="eastAsia" w:ascii="宋体" w:hAnsi="宋体" w:cs="宋体"/>
                <w:sz w:val="18"/>
                <w:szCs w:val="18"/>
                <w:highlight w:val="none"/>
              </w:rPr>
              <w:t>每次试验后，熔断器接线端子间漏电流应小于0.5mA。</w:t>
            </w:r>
          </w:p>
        </w:tc>
        <w:tc>
          <w:tcPr>
            <w:tcW w:w="923" w:type="pct"/>
            <w:vMerge w:val="continue"/>
            <w:noWrap w:val="0"/>
            <w:vAlign w:val="center"/>
          </w:tcPr>
          <w:p>
            <w:pPr>
              <w:autoSpaceDE/>
              <w:autoSpaceDN/>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default" w:ascii="宋体" w:hAnsi="宋体" w:cs="宋体"/>
                <w:sz w:val="18"/>
                <w:szCs w:val="18"/>
                <w:highlight w:val="none"/>
                <w:lang w:val="en-US" w:eastAsia="zh-CN"/>
              </w:rPr>
            </w:pP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短时冲击</w:t>
            </w:r>
          </w:p>
        </w:tc>
        <w:tc>
          <w:tcPr>
            <w:tcW w:w="1843" w:type="pct"/>
            <w:noWrap w:val="0"/>
            <w:vAlign w:val="center"/>
          </w:tcPr>
          <w:p>
            <w:pPr>
              <w:jc w:val="both"/>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按照</w:t>
            </w:r>
            <w:r>
              <w:rPr>
                <w:rFonts w:hint="eastAsia" w:ascii="宋体" w:hAnsi="宋体" w:cs="宋体"/>
                <w:sz w:val="18"/>
                <w:szCs w:val="18"/>
                <w:highlight w:val="none"/>
              </w:rPr>
              <w:t>QC</w:t>
            </w:r>
            <w:r>
              <w:rPr>
                <w:rFonts w:hint="eastAsia" w:ascii="宋体" w:hAnsi="宋体" w:cs="宋体"/>
                <w:sz w:val="18"/>
                <w:szCs w:val="18"/>
                <w:highlight w:val="none"/>
                <w:lang w:val="en-US" w:eastAsia="zh-CN"/>
              </w:rPr>
              <w:t>/</w:t>
            </w:r>
            <w:r>
              <w:rPr>
                <w:rFonts w:hint="eastAsia" w:ascii="宋体" w:hAnsi="宋体" w:cs="宋体"/>
                <w:sz w:val="18"/>
                <w:szCs w:val="18"/>
                <w:highlight w:val="none"/>
              </w:rPr>
              <w:t>T 1174</w:t>
            </w:r>
            <w:r>
              <w:rPr>
                <w:rFonts w:hint="eastAsia" w:ascii="宋体" w:hAnsi="宋体" w:cs="宋体"/>
                <w:sz w:val="18"/>
                <w:szCs w:val="18"/>
                <w:highlight w:val="none"/>
                <w:lang w:val="en-US" w:eastAsia="zh-CN"/>
              </w:rPr>
              <w:t xml:space="preserve"> 6.4.5.1电流冲击能力试验方法，熔断器内阻</w:t>
            </w:r>
            <w:r>
              <w:rPr>
                <w:rFonts w:hint="eastAsia" w:ascii="宋体" w:hAnsi="宋体" w:cs="宋体"/>
                <w:sz w:val="18"/>
                <w:szCs w:val="18"/>
                <w:highlight w:val="none"/>
              </w:rPr>
              <w:t>测量值与制造商标称的内阻值偏差不应超过10%</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熔断器</w:t>
            </w:r>
            <w:r>
              <w:rPr>
                <w:rFonts w:hint="eastAsia" w:ascii="宋体" w:hAnsi="宋体" w:cs="宋体"/>
                <w:sz w:val="18"/>
                <w:szCs w:val="18"/>
                <w:highlight w:val="none"/>
              </w:rPr>
              <w:t>不应有持续燃弧、飞弧、爆炸或危及周围的任何火焰喷出</w:t>
            </w:r>
            <w:r>
              <w:rPr>
                <w:rFonts w:hint="eastAsia" w:ascii="宋体" w:hAnsi="宋体" w:cs="宋体"/>
                <w:sz w:val="18"/>
                <w:szCs w:val="18"/>
                <w:highlight w:val="none"/>
                <w:lang w:eastAsia="zh-CN"/>
              </w:rPr>
              <w:t>，</w:t>
            </w:r>
            <w:r>
              <w:rPr>
                <w:rFonts w:hint="eastAsia" w:ascii="宋体" w:hAnsi="宋体" w:cs="宋体"/>
                <w:sz w:val="18"/>
                <w:szCs w:val="18"/>
                <w:highlight w:val="none"/>
              </w:rPr>
              <w:t>熔断器不应损坏到使其更换困难或者危及操作者的程度,熔断器从载熔件或试验底座取出之前保持为一整体，熔断器及其部件可以改变颜色</w:t>
            </w:r>
            <w:r>
              <w:rPr>
                <w:rFonts w:hint="eastAsia" w:ascii="宋体" w:hAnsi="宋体" w:cs="宋体"/>
                <w:sz w:val="18"/>
                <w:szCs w:val="18"/>
                <w:highlight w:val="none"/>
                <w:lang w:eastAsia="zh-CN"/>
              </w:rPr>
              <w:t>，</w:t>
            </w:r>
            <w:r>
              <w:rPr>
                <w:rFonts w:hint="eastAsia" w:ascii="宋体" w:hAnsi="宋体" w:cs="宋体"/>
                <w:sz w:val="18"/>
                <w:szCs w:val="18"/>
                <w:highlight w:val="none"/>
              </w:rPr>
              <w:t>每次试验后，熔断器接线端子间漏电流应小于0.5mA。</w:t>
            </w:r>
          </w:p>
        </w:tc>
        <w:tc>
          <w:tcPr>
            <w:tcW w:w="923" w:type="pct"/>
            <w:vMerge w:val="continue"/>
            <w:noWrap w:val="0"/>
            <w:vAlign w:val="center"/>
          </w:tcPr>
          <w:p>
            <w:pPr>
              <w:autoSpaceDE/>
              <w:autoSpaceDN/>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eastAsia" w:ascii="宋体" w:hAnsi="宋体" w:cs="宋体"/>
                <w:sz w:val="18"/>
                <w:szCs w:val="18"/>
                <w:highlight w:val="none"/>
              </w:rPr>
            </w:pP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过载冲击</w:t>
            </w:r>
          </w:p>
        </w:tc>
        <w:tc>
          <w:tcPr>
            <w:tcW w:w="1843" w:type="pct"/>
            <w:noWrap w:val="0"/>
            <w:vAlign w:val="center"/>
          </w:tcPr>
          <w:p>
            <w:pPr>
              <w:jc w:val="both"/>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按照</w:t>
            </w:r>
            <w:r>
              <w:rPr>
                <w:rFonts w:hint="eastAsia" w:ascii="宋体" w:hAnsi="宋体" w:cs="宋体"/>
                <w:sz w:val="18"/>
                <w:szCs w:val="18"/>
                <w:highlight w:val="none"/>
              </w:rPr>
              <w:t>QC</w:t>
            </w:r>
            <w:r>
              <w:rPr>
                <w:rFonts w:hint="eastAsia" w:ascii="宋体" w:hAnsi="宋体" w:cs="宋体"/>
                <w:sz w:val="18"/>
                <w:szCs w:val="18"/>
                <w:highlight w:val="none"/>
                <w:lang w:val="en-US" w:eastAsia="zh-CN"/>
              </w:rPr>
              <w:t>/</w:t>
            </w:r>
            <w:r>
              <w:rPr>
                <w:rFonts w:hint="eastAsia" w:ascii="宋体" w:hAnsi="宋体" w:cs="宋体"/>
                <w:sz w:val="18"/>
                <w:szCs w:val="18"/>
                <w:highlight w:val="none"/>
              </w:rPr>
              <w:t>T 1174</w:t>
            </w:r>
            <w:r>
              <w:rPr>
                <w:rFonts w:hint="eastAsia" w:ascii="宋体" w:hAnsi="宋体" w:cs="宋体"/>
                <w:sz w:val="18"/>
                <w:szCs w:val="18"/>
                <w:highlight w:val="none"/>
                <w:lang w:val="en-US" w:eastAsia="zh-CN"/>
              </w:rPr>
              <w:t xml:space="preserve"> 6.4.5.2</w:t>
            </w:r>
            <w:r>
              <w:rPr>
                <w:rFonts w:hint="eastAsia" w:ascii="宋体" w:hAnsi="宋体" w:cs="宋体"/>
                <w:sz w:val="18"/>
                <w:szCs w:val="18"/>
                <w:highlight w:val="none"/>
              </w:rPr>
              <w:t>过载冲击</w:t>
            </w:r>
            <w:r>
              <w:rPr>
                <w:rFonts w:hint="eastAsia" w:ascii="宋体" w:hAnsi="宋体" w:cs="宋体"/>
                <w:sz w:val="18"/>
                <w:szCs w:val="18"/>
                <w:highlight w:val="none"/>
                <w:lang w:val="en-US" w:eastAsia="zh-CN"/>
              </w:rPr>
              <w:t>能力试验方法，熔断器内阻</w:t>
            </w:r>
            <w:r>
              <w:rPr>
                <w:rFonts w:hint="eastAsia" w:ascii="宋体" w:hAnsi="宋体" w:cs="宋体"/>
                <w:sz w:val="18"/>
                <w:szCs w:val="18"/>
                <w:highlight w:val="none"/>
              </w:rPr>
              <w:t>测量值与制造商标称的内阻值偏差不应超过10%</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熔断器</w:t>
            </w:r>
            <w:r>
              <w:rPr>
                <w:rFonts w:hint="eastAsia" w:ascii="宋体" w:hAnsi="宋体" w:cs="宋体"/>
                <w:sz w:val="18"/>
                <w:szCs w:val="18"/>
                <w:highlight w:val="none"/>
              </w:rPr>
              <w:t>不应有持续燃弧、飞弧、爆炸或危及周围的任何火焰喷出</w:t>
            </w:r>
            <w:r>
              <w:rPr>
                <w:rFonts w:hint="eastAsia" w:ascii="宋体" w:hAnsi="宋体" w:cs="宋体"/>
                <w:sz w:val="18"/>
                <w:szCs w:val="18"/>
                <w:highlight w:val="none"/>
                <w:lang w:eastAsia="zh-CN"/>
              </w:rPr>
              <w:t>，</w:t>
            </w:r>
            <w:r>
              <w:rPr>
                <w:rFonts w:hint="eastAsia" w:ascii="宋体" w:hAnsi="宋体" w:cs="宋体"/>
                <w:sz w:val="18"/>
                <w:szCs w:val="18"/>
                <w:highlight w:val="none"/>
              </w:rPr>
              <w:t>熔断器不应损坏到使其更换困难或者危及操作者的程度,熔断器从载熔件或试验底座取出之前保持为一整体，熔断器及其部件可以改变颜色</w:t>
            </w:r>
            <w:r>
              <w:rPr>
                <w:rFonts w:hint="eastAsia" w:ascii="宋体" w:hAnsi="宋体" w:cs="宋体"/>
                <w:sz w:val="18"/>
                <w:szCs w:val="18"/>
                <w:highlight w:val="none"/>
                <w:lang w:eastAsia="zh-CN"/>
              </w:rPr>
              <w:t>，</w:t>
            </w:r>
            <w:r>
              <w:rPr>
                <w:rFonts w:hint="eastAsia" w:ascii="宋体" w:hAnsi="宋体" w:cs="宋体"/>
                <w:sz w:val="18"/>
                <w:szCs w:val="18"/>
                <w:highlight w:val="none"/>
              </w:rPr>
              <w:t>每次试验后，熔断器接线端子间漏电流应小于0.5mA。</w:t>
            </w:r>
          </w:p>
        </w:tc>
        <w:tc>
          <w:tcPr>
            <w:tcW w:w="923" w:type="pct"/>
            <w:vMerge w:val="continue"/>
            <w:noWrap w:val="0"/>
            <w:vAlign w:val="center"/>
          </w:tcPr>
          <w:p>
            <w:pPr>
              <w:autoSpaceDE/>
              <w:autoSpaceDN/>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restart"/>
            <w:noWrap w:val="0"/>
            <w:vAlign w:val="center"/>
          </w:tcPr>
          <w:p>
            <w:p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高压连接系统</w:t>
            </w: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耐电压</w:t>
            </w:r>
          </w:p>
        </w:tc>
        <w:tc>
          <w:tcPr>
            <w:tcW w:w="1843" w:type="pct"/>
            <w:noWrap w:val="0"/>
            <w:vAlign w:val="center"/>
          </w:tcPr>
          <w:p>
            <w:pPr>
              <w:jc w:val="both"/>
              <w:rPr>
                <w:rFonts w:hint="eastAsia" w:ascii="宋体" w:hAnsi="宋体" w:cs="宋体"/>
                <w:sz w:val="18"/>
                <w:szCs w:val="18"/>
                <w:highlight w:val="none"/>
                <w:lang w:val="en-US" w:eastAsia="zh-CN"/>
              </w:rPr>
            </w:pPr>
            <w:r>
              <w:rPr>
                <w:rFonts w:hint="eastAsia" w:ascii="宋体" w:hAnsi="宋体" w:cs="宋体"/>
                <w:sz w:val="18"/>
                <w:szCs w:val="18"/>
                <w:highlight w:val="none"/>
              </w:rPr>
              <w:t>高压连接系统导体与导体之间、导体与外壳之间、导体与屏蔽层之间应能承受耐电压试验电压，</w:t>
            </w:r>
            <w:r>
              <w:rPr>
                <w:rFonts w:hint="eastAsia" w:ascii="宋体" w:hAnsi="宋体" w:cs="宋体"/>
                <w:sz w:val="18"/>
                <w:szCs w:val="18"/>
                <w:highlight w:val="none"/>
                <w:lang w:val="en-US" w:eastAsia="zh-CN"/>
              </w:rPr>
              <w:t>出现</w:t>
            </w:r>
            <w:r>
              <w:rPr>
                <w:rFonts w:hint="eastAsia" w:ascii="宋体" w:hAnsi="宋体" w:cs="宋体"/>
                <w:sz w:val="18"/>
                <w:szCs w:val="18"/>
                <w:highlight w:val="none"/>
              </w:rPr>
              <w:t>介质击穿或电弧</w:t>
            </w:r>
            <w:r>
              <w:rPr>
                <w:rFonts w:hint="eastAsia" w:ascii="宋体" w:hAnsi="宋体" w:cs="宋体"/>
                <w:sz w:val="18"/>
                <w:szCs w:val="18"/>
                <w:highlight w:val="none"/>
                <w:lang w:val="en-US" w:eastAsia="zh-CN"/>
              </w:rPr>
              <w:t>现象的次数为0</w:t>
            </w:r>
            <w:r>
              <w:rPr>
                <w:rFonts w:hint="eastAsia" w:ascii="宋体" w:hAnsi="宋体" w:cs="宋体"/>
                <w:sz w:val="18"/>
                <w:szCs w:val="18"/>
                <w:highlight w:val="none"/>
              </w:rPr>
              <w:t>。</w:t>
            </w:r>
          </w:p>
        </w:tc>
        <w:tc>
          <w:tcPr>
            <w:tcW w:w="923" w:type="pct"/>
            <w:vMerge w:val="restart"/>
            <w:noWrap w:val="0"/>
            <w:vAlign w:val="center"/>
          </w:tcPr>
          <w:p>
            <w:pPr>
              <w:autoSpaceDE/>
              <w:autoSpaceDN/>
              <w:jc w:val="center"/>
              <w:rPr>
                <w:rFonts w:hint="eastAsia" w:ascii="宋体" w:hAnsi="宋体" w:cs="宋体"/>
                <w:sz w:val="18"/>
                <w:szCs w:val="18"/>
                <w:highlight w:val="none"/>
              </w:rPr>
            </w:pPr>
            <w:r>
              <w:rPr>
                <w:rFonts w:hint="eastAsia" w:ascii="宋体" w:hAnsi="宋体" w:cs="宋体"/>
                <w:sz w:val="18"/>
                <w:szCs w:val="18"/>
                <w:highlight w:val="none"/>
              </w:rPr>
              <w:t>GB/T 37133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eastAsia" w:ascii="宋体" w:hAnsi="宋体" w:cs="宋体"/>
                <w:sz w:val="18"/>
                <w:szCs w:val="18"/>
                <w:highlight w:val="none"/>
              </w:rPr>
            </w:pP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绝缘电阻</w:t>
            </w:r>
          </w:p>
        </w:tc>
        <w:tc>
          <w:tcPr>
            <w:tcW w:w="1843" w:type="pct"/>
            <w:noWrap w:val="0"/>
            <w:vAlign w:val="center"/>
          </w:tcPr>
          <w:p>
            <w:pPr>
              <w:jc w:val="both"/>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高压连接系统导体与导体之间,导体与外壳之间、导体与屏蔽层之间的绝缘电阻不小于100 M</w:t>
            </w:r>
            <w:r>
              <w:rPr>
                <w:rFonts w:hint="eastAsia" w:ascii="宋体" w:hAnsi="宋体" w:eastAsia="宋体" w:cs="宋体"/>
                <w:i w:val="0"/>
                <w:iCs w:val="0"/>
                <w:caps w:val="0"/>
                <w:spacing w:val="0"/>
                <w:sz w:val="18"/>
                <w:szCs w:val="18"/>
                <w:highlight w:val="none"/>
                <w:shd w:val="clear" w:color="auto" w:fill="auto"/>
              </w:rPr>
              <w:t>Ω</w:t>
            </w:r>
            <w:r>
              <w:rPr>
                <w:rFonts w:hint="eastAsia" w:ascii="宋体" w:hAnsi="宋体" w:cs="宋体"/>
                <w:i w:val="0"/>
                <w:iCs w:val="0"/>
                <w:caps w:val="0"/>
                <w:spacing w:val="0"/>
                <w:sz w:val="18"/>
                <w:szCs w:val="18"/>
                <w:highlight w:val="none"/>
                <w:shd w:val="clear" w:color="auto" w:fill="auto"/>
                <w:lang w:eastAsia="zh-CN"/>
              </w:rPr>
              <w:t>。</w:t>
            </w:r>
          </w:p>
        </w:tc>
        <w:tc>
          <w:tcPr>
            <w:tcW w:w="923" w:type="pct"/>
            <w:vMerge w:val="continue"/>
            <w:noWrap w:val="0"/>
            <w:vAlign w:val="center"/>
          </w:tcPr>
          <w:p>
            <w:pPr>
              <w:autoSpaceDE/>
              <w:autoSpaceDN/>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restart"/>
            <w:noWrap w:val="0"/>
            <w:vAlign w:val="center"/>
          </w:tcPr>
          <w:p>
            <w:p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高压电缆</w:t>
            </w:r>
          </w:p>
        </w:tc>
        <w:tc>
          <w:tcPr>
            <w:tcW w:w="833" w:type="pct"/>
            <w:noWrap w:val="0"/>
            <w:vAlign w:val="center"/>
          </w:tcPr>
          <w:p>
            <w:pPr>
              <w:autoSpaceDE w:val="0"/>
              <w:autoSpaceDN w:val="0"/>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绝缘层</w:t>
            </w:r>
            <w:r>
              <w:rPr>
                <w:rFonts w:hint="eastAsia" w:ascii="宋体" w:hAnsi="宋体" w:cs="宋体"/>
                <w:sz w:val="18"/>
                <w:szCs w:val="18"/>
                <w:highlight w:val="none"/>
                <w:lang w:val="en-US" w:eastAsia="zh-CN"/>
              </w:rPr>
              <w:t>电阻率</w:t>
            </w:r>
          </w:p>
        </w:tc>
        <w:tc>
          <w:tcPr>
            <w:tcW w:w="1843" w:type="pct"/>
            <w:noWrap w:val="0"/>
            <w:vAlign w:val="center"/>
          </w:tcPr>
          <w:p>
            <w:pPr>
              <w:rPr>
                <w:rFonts w:hint="eastAsia"/>
                <w:highlight w:val="none"/>
                <w:lang w:val="en-US" w:eastAsia="zh-CN"/>
              </w:rPr>
            </w:pPr>
            <w:r>
              <w:rPr>
                <w:rFonts w:hint="default" w:ascii="宋体" w:hAnsi="宋体" w:cs="宋体"/>
                <w:sz w:val="18"/>
                <w:szCs w:val="18"/>
                <w:highlight w:val="none"/>
              </w:rPr>
              <w:t>额定电压为AC1000V/DC1500V</w:t>
            </w:r>
            <w:r>
              <w:rPr>
                <w:rFonts w:hint="eastAsia" w:ascii="宋体" w:hAnsi="宋体" w:cs="宋体"/>
                <w:sz w:val="18"/>
                <w:szCs w:val="18"/>
                <w:highlight w:val="none"/>
              </w:rPr>
              <w:t>不小于10</w:t>
            </w:r>
            <w:r>
              <w:rPr>
                <w:rFonts w:hint="eastAsia" w:ascii="宋体" w:hAnsi="宋体" w:cs="宋体"/>
                <w:sz w:val="18"/>
                <w:szCs w:val="18"/>
                <w:highlight w:val="none"/>
                <w:vertAlign w:val="superscript"/>
                <w:lang w:val="en-US" w:eastAsia="zh-CN"/>
              </w:rPr>
              <w:t>12</w:t>
            </w:r>
            <w:r>
              <w:rPr>
                <w:rFonts w:hint="eastAsia" w:ascii="宋体" w:hAnsi="宋体" w:cs="宋体"/>
                <w:sz w:val="18"/>
                <w:szCs w:val="18"/>
                <w:highlight w:val="none"/>
              </w:rPr>
              <w:t>Ω∙mm</w:t>
            </w:r>
            <w:r>
              <w:rPr>
                <w:rFonts w:hint="eastAsia" w:ascii="宋体" w:hAnsi="宋体" w:cs="宋体"/>
                <w:sz w:val="18"/>
                <w:szCs w:val="18"/>
                <w:highlight w:val="none"/>
                <w:lang w:eastAsia="zh-CN"/>
              </w:rPr>
              <w:t>，</w:t>
            </w:r>
            <w:r>
              <w:rPr>
                <w:rFonts w:hint="default" w:ascii="宋体" w:hAnsi="宋体" w:cs="宋体"/>
                <w:sz w:val="18"/>
                <w:szCs w:val="18"/>
                <w:highlight w:val="none"/>
              </w:rPr>
              <w:t>AC600V/DC900V的道路车辆高压系统电路用电缆</w:t>
            </w:r>
            <w:r>
              <w:rPr>
                <w:rFonts w:hint="eastAsia" w:ascii="宋体" w:hAnsi="宋体" w:cs="宋体"/>
                <w:sz w:val="18"/>
                <w:szCs w:val="18"/>
                <w:highlight w:val="none"/>
                <w:lang w:val="en-US" w:eastAsia="zh-CN"/>
              </w:rPr>
              <w:t>绝缘层电阻率</w:t>
            </w:r>
            <w:r>
              <w:rPr>
                <w:rFonts w:hint="eastAsia" w:ascii="宋体" w:hAnsi="宋体" w:cs="宋体"/>
                <w:sz w:val="18"/>
                <w:szCs w:val="18"/>
                <w:highlight w:val="none"/>
              </w:rPr>
              <w:t>不小于10</w:t>
            </w:r>
            <w:r>
              <w:rPr>
                <w:rFonts w:hint="eastAsia" w:ascii="宋体" w:hAnsi="宋体" w:cs="宋体"/>
                <w:sz w:val="18"/>
                <w:szCs w:val="18"/>
                <w:highlight w:val="none"/>
                <w:vertAlign w:val="superscript"/>
                <w:lang w:val="en-US" w:eastAsia="zh-CN"/>
              </w:rPr>
              <w:t>11</w:t>
            </w:r>
            <w:r>
              <w:rPr>
                <w:rFonts w:hint="eastAsia" w:ascii="宋体" w:hAnsi="宋体" w:cs="宋体"/>
                <w:sz w:val="18"/>
                <w:szCs w:val="18"/>
                <w:highlight w:val="none"/>
              </w:rPr>
              <w:t>Ω∙mm</w:t>
            </w:r>
            <w:r>
              <w:rPr>
                <w:rFonts w:hint="eastAsia" w:ascii="宋体" w:hAnsi="宋体" w:cs="宋体"/>
                <w:sz w:val="18"/>
                <w:szCs w:val="18"/>
                <w:highlight w:val="none"/>
                <w:lang w:eastAsia="zh-CN"/>
              </w:rPr>
              <w:t>；</w:t>
            </w:r>
          </w:p>
        </w:tc>
        <w:tc>
          <w:tcPr>
            <w:tcW w:w="923" w:type="pct"/>
            <w:vMerge w:val="restart"/>
            <w:noWrap w:val="0"/>
            <w:vAlign w:val="center"/>
          </w:tcPr>
          <w:p>
            <w:pPr>
              <w:autoSpaceDE/>
              <w:autoSpaceDN/>
              <w:jc w:val="center"/>
              <w:rPr>
                <w:rFonts w:hint="eastAsia" w:ascii="宋体" w:hAnsi="宋体" w:cs="宋体"/>
                <w:sz w:val="18"/>
                <w:szCs w:val="18"/>
                <w:highlight w:val="none"/>
              </w:rPr>
            </w:pPr>
            <w:r>
              <w:rPr>
                <w:rFonts w:hint="eastAsia" w:ascii="宋体" w:hAnsi="宋体" w:cs="宋体"/>
                <w:sz w:val="18"/>
                <w:szCs w:val="18"/>
                <w:highlight w:val="none"/>
              </w:rPr>
              <w:t>T/CAS 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default" w:ascii="宋体" w:hAnsi="宋体" w:eastAsia="宋体" w:cs="宋体"/>
                <w:sz w:val="18"/>
                <w:szCs w:val="18"/>
                <w:highlight w:val="none"/>
                <w:lang w:val="en-US" w:eastAsia="zh-CN"/>
              </w:rPr>
            </w:pPr>
          </w:p>
        </w:tc>
        <w:tc>
          <w:tcPr>
            <w:tcW w:w="833" w:type="pct"/>
            <w:noWrap w:val="0"/>
            <w:vAlign w:val="center"/>
          </w:tcPr>
          <w:p>
            <w:pPr>
              <w:autoSpaceDE w:val="0"/>
              <w:autoSpaceDN w:val="0"/>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绝缘浸水耐电压</w:t>
            </w:r>
          </w:p>
        </w:tc>
        <w:tc>
          <w:tcPr>
            <w:tcW w:w="1843" w:type="pct"/>
            <w:noWrap w:val="0"/>
            <w:vAlign w:val="center"/>
          </w:tcPr>
          <w:p>
            <w:pPr>
              <w:jc w:val="both"/>
              <w:rPr>
                <w:rFonts w:hint="eastAsia" w:ascii="宋体" w:hAnsi="宋体" w:cs="宋体"/>
                <w:color w:val="auto"/>
                <w:sz w:val="18"/>
                <w:szCs w:val="18"/>
                <w:highlight w:val="none"/>
                <w:lang w:val="en-US" w:eastAsia="zh-CN"/>
              </w:rPr>
            </w:pPr>
            <w:r>
              <w:rPr>
                <w:rFonts w:hint="eastAsia" w:ascii="宋体" w:hAnsi="宋体" w:cs="宋体"/>
                <w:sz w:val="18"/>
                <w:szCs w:val="18"/>
                <w:highlight w:val="none"/>
                <w:lang w:val="en-US" w:eastAsia="zh-CN"/>
              </w:rPr>
              <w:t>额定电压</w:t>
            </w:r>
            <w:r>
              <w:rPr>
                <w:rFonts w:hint="eastAsia" w:ascii="宋体" w:hAnsi="宋体" w:cs="宋体"/>
                <w:sz w:val="18"/>
                <w:szCs w:val="18"/>
                <w:highlight w:val="none"/>
              </w:rPr>
              <w:t>900V</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绝缘层最薄点厚度在0.48mm及以下的电缆，</w:t>
            </w:r>
            <w:r>
              <w:rPr>
                <w:rFonts w:hint="eastAsia" w:ascii="宋体" w:hAnsi="宋体" w:cs="宋体"/>
                <w:color w:val="auto"/>
                <w:sz w:val="18"/>
                <w:szCs w:val="18"/>
                <w:highlight w:val="none"/>
              </w:rPr>
              <w:t>开高电压到</w:t>
            </w: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kV，5min</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绝缘层被击穿的次数为0；</w:t>
            </w:r>
          </w:p>
          <w:p>
            <w:pPr>
              <w:jc w:val="both"/>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额定电压</w:t>
            </w:r>
            <w:r>
              <w:rPr>
                <w:rFonts w:hint="eastAsia" w:ascii="宋体" w:hAnsi="宋体" w:cs="宋体"/>
                <w:sz w:val="18"/>
                <w:szCs w:val="18"/>
                <w:highlight w:val="none"/>
              </w:rPr>
              <w:t>900V</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绝缘层最薄点厚度在0.48mm以上的电缆，</w:t>
            </w:r>
            <w:r>
              <w:rPr>
                <w:rFonts w:hint="eastAsia" w:ascii="宋体" w:hAnsi="宋体" w:cs="宋体"/>
                <w:color w:val="auto"/>
                <w:sz w:val="18"/>
                <w:szCs w:val="18"/>
                <w:highlight w:val="none"/>
              </w:rPr>
              <w:t>开高电压到</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kV，5min</w:t>
            </w:r>
            <w:r>
              <w:rPr>
                <w:rFonts w:hint="eastAsia" w:ascii="宋体" w:hAnsi="宋体" w:cs="宋体"/>
                <w:color w:val="auto"/>
                <w:sz w:val="18"/>
                <w:szCs w:val="18"/>
                <w:highlight w:val="none"/>
                <w:lang w:val="en-US" w:eastAsia="zh-CN"/>
              </w:rPr>
              <w:t>绝缘层被击穿的次数为0；</w:t>
            </w:r>
          </w:p>
          <w:p>
            <w:pPr>
              <w:jc w:val="both"/>
              <w:rPr>
                <w:rFonts w:hint="eastAsia" w:ascii="宋体" w:hAnsi="宋体" w:cs="宋体"/>
                <w:color w:val="auto"/>
                <w:sz w:val="18"/>
                <w:szCs w:val="18"/>
                <w:highlight w:val="none"/>
                <w:lang w:val="en-US" w:eastAsia="zh-CN"/>
              </w:rPr>
            </w:pPr>
            <w:r>
              <w:rPr>
                <w:rFonts w:hint="eastAsia" w:ascii="宋体" w:hAnsi="宋体" w:cs="宋体"/>
                <w:sz w:val="18"/>
                <w:szCs w:val="18"/>
                <w:highlight w:val="none"/>
                <w:lang w:val="en-US" w:eastAsia="zh-CN"/>
              </w:rPr>
              <w:t>额定电压1500</w:t>
            </w:r>
            <w:r>
              <w:rPr>
                <w:rFonts w:hint="eastAsia" w:ascii="宋体" w:hAnsi="宋体" w:cs="宋体"/>
                <w:sz w:val="18"/>
                <w:szCs w:val="18"/>
                <w:highlight w:val="none"/>
              </w:rPr>
              <w:t>V</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绝缘层最薄点厚度在0.64mm及以下的电缆，</w:t>
            </w:r>
            <w:r>
              <w:rPr>
                <w:rFonts w:hint="eastAsia" w:ascii="宋体" w:hAnsi="宋体" w:cs="宋体"/>
                <w:color w:val="auto"/>
                <w:sz w:val="18"/>
                <w:szCs w:val="18"/>
                <w:highlight w:val="none"/>
              </w:rPr>
              <w:t>开高电压到</w:t>
            </w:r>
            <w:r>
              <w:rPr>
                <w:rFonts w:hint="eastAsia" w:ascii="宋体" w:hAnsi="宋体" w:cs="宋体"/>
                <w:color w:val="auto"/>
                <w:sz w:val="18"/>
                <w:szCs w:val="18"/>
                <w:highlight w:val="none"/>
                <w:lang w:val="en-US" w:eastAsia="zh-CN"/>
              </w:rPr>
              <w:t>6</w:t>
            </w:r>
            <w:r>
              <w:rPr>
                <w:rFonts w:hint="eastAsia" w:ascii="宋体" w:hAnsi="宋体" w:cs="宋体"/>
                <w:color w:val="auto"/>
                <w:sz w:val="18"/>
                <w:szCs w:val="18"/>
                <w:highlight w:val="none"/>
              </w:rPr>
              <w:t>kV，5min</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绝缘层被击穿的次数为0；</w:t>
            </w:r>
          </w:p>
          <w:p>
            <w:pPr>
              <w:jc w:val="both"/>
              <w:rPr>
                <w:rFonts w:hint="eastAsia" w:ascii="宋体" w:hAnsi="宋体" w:cs="宋体"/>
                <w:sz w:val="18"/>
                <w:szCs w:val="18"/>
                <w:highlight w:val="none"/>
              </w:rPr>
            </w:pPr>
            <w:r>
              <w:rPr>
                <w:rFonts w:hint="eastAsia" w:ascii="宋体" w:hAnsi="宋体" w:cs="宋体"/>
                <w:sz w:val="18"/>
                <w:szCs w:val="18"/>
                <w:highlight w:val="none"/>
                <w:lang w:val="en-US" w:eastAsia="zh-CN"/>
              </w:rPr>
              <w:t>额定电压1500</w:t>
            </w:r>
            <w:r>
              <w:rPr>
                <w:rFonts w:hint="eastAsia" w:ascii="宋体" w:hAnsi="宋体" w:cs="宋体"/>
                <w:sz w:val="18"/>
                <w:szCs w:val="18"/>
                <w:highlight w:val="none"/>
              </w:rPr>
              <w:t>V</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绝缘层最薄点厚度在0.64mm以上的电缆，</w:t>
            </w:r>
            <w:r>
              <w:rPr>
                <w:rFonts w:hint="eastAsia" w:ascii="宋体" w:hAnsi="宋体" w:cs="宋体"/>
                <w:color w:val="auto"/>
                <w:sz w:val="18"/>
                <w:szCs w:val="18"/>
                <w:highlight w:val="none"/>
              </w:rPr>
              <w:t>开高电压到</w:t>
            </w:r>
            <w:r>
              <w:rPr>
                <w:rFonts w:hint="eastAsia" w:ascii="宋体" w:hAnsi="宋体" w:cs="宋体"/>
                <w:color w:val="auto"/>
                <w:sz w:val="18"/>
                <w:szCs w:val="18"/>
                <w:highlight w:val="none"/>
                <w:lang w:val="en-US" w:eastAsia="zh-CN"/>
              </w:rPr>
              <w:t>10</w:t>
            </w:r>
            <w:r>
              <w:rPr>
                <w:rFonts w:hint="eastAsia" w:ascii="宋体" w:hAnsi="宋体" w:cs="宋体"/>
                <w:color w:val="auto"/>
                <w:sz w:val="18"/>
                <w:szCs w:val="18"/>
                <w:highlight w:val="none"/>
              </w:rPr>
              <w:t>kV，5min</w:t>
            </w:r>
            <w:r>
              <w:rPr>
                <w:rFonts w:hint="eastAsia" w:ascii="宋体" w:hAnsi="宋体" w:cs="宋体"/>
                <w:color w:val="auto"/>
                <w:sz w:val="18"/>
                <w:szCs w:val="18"/>
                <w:highlight w:val="none"/>
                <w:lang w:val="en-US" w:eastAsia="zh-CN"/>
              </w:rPr>
              <w:t>绝缘层被击穿的次数为0。</w:t>
            </w:r>
          </w:p>
        </w:tc>
        <w:tc>
          <w:tcPr>
            <w:tcW w:w="923" w:type="pct"/>
            <w:vMerge w:val="continue"/>
            <w:noWrap w:val="0"/>
            <w:vAlign w:val="center"/>
          </w:tcPr>
          <w:p>
            <w:pPr>
              <w:autoSpaceDE/>
              <w:autoSpaceDN/>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restart"/>
            <w:noWrap w:val="0"/>
            <w:vAlign w:val="center"/>
          </w:tcPr>
          <w:p>
            <w:p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高压连接器</w:t>
            </w: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绝缘电阻</w:t>
            </w:r>
          </w:p>
        </w:tc>
        <w:tc>
          <w:tcPr>
            <w:tcW w:w="1843" w:type="pct"/>
            <w:noWrap w:val="0"/>
            <w:vAlign w:val="center"/>
          </w:tcPr>
          <w:p>
            <w:pPr>
              <w:jc w:val="both"/>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按照绝缘</w:t>
            </w:r>
            <w:r>
              <w:rPr>
                <w:rFonts w:hint="eastAsia" w:ascii="宋体" w:hAnsi="宋体" w:cs="宋体"/>
                <w:sz w:val="18"/>
                <w:szCs w:val="18"/>
                <w:highlight w:val="none"/>
                <w:lang w:val="en-US" w:eastAsia="zh-CN"/>
              </w:rPr>
              <w:t>电阻</w:t>
            </w:r>
            <w:r>
              <w:rPr>
                <w:rFonts w:hint="eastAsia" w:ascii="宋体" w:hAnsi="宋体" w:cs="宋体"/>
                <w:sz w:val="18"/>
                <w:szCs w:val="18"/>
                <w:highlight w:val="none"/>
              </w:rPr>
              <w:t>试验方法</w:t>
            </w:r>
            <w:r>
              <w:rPr>
                <w:rFonts w:hint="eastAsia" w:ascii="宋体" w:hAnsi="宋体" w:cs="宋体"/>
                <w:sz w:val="18"/>
                <w:szCs w:val="18"/>
                <w:highlight w:val="none"/>
                <w:lang w:eastAsia="zh-CN"/>
              </w:rPr>
              <w:t>，</w:t>
            </w:r>
            <w:r>
              <w:rPr>
                <w:rFonts w:hint="eastAsia" w:ascii="宋体" w:hAnsi="宋体" w:cs="宋体"/>
                <w:sz w:val="18"/>
                <w:szCs w:val="18"/>
                <w:highlight w:val="none"/>
              </w:rPr>
              <w:t>相邻端子之间的绝缘电阻至少为100MΩ</w:t>
            </w:r>
            <w:r>
              <w:rPr>
                <w:rFonts w:hint="eastAsia" w:ascii="宋体" w:hAnsi="宋体" w:cs="宋体"/>
                <w:sz w:val="18"/>
                <w:szCs w:val="18"/>
                <w:highlight w:val="none"/>
                <w:lang w:eastAsia="zh-CN"/>
              </w:rPr>
              <w:t>。</w:t>
            </w:r>
          </w:p>
        </w:tc>
        <w:tc>
          <w:tcPr>
            <w:tcW w:w="923" w:type="pct"/>
            <w:vMerge w:val="restart"/>
            <w:noWrap w:val="0"/>
            <w:vAlign w:val="center"/>
          </w:tcPr>
          <w:p>
            <w:pPr>
              <w:autoSpaceDE/>
              <w:autoSpaceDN/>
              <w:jc w:val="center"/>
              <w:rPr>
                <w:rFonts w:hint="eastAsia" w:ascii="宋体" w:hAnsi="宋体" w:cs="宋体"/>
                <w:sz w:val="18"/>
                <w:szCs w:val="18"/>
                <w:highlight w:val="none"/>
              </w:rPr>
            </w:pPr>
            <w:r>
              <w:rPr>
                <w:rFonts w:hint="eastAsia" w:ascii="宋体" w:hAnsi="宋体" w:cs="宋体"/>
                <w:sz w:val="18"/>
                <w:szCs w:val="18"/>
                <w:highlight w:val="none"/>
              </w:rPr>
              <w:t xml:space="preserve"> QC</w:t>
            </w:r>
            <w:r>
              <w:rPr>
                <w:rFonts w:hint="eastAsia" w:ascii="宋体" w:hAnsi="宋体" w:cs="宋体"/>
                <w:sz w:val="18"/>
                <w:szCs w:val="18"/>
                <w:highlight w:val="none"/>
                <w:lang w:val="en-US" w:eastAsia="zh-CN"/>
              </w:rPr>
              <w:t>/</w:t>
            </w:r>
            <w:r>
              <w:rPr>
                <w:rFonts w:hint="eastAsia" w:ascii="宋体" w:hAnsi="宋体" w:cs="宋体"/>
                <w:sz w:val="18"/>
                <w:szCs w:val="18"/>
                <w:highlight w:val="none"/>
              </w:rPr>
              <w:t>T 1067.1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eastAsia" w:ascii="宋体" w:hAnsi="宋体" w:cs="宋体"/>
                <w:sz w:val="18"/>
                <w:szCs w:val="18"/>
                <w:highlight w:val="none"/>
                <w:lang w:val="en-US" w:eastAsia="zh-CN"/>
              </w:rPr>
            </w:pPr>
          </w:p>
        </w:tc>
        <w:tc>
          <w:tcPr>
            <w:tcW w:w="833" w:type="pct"/>
            <w:noWrap w:val="0"/>
            <w:vAlign w:val="center"/>
          </w:tcPr>
          <w:p>
            <w:pPr>
              <w:autoSpaceDE w:val="0"/>
              <w:autoSpaceDN w:val="0"/>
              <w:jc w:val="center"/>
              <w:rPr>
                <w:rFonts w:hint="eastAsia" w:ascii="宋体" w:hAnsi="宋体" w:cs="宋体"/>
                <w:sz w:val="18"/>
                <w:szCs w:val="18"/>
                <w:highlight w:val="none"/>
                <w:lang w:val="en-US" w:eastAsia="zh-CN"/>
              </w:rPr>
            </w:pPr>
            <w:r>
              <w:rPr>
                <w:rFonts w:hint="eastAsia" w:ascii="宋体" w:hAnsi="宋体" w:cs="宋体"/>
                <w:sz w:val="18"/>
                <w:szCs w:val="18"/>
                <w:highlight w:val="none"/>
              </w:rPr>
              <w:t>绝缘介电强度</w:t>
            </w:r>
          </w:p>
        </w:tc>
        <w:tc>
          <w:tcPr>
            <w:tcW w:w="1843" w:type="pct"/>
            <w:noWrap w:val="0"/>
            <w:vAlign w:val="center"/>
          </w:tcPr>
          <w:p>
            <w:pPr>
              <w:jc w:val="both"/>
              <w:rPr>
                <w:rFonts w:hint="eastAsia" w:ascii="宋体" w:hAnsi="宋体" w:cs="宋体"/>
                <w:sz w:val="18"/>
                <w:szCs w:val="18"/>
                <w:highlight w:val="none"/>
              </w:rPr>
            </w:pPr>
            <w:r>
              <w:rPr>
                <w:rFonts w:hint="eastAsia" w:ascii="宋体" w:hAnsi="宋体" w:cs="宋体"/>
                <w:sz w:val="18"/>
                <w:szCs w:val="18"/>
                <w:highlight w:val="none"/>
                <w:lang w:val="en-US" w:eastAsia="zh-CN"/>
              </w:rPr>
              <w:t>按照绝缘介电强度试验方法，低压</w:t>
            </w:r>
            <w:r>
              <w:rPr>
                <w:rFonts w:hint="eastAsia" w:ascii="宋体" w:hAnsi="宋体" w:cs="宋体"/>
                <w:sz w:val="18"/>
                <w:szCs w:val="18"/>
                <w:highlight w:val="none"/>
              </w:rPr>
              <w:t>连接器任何两个端子孔之间和端子孔与连接器外壳之间不能有介质断裂或击穿现象，电流泄露应小于或等于</w:t>
            </w:r>
            <w:r>
              <w:rPr>
                <w:rFonts w:hint="eastAsia" w:ascii="宋体" w:hAnsi="宋体" w:cs="宋体"/>
                <w:sz w:val="18"/>
                <w:szCs w:val="18"/>
                <w:highlight w:val="none"/>
                <w:lang w:eastAsia="zh-CN"/>
              </w:rPr>
              <w:t>5</w:t>
            </w:r>
            <w:r>
              <w:rPr>
                <w:rFonts w:hint="eastAsia" w:ascii="宋体" w:hAnsi="宋体" w:cs="宋体"/>
                <w:sz w:val="18"/>
                <w:szCs w:val="18"/>
                <w:highlight w:val="none"/>
              </w:rPr>
              <w:t>mA。</w:t>
            </w:r>
          </w:p>
        </w:tc>
        <w:tc>
          <w:tcPr>
            <w:tcW w:w="923" w:type="pct"/>
            <w:vMerge w:val="continue"/>
            <w:noWrap w:val="0"/>
            <w:vAlign w:val="center"/>
          </w:tcPr>
          <w:p>
            <w:pPr>
              <w:autoSpaceDE/>
              <w:autoSpaceDN/>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noWrap w:val="0"/>
            <w:vAlign w:val="center"/>
          </w:tcPr>
          <w:p>
            <w:pPr>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绝缘检测仪</w:t>
            </w:r>
          </w:p>
        </w:tc>
        <w:tc>
          <w:tcPr>
            <w:tcW w:w="833" w:type="pct"/>
            <w:noWrap w:val="0"/>
            <w:vAlign w:val="center"/>
          </w:tcPr>
          <w:p>
            <w:pPr>
              <w:autoSpaceDE w:val="0"/>
              <w:autoSpaceDN w:val="0"/>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精度</w:t>
            </w:r>
          </w:p>
        </w:tc>
        <w:tc>
          <w:tcPr>
            <w:tcW w:w="1843" w:type="pct"/>
            <w:noWrap w:val="0"/>
            <w:vAlign w:val="center"/>
          </w:tcPr>
          <w:p>
            <w:pPr>
              <w:jc w:val="both"/>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不低于5%。</w:t>
            </w:r>
          </w:p>
        </w:tc>
        <w:tc>
          <w:tcPr>
            <w:tcW w:w="923" w:type="pct"/>
            <w:noWrap w:val="0"/>
            <w:vAlign w:val="center"/>
          </w:tcPr>
          <w:p>
            <w:pPr>
              <w:autoSpaceDE/>
              <w:autoSpaceDN/>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restart"/>
            <w:noWrap w:val="0"/>
            <w:vAlign w:val="center"/>
          </w:tcPr>
          <w:p>
            <w:pPr>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电动制动真空泵</w:t>
            </w: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最大真空度</w:t>
            </w:r>
          </w:p>
        </w:tc>
        <w:tc>
          <w:tcPr>
            <w:tcW w:w="1843" w:type="pct"/>
            <w:noWrap w:val="0"/>
            <w:vAlign w:val="center"/>
          </w:tcPr>
          <w:p>
            <w:pPr>
              <w:jc w:val="both"/>
              <w:rPr>
                <w:rFonts w:hint="eastAsia" w:ascii="宋体" w:hAnsi="宋体" w:cs="宋体"/>
                <w:sz w:val="18"/>
                <w:szCs w:val="18"/>
                <w:highlight w:val="none"/>
                <w:lang w:val="en-US" w:eastAsia="zh-CN"/>
              </w:rPr>
            </w:pPr>
            <w:r>
              <w:rPr>
                <w:rFonts w:hint="eastAsia" w:ascii="宋体" w:hAnsi="宋体" w:cs="宋体"/>
                <w:sz w:val="18"/>
                <w:szCs w:val="18"/>
                <w:highlight w:val="none"/>
              </w:rPr>
              <w:t>常温下所能达到的最大真空度不低于-86kPa。</w:t>
            </w:r>
          </w:p>
        </w:tc>
        <w:tc>
          <w:tcPr>
            <w:tcW w:w="923" w:type="pct"/>
            <w:vMerge w:val="restart"/>
            <w:noWrap w:val="0"/>
            <w:vAlign w:val="center"/>
          </w:tcPr>
          <w:p>
            <w:pPr>
              <w:autoSpaceDE/>
              <w:autoSpaceDN/>
              <w:jc w:val="center"/>
              <w:rPr>
                <w:rFonts w:hint="eastAsia" w:ascii="宋体" w:hAnsi="宋体" w:cs="宋体"/>
                <w:sz w:val="18"/>
                <w:szCs w:val="18"/>
                <w:highlight w:val="none"/>
                <w:lang w:val="en-US" w:eastAsia="zh-CN"/>
              </w:rPr>
            </w:pPr>
            <w:r>
              <w:rPr>
                <w:rFonts w:hint="eastAsia" w:ascii="宋体" w:hAnsi="宋体" w:cs="宋体"/>
                <w:sz w:val="18"/>
                <w:szCs w:val="18"/>
                <w:highlight w:val="none"/>
              </w:rPr>
              <w:t>QC/T</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eastAsia" w:ascii="宋体" w:hAnsi="宋体" w:cs="宋体"/>
                <w:sz w:val="18"/>
                <w:szCs w:val="18"/>
                <w:highlight w:val="none"/>
                <w:lang w:val="en-US" w:eastAsia="zh-CN"/>
              </w:rPr>
            </w:pP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最大噪声值</w:t>
            </w:r>
          </w:p>
        </w:tc>
        <w:tc>
          <w:tcPr>
            <w:tcW w:w="1843" w:type="pct"/>
            <w:noWrap w:val="0"/>
            <w:vAlign w:val="center"/>
          </w:tcPr>
          <w:p>
            <w:pPr>
              <w:jc w:val="both"/>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最大噪声值不应大于74dB(A)</w:t>
            </w:r>
            <w:r>
              <w:rPr>
                <w:rFonts w:hint="eastAsia" w:ascii="宋体" w:hAnsi="宋体" w:cs="宋体"/>
                <w:sz w:val="18"/>
                <w:szCs w:val="18"/>
                <w:highlight w:val="none"/>
                <w:lang w:eastAsia="zh-CN"/>
              </w:rPr>
              <w:t>。</w:t>
            </w:r>
          </w:p>
        </w:tc>
        <w:tc>
          <w:tcPr>
            <w:tcW w:w="923" w:type="pct"/>
            <w:vMerge w:val="continue"/>
            <w:noWrap w:val="0"/>
            <w:vAlign w:val="center"/>
          </w:tcPr>
          <w:p>
            <w:pPr>
              <w:autoSpaceDE/>
              <w:autoSpaceDN/>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eastAsia" w:ascii="宋体" w:hAnsi="宋体" w:cs="宋体"/>
                <w:sz w:val="18"/>
                <w:szCs w:val="18"/>
                <w:highlight w:val="none"/>
                <w:lang w:val="en-US" w:eastAsia="zh-CN"/>
              </w:rPr>
            </w:pPr>
          </w:p>
        </w:tc>
        <w:tc>
          <w:tcPr>
            <w:tcW w:w="833" w:type="pct"/>
            <w:noWrap w:val="0"/>
            <w:vAlign w:val="center"/>
          </w:tcPr>
          <w:p>
            <w:pPr>
              <w:autoSpaceDE w:val="0"/>
              <w:autoSpaceDN w:val="0"/>
              <w:jc w:val="center"/>
              <w:rPr>
                <w:rFonts w:hint="eastAsia" w:ascii="宋体" w:hAnsi="宋体" w:cs="宋体"/>
                <w:sz w:val="18"/>
                <w:szCs w:val="18"/>
                <w:highlight w:val="none"/>
                <w:lang w:val="en-US" w:eastAsia="zh-CN"/>
              </w:rPr>
            </w:pPr>
            <w:r>
              <w:rPr>
                <w:rFonts w:hint="eastAsia" w:ascii="宋体" w:hAnsi="宋体" w:cs="宋体"/>
                <w:sz w:val="18"/>
                <w:szCs w:val="18"/>
                <w:highlight w:val="none"/>
              </w:rPr>
              <w:t>工作耐久性</w:t>
            </w:r>
          </w:p>
        </w:tc>
        <w:tc>
          <w:tcPr>
            <w:tcW w:w="1843" w:type="pct"/>
            <w:noWrap w:val="0"/>
            <w:vAlign w:val="center"/>
          </w:tcPr>
          <w:p>
            <w:pPr>
              <w:pStyle w:val="2"/>
              <w:jc w:val="both"/>
              <w:rPr>
                <w:rFonts w:hint="eastAsia" w:ascii="宋体" w:hAnsi="宋体" w:cs="宋体"/>
                <w:sz w:val="18"/>
                <w:szCs w:val="18"/>
                <w:highlight w:val="none"/>
                <w:lang w:val="en-US" w:eastAsia="zh-CN"/>
              </w:rPr>
            </w:pPr>
            <w:r>
              <w:rPr>
                <w:rFonts w:hint="eastAsia" w:ascii="宋体" w:hAnsi="宋体" w:cs="宋体"/>
                <w:sz w:val="18"/>
                <w:szCs w:val="18"/>
                <w:highlight w:val="none"/>
              </w:rPr>
              <w:t>试验后任何零件不应损坏,</w:t>
            </w:r>
            <w:r>
              <w:rPr>
                <w:rFonts w:hint="eastAsia" w:ascii="宋体" w:hAnsi="宋体" w:cs="宋体"/>
                <w:sz w:val="18"/>
                <w:szCs w:val="18"/>
                <w:highlight w:val="none"/>
                <w:lang w:val="en-US" w:eastAsia="zh-CN"/>
              </w:rPr>
              <w:t>常温下</w:t>
            </w:r>
            <w:r>
              <w:rPr>
                <w:rFonts w:hint="eastAsia" w:ascii="宋体" w:hAnsi="宋体" w:cs="宋体"/>
                <w:sz w:val="18"/>
                <w:szCs w:val="18"/>
                <w:highlight w:val="none"/>
              </w:rPr>
              <w:t>基本性能满足</w:t>
            </w:r>
            <w:r>
              <w:rPr>
                <w:rFonts w:hint="eastAsia" w:ascii="宋体" w:hAnsi="宋体" w:cs="宋体"/>
                <w:sz w:val="18"/>
                <w:szCs w:val="18"/>
                <w:highlight w:val="none"/>
                <w:lang w:val="en-US" w:eastAsia="zh-CN"/>
              </w:rPr>
              <w:t>真空度-50</w:t>
            </w:r>
            <w:r>
              <w:rPr>
                <w:rFonts w:hint="eastAsia" w:ascii="宋体" w:hAnsi="宋体" w:cs="宋体"/>
                <w:sz w:val="18"/>
                <w:szCs w:val="18"/>
                <w:highlight w:val="none"/>
              </w:rPr>
              <w:t>kPa</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抽气时间不大于5.5s，真空度-66.7</w:t>
            </w:r>
            <w:r>
              <w:rPr>
                <w:rFonts w:hint="eastAsia" w:ascii="宋体" w:hAnsi="宋体" w:cs="宋体"/>
                <w:sz w:val="18"/>
                <w:szCs w:val="18"/>
                <w:highlight w:val="none"/>
              </w:rPr>
              <w:t>kPa</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抽气时间不大于12s，真空度-80</w:t>
            </w:r>
            <w:r>
              <w:rPr>
                <w:rFonts w:hint="eastAsia" w:ascii="宋体" w:hAnsi="宋体" w:cs="宋体"/>
                <w:sz w:val="18"/>
                <w:szCs w:val="18"/>
                <w:highlight w:val="none"/>
              </w:rPr>
              <w:t>kPa</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抽气时间不大于23s；</w:t>
            </w:r>
          </w:p>
          <w:p>
            <w:pPr>
              <w:pStyle w:val="2"/>
              <w:jc w:val="both"/>
              <w:rPr>
                <w:rFonts w:hint="eastAsia"/>
                <w:lang w:val="en-US" w:eastAsia="zh-CN"/>
              </w:rPr>
            </w:pPr>
            <w:r>
              <w:rPr>
                <w:rFonts w:hint="eastAsia" w:cs="宋体"/>
                <w:sz w:val="18"/>
                <w:szCs w:val="18"/>
                <w:highlight w:val="none"/>
                <w:lang w:val="en-US" w:eastAsia="zh-CN"/>
              </w:rPr>
              <w:t>高</w:t>
            </w:r>
            <w:r>
              <w:rPr>
                <w:rFonts w:hint="eastAsia" w:ascii="宋体" w:hAnsi="宋体" w:cs="宋体"/>
                <w:sz w:val="18"/>
                <w:szCs w:val="18"/>
                <w:highlight w:val="none"/>
                <w:lang w:val="en-US" w:eastAsia="zh-CN"/>
              </w:rPr>
              <w:t>温下</w:t>
            </w:r>
            <w:r>
              <w:rPr>
                <w:rFonts w:hint="eastAsia" w:ascii="宋体" w:hAnsi="宋体" w:cs="宋体"/>
                <w:sz w:val="18"/>
                <w:szCs w:val="18"/>
                <w:highlight w:val="none"/>
              </w:rPr>
              <w:t>基本性能满足</w:t>
            </w:r>
            <w:r>
              <w:rPr>
                <w:rFonts w:hint="eastAsia" w:ascii="宋体" w:hAnsi="宋体" w:cs="宋体"/>
                <w:sz w:val="18"/>
                <w:szCs w:val="18"/>
                <w:highlight w:val="none"/>
                <w:lang w:val="en-US" w:eastAsia="zh-CN"/>
              </w:rPr>
              <w:t>真空度-50</w:t>
            </w:r>
            <w:r>
              <w:rPr>
                <w:rFonts w:hint="eastAsia" w:ascii="宋体" w:hAnsi="宋体" w:cs="宋体"/>
                <w:sz w:val="18"/>
                <w:szCs w:val="18"/>
                <w:highlight w:val="none"/>
              </w:rPr>
              <w:t>kPa</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抽气时间不大于</w:t>
            </w:r>
            <w:r>
              <w:rPr>
                <w:rFonts w:hint="eastAsia" w:cs="宋体"/>
                <w:sz w:val="18"/>
                <w:szCs w:val="18"/>
                <w:highlight w:val="none"/>
                <w:lang w:val="en-US" w:eastAsia="zh-CN"/>
              </w:rPr>
              <w:t>6</w:t>
            </w:r>
            <w:r>
              <w:rPr>
                <w:rFonts w:hint="eastAsia" w:ascii="宋体" w:hAnsi="宋体" w:cs="宋体"/>
                <w:sz w:val="18"/>
                <w:szCs w:val="18"/>
                <w:highlight w:val="none"/>
                <w:lang w:val="en-US" w:eastAsia="zh-CN"/>
              </w:rPr>
              <w:t>s，真空度-66.7</w:t>
            </w:r>
            <w:r>
              <w:rPr>
                <w:rFonts w:hint="eastAsia" w:ascii="宋体" w:hAnsi="宋体" w:cs="宋体"/>
                <w:sz w:val="18"/>
                <w:szCs w:val="18"/>
                <w:highlight w:val="none"/>
              </w:rPr>
              <w:t>kPa</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抽气时间不大于</w:t>
            </w:r>
            <w:r>
              <w:rPr>
                <w:rFonts w:hint="eastAsia" w:cs="宋体"/>
                <w:sz w:val="18"/>
                <w:szCs w:val="18"/>
                <w:highlight w:val="none"/>
                <w:lang w:val="en-US" w:eastAsia="zh-CN"/>
              </w:rPr>
              <w:t>13</w:t>
            </w:r>
            <w:r>
              <w:rPr>
                <w:rFonts w:hint="eastAsia" w:ascii="宋体" w:hAnsi="宋体" w:cs="宋体"/>
                <w:sz w:val="18"/>
                <w:szCs w:val="18"/>
                <w:highlight w:val="none"/>
                <w:lang w:val="en-US" w:eastAsia="zh-CN"/>
              </w:rPr>
              <w:t>s，真空度-80</w:t>
            </w:r>
            <w:r>
              <w:rPr>
                <w:rFonts w:hint="eastAsia" w:ascii="宋体" w:hAnsi="宋体" w:cs="宋体"/>
                <w:sz w:val="18"/>
                <w:szCs w:val="18"/>
                <w:highlight w:val="none"/>
              </w:rPr>
              <w:t>kPa</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抽气时间不大于23s；</w:t>
            </w:r>
          </w:p>
          <w:p>
            <w:pPr>
              <w:pStyle w:val="2"/>
              <w:jc w:val="both"/>
              <w:rPr>
                <w:rFonts w:hint="default"/>
                <w:lang w:val="en-US" w:eastAsia="zh-CN"/>
              </w:rPr>
            </w:pPr>
            <w:r>
              <w:rPr>
                <w:rFonts w:hint="eastAsia" w:cs="宋体"/>
                <w:sz w:val="18"/>
                <w:szCs w:val="18"/>
                <w:highlight w:val="none"/>
                <w:lang w:val="en-US" w:eastAsia="zh-CN"/>
              </w:rPr>
              <w:t>低温</w:t>
            </w:r>
            <w:r>
              <w:rPr>
                <w:rFonts w:hint="eastAsia" w:ascii="宋体" w:hAnsi="宋体" w:cs="宋体"/>
                <w:sz w:val="18"/>
                <w:szCs w:val="18"/>
                <w:highlight w:val="none"/>
                <w:lang w:val="en-US" w:eastAsia="zh-CN"/>
              </w:rPr>
              <w:t>下</w:t>
            </w:r>
            <w:r>
              <w:rPr>
                <w:rFonts w:hint="eastAsia" w:ascii="宋体" w:hAnsi="宋体" w:cs="宋体"/>
                <w:sz w:val="18"/>
                <w:szCs w:val="18"/>
                <w:highlight w:val="none"/>
              </w:rPr>
              <w:t>基本性能满足</w:t>
            </w:r>
            <w:r>
              <w:rPr>
                <w:rFonts w:hint="eastAsia" w:ascii="宋体" w:hAnsi="宋体" w:cs="宋体"/>
                <w:sz w:val="18"/>
                <w:szCs w:val="18"/>
                <w:highlight w:val="none"/>
                <w:lang w:val="en-US" w:eastAsia="zh-CN"/>
              </w:rPr>
              <w:t>真空度-50</w:t>
            </w:r>
            <w:r>
              <w:rPr>
                <w:rFonts w:hint="eastAsia" w:ascii="宋体" w:hAnsi="宋体" w:cs="宋体"/>
                <w:sz w:val="18"/>
                <w:szCs w:val="18"/>
                <w:highlight w:val="none"/>
              </w:rPr>
              <w:t>kPa</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抽气时间不大于</w:t>
            </w:r>
            <w:r>
              <w:rPr>
                <w:rFonts w:hint="eastAsia" w:cs="宋体"/>
                <w:sz w:val="18"/>
                <w:szCs w:val="18"/>
                <w:highlight w:val="none"/>
                <w:lang w:val="en-US" w:eastAsia="zh-CN"/>
              </w:rPr>
              <w:t>7</w:t>
            </w:r>
            <w:r>
              <w:rPr>
                <w:rFonts w:hint="eastAsia" w:ascii="宋体" w:hAnsi="宋体" w:cs="宋体"/>
                <w:sz w:val="18"/>
                <w:szCs w:val="18"/>
                <w:highlight w:val="none"/>
                <w:lang w:val="en-US" w:eastAsia="zh-CN"/>
              </w:rPr>
              <w:t>s，真空度-66.7</w:t>
            </w:r>
            <w:r>
              <w:rPr>
                <w:rFonts w:hint="eastAsia" w:ascii="宋体" w:hAnsi="宋体" w:cs="宋体"/>
                <w:sz w:val="18"/>
                <w:szCs w:val="18"/>
                <w:highlight w:val="none"/>
              </w:rPr>
              <w:t>kPa</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抽气时间不大于</w:t>
            </w:r>
            <w:r>
              <w:rPr>
                <w:rFonts w:hint="eastAsia" w:cs="宋体"/>
                <w:sz w:val="18"/>
                <w:szCs w:val="18"/>
                <w:highlight w:val="none"/>
                <w:lang w:val="en-US" w:eastAsia="zh-CN"/>
              </w:rPr>
              <w:t>15</w:t>
            </w:r>
            <w:r>
              <w:rPr>
                <w:rFonts w:hint="eastAsia" w:ascii="宋体" w:hAnsi="宋体" w:cs="宋体"/>
                <w:sz w:val="18"/>
                <w:szCs w:val="18"/>
                <w:highlight w:val="none"/>
                <w:lang w:val="en-US" w:eastAsia="zh-CN"/>
              </w:rPr>
              <w:t>s，真空度-80</w:t>
            </w:r>
            <w:r>
              <w:rPr>
                <w:rFonts w:hint="eastAsia" w:ascii="宋体" w:hAnsi="宋体" w:cs="宋体"/>
                <w:sz w:val="18"/>
                <w:szCs w:val="18"/>
                <w:highlight w:val="none"/>
              </w:rPr>
              <w:t>kPa</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抽气时间不大于</w:t>
            </w:r>
            <w:r>
              <w:rPr>
                <w:rFonts w:hint="eastAsia" w:cs="宋体"/>
                <w:sz w:val="18"/>
                <w:szCs w:val="18"/>
                <w:highlight w:val="none"/>
                <w:lang w:val="en-US" w:eastAsia="zh-CN"/>
              </w:rPr>
              <w:t>30</w:t>
            </w:r>
            <w:r>
              <w:rPr>
                <w:rFonts w:hint="eastAsia" w:ascii="宋体" w:hAnsi="宋体" w:cs="宋体"/>
                <w:sz w:val="18"/>
                <w:szCs w:val="18"/>
                <w:highlight w:val="none"/>
                <w:lang w:val="en-US" w:eastAsia="zh-CN"/>
              </w:rPr>
              <w:t>s</w:t>
            </w:r>
            <w:r>
              <w:rPr>
                <w:rFonts w:hint="eastAsia" w:cs="宋体"/>
                <w:sz w:val="18"/>
                <w:szCs w:val="18"/>
                <w:highlight w:val="none"/>
                <w:lang w:val="en-US" w:eastAsia="zh-CN"/>
              </w:rPr>
              <w:t>。</w:t>
            </w:r>
          </w:p>
        </w:tc>
        <w:tc>
          <w:tcPr>
            <w:tcW w:w="923" w:type="pct"/>
            <w:vMerge w:val="continue"/>
            <w:noWrap w:val="0"/>
            <w:vAlign w:val="center"/>
          </w:tcPr>
          <w:p>
            <w:pPr>
              <w:autoSpaceDE/>
              <w:autoSpaceDN/>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restart"/>
            <w:noWrap w:val="0"/>
            <w:vAlign w:val="center"/>
          </w:tcPr>
          <w:p>
            <w:pPr>
              <w:jc w:val="center"/>
              <w:rPr>
                <w:rFonts w:hint="eastAsia" w:ascii="宋体" w:hAnsi="宋体" w:cs="宋体"/>
                <w:sz w:val="18"/>
                <w:szCs w:val="18"/>
                <w:highlight w:val="none"/>
                <w:lang w:val="en-US" w:eastAsia="zh-CN"/>
              </w:rPr>
            </w:pPr>
            <w:r>
              <w:rPr>
                <w:rFonts w:hint="eastAsia" w:ascii="宋体" w:hAnsi="宋体" w:cs="宋体"/>
                <w:sz w:val="18"/>
                <w:szCs w:val="18"/>
                <w:highlight w:val="none"/>
              </w:rPr>
              <w:t>电动空压机</w:t>
            </w:r>
          </w:p>
        </w:tc>
        <w:tc>
          <w:tcPr>
            <w:tcW w:w="833" w:type="pct"/>
            <w:noWrap w:val="0"/>
            <w:vAlign w:val="center"/>
          </w:tcPr>
          <w:p>
            <w:pPr>
              <w:autoSpaceDE w:val="0"/>
              <w:autoSpaceDN w:val="0"/>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容积效率</w:t>
            </w:r>
          </w:p>
        </w:tc>
        <w:tc>
          <w:tcPr>
            <w:tcW w:w="1843" w:type="pct"/>
            <w:noWrap w:val="0"/>
            <w:vAlign w:val="center"/>
          </w:tcPr>
          <w:p>
            <w:pPr>
              <w:jc w:val="both"/>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0.8MPa，转速≥3000r/min的空压机，容积效率不低于38%；0.8MPa，转速＜1000r/min的空压机，容积效率不低于47%；</w:t>
            </w:r>
          </w:p>
          <w:p>
            <w:pPr>
              <w:jc w:val="both"/>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1.0MPa，转速≥3000r/min的空压机，容积效率不低于36%；1.0MPa，转速＜1000r/min的空压机，容积效率不低于45%；</w:t>
            </w:r>
          </w:p>
          <w:p>
            <w:pPr>
              <w:jc w:val="both"/>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1.25MPa，转速≥3000r/min的空压机，容积效率不低于34%；1.25MPa，转速＜1000r/min的空压机，容积效率不低于43%。</w:t>
            </w:r>
          </w:p>
        </w:tc>
        <w:tc>
          <w:tcPr>
            <w:tcW w:w="923" w:type="pct"/>
            <w:noWrap w:val="0"/>
            <w:vAlign w:val="center"/>
          </w:tcPr>
          <w:p>
            <w:pPr>
              <w:autoSpaceDE/>
              <w:autoSpaceDN/>
              <w:jc w:val="center"/>
              <w:rPr>
                <w:rFonts w:hint="eastAsia" w:ascii="宋体" w:hAnsi="宋体" w:cs="宋体"/>
                <w:sz w:val="18"/>
                <w:szCs w:val="18"/>
                <w:highlight w:val="none"/>
              </w:rPr>
            </w:pPr>
            <w:r>
              <w:rPr>
                <w:rFonts w:hint="eastAsia" w:ascii="宋体" w:hAnsi="宋体" w:cs="宋体"/>
                <w:sz w:val="18"/>
                <w:szCs w:val="18"/>
                <w:highlight w:val="none"/>
              </w:rPr>
              <w:t>QC/T</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29078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eastAsia" w:ascii="宋体" w:hAnsi="宋体" w:cs="宋体"/>
                <w:sz w:val="18"/>
                <w:szCs w:val="18"/>
                <w:highlight w:val="none"/>
              </w:rPr>
            </w:pP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输入比功率</w:t>
            </w:r>
          </w:p>
        </w:tc>
        <w:tc>
          <w:tcPr>
            <w:tcW w:w="1843" w:type="pct"/>
            <w:noWrap w:val="0"/>
            <w:vAlign w:val="center"/>
          </w:tcPr>
          <w:p>
            <w:pPr>
              <w:jc w:val="both"/>
              <w:rPr>
                <w:rFonts w:hint="eastAsia" w:ascii="宋体" w:hAnsi="宋体" w:cs="宋体"/>
                <w:sz w:val="18"/>
                <w:szCs w:val="18"/>
                <w:highlight w:val="none"/>
              </w:rPr>
            </w:pPr>
            <w:r>
              <w:rPr>
                <w:rFonts w:hint="eastAsia" w:ascii="宋体" w:hAnsi="宋体" w:cs="宋体"/>
                <w:sz w:val="18"/>
                <w:szCs w:val="18"/>
                <w:highlight w:val="none"/>
              </w:rPr>
              <w:t>按GB/T 3853规定</w:t>
            </w:r>
            <w:r>
              <w:rPr>
                <w:rFonts w:hint="eastAsia" w:ascii="宋体" w:hAnsi="宋体" w:cs="宋体"/>
                <w:sz w:val="18"/>
                <w:szCs w:val="18"/>
                <w:highlight w:val="none"/>
                <w:lang w:val="en-US" w:eastAsia="zh-CN"/>
              </w:rPr>
              <w:t>的流量测量方法和功率测量方法</w:t>
            </w:r>
            <w:r>
              <w:rPr>
                <w:rFonts w:hint="eastAsia" w:ascii="宋体" w:hAnsi="宋体" w:cs="宋体"/>
                <w:sz w:val="18"/>
                <w:szCs w:val="18"/>
                <w:highlight w:val="none"/>
              </w:rPr>
              <w:t>，且应在吸气温度5</w:t>
            </w:r>
            <w:r>
              <w:rPr>
                <w:rFonts w:hint="eastAsia" w:ascii="宋体" w:hAnsi="宋体" w:cs="宋体"/>
                <w:sz w:val="18"/>
                <w:szCs w:val="18"/>
                <w:highlight w:val="none"/>
                <w:lang w:val="en-US" w:eastAsia="zh-CN"/>
              </w:rPr>
              <w:t>℃</w:t>
            </w:r>
            <w:r>
              <w:rPr>
                <w:rFonts w:hint="eastAsia" w:ascii="宋体" w:hAnsi="宋体" w:cs="宋体"/>
                <w:sz w:val="18"/>
                <w:szCs w:val="18"/>
                <w:highlight w:val="none"/>
              </w:rPr>
              <w:t>~40</w:t>
            </w:r>
            <w:r>
              <w:rPr>
                <w:rFonts w:hint="eastAsia" w:ascii="宋体" w:hAnsi="宋体" w:cs="宋体"/>
                <w:sz w:val="18"/>
                <w:szCs w:val="18"/>
                <w:highlight w:val="none"/>
                <w:lang w:val="en-US" w:eastAsia="zh-CN"/>
              </w:rPr>
              <w:t>℃</w:t>
            </w:r>
            <w:r>
              <w:rPr>
                <w:rFonts w:hint="eastAsia" w:ascii="宋体" w:hAnsi="宋体" w:cs="宋体"/>
                <w:sz w:val="18"/>
                <w:szCs w:val="18"/>
                <w:highlight w:val="none"/>
              </w:rPr>
              <w:t>范围进行测量</w:t>
            </w:r>
            <w:r>
              <w:rPr>
                <w:rFonts w:hint="eastAsia" w:ascii="宋体" w:hAnsi="宋体" w:cs="宋体"/>
                <w:sz w:val="18"/>
                <w:szCs w:val="18"/>
                <w:highlight w:val="none"/>
                <w:lang w:eastAsia="zh-CN"/>
              </w:rPr>
              <w:t>，</w:t>
            </w:r>
            <w:r>
              <w:rPr>
                <w:rFonts w:hint="eastAsia" w:ascii="宋体" w:hAnsi="宋体" w:cs="宋体"/>
                <w:sz w:val="18"/>
                <w:szCs w:val="18"/>
                <w:highlight w:val="none"/>
              </w:rPr>
              <w:t>符合GB</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19153-2019中的2级要求。</w:t>
            </w:r>
          </w:p>
        </w:tc>
        <w:tc>
          <w:tcPr>
            <w:tcW w:w="923" w:type="pct"/>
            <w:noWrap w:val="0"/>
            <w:vAlign w:val="center"/>
          </w:tcPr>
          <w:p>
            <w:pPr>
              <w:autoSpaceDE/>
              <w:autoSpaceDN/>
              <w:jc w:val="center"/>
              <w:rPr>
                <w:rFonts w:hint="eastAsia" w:ascii="宋体" w:hAnsi="宋体" w:cs="宋体"/>
                <w:sz w:val="18"/>
                <w:szCs w:val="18"/>
                <w:highlight w:val="none"/>
                <w:lang w:eastAsia="zh-CN"/>
              </w:rPr>
            </w:pPr>
            <w:r>
              <w:rPr>
                <w:rFonts w:hint="eastAsia" w:ascii="宋体" w:hAnsi="宋体" w:cs="宋体"/>
                <w:sz w:val="18"/>
                <w:szCs w:val="18"/>
                <w:highlight w:val="none"/>
              </w:rPr>
              <w:t>QC/T 1168</w:t>
            </w:r>
            <w:r>
              <w:rPr>
                <w:rFonts w:hint="eastAsia" w:ascii="宋体" w:hAnsi="宋体" w:cs="宋体"/>
                <w:sz w:val="18"/>
                <w:szCs w:val="18"/>
                <w:highlight w:val="none"/>
                <w:lang w:eastAsia="zh-CN"/>
              </w:rPr>
              <w:t>、</w:t>
            </w:r>
          </w:p>
          <w:p>
            <w:pPr>
              <w:autoSpaceDE/>
              <w:autoSpaceDN/>
              <w:jc w:val="center"/>
              <w:rPr>
                <w:rFonts w:hint="eastAsia" w:ascii="宋体" w:hAnsi="宋体" w:cs="宋体"/>
                <w:sz w:val="18"/>
                <w:szCs w:val="18"/>
                <w:highlight w:val="none"/>
              </w:rPr>
            </w:pPr>
            <w:r>
              <w:rPr>
                <w:rFonts w:hint="eastAsia" w:ascii="宋体" w:hAnsi="宋体" w:cs="宋体"/>
                <w:sz w:val="18"/>
                <w:szCs w:val="18"/>
                <w:highlight w:val="none"/>
              </w:rPr>
              <w:t>GB</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19153</w:t>
            </w:r>
            <w:r>
              <w:rPr>
                <w:rFonts w:hint="eastAsia" w:ascii="宋体" w:hAnsi="宋体" w:cs="宋体"/>
                <w:sz w:val="18"/>
                <w:szCs w:val="18"/>
                <w:highlight w:val="none"/>
                <w:lang w:eastAsia="zh-CN"/>
              </w:rPr>
              <w:t>、</w:t>
            </w:r>
            <w:r>
              <w:rPr>
                <w:rFonts w:hint="eastAsia" w:ascii="宋体" w:hAnsi="宋体" w:cs="宋体"/>
                <w:sz w:val="18"/>
                <w:szCs w:val="18"/>
                <w:highlight w:val="none"/>
              </w:rPr>
              <w:t xml:space="preserve"> </w:t>
            </w:r>
          </w:p>
          <w:p>
            <w:pPr>
              <w:autoSpaceDE/>
              <w:autoSpaceDN/>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rPr>
              <w:t xml:space="preserve">GB/T 3853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eastAsia" w:ascii="宋体" w:hAnsi="宋体" w:cs="宋体"/>
                <w:sz w:val="18"/>
                <w:szCs w:val="18"/>
                <w:highlight w:val="none"/>
              </w:rPr>
            </w:pP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噪声</w:t>
            </w:r>
          </w:p>
        </w:tc>
        <w:tc>
          <w:tcPr>
            <w:tcW w:w="1843" w:type="pct"/>
            <w:noWrap w:val="0"/>
            <w:vAlign w:val="center"/>
          </w:tcPr>
          <w:p>
            <w:pPr>
              <w:jc w:val="both"/>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在额定工况下，容积流量小于0.2m</w:t>
            </w:r>
            <w:r>
              <w:rPr>
                <w:rFonts w:hint="eastAsia" w:ascii="宋体" w:hAnsi="宋体" w:cs="宋体"/>
                <w:sz w:val="18"/>
                <w:szCs w:val="18"/>
                <w:highlight w:val="none"/>
                <w:vertAlign w:val="superscript"/>
                <w:lang w:val="en-US" w:eastAsia="zh-CN"/>
              </w:rPr>
              <w:t>3</w:t>
            </w:r>
            <w:r>
              <w:rPr>
                <w:rFonts w:hint="eastAsia" w:ascii="宋体" w:hAnsi="宋体" w:cs="宋体"/>
                <w:sz w:val="18"/>
                <w:szCs w:val="18"/>
                <w:highlight w:val="none"/>
                <w:lang w:val="en-US" w:eastAsia="zh-CN"/>
              </w:rPr>
              <w:t>/min的压缩机，噪声声压级不超过72dB(A)，容积流量在0.2~0.4m</w:t>
            </w:r>
            <w:r>
              <w:rPr>
                <w:rFonts w:hint="eastAsia" w:ascii="宋体" w:hAnsi="宋体" w:cs="宋体"/>
                <w:sz w:val="18"/>
                <w:szCs w:val="18"/>
                <w:highlight w:val="none"/>
                <w:vertAlign w:val="superscript"/>
                <w:lang w:val="en-US" w:eastAsia="zh-CN"/>
              </w:rPr>
              <w:t>3</w:t>
            </w:r>
            <w:r>
              <w:rPr>
                <w:rFonts w:hint="eastAsia" w:ascii="宋体" w:hAnsi="宋体" w:cs="宋体"/>
                <w:sz w:val="18"/>
                <w:szCs w:val="18"/>
                <w:highlight w:val="none"/>
                <w:lang w:val="en-US" w:eastAsia="zh-CN"/>
              </w:rPr>
              <w:t>/min的压缩机，噪声声压级不超过75dB(A)，容积流量大于0.4m</w:t>
            </w:r>
            <w:r>
              <w:rPr>
                <w:rFonts w:hint="eastAsia" w:ascii="宋体" w:hAnsi="宋体" w:cs="宋体"/>
                <w:sz w:val="18"/>
                <w:szCs w:val="18"/>
                <w:highlight w:val="none"/>
                <w:vertAlign w:val="superscript"/>
                <w:lang w:val="en-US" w:eastAsia="zh-CN"/>
              </w:rPr>
              <w:t>3</w:t>
            </w:r>
            <w:r>
              <w:rPr>
                <w:rFonts w:hint="eastAsia" w:ascii="宋体" w:hAnsi="宋体" w:cs="宋体"/>
                <w:sz w:val="18"/>
                <w:szCs w:val="18"/>
                <w:highlight w:val="none"/>
                <w:lang w:val="en-US" w:eastAsia="zh-CN"/>
              </w:rPr>
              <w:t>/min的压缩机，噪声声压级不超过78dB(A)。</w:t>
            </w:r>
          </w:p>
        </w:tc>
        <w:tc>
          <w:tcPr>
            <w:tcW w:w="923" w:type="pct"/>
            <w:noWrap w:val="0"/>
            <w:vAlign w:val="center"/>
          </w:tcPr>
          <w:p>
            <w:pPr>
              <w:autoSpaceDE/>
              <w:autoSpaceDN/>
              <w:jc w:val="center"/>
              <w:rPr>
                <w:rFonts w:hint="eastAsia" w:ascii="宋体" w:hAnsi="宋体" w:cs="宋体"/>
                <w:sz w:val="18"/>
                <w:szCs w:val="18"/>
                <w:highlight w:val="none"/>
              </w:rPr>
            </w:pPr>
            <w:r>
              <w:rPr>
                <w:rFonts w:hint="eastAsia" w:ascii="宋体" w:hAnsi="宋体" w:cs="宋体"/>
                <w:sz w:val="18"/>
                <w:szCs w:val="18"/>
                <w:highlight w:val="none"/>
              </w:rPr>
              <w:t>QC/T 1168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restart"/>
            <w:noWrap w:val="0"/>
            <w:vAlign w:val="center"/>
          </w:tcPr>
          <w:p>
            <w:pPr>
              <w:jc w:val="center"/>
              <w:rPr>
                <w:rFonts w:hint="eastAsia" w:ascii="宋体" w:hAnsi="宋体" w:cs="宋体"/>
                <w:sz w:val="18"/>
                <w:szCs w:val="18"/>
                <w:highlight w:val="none"/>
              </w:rPr>
            </w:pPr>
            <w:r>
              <w:rPr>
                <w:rFonts w:hint="eastAsia" w:ascii="宋体" w:hAnsi="宋体" w:cs="宋体"/>
                <w:sz w:val="18"/>
                <w:szCs w:val="18"/>
                <w:highlight w:val="none"/>
              </w:rPr>
              <w:t>电动助力转向系统</w:t>
            </w: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转向操纵要求</w:t>
            </w:r>
          </w:p>
        </w:tc>
        <w:tc>
          <w:tcPr>
            <w:tcW w:w="1843" w:type="pct"/>
            <w:noWrap w:val="0"/>
            <w:vAlign w:val="center"/>
          </w:tcPr>
          <w:p>
            <w:pPr>
              <w:jc w:val="both"/>
              <w:rPr>
                <w:rFonts w:hint="eastAsia" w:ascii="宋体" w:hAnsi="宋体" w:cs="宋体"/>
                <w:sz w:val="18"/>
                <w:szCs w:val="18"/>
                <w:highlight w:val="none"/>
                <w:vertAlign w:val="baseline"/>
                <w:lang w:val="en-US" w:eastAsia="zh-CN"/>
              </w:rPr>
            </w:pPr>
            <w:r>
              <w:rPr>
                <w:rFonts w:hint="eastAsia" w:ascii="宋体" w:hAnsi="宋体" w:cs="宋体"/>
                <w:sz w:val="18"/>
                <w:szCs w:val="18"/>
                <w:highlight w:val="none"/>
                <w:lang w:val="en-US" w:eastAsia="zh-CN"/>
              </w:rPr>
              <w:t>M</w:t>
            </w:r>
            <w:r>
              <w:rPr>
                <w:rFonts w:hint="eastAsia" w:ascii="宋体" w:hAnsi="宋体" w:cs="宋体"/>
                <w:sz w:val="18"/>
                <w:szCs w:val="18"/>
                <w:highlight w:val="none"/>
                <w:vertAlign w:val="subscript"/>
                <w:lang w:val="en-US" w:eastAsia="zh-CN"/>
              </w:rPr>
              <w:t>1</w:t>
            </w:r>
            <w:r>
              <w:rPr>
                <w:rFonts w:hint="eastAsia" w:ascii="宋体" w:hAnsi="宋体" w:cs="宋体"/>
                <w:sz w:val="18"/>
                <w:szCs w:val="18"/>
                <w:highlight w:val="none"/>
                <w:vertAlign w:val="baseline"/>
                <w:lang w:val="en-US" w:eastAsia="zh-CN"/>
              </w:rPr>
              <w:t>、</w:t>
            </w:r>
            <w:r>
              <w:rPr>
                <w:rFonts w:hint="eastAsia" w:ascii="宋体" w:hAnsi="宋体" w:cs="宋体"/>
                <w:sz w:val="18"/>
                <w:szCs w:val="18"/>
                <w:highlight w:val="none"/>
                <w:lang w:val="en-US" w:eastAsia="zh-CN"/>
              </w:rPr>
              <w:t>M</w:t>
            </w:r>
            <w:r>
              <w:rPr>
                <w:rFonts w:hint="eastAsia" w:ascii="宋体" w:hAnsi="宋体" w:cs="宋体"/>
                <w:sz w:val="18"/>
                <w:szCs w:val="18"/>
                <w:highlight w:val="none"/>
                <w:vertAlign w:val="subscript"/>
                <w:lang w:val="en-US" w:eastAsia="zh-CN"/>
              </w:rPr>
              <w:t>2</w:t>
            </w:r>
            <w:r>
              <w:rPr>
                <w:rFonts w:hint="eastAsia" w:ascii="宋体" w:hAnsi="宋体" w:cs="宋体"/>
                <w:sz w:val="18"/>
                <w:szCs w:val="18"/>
                <w:highlight w:val="none"/>
                <w:vertAlign w:val="baseline"/>
                <w:lang w:val="en-US" w:eastAsia="zh-CN"/>
              </w:rPr>
              <w:t>类车转向操纵力≤150N，转向时间≤4s，转向半径为12m；</w:t>
            </w:r>
          </w:p>
          <w:p>
            <w:pPr>
              <w:jc w:val="both"/>
              <w:rPr>
                <w:rFonts w:hint="eastAsia" w:ascii="宋体" w:hAnsi="宋体" w:cs="宋体"/>
                <w:sz w:val="18"/>
                <w:szCs w:val="18"/>
                <w:highlight w:val="none"/>
                <w:vertAlign w:val="baseline"/>
                <w:lang w:val="en-US" w:eastAsia="zh-CN"/>
              </w:rPr>
            </w:pPr>
            <w:r>
              <w:rPr>
                <w:rFonts w:hint="eastAsia" w:ascii="宋体" w:hAnsi="宋体" w:cs="宋体"/>
                <w:sz w:val="18"/>
                <w:szCs w:val="18"/>
                <w:highlight w:val="none"/>
                <w:lang w:val="en-US" w:eastAsia="zh-CN"/>
              </w:rPr>
              <w:t>M</w:t>
            </w:r>
            <w:r>
              <w:rPr>
                <w:rFonts w:hint="eastAsia" w:ascii="宋体" w:hAnsi="宋体" w:cs="宋体"/>
                <w:sz w:val="18"/>
                <w:szCs w:val="18"/>
                <w:highlight w:val="none"/>
                <w:vertAlign w:val="subscript"/>
                <w:lang w:val="en-US" w:eastAsia="zh-CN"/>
              </w:rPr>
              <w:t>3</w:t>
            </w:r>
            <w:r>
              <w:rPr>
                <w:rFonts w:hint="eastAsia" w:ascii="宋体" w:hAnsi="宋体" w:cs="宋体"/>
                <w:sz w:val="18"/>
                <w:szCs w:val="18"/>
                <w:highlight w:val="none"/>
                <w:vertAlign w:val="baseline"/>
                <w:lang w:val="en-US" w:eastAsia="zh-CN"/>
              </w:rPr>
              <w:t>类车转向操纵力≤200N，转向时间≤4s，转向半径为12m；</w:t>
            </w:r>
          </w:p>
          <w:p>
            <w:pPr>
              <w:jc w:val="both"/>
              <w:rPr>
                <w:rFonts w:hint="eastAsia" w:ascii="宋体" w:hAnsi="宋体" w:cs="宋体"/>
                <w:sz w:val="18"/>
                <w:szCs w:val="18"/>
                <w:highlight w:val="none"/>
                <w:vertAlign w:val="baseline"/>
                <w:lang w:val="en-US" w:eastAsia="zh-CN"/>
              </w:rPr>
            </w:pPr>
            <w:r>
              <w:rPr>
                <w:rFonts w:hint="eastAsia" w:ascii="宋体" w:hAnsi="宋体" w:cs="宋体"/>
                <w:sz w:val="18"/>
                <w:szCs w:val="18"/>
                <w:highlight w:val="none"/>
                <w:lang w:val="en-US" w:eastAsia="zh-CN"/>
              </w:rPr>
              <w:t>N</w:t>
            </w:r>
            <w:r>
              <w:rPr>
                <w:rFonts w:hint="eastAsia" w:ascii="宋体" w:hAnsi="宋体" w:cs="宋体"/>
                <w:sz w:val="18"/>
                <w:szCs w:val="18"/>
                <w:highlight w:val="none"/>
                <w:vertAlign w:val="subscript"/>
                <w:lang w:val="en-US" w:eastAsia="zh-CN"/>
              </w:rPr>
              <w:t>1</w:t>
            </w:r>
            <w:r>
              <w:rPr>
                <w:rFonts w:hint="eastAsia" w:ascii="宋体" w:hAnsi="宋体" w:cs="宋体"/>
                <w:sz w:val="18"/>
                <w:szCs w:val="18"/>
                <w:highlight w:val="none"/>
                <w:vertAlign w:val="baseline"/>
                <w:lang w:val="en-US" w:eastAsia="zh-CN"/>
              </w:rPr>
              <w:t>、</w:t>
            </w:r>
            <w:r>
              <w:rPr>
                <w:rFonts w:hint="eastAsia" w:ascii="宋体" w:hAnsi="宋体" w:cs="宋体"/>
                <w:sz w:val="18"/>
                <w:szCs w:val="18"/>
                <w:highlight w:val="none"/>
                <w:lang w:val="en-US" w:eastAsia="zh-CN"/>
              </w:rPr>
              <w:t>N</w:t>
            </w:r>
            <w:r>
              <w:rPr>
                <w:rFonts w:hint="eastAsia" w:ascii="宋体" w:hAnsi="宋体" w:cs="宋体"/>
                <w:sz w:val="18"/>
                <w:szCs w:val="18"/>
                <w:highlight w:val="none"/>
                <w:vertAlign w:val="subscript"/>
                <w:lang w:val="en-US" w:eastAsia="zh-CN"/>
              </w:rPr>
              <w:t>3</w:t>
            </w:r>
            <w:r>
              <w:rPr>
                <w:rFonts w:hint="eastAsia" w:ascii="宋体" w:hAnsi="宋体" w:cs="宋体"/>
                <w:sz w:val="18"/>
                <w:szCs w:val="18"/>
                <w:highlight w:val="none"/>
                <w:vertAlign w:val="baseline"/>
                <w:lang w:val="en-US" w:eastAsia="zh-CN"/>
              </w:rPr>
              <w:t>类车转向操纵力≤200N，转向时间≤4s，转向半径为12m；</w:t>
            </w:r>
          </w:p>
          <w:p>
            <w:pPr>
              <w:jc w:val="both"/>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N</w:t>
            </w:r>
            <w:r>
              <w:rPr>
                <w:rFonts w:hint="eastAsia" w:ascii="宋体" w:hAnsi="宋体" w:cs="宋体"/>
                <w:sz w:val="18"/>
                <w:szCs w:val="18"/>
                <w:highlight w:val="none"/>
                <w:vertAlign w:val="subscript"/>
                <w:lang w:val="en-US" w:eastAsia="zh-CN"/>
              </w:rPr>
              <w:t>2</w:t>
            </w:r>
            <w:r>
              <w:rPr>
                <w:rFonts w:hint="eastAsia" w:ascii="宋体" w:hAnsi="宋体" w:cs="宋体"/>
                <w:sz w:val="18"/>
                <w:szCs w:val="18"/>
                <w:highlight w:val="none"/>
                <w:vertAlign w:val="baseline"/>
                <w:lang w:val="en-US" w:eastAsia="zh-CN"/>
              </w:rPr>
              <w:t>类车转向操纵力≤250N，转向时间≤4s，转向半径为12m。</w:t>
            </w:r>
          </w:p>
        </w:tc>
        <w:tc>
          <w:tcPr>
            <w:tcW w:w="923" w:type="pct"/>
            <w:noWrap w:val="0"/>
            <w:vAlign w:val="center"/>
          </w:tcPr>
          <w:p>
            <w:pPr>
              <w:autoSpaceDE/>
              <w:autoSpaceDN/>
              <w:jc w:val="center"/>
              <w:rPr>
                <w:rFonts w:hint="eastAsia" w:ascii="宋体" w:hAnsi="宋体" w:cs="宋体"/>
                <w:sz w:val="18"/>
                <w:szCs w:val="18"/>
                <w:highlight w:val="none"/>
              </w:rPr>
            </w:pPr>
            <w:r>
              <w:rPr>
                <w:rFonts w:hint="eastAsia" w:ascii="宋体" w:hAnsi="宋体" w:cs="宋体"/>
                <w:sz w:val="18"/>
                <w:szCs w:val="18"/>
                <w:highlight w:val="none"/>
              </w:rPr>
              <w:t>GB 17675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eastAsia" w:ascii="宋体" w:hAnsi="宋体" w:cs="宋体"/>
                <w:sz w:val="18"/>
                <w:szCs w:val="18"/>
                <w:highlight w:val="none"/>
              </w:rPr>
            </w:pP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传动效率</w:t>
            </w:r>
          </w:p>
        </w:tc>
        <w:tc>
          <w:tcPr>
            <w:tcW w:w="1843" w:type="pct"/>
            <w:noWrap w:val="0"/>
            <w:vAlign w:val="center"/>
          </w:tcPr>
          <w:p>
            <w:pPr>
              <w:jc w:val="both"/>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循环球式正效率不低于70%，逆效率不低于55%，齿轮齿条式正效率不低于75%，逆效率不低于60%，正效率大于逆效率。</w:t>
            </w:r>
          </w:p>
        </w:tc>
        <w:tc>
          <w:tcPr>
            <w:tcW w:w="923" w:type="pct"/>
            <w:noWrap w:val="0"/>
            <w:vAlign w:val="center"/>
          </w:tcPr>
          <w:p>
            <w:pPr>
              <w:autoSpaceDE/>
              <w:autoSpaceDN/>
              <w:jc w:val="center"/>
              <w:rPr>
                <w:rFonts w:hint="eastAsia" w:ascii="宋体" w:hAnsi="宋体" w:cs="宋体"/>
                <w:sz w:val="18"/>
                <w:szCs w:val="18"/>
                <w:highlight w:val="none"/>
              </w:rPr>
            </w:pPr>
            <w:r>
              <w:rPr>
                <w:rFonts w:hint="eastAsia" w:ascii="宋体" w:hAnsi="宋体" w:cs="宋体"/>
                <w:sz w:val="18"/>
                <w:szCs w:val="18"/>
                <w:highlight w:val="none"/>
              </w:rPr>
              <w:t>QC/T</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29097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restart"/>
            <w:noWrap w:val="0"/>
            <w:vAlign w:val="center"/>
          </w:tcPr>
          <w:p>
            <w:pPr>
              <w:jc w:val="center"/>
              <w:rPr>
                <w:rFonts w:hint="eastAsia" w:ascii="宋体" w:hAnsi="宋体" w:cs="宋体"/>
                <w:sz w:val="18"/>
                <w:szCs w:val="18"/>
                <w:highlight w:val="none"/>
              </w:rPr>
            </w:pPr>
            <w:r>
              <w:rPr>
                <w:rFonts w:hint="eastAsia" w:ascii="宋体" w:hAnsi="宋体" w:cs="宋体"/>
                <w:sz w:val="18"/>
                <w:szCs w:val="18"/>
                <w:highlight w:val="none"/>
              </w:rPr>
              <w:t>车载充电机</w:t>
            </w: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充电效率</w:t>
            </w:r>
          </w:p>
        </w:tc>
        <w:tc>
          <w:tcPr>
            <w:tcW w:w="1843" w:type="pct"/>
            <w:noWrap w:val="0"/>
            <w:vAlign w:val="center"/>
          </w:tcPr>
          <w:p>
            <w:pPr>
              <w:jc w:val="both"/>
              <w:rPr>
                <w:rFonts w:hint="eastAsia" w:ascii="宋体" w:hAnsi="宋体" w:cs="宋体"/>
                <w:sz w:val="18"/>
                <w:szCs w:val="18"/>
                <w:highlight w:val="none"/>
                <w:lang w:val="en-US" w:eastAsia="zh-CN"/>
              </w:rPr>
            </w:pPr>
            <w:r>
              <w:rPr>
                <w:rFonts w:hint="eastAsia" w:ascii="宋体" w:hAnsi="宋体" w:cs="宋体"/>
                <w:sz w:val="18"/>
                <w:szCs w:val="18"/>
                <w:highlight w:val="none"/>
              </w:rPr>
              <w:t>车载充电机在输出电压范围内</w:t>
            </w:r>
            <w:r>
              <w:rPr>
                <w:rFonts w:hint="eastAsia" w:ascii="宋体" w:hAnsi="宋体" w:cs="宋体"/>
                <w:sz w:val="18"/>
                <w:szCs w:val="18"/>
                <w:highlight w:val="none"/>
                <w:lang w:eastAsia="zh-CN"/>
              </w:rPr>
              <w:t>，</w:t>
            </w:r>
            <w:r>
              <w:rPr>
                <w:rFonts w:hint="eastAsia" w:ascii="宋体" w:hAnsi="宋体" w:cs="宋体"/>
                <w:sz w:val="18"/>
                <w:szCs w:val="18"/>
                <w:highlight w:val="none"/>
              </w:rPr>
              <w:t>以额定功率输出或者最大输出电流工作</w:t>
            </w:r>
            <w:r>
              <w:rPr>
                <w:rFonts w:hint="eastAsia" w:ascii="宋体" w:hAnsi="宋体" w:cs="宋体"/>
                <w:sz w:val="18"/>
                <w:szCs w:val="18"/>
                <w:highlight w:val="none"/>
                <w:lang w:val="en-US" w:eastAsia="zh-CN"/>
              </w:rPr>
              <w:t>时</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按照以下试验方法测得平均效率：①按照</w:t>
            </w:r>
            <w:r>
              <w:rPr>
                <w:rFonts w:hint="eastAsia" w:ascii="宋体" w:hAnsi="宋体" w:cs="宋体"/>
                <w:sz w:val="18"/>
                <w:szCs w:val="18"/>
                <w:highlight w:val="none"/>
              </w:rPr>
              <w:t>GB/T 40432</w:t>
            </w:r>
            <w:r>
              <w:rPr>
                <w:rFonts w:hint="eastAsia" w:ascii="宋体" w:hAnsi="宋体" w:cs="宋体"/>
                <w:sz w:val="18"/>
                <w:szCs w:val="18"/>
                <w:highlight w:val="none"/>
                <w:lang w:val="en-US" w:eastAsia="zh-CN"/>
              </w:rPr>
              <w:t>图1接好试验电路，将</w:t>
            </w:r>
            <w:r>
              <w:rPr>
                <w:rFonts w:hint="eastAsia" w:ascii="宋体" w:hAnsi="宋体" w:cs="宋体"/>
                <w:sz w:val="18"/>
                <w:szCs w:val="18"/>
                <w:highlight w:val="none"/>
              </w:rPr>
              <w:t>电子负载设置为恒压负载模式</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②</w:t>
            </w:r>
            <w:r>
              <w:rPr>
                <w:rFonts w:hint="eastAsia" w:ascii="宋体" w:hAnsi="宋体" w:cs="宋体"/>
                <w:sz w:val="18"/>
                <w:szCs w:val="18"/>
                <w:highlight w:val="none"/>
              </w:rPr>
              <w:t>在额定输</w:t>
            </w:r>
            <w:r>
              <w:rPr>
                <w:rFonts w:hint="eastAsia" w:ascii="宋体" w:hAnsi="宋体" w:cs="宋体"/>
                <w:sz w:val="18"/>
                <w:szCs w:val="18"/>
                <w:highlight w:val="none"/>
                <w:lang w:eastAsia="zh-CN"/>
              </w:rPr>
              <w:t>入</w:t>
            </w:r>
            <w:r>
              <w:rPr>
                <w:rFonts w:hint="eastAsia" w:ascii="宋体" w:hAnsi="宋体" w:cs="宋体"/>
                <w:sz w:val="18"/>
                <w:szCs w:val="18"/>
                <w:highlight w:val="none"/>
              </w:rPr>
              <w:t>的条件下开启车载充电机</w:t>
            </w:r>
            <w:r>
              <w:rPr>
                <w:rFonts w:hint="eastAsia" w:ascii="宋体" w:hAnsi="宋体" w:cs="宋体"/>
                <w:sz w:val="18"/>
                <w:szCs w:val="18"/>
                <w:highlight w:val="none"/>
                <w:lang w:eastAsia="zh-CN"/>
              </w:rPr>
              <w:t>，</w:t>
            </w:r>
            <w:r>
              <w:rPr>
                <w:rFonts w:hint="eastAsia" w:ascii="宋体" w:hAnsi="宋体" w:cs="宋体"/>
                <w:sz w:val="18"/>
                <w:szCs w:val="18"/>
                <w:highlight w:val="none"/>
              </w:rPr>
              <w:t>额定状态工作30 min后开始测量效率</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③</w:t>
            </w:r>
            <w:r>
              <w:rPr>
                <w:rFonts w:hint="eastAsia" w:ascii="宋体" w:hAnsi="宋体" w:cs="宋体"/>
                <w:sz w:val="18"/>
                <w:szCs w:val="18"/>
                <w:highlight w:val="none"/>
              </w:rPr>
              <w:t>在产品技术文件规定的输出电压范围内</w:t>
            </w:r>
            <w:r>
              <w:rPr>
                <w:rFonts w:hint="eastAsia" w:ascii="宋体" w:hAnsi="宋体" w:cs="宋体"/>
                <w:sz w:val="18"/>
                <w:szCs w:val="18"/>
                <w:highlight w:val="none"/>
                <w:lang w:eastAsia="zh-CN"/>
              </w:rPr>
              <w:t>，</w:t>
            </w:r>
            <w:r>
              <w:rPr>
                <w:rFonts w:hint="eastAsia" w:ascii="宋体" w:hAnsi="宋体" w:cs="宋体"/>
                <w:sz w:val="18"/>
                <w:szCs w:val="18"/>
                <w:highlight w:val="none"/>
              </w:rPr>
              <w:t>均等分10个输出电压值</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④</w:t>
            </w:r>
            <w:r>
              <w:rPr>
                <w:rFonts w:hint="eastAsia" w:ascii="宋体" w:hAnsi="宋体" w:cs="宋体"/>
                <w:sz w:val="18"/>
                <w:szCs w:val="18"/>
                <w:highlight w:val="none"/>
              </w:rPr>
              <w:t>调节输出电压，分别工作在10个输出电压值，用功率计分别测量各输出电压下的效率</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⑤</w:t>
            </w:r>
            <w:r>
              <w:rPr>
                <w:rFonts w:hint="eastAsia" w:ascii="宋体" w:hAnsi="宋体" w:cs="宋体"/>
                <w:sz w:val="18"/>
                <w:szCs w:val="18"/>
                <w:highlight w:val="none"/>
              </w:rPr>
              <w:t>计算各效率的平均值</w:t>
            </w:r>
            <w:r>
              <w:rPr>
                <w:rFonts w:hint="eastAsia" w:ascii="宋体" w:hAnsi="宋体" w:cs="宋体"/>
                <w:sz w:val="18"/>
                <w:szCs w:val="18"/>
                <w:highlight w:val="none"/>
                <w:lang w:val="en-US" w:eastAsia="zh-CN"/>
              </w:rPr>
              <w:t>。</w:t>
            </w:r>
          </w:p>
          <w:p>
            <w:pPr>
              <w:jc w:val="both"/>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E1能效级别平均效率不低于94%，E2能效级别平均效率不低于92%，E3能效级别平均效率不低于90%的要求。</w:t>
            </w:r>
          </w:p>
        </w:tc>
        <w:tc>
          <w:tcPr>
            <w:tcW w:w="923" w:type="pct"/>
            <w:vMerge w:val="restart"/>
            <w:noWrap w:val="0"/>
            <w:vAlign w:val="center"/>
          </w:tcPr>
          <w:p>
            <w:pPr>
              <w:autoSpaceDE/>
              <w:autoSpaceDN/>
              <w:jc w:val="center"/>
              <w:rPr>
                <w:rFonts w:hint="eastAsia" w:ascii="宋体" w:hAnsi="宋体" w:cs="宋体"/>
                <w:sz w:val="18"/>
                <w:szCs w:val="18"/>
                <w:highlight w:val="none"/>
              </w:rPr>
            </w:pPr>
            <w:r>
              <w:rPr>
                <w:rFonts w:hint="eastAsia" w:ascii="宋体" w:hAnsi="宋体" w:cs="宋体"/>
                <w:sz w:val="18"/>
                <w:szCs w:val="18"/>
                <w:highlight w:val="none"/>
              </w:rPr>
              <w:t>GB/T 40432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eastAsia" w:ascii="宋体" w:hAnsi="宋体" w:cs="宋体"/>
                <w:sz w:val="18"/>
                <w:szCs w:val="18"/>
                <w:highlight w:val="none"/>
              </w:rPr>
            </w:pP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绝缘电阻</w:t>
            </w:r>
          </w:p>
        </w:tc>
        <w:tc>
          <w:tcPr>
            <w:tcW w:w="1843" w:type="pct"/>
            <w:noWrap w:val="0"/>
            <w:vAlign w:val="center"/>
          </w:tcPr>
          <w:p>
            <w:pPr>
              <w:jc w:val="both"/>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各独立带电端口回路与地(外壳)之间的绝缘电阻不小于10MΩ</w:t>
            </w:r>
            <w:r>
              <w:rPr>
                <w:rFonts w:hint="eastAsia" w:ascii="宋体" w:hAnsi="宋体" w:cs="宋体"/>
                <w:sz w:val="18"/>
                <w:szCs w:val="18"/>
                <w:highlight w:val="none"/>
                <w:lang w:eastAsia="zh-CN"/>
              </w:rPr>
              <w:t>；</w:t>
            </w:r>
            <w:r>
              <w:rPr>
                <w:rFonts w:hint="eastAsia" w:ascii="宋体" w:hAnsi="宋体" w:cs="宋体"/>
                <w:sz w:val="18"/>
                <w:szCs w:val="18"/>
                <w:highlight w:val="none"/>
              </w:rPr>
              <w:t>彼此无电气联系的各带电端口回路之间的绝缘电阻不小于10MΩ</w:t>
            </w:r>
            <w:r>
              <w:rPr>
                <w:rFonts w:hint="eastAsia" w:ascii="宋体" w:hAnsi="宋体" w:cs="宋体"/>
                <w:sz w:val="18"/>
                <w:szCs w:val="18"/>
                <w:highlight w:val="none"/>
                <w:lang w:eastAsia="zh-CN"/>
              </w:rPr>
              <w:t>。</w:t>
            </w:r>
          </w:p>
        </w:tc>
        <w:tc>
          <w:tcPr>
            <w:tcW w:w="923" w:type="pct"/>
            <w:vMerge w:val="continue"/>
            <w:noWrap w:val="0"/>
            <w:vAlign w:val="center"/>
          </w:tcPr>
          <w:p>
            <w:pPr>
              <w:autoSpaceDE/>
              <w:autoSpaceDN/>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eastAsia" w:ascii="宋体" w:hAnsi="宋体" w:cs="宋体"/>
                <w:sz w:val="18"/>
                <w:szCs w:val="18"/>
                <w:highlight w:val="none"/>
              </w:rPr>
            </w:pP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耐电压性</w:t>
            </w:r>
          </w:p>
        </w:tc>
        <w:tc>
          <w:tcPr>
            <w:tcW w:w="1843" w:type="pct"/>
            <w:noWrap w:val="0"/>
            <w:vAlign w:val="center"/>
          </w:tcPr>
          <w:p>
            <w:pPr>
              <w:jc w:val="both"/>
              <w:rPr>
                <w:rFonts w:hint="default" w:ascii="宋体" w:hAnsi="宋体" w:cs="宋体"/>
                <w:sz w:val="18"/>
                <w:szCs w:val="18"/>
                <w:highlight w:val="none"/>
                <w:vertAlign w:val="subscript"/>
                <w:lang w:val="en-US" w:eastAsia="zh-CN"/>
              </w:rPr>
            </w:pPr>
            <w:r>
              <w:rPr>
                <w:rFonts w:hint="eastAsia" w:ascii="宋体" w:hAnsi="宋体" w:cs="宋体"/>
                <w:sz w:val="18"/>
                <w:szCs w:val="18"/>
                <w:highlight w:val="none"/>
                <w:lang w:val="en-US" w:eastAsia="zh-CN"/>
              </w:rPr>
              <w:t>U</w:t>
            </w:r>
            <w:r>
              <w:rPr>
                <w:rFonts w:hint="eastAsia" w:ascii="宋体" w:hAnsi="宋体" w:cs="宋体"/>
                <w:sz w:val="18"/>
                <w:szCs w:val="18"/>
                <w:highlight w:val="none"/>
                <w:vertAlign w:val="subscript"/>
                <w:lang w:val="en-US" w:eastAsia="zh-CN"/>
              </w:rPr>
              <w:t>damx</w:t>
            </w:r>
            <w:r>
              <w:rPr>
                <w:rFonts w:hint="eastAsia" w:ascii="宋体" w:hAnsi="宋体" w:cs="宋体"/>
                <w:sz w:val="18"/>
                <w:szCs w:val="18"/>
                <w:highlight w:val="none"/>
                <w:vertAlign w:val="baseline"/>
                <w:lang w:val="en-US" w:eastAsia="zh-CN"/>
              </w:rPr>
              <w:t>≤60V，在500V试验电压下持续1min进行耐电压测试，</w:t>
            </w:r>
            <w:r>
              <w:rPr>
                <w:rFonts w:hint="eastAsia" w:ascii="宋体" w:hAnsi="宋体" w:cs="宋体"/>
                <w:sz w:val="18"/>
                <w:szCs w:val="18"/>
                <w:highlight w:val="none"/>
                <w:lang w:val="en-US" w:eastAsia="zh-CN"/>
              </w:rPr>
              <w:t>出现</w:t>
            </w:r>
            <w:r>
              <w:rPr>
                <w:rFonts w:hint="eastAsia" w:ascii="宋体" w:hAnsi="宋体" w:cs="宋体"/>
                <w:sz w:val="18"/>
                <w:szCs w:val="18"/>
                <w:highlight w:val="none"/>
              </w:rPr>
              <w:t>击穿和电弧现象</w:t>
            </w:r>
            <w:r>
              <w:rPr>
                <w:rFonts w:hint="eastAsia" w:ascii="宋体" w:hAnsi="宋体" w:cs="宋体"/>
                <w:sz w:val="18"/>
                <w:szCs w:val="18"/>
                <w:highlight w:val="none"/>
                <w:lang w:val="en-US" w:eastAsia="zh-CN"/>
              </w:rPr>
              <w:t>的次数为0；</w:t>
            </w:r>
          </w:p>
          <w:p>
            <w:pPr>
              <w:jc w:val="both"/>
              <w:rPr>
                <w:rFonts w:hint="default" w:ascii="宋体" w:hAnsi="宋体" w:cs="宋体"/>
                <w:sz w:val="18"/>
                <w:szCs w:val="18"/>
                <w:highlight w:val="none"/>
                <w:vertAlign w:val="subscript"/>
                <w:lang w:val="en-US" w:eastAsia="zh-CN"/>
              </w:rPr>
            </w:pPr>
            <w:r>
              <w:rPr>
                <w:rFonts w:hint="eastAsia" w:ascii="宋体" w:hAnsi="宋体" w:cs="宋体"/>
                <w:sz w:val="18"/>
                <w:szCs w:val="18"/>
                <w:highlight w:val="none"/>
                <w:lang w:val="en-US" w:eastAsia="zh-CN"/>
              </w:rPr>
              <w:t>60＜U</w:t>
            </w:r>
            <w:r>
              <w:rPr>
                <w:rFonts w:hint="eastAsia" w:ascii="宋体" w:hAnsi="宋体" w:cs="宋体"/>
                <w:sz w:val="18"/>
                <w:szCs w:val="18"/>
                <w:highlight w:val="none"/>
                <w:vertAlign w:val="subscript"/>
                <w:lang w:val="en-US" w:eastAsia="zh-CN"/>
              </w:rPr>
              <w:t>damx</w:t>
            </w:r>
            <w:r>
              <w:rPr>
                <w:rFonts w:hint="eastAsia" w:ascii="宋体" w:hAnsi="宋体" w:cs="宋体"/>
                <w:sz w:val="18"/>
                <w:szCs w:val="18"/>
                <w:highlight w:val="none"/>
                <w:vertAlign w:val="baseline"/>
                <w:lang w:val="en-US" w:eastAsia="zh-CN"/>
              </w:rPr>
              <w:t>≤125V，在1000V试验电压下持续1min进行耐电压测试，</w:t>
            </w:r>
            <w:r>
              <w:rPr>
                <w:rFonts w:hint="eastAsia" w:ascii="宋体" w:hAnsi="宋体" w:cs="宋体"/>
                <w:sz w:val="18"/>
                <w:szCs w:val="18"/>
                <w:highlight w:val="none"/>
                <w:lang w:val="en-US" w:eastAsia="zh-CN"/>
              </w:rPr>
              <w:t>出现</w:t>
            </w:r>
            <w:r>
              <w:rPr>
                <w:rFonts w:hint="eastAsia" w:ascii="宋体" w:hAnsi="宋体" w:cs="宋体"/>
                <w:sz w:val="18"/>
                <w:szCs w:val="18"/>
                <w:highlight w:val="none"/>
              </w:rPr>
              <w:t>击穿和电弧现象</w:t>
            </w:r>
            <w:r>
              <w:rPr>
                <w:rFonts w:hint="eastAsia" w:ascii="宋体" w:hAnsi="宋体" w:cs="宋体"/>
                <w:sz w:val="18"/>
                <w:szCs w:val="18"/>
                <w:highlight w:val="none"/>
                <w:lang w:val="en-US" w:eastAsia="zh-CN"/>
              </w:rPr>
              <w:t>的次数为0；</w:t>
            </w:r>
          </w:p>
          <w:p>
            <w:pPr>
              <w:jc w:val="both"/>
              <w:rPr>
                <w:rFonts w:hint="default" w:ascii="宋体" w:hAnsi="宋体" w:cs="宋体"/>
                <w:sz w:val="18"/>
                <w:szCs w:val="18"/>
                <w:highlight w:val="none"/>
                <w:vertAlign w:val="subscript"/>
                <w:lang w:val="en-US" w:eastAsia="zh-CN"/>
              </w:rPr>
            </w:pPr>
            <w:r>
              <w:rPr>
                <w:rFonts w:hint="eastAsia" w:ascii="宋体" w:hAnsi="宋体" w:cs="宋体"/>
                <w:sz w:val="18"/>
                <w:szCs w:val="18"/>
                <w:highlight w:val="none"/>
                <w:lang w:val="en-US" w:eastAsia="zh-CN"/>
              </w:rPr>
              <w:t>125＜U</w:t>
            </w:r>
            <w:r>
              <w:rPr>
                <w:rFonts w:hint="eastAsia" w:ascii="宋体" w:hAnsi="宋体" w:cs="宋体"/>
                <w:sz w:val="18"/>
                <w:szCs w:val="18"/>
                <w:highlight w:val="none"/>
                <w:vertAlign w:val="subscript"/>
                <w:lang w:val="en-US" w:eastAsia="zh-CN"/>
              </w:rPr>
              <w:t>damx</w:t>
            </w:r>
            <w:r>
              <w:rPr>
                <w:rFonts w:hint="eastAsia" w:ascii="宋体" w:hAnsi="宋体" w:cs="宋体"/>
                <w:sz w:val="18"/>
                <w:szCs w:val="18"/>
                <w:highlight w:val="none"/>
                <w:vertAlign w:val="baseline"/>
                <w:lang w:val="en-US" w:eastAsia="zh-CN"/>
              </w:rPr>
              <w:t>≤250V，在1500V试验电压下持续1min进行耐电压测试，</w:t>
            </w:r>
            <w:r>
              <w:rPr>
                <w:rFonts w:hint="eastAsia" w:ascii="宋体" w:hAnsi="宋体" w:cs="宋体"/>
                <w:sz w:val="18"/>
                <w:szCs w:val="18"/>
                <w:highlight w:val="none"/>
                <w:lang w:val="en-US" w:eastAsia="zh-CN"/>
              </w:rPr>
              <w:t>出现</w:t>
            </w:r>
            <w:r>
              <w:rPr>
                <w:rFonts w:hint="eastAsia" w:ascii="宋体" w:hAnsi="宋体" w:cs="宋体"/>
                <w:sz w:val="18"/>
                <w:szCs w:val="18"/>
                <w:highlight w:val="none"/>
              </w:rPr>
              <w:t>击穿和电弧现象</w:t>
            </w:r>
            <w:r>
              <w:rPr>
                <w:rFonts w:hint="eastAsia" w:ascii="宋体" w:hAnsi="宋体" w:cs="宋体"/>
                <w:sz w:val="18"/>
                <w:szCs w:val="18"/>
                <w:highlight w:val="none"/>
                <w:lang w:val="en-US" w:eastAsia="zh-CN"/>
              </w:rPr>
              <w:t>的次数为0；</w:t>
            </w:r>
          </w:p>
          <w:p>
            <w:pPr>
              <w:jc w:val="both"/>
              <w:rPr>
                <w:rFonts w:hint="default" w:ascii="宋体" w:hAnsi="宋体" w:cs="宋体"/>
                <w:sz w:val="18"/>
                <w:szCs w:val="18"/>
                <w:highlight w:val="none"/>
                <w:vertAlign w:val="subscript"/>
                <w:lang w:val="en-US" w:eastAsia="zh-CN"/>
              </w:rPr>
            </w:pPr>
            <w:r>
              <w:rPr>
                <w:rFonts w:hint="eastAsia" w:ascii="宋体" w:hAnsi="宋体" w:cs="宋体"/>
                <w:sz w:val="18"/>
                <w:szCs w:val="18"/>
                <w:highlight w:val="none"/>
                <w:lang w:val="en-US" w:eastAsia="zh-CN"/>
              </w:rPr>
              <w:t>250＜U</w:t>
            </w:r>
            <w:r>
              <w:rPr>
                <w:rFonts w:hint="eastAsia" w:ascii="宋体" w:hAnsi="宋体" w:cs="宋体"/>
                <w:sz w:val="18"/>
                <w:szCs w:val="18"/>
                <w:highlight w:val="none"/>
                <w:vertAlign w:val="subscript"/>
                <w:lang w:val="en-US" w:eastAsia="zh-CN"/>
              </w:rPr>
              <w:t>damx</w:t>
            </w:r>
            <w:r>
              <w:rPr>
                <w:rFonts w:hint="eastAsia" w:ascii="宋体" w:hAnsi="宋体" w:cs="宋体"/>
                <w:sz w:val="18"/>
                <w:szCs w:val="18"/>
                <w:highlight w:val="none"/>
                <w:vertAlign w:val="baseline"/>
                <w:lang w:val="en-US" w:eastAsia="zh-CN"/>
              </w:rPr>
              <w:t>≤500V，在2000V试验电压下持续1min进行耐电压测试，</w:t>
            </w:r>
            <w:r>
              <w:rPr>
                <w:rFonts w:hint="eastAsia" w:ascii="宋体" w:hAnsi="宋体" w:cs="宋体"/>
                <w:sz w:val="18"/>
                <w:szCs w:val="18"/>
                <w:highlight w:val="none"/>
                <w:lang w:val="en-US" w:eastAsia="zh-CN"/>
              </w:rPr>
              <w:t>出现</w:t>
            </w:r>
            <w:r>
              <w:rPr>
                <w:rFonts w:hint="eastAsia" w:ascii="宋体" w:hAnsi="宋体" w:cs="宋体"/>
                <w:sz w:val="18"/>
                <w:szCs w:val="18"/>
                <w:highlight w:val="none"/>
              </w:rPr>
              <w:t>击穿和电弧现象</w:t>
            </w:r>
            <w:r>
              <w:rPr>
                <w:rFonts w:hint="eastAsia" w:ascii="宋体" w:hAnsi="宋体" w:cs="宋体"/>
                <w:sz w:val="18"/>
                <w:szCs w:val="18"/>
                <w:highlight w:val="none"/>
                <w:lang w:val="en-US" w:eastAsia="zh-CN"/>
              </w:rPr>
              <w:t>的次数为0；</w:t>
            </w:r>
          </w:p>
          <w:p>
            <w:pPr>
              <w:jc w:val="both"/>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U</w:t>
            </w:r>
            <w:r>
              <w:rPr>
                <w:rFonts w:hint="eastAsia" w:ascii="宋体" w:hAnsi="宋体" w:cs="宋体"/>
                <w:sz w:val="18"/>
                <w:szCs w:val="18"/>
                <w:highlight w:val="none"/>
                <w:vertAlign w:val="subscript"/>
                <w:lang w:val="en-US" w:eastAsia="zh-CN"/>
              </w:rPr>
              <w:t>damx</w:t>
            </w:r>
            <w:r>
              <w:rPr>
                <w:rFonts w:hint="eastAsia" w:ascii="宋体" w:hAnsi="宋体" w:cs="宋体"/>
                <w:sz w:val="18"/>
                <w:szCs w:val="18"/>
                <w:highlight w:val="none"/>
                <w:vertAlign w:val="baseline"/>
                <w:lang w:val="en-US" w:eastAsia="zh-CN"/>
              </w:rPr>
              <w:t>＞500V，在1000+2*</w:t>
            </w:r>
            <w:r>
              <w:rPr>
                <w:rFonts w:hint="eastAsia" w:ascii="宋体" w:hAnsi="宋体" w:cs="宋体"/>
                <w:sz w:val="18"/>
                <w:szCs w:val="18"/>
                <w:highlight w:val="none"/>
                <w:lang w:val="en-US" w:eastAsia="zh-CN"/>
              </w:rPr>
              <w:t>U</w:t>
            </w:r>
            <w:r>
              <w:rPr>
                <w:rFonts w:hint="eastAsia" w:ascii="宋体" w:hAnsi="宋体" w:cs="宋体"/>
                <w:sz w:val="18"/>
                <w:szCs w:val="18"/>
                <w:highlight w:val="none"/>
                <w:vertAlign w:val="subscript"/>
                <w:lang w:val="en-US" w:eastAsia="zh-CN"/>
              </w:rPr>
              <w:t>damx</w:t>
            </w:r>
            <w:r>
              <w:rPr>
                <w:rFonts w:hint="eastAsia" w:ascii="宋体" w:hAnsi="宋体" w:cs="宋体"/>
                <w:sz w:val="18"/>
                <w:szCs w:val="18"/>
                <w:highlight w:val="none"/>
                <w:vertAlign w:val="baseline"/>
                <w:lang w:val="en-US" w:eastAsia="zh-CN"/>
              </w:rPr>
              <w:t>V试验电压下持续1min进行耐电压测试，</w:t>
            </w:r>
            <w:r>
              <w:rPr>
                <w:rFonts w:hint="eastAsia" w:ascii="宋体" w:hAnsi="宋体" w:cs="宋体"/>
                <w:sz w:val="18"/>
                <w:szCs w:val="18"/>
                <w:highlight w:val="none"/>
                <w:lang w:val="en-US" w:eastAsia="zh-CN"/>
              </w:rPr>
              <w:t>出现</w:t>
            </w:r>
            <w:r>
              <w:rPr>
                <w:rFonts w:hint="eastAsia" w:ascii="宋体" w:hAnsi="宋体" w:cs="宋体"/>
                <w:sz w:val="18"/>
                <w:szCs w:val="18"/>
                <w:highlight w:val="none"/>
              </w:rPr>
              <w:t>击穿和电弧现象</w:t>
            </w:r>
            <w:r>
              <w:rPr>
                <w:rFonts w:hint="eastAsia" w:ascii="宋体" w:hAnsi="宋体" w:cs="宋体"/>
                <w:sz w:val="18"/>
                <w:szCs w:val="18"/>
                <w:highlight w:val="none"/>
                <w:lang w:val="en-US" w:eastAsia="zh-CN"/>
              </w:rPr>
              <w:t>的次数为0。</w:t>
            </w:r>
          </w:p>
          <w:p>
            <w:pPr>
              <w:jc w:val="both"/>
              <w:rPr>
                <w:rFonts w:hint="eastAsia" w:ascii="宋体" w:hAnsi="宋体" w:cs="宋体"/>
                <w:sz w:val="18"/>
                <w:szCs w:val="18"/>
                <w:highlight w:val="none"/>
              </w:rPr>
            </w:pPr>
            <w:r>
              <w:rPr>
                <w:rFonts w:hint="eastAsia" w:ascii="宋体" w:hAnsi="宋体" w:cs="宋体"/>
                <w:sz w:val="18"/>
                <w:szCs w:val="18"/>
                <w:highlight w:val="none"/>
                <w:lang w:val="en-US" w:eastAsia="zh-CN"/>
              </w:rPr>
              <w:t>注：U</w:t>
            </w:r>
            <w:r>
              <w:rPr>
                <w:rFonts w:hint="eastAsia" w:ascii="宋体" w:hAnsi="宋体" w:cs="宋体"/>
                <w:sz w:val="18"/>
                <w:szCs w:val="18"/>
                <w:highlight w:val="none"/>
                <w:vertAlign w:val="subscript"/>
                <w:lang w:val="en-US" w:eastAsia="zh-CN"/>
              </w:rPr>
              <w:t>damx</w:t>
            </w:r>
            <w:r>
              <w:rPr>
                <w:rFonts w:hint="eastAsia" w:ascii="宋体" w:hAnsi="宋体" w:cs="宋体"/>
                <w:sz w:val="18"/>
                <w:szCs w:val="18"/>
                <w:highlight w:val="none"/>
                <w:vertAlign w:val="baseline"/>
                <w:lang w:val="en-US" w:eastAsia="zh-CN"/>
              </w:rPr>
              <w:t>为车载充电机</w:t>
            </w:r>
            <w:r>
              <w:rPr>
                <w:rFonts w:hint="eastAsia" w:ascii="宋体" w:hAnsi="宋体" w:cs="宋体"/>
                <w:sz w:val="18"/>
                <w:szCs w:val="18"/>
                <w:highlight w:val="none"/>
                <w:lang w:val="en-US" w:eastAsia="zh-CN"/>
              </w:rPr>
              <w:t>最高工作电压。</w:t>
            </w:r>
          </w:p>
        </w:tc>
        <w:tc>
          <w:tcPr>
            <w:tcW w:w="923" w:type="pct"/>
            <w:vMerge w:val="continue"/>
            <w:noWrap w:val="0"/>
            <w:vAlign w:val="center"/>
          </w:tcPr>
          <w:p>
            <w:pPr>
              <w:autoSpaceDE/>
              <w:autoSpaceDN/>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noWrap w:val="0"/>
            <w:vAlign w:val="center"/>
          </w:tcPr>
          <w:p>
            <w:pPr>
              <w:jc w:val="center"/>
              <w:rPr>
                <w:rFonts w:hint="eastAsia" w:ascii="宋体" w:hAnsi="宋体" w:cs="宋体"/>
                <w:sz w:val="18"/>
                <w:szCs w:val="18"/>
                <w:highlight w:val="none"/>
              </w:rPr>
            </w:pPr>
            <w:r>
              <w:rPr>
                <w:rFonts w:hint="eastAsia" w:ascii="宋体" w:hAnsi="宋体" w:cs="宋体"/>
                <w:sz w:val="18"/>
                <w:szCs w:val="18"/>
                <w:highlight w:val="none"/>
              </w:rPr>
              <w:t>车载交直流充电接口</w:t>
            </w: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绝缘电阻</w:t>
            </w:r>
          </w:p>
        </w:tc>
        <w:tc>
          <w:tcPr>
            <w:tcW w:w="1843" w:type="pct"/>
            <w:noWrap w:val="0"/>
            <w:vAlign w:val="center"/>
          </w:tcPr>
          <w:p>
            <w:pPr>
              <w:pStyle w:val="2"/>
              <w:jc w:val="both"/>
              <w:rPr>
                <w:rFonts w:hint="eastAsia"/>
                <w:sz w:val="18"/>
                <w:szCs w:val="18"/>
                <w:highlight w:val="none"/>
                <w:lang w:val="en-US" w:eastAsia="zh-CN"/>
              </w:rPr>
            </w:pPr>
            <w:r>
              <w:rPr>
                <w:rFonts w:hint="eastAsia"/>
                <w:sz w:val="18"/>
                <w:szCs w:val="18"/>
                <w:highlight w:val="none"/>
                <w:lang w:val="en-US"/>
              </w:rPr>
              <w:t>用约500Vdc电</w:t>
            </w:r>
            <w:r>
              <w:rPr>
                <w:rFonts w:hint="eastAsia"/>
                <w:sz w:val="18"/>
                <w:szCs w:val="18"/>
                <w:highlight w:val="none"/>
                <w:lang w:val="en-US" w:eastAsia="zh-CN"/>
              </w:rPr>
              <w:t>压</w:t>
            </w:r>
            <w:r>
              <w:rPr>
                <w:rFonts w:hint="eastAsia"/>
                <w:sz w:val="18"/>
                <w:szCs w:val="18"/>
                <w:highlight w:val="none"/>
                <w:lang w:val="en-US"/>
              </w:rPr>
              <w:t>来测量,在电</w:t>
            </w:r>
            <w:r>
              <w:rPr>
                <w:rFonts w:hint="eastAsia"/>
                <w:sz w:val="18"/>
                <w:szCs w:val="18"/>
                <w:highlight w:val="none"/>
                <w:lang w:val="en-US" w:eastAsia="zh-CN"/>
              </w:rPr>
              <w:t>压</w:t>
            </w:r>
            <w:r>
              <w:rPr>
                <w:rFonts w:hint="eastAsia"/>
                <w:sz w:val="18"/>
                <w:szCs w:val="18"/>
                <w:highlight w:val="none"/>
                <w:lang w:val="en-US"/>
              </w:rPr>
              <w:t>施加1min后进行</w:t>
            </w:r>
            <w:r>
              <w:rPr>
                <w:rFonts w:hint="eastAsia"/>
                <w:sz w:val="18"/>
                <w:szCs w:val="18"/>
                <w:highlight w:val="none"/>
                <w:lang w:val="en-US" w:eastAsia="zh-CN"/>
              </w:rPr>
              <w:t>，</w:t>
            </w:r>
            <w:r>
              <w:rPr>
                <w:rFonts w:hint="eastAsia"/>
                <w:sz w:val="18"/>
                <w:szCs w:val="18"/>
                <w:highlight w:val="none"/>
                <w:lang w:val="en-US"/>
              </w:rPr>
              <w:t>绝缘电阻不得小于5M</w:t>
            </w:r>
            <w:r>
              <w:rPr>
                <w:rFonts w:hint="eastAsia" w:ascii="宋体" w:hAnsi="宋体" w:cs="宋体"/>
                <w:sz w:val="18"/>
                <w:szCs w:val="18"/>
                <w:highlight w:val="none"/>
              </w:rPr>
              <w:t>Ω</w:t>
            </w:r>
            <w:r>
              <w:rPr>
                <w:rFonts w:hint="eastAsia"/>
                <w:sz w:val="18"/>
                <w:szCs w:val="18"/>
                <w:highlight w:val="none"/>
                <w:lang w:val="en-US"/>
              </w:rPr>
              <w:t>。</w:t>
            </w:r>
          </w:p>
        </w:tc>
        <w:tc>
          <w:tcPr>
            <w:tcW w:w="923" w:type="pct"/>
            <w:noWrap w:val="0"/>
            <w:vAlign w:val="center"/>
          </w:tcPr>
          <w:p>
            <w:pPr>
              <w:autoSpaceDE/>
              <w:autoSpaceDN/>
              <w:jc w:val="center"/>
              <w:rPr>
                <w:rFonts w:hint="eastAsia" w:ascii="宋体" w:hAnsi="宋体" w:cs="宋体"/>
                <w:sz w:val="18"/>
                <w:szCs w:val="18"/>
                <w:highlight w:val="none"/>
                <w:lang w:eastAsia="zh-CN"/>
              </w:rPr>
            </w:pPr>
            <w:r>
              <w:rPr>
                <w:rFonts w:hint="eastAsia" w:ascii="宋体" w:hAnsi="宋体" w:cs="宋体"/>
                <w:sz w:val="18"/>
                <w:szCs w:val="18"/>
                <w:highlight w:val="none"/>
              </w:rPr>
              <w:t>GB/T 11918.1</w:t>
            </w:r>
            <w:r>
              <w:rPr>
                <w:rFonts w:hint="eastAsia" w:ascii="宋体" w:hAnsi="宋体" w:cs="宋体"/>
                <w:sz w:val="18"/>
                <w:szCs w:val="18"/>
                <w:highlight w:val="none"/>
                <w:lang w:eastAsia="zh-CN"/>
              </w:rPr>
              <w:t>、</w:t>
            </w:r>
          </w:p>
          <w:p>
            <w:pPr>
              <w:autoSpaceDE/>
              <w:autoSpaceDN/>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GB/T 20234.1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restart"/>
            <w:noWrap w:val="0"/>
            <w:vAlign w:val="center"/>
          </w:tcPr>
          <w:p>
            <w:pPr>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汽车空调器</w:t>
            </w: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制冷量</w:t>
            </w:r>
          </w:p>
        </w:tc>
        <w:tc>
          <w:tcPr>
            <w:tcW w:w="1843" w:type="pct"/>
            <w:noWrap w:val="0"/>
            <w:vAlign w:val="center"/>
          </w:tcPr>
          <w:p>
            <w:pPr>
              <w:jc w:val="both"/>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按空调器标称的出风静压和GB/T 21361 6.1规定的名义制冷试验条件及附录A的方法进行试验，空调器实测制冷量不应小于名义制冷量的95%</w:t>
            </w:r>
            <w:r>
              <w:rPr>
                <w:rFonts w:hint="eastAsia" w:ascii="宋体" w:hAnsi="宋体" w:cs="宋体"/>
                <w:sz w:val="18"/>
                <w:szCs w:val="18"/>
                <w:highlight w:val="none"/>
                <w:lang w:eastAsia="zh-CN"/>
              </w:rPr>
              <w:t>。</w:t>
            </w:r>
          </w:p>
        </w:tc>
        <w:tc>
          <w:tcPr>
            <w:tcW w:w="923" w:type="pct"/>
            <w:vMerge w:val="restart"/>
            <w:noWrap w:val="0"/>
            <w:vAlign w:val="center"/>
          </w:tcPr>
          <w:p>
            <w:pPr>
              <w:autoSpaceDE/>
              <w:autoSpaceDN/>
              <w:jc w:val="center"/>
              <w:rPr>
                <w:rFonts w:hint="eastAsia" w:ascii="宋体" w:hAnsi="宋体" w:cs="宋体"/>
                <w:sz w:val="18"/>
                <w:szCs w:val="18"/>
                <w:highlight w:val="none"/>
              </w:rPr>
            </w:pPr>
            <w:r>
              <w:rPr>
                <w:rFonts w:hint="eastAsia" w:ascii="宋体" w:hAnsi="宋体" w:cs="宋体"/>
                <w:sz w:val="18"/>
                <w:szCs w:val="18"/>
                <w:highlight w:val="none"/>
              </w:rPr>
              <w:t>GB/T 21361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eastAsia" w:ascii="宋体" w:hAnsi="宋体" w:cs="宋体"/>
                <w:sz w:val="18"/>
                <w:szCs w:val="18"/>
                <w:highlight w:val="none"/>
              </w:rPr>
            </w:pPr>
          </w:p>
        </w:tc>
        <w:tc>
          <w:tcPr>
            <w:tcW w:w="833" w:type="pct"/>
            <w:noWrap w:val="0"/>
            <w:vAlign w:val="center"/>
          </w:tcPr>
          <w:p>
            <w:pPr>
              <w:autoSpaceDE w:val="0"/>
              <w:autoSpaceDN w:val="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制冷量能效比</w:t>
            </w:r>
          </w:p>
        </w:tc>
        <w:tc>
          <w:tcPr>
            <w:tcW w:w="1843" w:type="pct"/>
            <w:noWrap w:val="0"/>
            <w:vAlign w:val="center"/>
          </w:tcPr>
          <w:p>
            <w:pPr>
              <w:jc w:val="both"/>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空调器的能效比实测值不应小于明示值的95%,且不小于1.9W/W</w:t>
            </w:r>
            <w:r>
              <w:rPr>
                <w:rFonts w:hint="eastAsia" w:ascii="宋体" w:hAnsi="宋体" w:cs="宋体"/>
                <w:sz w:val="18"/>
                <w:szCs w:val="18"/>
                <w:highlight w:val="none"/>
                <w:lang w:eastAsia="zh-CN"/>
              </w:rPr>
              <w:t>。</w:t>
            </w:r>
          </w:p>
        </w:tc>
        <w:tc>
          <w:tcPr>
            <w:tcW w:w="923" w:type="pct"/>
            <w:vMerge w:val="continue"/>
            <w:noWrap w:val="0"/>
            <w:vAlign w:val="center"/>
          </w:tcPr>
          <w:p>
            <w:pPr>
              <w:autoSpaceDE/>
              <w:autoSpaceDN/>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eastAsia" w:ascii="宋体" w:hAnsi="宋体" w:cs="宋体"/>
                <w:sz w:val="18"/>
                <w:szCs w:val="18"/>
                <w:highlight w:val="none"/>
              </w:rPr>
            </w:pPr>
          </w:p>
        </w:tc>
        <w:tc>
          <w:tcPr>
            <w:tcW w:w="833" w:type="pct"/>
            <w:noWrap w:val="0"/>
            <w:vAlign w:val="center"/>
          </w:tcPr>
          <w:p>
            <w:pPr>
              <w:autoSpaceDE w:val="0"/>
              <w:autoSpaceDN w:val="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制热量</w:t>
            </w:r>
          </w:p>
        </w:tc>
        <w:tc>
          <w:tcPr>
            <w:tcW w:w="1843" w:type="pct"/>
            <w:noWrap w:val="0"/>
            <w:vAlign w:val="center"/>
          </w:tcPr>
          <w:p>
            <w:pPr>
              <w:jc w:val="both"/>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rPr>
              <w:t>按T/CSAE 90</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6.1表2的普通额定制热工况(7C)下试验，压缩机在额定转速下连续稳定运行(不少于1h)时所测得的能力</w:t>
            </w:r>
            <w:r>
              <w:rPr>
                <w:rFonts w:hint="eastAsia" w:ascii="宋体" w:hAnsi="宋体" w:cs="宋体"/>
                <w:sz w:val="18"/>
                <w:szCs w:val="18"/>
                <w:highlight w:val="none"/>
                <w:lang w:eastAsia="zh-CN"/>
              </w:rPr>
              <w:t>，</w:t>
            </w:r>
            <w:r>
              <w:rPr>
                <w:rFonts w:hint="eastAsia" w:ascii="宋体" w:hAnsi="宋体" w:cs="宋体"/>
                <w:sz w:val="18"/>
                <w:szCs w:val="18"/>
                <w:highlight w:val="none"/>
              </w:rPr>
              <w:t>空调系统实测制热量不应小于额定制热量的95%。</w:t>
            </w:r>
          </w:p>
        </w:tc>
        <w:tc>
          <w:tcPr>
            <w:tcW w:w="923" w:type="pct"/>
            <w:vMerge w:val="restart"/>
            <w:noWrap w:val="0"/>
            <w:vAlign w:val="center"/>
          </w:tcPr>
          <w:p>
            <w:pPr>
              <w:autoSpaceDE/>
              <w:autoSpaceDN/>
              <w:jc w:val="center"/>
              <w:rPr>
                <w:rFonts w:hint="eastAsia" w:ascii="宋体" w:hAnsi="宋体" w:cs="宋体"/>
                <w:sz w:val="18"/>
                <w:szCs w:val="18"/>
                <w:highlight w:val="none"/>
              </w:rPr>
            </w:pPr>
            <w:r>
              <w:rPr>
                <w:rFonts w:hint="eastAsia" w:ascii="宋体" w:hAnsi="宋体" w:cs="宋体"/>
                <w:sz w:val="18"/>
                <w:szCs w:val="18"/>
                <w:highlight w:val="none"/>
              </w:rPr>
              <w:t>T/CSAE 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eastAsia" w:ascii="宋体" w:hAnsi="宋体" w:cs="宋体"/>
                <w:sz w:val="18"/>
                <w:szCs w:val="18"/>
                <w:highlight w:val="none"/>
              </w:rPr>
            </w:pPr>
          </w:p>
        </w:tc>
        <w:tc>
          <w:tcPr>
            <w:tcW w:w="833" w:type="pct"/>
            <w:noWrap w:val="0"/>
            <w:vAlign w:val="center"/>
          </w:tcPr>
          <w:p>
            <w:pPr>
              <w:autoSpaceDE w:val="0"/>
              <w:autoSpaceDN w:val="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制热量能效比</w:t>
            </w:r>
          </w:p>
        </w:tc>
        <w:tc>
          <w:tcPr>
            <w:tcW w:w="1843" w:type="pct"/>
            <w:noWrap w:val="0"/>
            <w:vAlign w:val="center"/>
          </w:tcPr>
          <w:p>
            <w:pPr>
              <w:jc w:val="both"/>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rPr>
              <w:t>空调器的能效比实测值不应小于明示值的95%,且不小于1.</w:t>
            </w:r>
            <w:r>
              <w:rPr>
                <w:rFonts w:hint="eastAsia" w:ascii="宋体" w:hAnsi="宋体" w:cs="宋体"/>
                <w:sz w:val="18"/>
                <w:szCs w:val="18"/>
                <w:highlight w:val="none"/>
                <w:lang w:val="en-US" w:eastAsia="zh-CN"/>
              </w:rPr>
              <w:t>8</w:t>
            </w:r>
            <w:r>
              <w:rPr>
                <w:rFonts w:hint="eastAsia" w:ascii="宋体" w:hAnsi="宋体" w:cs="宋体"/>
                <w:sz w:val="18"/>
                <w:szCs w:val="18"/>
                <w:highlight w:val="none"/>
              </w:rPr>
              <w:t>W/W</w:t>
            </w:r>
            <w:r>
              <w:rPr>
                <w:rFonts w:hint="eastAsia" w:ascii="宋体" w:hAnsi="宋体" w:cs="宋体"/>
                <w:sz w:val="18"/>
                <w:szCs w:val="18"/>
                <w:highlight w:val="none"/>
                <w:lang w:eastAsia="zh-CN"/>
              </w:rPr>
              <w:t>。</w:t>
            </w:r>
          </w:p>
        </w:tc>
        <w:tc>
          <w:tcPr>
            <w:tcW w:w="923" w:type="pct"/>
            <w:vMerge w:val="continue"/>
            <w:noWrap w:val="0"/>
            <w:vAlign w:val="center"/>
          </w:tcPr>
          <w:p>
            <w:pPr>
              <w:autoSpaceDE/>
              <w:autoSpaceDN/>
              <w:jc w:val="center"/>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eastAsia" w:ascii="宋体" w:hAnsi="宋体" w:cs="宋体"/>
                <w:sz w:val="18"/>
                <w:szCs w:val="18"/>
                <w:highlight w:val="none"/>
              </w:rPr>
            </w:pPr>
          </w:p>
        </w:tc>
        <w:tc>
          <w:tcPr>
            <w:tcW w:w="833" w:type="pct"/>
            <w:noWrap w:val="0"/>
            <w:vAlign w:val="center"/>
          </w:tcPr>
          <w:p>
            <w:pPr>
              <w:autoSpaceDE w:val="0"/>
              <w:autoSpaceDN w:val="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噪声</w:t>
            </w:r>
          </w:p>
        </w:tc>
        <w:tc>
          <w:tcPr>
            <w:tcW w:w="1843" w:type="pct"/>
            <w:noWrap w:val="0"/>
            <w:vAlign w:val="center"/>
          </w:tcPr>
          <w:p>
            <w:pPr>
              <w:ind w:left="180" w:hanging="180" w:hangingChars="100"/>
              <w:jc w:val="both"/>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在额定电压和额定</w:t>
            </w:r>
            <w:r>
              <w:rPr>
                <w:rFonts w:hint="eastAsia" w:ascii="宋体" w:hAnsi="宋体" w:cs="宋体"/>
                <w:sz w:val="18"/>
                <w:szCs w:val="18"/>
                <w:highlight w:val="none"/>
                <w:lang w:val="en-US" w:eastAsia="zh-CN"/>
              </w:rPr>
              <w:t>功</w:t>
            </w:r>
            <w:r>
              <w:rPr>
                <w:rFonts w:hint="eastAsia" w:ascii="宋体" w:hAnsi="宋体" w:cs="宋体"/>
                <w:sz w:val="18"/>
                <w:szCs w:val="18"/>
                <w:highlight w:val="none"/>
              </w:rPr>
              <w:t>率下，按T/CSAE 9</w:t>
            </w:r>
            <w:r>
              <w:rPr>
                <w:rFonts w:hint="eastAsia" w:ascii="宋体" w:hAnsi="宋体" w:cs="宋体"/>
                <w:sz w:val="18"/>
                <w:szCs w:val="18"/>
                <w:highlight w:val="none"/>
                <w:lang w:val="en-US" w:eastAsia="zh-CN"/>
              </w:rPr>
              <w:t>0</w:t>
            </w:r>
          </w:p>
          <w:p>
            <w:pPr>
              <w:jc w:val="both"/>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rPr>
              <w:t>附录B的规定测量空调系统的噪声</w:t>
            </w:r>
            <w:r>
              <w:rPr>
                <w:rFonts w:hint="eastAsia" w:ascii="宋体" w:hAnsi="宋体" w:cs="宋体"/>
                <w:sz w:val="18"/>
                <w:szCs w:val="18"/>
                <w:highlight w:val="none"/>
                <w:lang w:eastAsia="zh-CN"/>
              </w:rPr>
              <w:t>，</w:t>
            </w:r>
            <w:r>
              <w:rPr>
                <w:rFonts w:hint="eastAsia" w:ascii="宋体" w:hAnsi="宋体" w:cs="宋体"/>
                <w:sz w:val="18"/>
                <w:szCs w:val="18"/>
                <w:highlight w:val="none"/>
              </w:rPr>
              <w:t>蒸发器侧噪声声压级，测量值应不超过69dB(A)</w:t>
            </w:r>
            <w:r>
              <w:rPr>
                <w:rFonts w:hint="eastAsia" w:ascii="宋体" w:hAnsi="宋体" w:cs="宋体"/>
                <w:sz w:val="18"/>
                <w:szCs w:val="18"/>
                <w:highlight w:val="none"/>
                <w:lang w:eastAsia="zh-CN"/>
              </w:rPr>
              <w:t>，</w:t>
            </w:r>
            <w:r>
              <w:rPr>
                <w:rFonts w:hint="eastAsia" w:ascii="宋体" w:hAnsi="宋体" w:cs="宋体"/>
                <w:sz w:val="18"/>
                <w:szCs w:val="18"/>
                <w:highlight w:val="none"/>
              </w:rPr>
              <w:t>冷凝器侧噪声声压级，测量值应不超过7</w:t>
            </w:r>
            <w:r>
              <w:rPr>
                <w:rFonts w:hint="eastAsia" w:ascii="宋体" w:hAnsi="宋体" w:cs="宋体"/>
                <w:sz w:val="18"/>
                <w:szCs w:val="18"/>
                <w:highlight w:val="none"/>
                <w:lang w:eastAsia="zh-CN"/>
              </w:rPr>
              <w:t>0</w:t>
            </w:r>
            <w:r>
              <w:rPr>
                <w:rFonts w:hint="eastAsia" w:ascii="宋体" w:hAnsi="宋体" w:cs="宋体"/>
                <w:sz w:val="18"/>
                <w:szCs w:val="18"/>
                <w:highlight w:val="none"/>
                <w:lang w:val="en-US" w:eastAsia="zh-CN"/>
              </w:rPr>
              <w:t>dB</w:t>
            </w:r>
            <w:r>
              <w:rPr>
                <w:rFonts w:hint="eastAsia" w:ascii="宋体" w:hAnsi="宋体" w:cs="宋体"/>
                <w:sz w:val="18"/>
                <w:szCs w:val="18"/>
                <w:highlight w:val="none"/>
              </w:rPr>
              <w:t>(A)。</w:t>
            </w:r>
          </w:p>
        </w:tc>
        <w:tc>
          <w:tcPr>
            <w:tcW w:w="923" w:type="pct"/>
            <w:noWrap w:val="0"/>
            <w:vAlign w:val="center"/>
          </w:tcPr>
          <w:p>
            <w:pPr>
              <w:autoSpaceDE/>
              <w:autoSpaceDN/>
              <w:jc w:val="center"/>
              <w:rPr>
                <w:rFonts w:hint="eastAsia" w:ascii="宋体" w:hAnsi="宋体" w:cs="宋体"/>
                <w:sz w:val="18"/>
                <w:szCs w:val="18"/>
                <w:highlight w:val="none"/>
                <w:lang w:eastAsia="zh-CN"/>
              </w:rPr>
            </w:pPr>
            <w:r>
              <w:rPr>
                <w:rFonts w:hint="eastAsia" w:ascii="宋体" w:hAnsi="宋体" w:cs="宋体"/>
                <w:sz w:val="18"/>
                <w:szCs w:val="18"/>
                <w:highlight w:val="none"/>
              </w:rPr>
              <w:t>T/CSAE 90</w:t>
            </w:r>
            <w:r>
              <w:rPr>
                <w:rFonts w:hint="eastAsia" w:ascii="宋体" w:hAnsi="宋体" w:cs="宋体"/>
                <w:sz w:val="18"/>
                <w:szCs w:val="18"/>
                <w:highlight w:val="none"/>
                <w:lang w:eastAsia="zh-CN"/>
              </w:rPr>
              <w:t>、</w:t>
            </w:r>
          </w:p>
          <w:p>
            <w:pPr>
              <w:autoSpaceDE/>
              <w:autoSpaceDN/>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rPr>
              <w:t>GB/T 21361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restart"/>
            <w:noWrap w:val="0"/>
            <w:vAlign w:val="center"/>
          </w:tcPr>
          <w:p>
            <w:pPr>
              <w:jc w:val="center"/>
              <w:rPr>
                <w:rFonts w:hint="eastAsia" w:ascii="宋体" w:hAnsi="宋体" w:cs="宋体"/>
                <w:sz w:val="18"/>
                <w:szCs w:val="18"/>
                <w:highlight w:val="none"/>
              </w:rPr>
            </w:pPr>
            <w:r>
              <w:rPr>
                <w:rFonts w:hint="eastAsia" w:ascii="宋体" w:hAnsi="宋体" w:cs="宋体"/>
                <w:sz w:val="18"/>
                <w:szCs w:val="18"/>
                <w:highlight w:val="none"/>
                <w:lang w:val="en-US" w:eastAsia="zh-CN"/>
              </w:rPr>
              <w:t>汽车热管理系统</w:t>
            </w:r>
          </w:p>
        </w:tc>
        <w:tc>
          <w:tcPr>
            <w:tcW w:w="833" w:type="pct"/>
            <w:noWrap w:val="0"/>
            <w:vAlign w:val="center"/>
          </w:tcPr>
          <w:p>
            <w:pPr>
              <w:autoSpaceDE w:val="0"/>
              <w:autoSpaceDN w:val="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正常工作温度范围</w:t>
            </w:r>
          </w:p>
        </w:tc>
        <w:tc>
          <w:tcPr>
            <w:tcW w:w="1843" w:type="pct"/>
            <w:noWrap w:val="0"/>
            <w:vAlign w:val="center"/>
          </w:tcPr>
          <w:p>
            <w:pPr>
              <w:jc w:val="both"/>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在</w:t>
            </w:r>
            <w:r>
              <w:rPr>
                <w:rFonts w:hint="default" w:ascii="宋体" w:hAnsi="宋体" w:eastAsia="宋体" w:cs="宋体"/>
                <w:kern w:val="2"/>
                <w:sz w:val="18"/>
                <w:szCs w:val="18"/>
                <w:highlight w:val="none"/>
                <w:lang w:val="en-US" w:eastAsia="zh-CN" w:bidi="ar-SA"/>
              </w:rPr>
              <w:t>-30℃</w:t>
            </w:r>
            <w:r>
              <w:rPr>
                <w:rFonts w:hint="eastAsia" w:ascii="宋体" w:hAnsi="宋体" w:cs="宋体"/>
                <w:kern w:val="2"/>
                <w:sz w:val="18"/>
                <w:szCs w:val="18"/>
                <w:highlight w:val="none"/>
                <w:lang w:val="en-US" w:eastAsia="zh-CN" w:bidi="ar-SA"/>
              </w:rPr>
              <w:t>~</w:t>
            </w:r>
            <w:r>
              <w:rPr>
                <w:rFonts w:hint="default" w:ascii="宋体" w:hAnsi="宋体" w:eastAsia="宋体" w:cs="宋体"/>
                <w:kern w:val="2"/>
                <w:sz w:val="18"/>
                <w:szCs w:val="18"/>
                <w:highlight w:val="none"/>
                <w:lang w:val="en-US" w:eastAsia="zh-CN" w:bidi="ar-SA"/>
              </w:rPr>
              <w:t>20℃</w:t>
            </w:r>
            <w:r>
              <w:rPr>
                <w:rFonts w:hint="eastAsia" w:ascii="宋体" w:hAnsi="宋体" w:cs="宋体"/>
                <w:kern w:val="2"/>
                <w:sz w:val="18"/>
                <w:szCs w:val="18"/>
                <w:highlight w:val="none"/>
                <w:lang w:val="en-US" w:eastAsia="zh-CN" w:bidi="ar-SA"/>
              </w:rPr>
              <w:t>均</w:t>
            </w:r>
            <w:r>
              <w:rPr>
                <w:rFonts w:hint="eastAsia" w:ascii="宋体" w:hAnsi="宋体" w:cs="宋体"/>
                <w:sz w:val="18"/>
                <w:szCs w:val="18"/>
                <w:highlight w:val="none"/>
              </w:rPr>
              <w:t>能达到设计的热管理性能</w:t>
            </w:r>
            <w:r>
              <w:rPr>
                <w:rFonts w:hint="eastAsia" w:ascii="宋体" w:hAnsi="宋体" w:cs="宋体"/>
                <w:kern w:val="2"/>
                <w:sz w:val="18"/>
                <w:szCs w:val="18"/>
                <w:highlight w:val="none"/>
                <w:lang w:val="en-US" w:eastAsia="zh-CN" w:bidi="ar-SA"/>
              </w:rPr>
              <w:t>。</w:t>
            </w:r>
          </w:p>
        </w:tc>
        <w:tc>
          <w:tcPr>
            <w:tcW w:w="923" w:type="pct"/>
            <w:noWrap w:val="0"/>
            <w:vAlign w:val="center"/>
          </w:tcPr>
          <w:p>
            <w:pPr>
              <w:autoSpaceDE/>
              <w:autoSpaceDN/>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6" w:type="pct"/>
            <w:vMerge w:val="continue"/>
            <w:noWrap w:val="0"/>
            <w:vAlign w:val="center"/>
          </w:tcPr>
          <w:p>
            <w:pPr>
              <w:autoSpaceDE w:val="0"/>
              <w:autoSpaceDN w:val="0"/>
              <w:jc w:val="center"/>
              <w:rPr>
                <w:rFonts w:hint="eastAsia" w:ascii="宋体" w:hAnsi="宋体" w:cs="宋体"/>
                <w:sz w:val="18"/>
                <w:szCs w:val="18"/>
                <w:highlight w:val="none"/>
                <w:lang w:val="en-US" w:eastAsia="zh-CN"/>
              </w:rPr>
            </w:pPr>
          </w:p>
        </w:tc>
        <w:tc>
          <w:tcPr>
            <w:tcW w:w="853" w:type="pct"/>
            <w:vMerge w:val="continue"/>
            <w:noWrap w:val="0"/>
            <w:vAlign w:val="center"/>
          </w:tcPr>
          <w:p>
            <w:pPr>
              <w:jc w:val="center"/>
              <w:rPr>
                <w:rFonts w:hint="eastAsia" w:ascii="宋体" w:hAnsi="宋体" w:cs="宋体"/>
                <w:sz w:val="18"/>
                <w:szCs w:val="18"/>
                <w:highlight w:val="none"/>
                <w:lang w:val="en-US" w:eastAsia="zh-CN"/>
              </w:rPr>
            </w:pPr>
          </w:p>
        </w:tc>
        <w:tc>
          <w:tcPr>
            <w:tcW w:w="833" w:type="pct"/>
            <w:noWrap w:val="0"/>
            <w:vAlign w:val="center"/>
          </w:tcPr>
          <w:p>
            <w:pPr>
              <w:autoSpaceDE w:val="0"/>
              <w:autoSpaceDN w:val="0"/>
              <w:jc w:val="center"/>
              <w:rPr>
                <w:rFonts w:hint="default" w:ascii="宋体" w:hAnsi="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热管理回路制热能效比</w:t>
            </w:r>
          </w:p>
        </w:tc>
        <w:tc>
          <w:tcPr>
            <w:tcW w:w="1843" w:type="pct"/>
            <w:noWrap w:val="0"/>
            <w:vAlign w:val="center"/>
          </w:tcPr>
          <w:p>
            <w:pPr>
              <w:jc w:val="both"/>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不低于</w:t>
            </w:r>
            <w:r>
              <w:rPr>
                <w:rFonts w:hint="eastAsia" w:ascii="宋体" w:hAnsi="宋体" w:cs="宋体"/>
                <w:sz w:val="18"/>
                <w:szCs w:val="18"/>
                <w:highlight w:val="none"/>
              </w:rPr>
              <w:t>5W/W</w:t>
            </w:r>
            <w:r>
              <w:rPr>
                <w:rFonts w:hint="eastAsia" w:ascii="宋体" w:hAnsi="宋体" w:cs="宋体"/>
                <w:sz w:val="18"/>
                <w:szCs w:val="18"/>
                <w:highlight w:val="none"/>
                <w:lang w:eastAsia="zh-CN"/>
              </w:rPr>
              <w:t>。</w:t>
            </w:r>
          </w:p>
        </w:tc>
        <w:tc>
          <w:tcPr>
            <w:tcW w:w="923" w:type="pct"/>
            <w:noWrap w:val="0"/>
            <w:vAlign w:val="center"/>
          </w:tcPr>
          <w:p>
            <w:pPr>
              <w:autoSpaceDE/>
              <w:autoSpaceDN/>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w:t>
            </w:r>
          </w:p>
        </w:tc>
      </w:tr>
    </w:tbl>
    <w:p>
      <w:pPr>
        <w:pStyle w:val="59"/>
        <w:numPr>
          <w:ilvl w:val="3"/>
          <w:numId w:val="2"/>
        </w:numPr>
        <w:spacing w:before="156" w:after="156"/>
        <w:rPr>
          <w:rFonts w:ascii="Times New Roman"/>
          <w:highlight w:val="none"/>
        </w:rPr>
      </w:pPr>
      <w:r>
        <w:rPr>
          <w:rFonts w:ascii="Times New Roman"/>
          <w:highlight w:val="none"/>
        </w:rPr>
        <w:t>环境效益</w:t>
      </w:r>
    </w:p>
    <w:p>
      <w:pPr>
        <w:pStyle w:val="63"/>
        <w:spacing w:before="156" w:after="156"/>
        <w:rPr>
          <w:rFonts w:ascii="Times New Roman"/>
          <w:highlight w:val="none"/>
        </w:rPr>
      </w:pPr>
      <w:r>
        <w:rPr>
          <w:rFonts w:hint="eastAsia" w:ascii="Times New Roman"/>
          <w:highlight w:val="none"/>
          <w:lang w:eastAsia="zh-CN"/>
        </w:rPr>
        <w:t>评价原则</w:t>
      </w:r>
    </w:p>
    <w:p>
      <w:pPr>
        <w:pStyle w:val="24"/>
        <w:rPr>
          <w:rFonts w:hint="eastAsia" w:hAnsi="宋体" w:cs="宋体"/>
          <w:highlight w:val="none"/>
        </w:rPr>
      </w:pPr>
      <w:r>
        <w:rPr>
          <w:rFonts w:hint="eastAsia" w:hAnsi="宋体" w:cs="宋体"/>
          <w:highlight w:val="none"/>
        </w:rPr>
        <w:t>环境效益是指提供的绿色业务领域相关产品或服务，在采购方应用过程中取得的资源节约、环境友好、生态良好相关实际环境效益贡献量及影响广度</w:t>
      </w:r>
      <w:r>
        <w:rPr>
          <w:rFonts w:hint="eastAsia" w:hAnsi="宋体" w:cs="宋体"/>
          <w:highlight w:val="none"/>
          <w:lang w:eastAsia="zh-CN"/>
        </w:rPr>
        <w:t>。</w:t>
      </w:r>
      <w:r>
        <w:rPr>
          <w:rFonts w:hint="eastAsia" w:hAnsi="宋体" w:cs="宋体"/>
          <w:highlight w:val="none"/>
          <w:lang w:val="en-US" w:eastAsia="zh-CN"/>
        </w:rPr>
        <w:t>新能源汽车产品</w:t>
      </w:r>
      <w:r>
        <w:rPr>
          <w:rFonts w:hint="eastAsia" w:hAnsi="宋体" w:cs="宋体"/>
          <w:highlight w:val="none"/>
          <w:lang w:eastAsia="zh-CN"/>
        </w:rPr>
        <w:t>产业从降碳效益</w:t>
      </w:r>
      <w:r>
        <w:rPr>
          <w:rFonts w:hint="eastAsia" w:hAnsi="宋体" w:cs="宋体"/>
          <w:highlight w:val="none"/>
          <w:lang w:val="en-US" w:eastAsia="zh-CN"/>
        </w:rPr>
        <w:t>和</w:t>
      </w:r>
      <w:r>
        <w:rPr>
          <w:rFonts w:hint="eastAsia" w:hAnsi="宋体" w:cs="宋体"/>
          <w:sz w:val="21"/>
          <w:highlight w:val="none"/>
          <w:lang w:val="en-US" w:eastAsia="zh-CN" w:bidi="ar-SA"/>
        </w:rPr>
        <w:t>资源综合利用效益</w:t>
      </w:r>
      <w:r>
        <w:rPr>
          <w:rFonts w:hint="eastAsia" w:ascii="宋体" w:hAnsi="宋体" w:eastAsia="宋体" w:cs="宋体"/>
          <w:sz w:val="21"/>
          <w:highlight w:val="none"/>
          <w:lang w:val="en-US" w:eastAsia="zh-CN" w:bidi="ar-SA"/>
        </w:rPr>
        <w:t>进行评估，以绿色业务领域相关产品或服务应用前为基准线，按年度评估其应用后带来的有利影响增量或不利影响减量</w:t>
      </w:r>
      <w:r>
        <w:rPr>
          <w:rFonts w:hint="eastAsia" w:hAnsi="宋体" w:cs="宋体"/>
          <w:highlight w:val="none"/>
        </w:rPr>
        <w:t>。具体评分规则见表</w:t>
      </w:r>
      <w:r>
        <w:rPr>
          <w:rFonts w:hint="eastAsia" w:hAnsi="宋体" w:cs="宋体"/>
          <w:highlight w:val="none"/>
          <w:lang w:val="en-US" w:eastAsia="zh-CN"/>
        </w:rPr>
        <w:t>9</w:t>
      </w:r>
      <w:r>
        <w:rPr>
          <w:rFonts w:hint="eastAsia" w:hAnsi="宋体" w:cs="宋体"/>
          <w:highlight w:val="none"/>
        </w:rPr>
        <w:t>。</w:t>
      </w:r>
    </w:p>
    <w:p>
      <w:pPr>
        <w:pStyle w:val="134"/>
        <w:rPr>
          <w:rFonts w:ascii="Times New Roman"/>
          <w:highlight w:val="none"/>
        </w:rPr>
      </w:pPr>
      <w:r>
        <w:rPr>
          <w:rFonts w:hint="eastAsia" w:ascii="Times New Roman"/>
          <w:highlight w:val="none"/>
          <w:lang w:val="en-US" w:eastAsia="zh-CN"/>
        </w:rPr>
        <w:t>新能源汽车</w:t>
      </w:r>
      <w:r>
        <w:rPr>
          <w:rFonts w:hint="eastAsia" w:ascii="Times New Roman"/>
          <w:highlight w:val="none"/>
          <w:lang w:eastAsia="zh-CN"/>
        </w:rPr>
        <w:t>领域各行业实质性贡献评价指标</w:t>
      </w:r>
    </w:p>
    <w:tbl>
      <w:tblPr>
        <w:tblStyle w:val="34"/>
        <w:tblW w:w="46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1"/>
        <w:gridCol w:w="2096"/>
        <w:gridCol w:w="2657"/>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604" w:type="pct"/>
            <w:tcBorders>
              <w:top w:val="single" w:color="auto" w:sz="8" w:space="0"/>
              <w:left w:val="single" w:color="auto" w:sz="8" w:space="0"/>
              <w:bottom w:val="single" w:color="auto" w:sz="8" w:space="0"/>
              <w:right w:val="single" w:color="auto" w:sz="4" w:space="0"/>
            </w:tcBorders>
            <w:noWrap w:val="0"/>
            <w:vAlign w:val="center"/>
          </w:tcPr>
          <w:p>
            <w:pPr>
              <w:pStyle w:val="24"/>
              <w:ind w:firstLine="0" w:firstLineChars="0"/>
              <w:jc w:val="center"/>
              <w:rPr>
                <w:rFonts w:ascii="Times New Roman"/>
                <w:b/>
                <w:bCs/>
                <w:sz w:val="18"/>
                <w:szCs w:val="16"/>
                <w:highlight w:val="none"/>
              </w:rPr>
            </w:pPr>
            <w:r>
              <w:rPr>
                <w:rFonts w:hint="eastAsia" w:ascii="Times New Roman"/>
                <w:b/>
                <w:bCs/>
                <w:sz w:val="18"/>
                <w:szCs w:val="16"/>
                <w:highlight w:val="none"/>
              </w:rPr>
              <w:t>环境效益</w:t>
            </w:r>
            <w:r>
              <w:rPr>
                <w:rFonts w:ascii="Times New Roman"/>
                <w:b/>
                <w:bCs/>
                <w:sz w:val="18"/>
                <w:szCs w:val="16"/>
                <w:highlight w:val="none"/>
              </w:rPr>
              <w:t>水平</w:t>
            </w:r>
          </w:p>
        </w:tc>
        <w:tc>
          <w:tcPr>
            <w:tcW w:w="1167" w:type="pct"/>
            <w:tcBorders>
              <w:top w:val="single" w:color="auto" w:sz="8" w:space="0"/>
              <w:left w:val="single" w:color="auto" w:sz="4" w:space="0"/>
              <w:bottom w:val="single" w:color="auto" w:sz="8" w:space="0"/>
              <w:right w:val="single" w:color="auto" w:sz="8" w:space="0"/>
            </w:tcBorders>
            <w:noWrap w:val="0"/>
            <w:vAlign w:val="center"/>
          </w:tcPr>
          <w:p>
            <w:pPr>
              <w:pStyle w:val="24"/>
              <w:ind w:firstLine="0" w:firstLineChars="0"/>
              <w:jc w:val="center"/>
              <w:rPr>
                <w:rFonts w:ascii="Times New Roman"/>
                <w:b/>
                <w:bCs/>
                <w:sz w:val="18"/>
                <w:szCs w:val="16"/>
                <w:highlight w:val="none"/>
              </w:rPr>
            </w:pPr>
            <w:r>
              <w:rPr>
                <w:rFonts w:hint="eastAsia" w:ascii="Times New Roman"/>
                <w:b/>
                <w:bCs/>
                <w:sz w:val="18"/>
                <w:szCs w:val="16"/>
                <w:highlight w:val="none"/>
              </w:rPr>
              <w:t>降碳效益</w:t>
            </w:r>
            <w:r>
              <w:rPr>
                <w:rFonts w:hint="eastAsia" w:ascii="Times New Roman"/>
                <w:b/>
                <w:bCs/>
                <w:sz w:val="18"/>
                <w:szCs w:val="16"/>
                <w:highlight w:val="none"/>
                <w:lang w:val="en-US" w:eastAsia="zh-CN"/>
              </w:rPr>
              <w:t>分值</w:t>
            </w:r>
            <w:r>
              <w:rPr>
                <w:rFonts w:hint="eastAsia" w:ascii="Times New Roman"/>
                <w:b/>
                <w:bCs/>
                <w:sz w:val="18"/>
                <w:szCs w:val="16"/>
                <w:highlight w:val="none"/>
              </w:rPr>
              <w:t>（分）</w:t>
            </w:r>
          </w:p>
        </w:tc>
        <w:tc>
          <w:tcPr>
            <w:tcW w:w="1479" w:type="pct"/>
            <w:tcBorders>
              <w:top w:val="single" w:color="auto" w:sz="8" w:space="0"/>
              <w:left w:val="single" w:color="auto" w:sz="4" w:space="0"/>
              <w:bottom w:val="single" w:color="auto" w:sz="8" w:space="0"/>
              <w:right w:val="single" w:color="auto" w:sz="8" w:space="0"/>
            </w:tcBorders>
            <w:noWrap w:val="0"/>
            <w:vAlign w:val="center"/>
          </w:tcPr>
          <w:p>
            <w:pPr>
              <w:pStyle w:val="24"/>
              <w:ind w:firstLine="0" w:firstLineChars="0"/>
              <w:jc w:val="center"/>
              <w:rPr>
                <w:rFonts w:ascii="Times New Roman"/>
                <w:b/>
                <w:bCs/>
                <w:sz w:val="18"/>
                <w:szCs w:val="16"/>
                <w:highlight w:val="none"/>
              </w:rPr>
            </w:pPr>
            <w:r>
              <w:rPr>
                <w:rFonts w:hint="eastAsia" w:ascii="Times New Roman"/>
                <w:b/>
                <w:bCs/>
                <w:sz w:val="18"/>
                <w:szCs w:val="16"/>
                <w:highlight w:val="none"/>
              </w:rPr>
              <w:t>资源综合利用效益</w:t>
            </w:r>
            <w:r>
              <w:rPr>
                <w:rFonts w:hint="eastAsia" w:ascii="Times New Roman"/>
                <w:b/>
                <w:bCs/>
                <w:sz w:val="18"/>
                <w:szCs w:val="16"/>
                <w:highlight w:val="none"/>
                <w:lang w:val="en-US" w:eastAsia="zh-CN"/>
              </w:rPr>
              <w:t>分</w:t>
            </w:r>
            <w:r>
              <w:rPr>
                <w:rFonts w:hint="eastAsia" w:ascii="Times New Roman"/>
                <w:b/>
                <w:bCs/>
                <w:sz w:val="18"/>
                <w:szCs w:val="16"/>
                <w:highlight w:val="none"/>
              </w:rPr>
              <w:t>（分）</w:t>
            </w:r>
          </w:p>
        </w:tc>
        <w:tc>
          <w:tcPr>
            <w:tcW w:w="749" w:type="pct"/>
            <w:tcBorders>
              <w:top w:val="single" w:color="auto" w:sz="8" w:space="0"/>
              <w:left w:val="single" w:color="auto" w:sz="4" w:space="0"/>
              <w:right w:val="single" w:color="auto" w:sz="8" w:space="0"/>
            </w:tcBorders>
            <w:noWrap w:val="0"/>
            <w:vAlign w:val="center"/>
          </w:tcPr>
          <w:p>
            <w:pPr>
              <w:pStyle w:val="24"/>
              <w:ind w:firstLine="0" w:firstLineChars="0"/>
              <w:jc w:val="center"/>
              <w:rPr>
                <w:rFonts w:ascii="Times New Roman"/>
                <w:b/>
                <w:bCs/>
                <w:sz w:val="18"/>
                <w:szCs w:val="16"/>
                <w:highlight w:val="none"/>
              </w:rPr>
            </w:pPr>
            <w:r>
              <w:rPr>
                <w:rFonts w:hint="eastAsia" w:ascii="Times New Roman"/>
                <w:b/>
                <w:bCs/>
                <w:sz w:val="18"/>
                <w:szCs w:val="16"/>
                <w:highlight w:val="none"/>
                <w:lang w:val="en-US" w:eastAsia="zh-CN"/>
              </w:rPr>
              <w:t>总</w:t>
            </w:r>
            <w:r>
              <w:rPr>
                <w:rFonts w:hint="eastAsia" w:ascii="Times New Roman"/>
                <w:b/>
                <w:bCs/>
                <w:sz w:val="18"/>
                <w:szCs w:val="16"/>
                <w:highlight w:val="none"/>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604" w:type="pct"/>
            <w:tcBorders>
              <w:top w:val="single" w:color="auto" w:sz="4" w:space="0"/>
              <w:left w:val="single" w:color="auto" w:sz="8" w:space="0"/>
              <w:bottom w:val="single" w:color="auto" w:sz="4" w:space="0"/>
              <w:right w:val="single" w:color="auto" w:sz="4" w:space="0"/>
            </w:tcBorders>
            <w:noWrap w:val="0"/>
            <w:vAlign w:val="top"/>
          </w:tcPr>
          <w:p>
            <w:pPr>
              <w:pStyle w:val="24"/>
              <w:ind w:firstLine="0" w:firstLineChars="0"/>
              <w:rPr>
                <w:rFonts w:hAnsi="宋体" w:cs="宋体"/>
                <w:sz w:val="18"/>
                <w:szCs w:val="16"/>
                <w:highlight w:val="none"/>
              </w:rPr>
            </w:pPr>
            <w:r>
              <w:rPr>
                <w:rFonts w:hint="eastAsia" w:ascii="Times New Roman"/>
                <w:sz w:val="18"/>
                <w:szCs w:val="16"/>
                <w:highlight w:val="none"/>
              </w:rPr>
              <w:t>涉及环境效益种类较多，产生实际环境效益贡献量较高。</w:t>
            </w:r>
          </w:p>
        </w:tc>
        <w:tc>
          <w:tcPr>
            <w:tcW w:w="1167" w:type="pct"/>
            <w:tcBorders>
              <w:top w:val="single" w:color="auto" w:sz="4" w:space="0"/>
              <w:left w:val="single" w:color="auto" w:sz="4" w:space="0"/>
              <w:bottom w:val="single" w:color="auto" w:sz="4" w:space="0"/>
              <w:right w:val="single" w:color="auto" w:sz="8"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w:t>
            </w:r>
            <w:r>
              <w:rPr>
                <w:rFonts w:hint="eastAsia" w:hAnsi="宋体" w:cs="宋体"/>
                <w:sz w:val="18"/>
                <w:szCs w:val="16"/>
                <w:highlight w:val="none"/>
                <w:lang w:val="en-US" w:eastAsia="zh-CN"/>
              </w:rPr>
              <w:t>10</w:t>
            </w:r>
            <w:r>
              <w:rPr>
                <w:rFonts w:hint="eastAsia" w:hAnsi="宋体" w:cs="宋体"/>
                <w:sz w:val="18"/>
                <w:szCs w:val="16"/>
                <w:highlight w:val="none"/>
              </w:rPr>
              <w:t>,</w:t>
            </w:r>
            <w:r>
              <w:rPr>
                <w:rFonts w:hint="eastAsia" w:hAnsi="宋体" w:cs="宋体"/>
                <w:sz w:val="18"/>
                <w:szCs w:val="16"/>
                <w:highlight w:val="none"/>
                <w:lang w:val="en-US" w:eastAsia="zh-CN"/>
              </w:rPr>
              <w:t>15</w:t>
            </w:r>
            <w:r>
              <w:rPr>
                <w:rFonts w:hint="eastAsia" w:hAnsi="宋体" w:cs="宋体"/>
                <w:sz w:val="18"/>
                <w:szCs w:val="16"/>
                <w:highlight w:val="none"/>
              </w:rPr>
              <w:t>]</w:t>
            </w:r>
          </w:p>
        </w:tc>
        <w:tc>
          <w:tcPr>
            <w:tcW w:w="1479" w:type="pct"/>
            <w:tcBorders>
              <w:top w:val="single" w:color="auto" w:sz="4" w:space="0"/>
              <w:left w:val="single" w:color="auto" w:sz="4" w:space="0"/>
              <w:bottom w:val="single" w:color="auto" w:sz="4" w:space="0"/>
              <w:right w:val="single" w:color="auto" w:sz="8"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w:t>
            </w:r>
            <w:r>
              <w:rPr>
                <w:rFonts w:hint="eastAsia" w:hAnsi="宋体" w:cs="宋体"/>
                <w:sz w:val="18"/>
                <w:szCs w:val="16"/>
                <w:highlight w:val="none"/>
                <w:lang w:val="en-US" w:eastAsia="zh-CN"/>
              </w:rPr>
              <w:t>3</w:t>
            </w:r>
            <w:r>
              <w:rPr>
                <w:rFonts w:hint="eastAsia" w:hAnsi="宋体" w:cs="宋体"/>
                <w:sz w:val="18"/>
                <w:szCs w:val="16"/>
                <w:highlight w:val="none"/>
              </w:rPr>
              <w:t>,</w:t>
            </w:r>
            <w:r>
              <w:rPr>
                <w:rFonts w:hint="eastAsia" w:hAnsi="宋体" w:cs="宋体"/>
                <w:sz w:val="18"/>
                <w:szCs w:val="16"/>
                <w:highlight w:val="none"/>
                <w:lang w:val="en-US" w:eastAsia="zh-CN"/>
              </w:rPr>
              <w:t>5</w:t>
            </w:r>
            <w:r>
              <w:rPr>
                <w:rFonts w:hint="eastAsia" w:hAnsi="宋体" w:cs="宋体"/>
                <w:sz w:val="18"/>
                <w:szCs w:val="16"/>
                <w:highlight w:val="none"/>
              </w:rPr>
              <w:t>]</w:t>
            </w:r>
          </w:p>
        </w:tc>
        <w:tc>
          <w:tcPr>
            <w:tcW w:w="749" w:type="pct"/>
            <w:vMerge w:val="restart"/>
            <w:tcBorders>
              <w:top w:val="single" w:color="auto" w:sz="4" w:space="0"/>
              <w:left w:val="single" w:color="auto" w:sz="4" w:space="0"/>
              <w:right w:val="single" w:color="auto" w:sz="8" w:space="0"/>
            </w:tcBorders>
            <w:noWrap w:val="0"/>
            <w:vAlign w:val="center"/>
          </w:tcPr>
          <w:p>
            <w:pPr>
              <w:pStyle w:val="24"/>
              <w:ind w:firstLine="0" w:firstLineChars="0"/>
              <w:rPr>
                <w:rFonts w:hAnsi="宋体" w:cs="宋体"/>
                <w:sz w:val="18"/>
                <w:szCs w:val="16"/>
                <w:highlight w:val="none"/>
              </w:rPr>
            </w:pPr>
            <w:r>
              <w:rPr>
                <w:rFonts w:hint="eastAsia" w:hAnsi="宋体" w:cs="宋体"/>
                <w:sz w:val="18"/>
                <w:szCs w:val="16"/>
                <w:highlight w:val="none"/>
              </w:rPr>
              <w:t>该项得分为</w:t>
            </w:r>
            <w:r>
              <w:rPr>
                <w:rFonts w:hint="eastAsia" w:hAnsi="宋体" w:cs="宋体"/>
                <w:sz w:val="18"/>
                <w:szCs w:val="16"/>
                <w:highlight w:val="none"/>
                <w:lang w:val="en-US" w:eastAsia="zh-CN"/>
              </w:rPr>
              <w:t>两</w:t>
            </w:r>
            <w:r>
              <w:rPr>
                <w:rFonts w:hint="eastAsia" w:hAnsi="宋体" w:cs="宋体"/>
                <w:sz w:val="18"/>
                <w:szCs w:val="16"/>
                <w:highlight w:val="none"/>
              </w:rPr>
              <w:t>项指标累计得分。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4" w:type="pct"/>
            <w:tcBorders>
              <w:top w:val="single" w:color="auto" w:sz="4" w:space="0"/>
              <w:left w:val="single" w:color="auto" w:sz="8" w:space="0"/>
              <w:bottom w:val="single" w:color="auto" w:sz="4" w:space="0"/>
              <w:right w:val="single" w:color="auto" w:sz="4" w:space="0"/>
            </w:tcBorders>
            <w:noWrap w:val="0"/>
            <w:vAlign w:val="top"/>
          </w:tcPr>
          <w:p>
            <w:pPr>
              <w:pStyle w:val="24"/>
              <w:ind w:firstLine="0" w:firstLineChars="0"/>
              <w:rPr>
                <w:rFonts w:hAnsi="宋体" w:cs="宋体"/>
                <w:sz w:val="18"/>
                <w:szCs w:val="16"/>
                <w:highlight w:val="none"/>
              </w:rPr>
            </w:pPr>
            <w:r>
              <w:rPr>
                <w:rFonts w:hint="eastAsia" w:hAnsi="宋体" w:cs="宋体"/>
                <w:sz w:val="18"/>
                <w:szCs w:val="16"/>
                <w:highlight w:val="none"/>
              </w:rPr>
              <w:t>涉及环境效益种类一般，产生实际环境效益贡献量一般。</w:t>
            </w:r>
          </w:p>
        </w:tc>
        <w:tc>
          <w:tcPr>
            <w:tcW w:w="1167" w:type="pct"/>
            <w:tcBorders>
              <w:top w:val="single" w:color="auto" w:sz="4" w:space="0"/>
              <w:left w:val="single" w:color="auto" w:sz="4" w:space="0"/>
              <w:bottom w:val="single" w:color="auto" w:sz="4" w:space="0"/>
              <w:right w:val="single" w:color="auto" w:sz="8"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w:t>
            </w:r>
            <w:r>
              <w:rPr>
                <w:rFonts w:hint="eastAsia" w:hAnsi="宋体" w:cs="宋体"/>
                <w:sz w:val="18"/>
                <w:szCs w:val="16"/>
                <w:highlight w:val="none"/>
                <w:lang w:val="en-US" w:eastAsia="zh-CN"/>
              </w:rPr>
              <w:t>5</w:t>
            </w:r>
            <w:r>
              <w:rPr>
                <w:rFonts w:hint="eastAsia" w:hAnsi="宋体" w:cs="宋体"/>
                <w:sz w:val="18"/>
                <w:szCs w:val="16"/>
                <w:highlight w:val="none"/>
              </w:rPr>
              <w:t>,</w:t>
            </w:r>
            <w:r>
              <w:rPr>
                <w:rFonts w:hint="eastAsia" w:hAnsi="宋体" w:cs="宋体"/>
                <w:sz w:val="18"/>
                <w:szCs w:val="16"/>
                <w:highlight w:val="none"/>
                <w:lang w:val="en-US" w:eastAsia="zh-CN"/>
              </w:rPr>
              <w:t>10</w:t>
            </w:r>
            <w:r>
              <w:rPr>
                <w:rFonts w:hint="eastAsia" w:hAnsi="宋体" w:cs="宋体"/>
                <w:sz w:val="18"/>
                <w:szCs w:val="16"/>
                <w:highlight w:val="none"/>
              </w:rPr>
              <w:t>]</w:t>
            </w:r>
          </w:p>
        </w:tc>
        <w:tc>
          <w:tcPr>
            <w:tcW w:w="1479" w:type="pct"/>
            <w:tcBorders>
              <w:top w:val="single" w:color="auto" w:sz="4" w:space="0"/>
              <w:left w:val="single" w:color="auto" w:sz="4" w:space="0"/>
              <w:bottom w:val="single" w:color="auto" w:sz="4" w:space="0"/>
              <w:right w:val="single" w:color="auto" w:sz="8"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(1,</w:t>
            </w:r>
            <w:r>
              <w:rPr>
                <w:rFonts w:hint="eastAsia" w:hAnsi="宋体" w:cs="宋体"/>
                <w:sz w:val="18"/>
                <w:szCs w:val="16"/>
                <w:highlight w:val="none"/>
                <w:lang w:val="en-US" w:eastAsia="zh-CN"/>
              </w:rPr>
              <w:t>3</w:t>
            </w:r>
            <w:r>
              <w:rPr>
                <w:rFonts w:hint="eastAsia" w:hAnsi="宋体" w:cs="宋体"/>
                <w:sz w:val="18"/>
                <w:szCs w:val="16"/>
                <w:highlight w:val="none"/>
              </w:rPr>
              <w:t>]</w:t>
            </w:r>
          </w:p>
        </w:tc>
        <w:tc>
          <w:tcPr>
            <w:tcW w:w="749" w:type="pct"/>
            <w:vMerge w:val="continue"/>
            <w:tcBorders>
              <w:left w:val="single" w:color="auto" w:sz="4" w:space="0"/>
              <w:right w:val="single" w:color="auto" w:sz="8" w:space="0"/>
            </w:tcBorders>
            <w:noWrap w:val="0"/>
            <w:vAlign w:val="center"/>
          </w:tcPr>
          <w:p>
            <w:pPr>
              <w:pStyle w:val="24"/>
              <w:ind w:firstLine="0" w:firstLineChars="0"/>
              <w:jc w:val="center"/>
              <w:rPr>
                <w:rFonts w:hAnsi="宋体" w:cs="宋体"/>
                <w:sz w:val="18"/>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4" w:type="pct"/>
            <w:tcBorders>
              <w:top w:val="single" w:color="auto" w:sz="4" w:space="0"/>
              <w:left w:val="single" w:color="auto" w:sz="8" w:space="0"/>
              <w:bottom w:val="single" w:color="auto" w:sz="4" w:space="0"/>
              <w:right w:val="single" w:color="auto" w:sz="4" w:space="0"/>
            </w:tcBorders>
            <w:noWrap w:val="0"/>
            <w:vAlign w:val="top"/>
          </w:tcPr>
          <w:p>
            <w:pPr>
              <w:pStyle w:val="24"/>
              <w:ind w:firstLine="0" w:firstLineChars="0"/>
              <w:rPr>
                <w:rFonts w:hAnsi="宋体" w:cs="宋体"/>
                <w:sz w:val="18"/>
                <w:szCs w:val="16"/>
                <w:highlight w:val="none"/>
              </w:rPr>
            </w:pPr>
            <w:r>
              <w:rPr>
                <w:rFonts w:hint="eastAsia" w:hAnsi="宋体" w:cs="宋体"/>
                <w:sz w:val="18"/>
                <w:szCs w:val="16"/>
                <w:highlight w:val="none"/>
              </w:rPr>
              <w:t>涉及环境效益种类较少，产生实际环境效益贡献量较少。</w:t>
            </w:r>
          </w:p>
        </w:tc>
        <w:tc>
          <w:tcPr>
            <w:tcW w:w="1167" w:type="pct"/>
            <w:tcBorders>
              <w:top w:val="single" w:color="auto" w:sz="4" w:space="0"/>
              <w:left w:val="single" w:color="auto" w:sz="4" w:space="0"/>
              <w:bottom w:val="single" w:color="auto" w:sz="4" w:space="0"/>
              <w:right w:val="single" w:color="auto" w:sz="8"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(0,</w:t>
            </w:r>
            <w:r>
              <w:rPr>
                <w:rFonts w:hint="eastAsia" w:hAnsi="宋体" w:cs="宋体"/>
                <w:sz w:val="18"/>
                <w:szCs w:val="16"/>
                <w:highlight w:val="none"/>
                <w:lang w:val="en-US" w:eastAsia="zh-CN"/>
              </w:rPr>
              <w:t>5</w:t>
            </w:r>
            <w:r>
              <w:rPr>
                <w:rFonts w:hint="eastAsia" w:hAnsi="宋体" w:cs="宋体"/>
                <w:sz w:val="18"/>
                <w:szCs w:val="16"/>
                <w:highlight w:val="none"/>
              </w:rPr>
              <w:t>]</w:t>
            </w:r>
          </w:p>
        </w:tc>
        <w:tc>
          <w:tcPr>
            <w:tcW w:w="1479" w:type="pct"/>
            <w:tcBorders>
              <w:top w:val="single" w:color="auto" w:sz="4" w:space="0"/>
              <w:left w:val="single" w:color="auto" w:sz="4" w:space="0"/>
              <w:bottom w:val="single" w:color="auto" w:sz="4" w:space="0"/>
              <w:right w:val="single" w:color="auto" w:sz="8"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(0,1]</w:t>
            </w:r>
          </w:p>
        </w:tc>
        <w:tc>
          <w:tcPr>
            <w:tcW w:w="749" w:type="pct"/>
            <w:vMerge w:val="continue"/>
            <w:tcBorders>
              <w:left w:val="single" w:color="auto" w:sz="4" w:space="0"/>
              <w:right w:val="single" w:color="auto" w:sz="8" w:space="0"/>
            </w:tcBorders>
            <w:noWrap w:val="0"/>
            <w:vAlign w:val="center"/>
          </w:tcPr>
          <w:p>
            <w:pPr>
              <w:pStyle w:val="24"/>
              <w:ind w:firstLine="0" w:firstLineChars="0"/>
              <w:jc w:val="center"/>
              <w:rPr>
                <w:rFonts w:hAnsi="宋体" w:cs="宋体"/>
                <w:sz w:val="18"/>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604" w:type="pct"/>
            <w:tcBorders>
              <w:top w:val="single" w:color="auto" w:sz="4" w:space="0"/>
              <w:left w:val="single" w:color="auto" w:sz="8" w:space="0"/>
              <w:bottom w:val="single" w:color="auto" w:sz="8" w:space="0"/>
              <w:right w:val="single" w:color="auto" w:sz="4" w:space="0"/>
            </w:tcBorders>
            <w:noWrap w:val="0"/>
            <w:vAlign w:val="top"/>
          </w:tcPr>
          <w:p>
            <w:pPr>
              <w:pStyle w:val="24"/>
              <w:ind w:firstLine="0" w:firstLineChars="0"/>
              <w:rPr>
                <w:rFonts w:hAnsi="宋体" w:cs="宋体"/>
                <w:sz w:val="18"/>
                <w:szCs w:val="16"/>
                <w:highlight w:val="none"/>
              </w:rPr>
            </w:pPr>
            <w:r>
              <w:rPr>
                <w:rFonts w:hint="eastAsia" w:hAnsi="宋体" w:cs="宋体"/>
                <w:sz w:val="18"/>
                <w:szCs w:val="16"/>
                <w:highlight w:val="none"/>
              </w:rPr>
              <w:t>未产生实际环境效益。</w:t>
            </w:r>
          </w:p>
        </w:tc>
        <w:tc>
          <w:tcPr>
            <w:tcW w:w="1167" w:type="pct"/>
            <w:tcBorders>
              <w:top w:val="single" w:color="auto" w:sz="4" w:space="0"/>
              <w:left w:val="single" w:color="auto" w:sz="4" w:space="0"/>
              <w:bottom w:val="single" w:color="auto" w:sz="8" w:space="0"/>
              <w:right w:val="single" w:color="auto" w:sz="8"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0</w:t>
            </w:r>
          </w:p>
        </w:tc>
        <w:tc>
          <w:tcPr>
            <w:tcW w:w="1479" w:type="pct"/>
            <w:tcBorders>
              <w:top w:val="single" w:color="auto" w:sz="4" w:space="0"/>
              <w:left w:val="single" w:color="auto" w:sz="4" w:space="0"/>
              <w:bottom w:val="single" w:color="auto" w:sz="8" w:space="0"/>
              <w:right w:val="single" w:color="auto" w:sz="8" w:space="0"/>
            </w:tcBorders>
            <w:noWrap w:val="0"/>
            <w:vAlign w:val="center"/>
          </w:tcPr>
          <w:p>
            <w:pPr>
              <w:pStyle w:val="24"/>
              <w:ind w:firstLine="0" w:firstLineChars="0"/>
              <w:jc w:val="center"/>
              <w:rPr>
                <w:rFonts w:hAnsi="宋体" w:cs="宋体"/>
                <w:sz w:val="18"/>
                <w:szCs w:val="16"/>
                <w:highlight w:val="none"/>
              </w:rPr>
            </w:pPr>
            <w:r>
              <w:rPr>
                <w:rFonts w:hint="eastAsia" w:hAnsi="宋体" w:cs="宋体"/>
                <w:sz w:val="18"/>
                <w:szCs w:val="16"/>
                <w:highlight w:val="none"/>
              </w:rPr>
              <w:t>0</w:t>
            </w:r>
          </w:p>
        </w:tc>
        <w:tc>
          <w:tcPr>
            <w:tcW w:w="749" w:type="pct"/>
            <w:vMerge w:val="continue"/>
            <w:tcBorders>
              <w:left w:val="single" w:color="auto" w:sz="4" w:space="0"/>
              <w:bottom w:val="single" w:color="auto" w:sz="8" w:space="0"/>
              <w:right w:val="single" w:color="auto" w:sz="8" w:space="0"/>
            </w:tcBorders>
            <w:noWrap w:val="0"/>
            <w:vAlign w:val="center"/>
          </w:tcPr>
          <w:p>
            <w:pPr>
              <w:pStyle w:val="24"/>
              <w:ind w:firstLine="0" w:firstLineChars="0"/>
              <w:jc w:val="center"/>
              <w:rPr>
                <w:rFonts w:hAnsi="宋体" w:cs="宋体"/>
                <w:sz w:val="18"/>
                <w:szCs w:val="16"/>
                <w:highlight w:val="none"/>
              </w:rPr>
            </w:pPr>
          </w:p>
        </w:tc>
      </w:tr>
    </w:tbl>
    <w:p>
      <w:pPr>
        <w:pStyle w:val="63"/>
        <w:spacing w:before="0" w:after="0"/>
        <w:rPr>
          <w:rFonts w:ascii="Times New Roman"/>
          <w:highlight w:val="none"/>
        </w:rPr>
      </w:pPr>
      <w:r>
        <w:rPr>
          <w:rFonts w:hint="eastAsia"/>
          <w:highlight w:val="none"/>
          <w:lang w:val="en-US" w:eastAsia="zh-CN"/>
        </w:rPr>
        <w:t>降碳效益</w:t>
      </w:r>
    </w:p>
    <w:p>
      <w:pPr>
        <w:pStyle w:val="64"/>
        <w:tabs>
          <w:tab w:val="center" w:pos="4201"/>
          <w:tab w:val="right" w:leader="dot" w:pos="9298"/>
        </w:tabs>
        <w:rPr>
          <w:rFonts w:hint="default" w:hAnsi="宋体" w:cs="宋体"/>
          <w:highlight w:val="none"/>
          <w:lang w:val="en-US" w:eastAsia="zh-CN"/>
        </w:rPr>
      </w:pPr>
      <w:r>
        <w:rPr>
          <w:rFonts w:hint="eastAsia" w:hAnsi="宋体" w:cs="宋体"/>
          <w:highlight w:val="none"/>
          <w:lang w:val="en-US" w:eastAsia="zh-CN"/>
        </w:rPr>
        <w:t>节能量</w:t>
      </w:r>
    </w:p>
    <w:p>
      <w:pPr>
        <w:pStyle w:val="24"/>
        <w:rPr>
          <w:rFonts w:hint="default" w:hAnsi="宋体" w:cs="宋体"/>
          <w:highlight w:val="none"/>
          <w:lang w:val="en-US" w:eastAsia="zh-CN"/>
        </w:rPr>
      </w:pPr>
      <w:r>
        <w:rPr>
          <w:rFonts w:hint="eastAsia" w:hAnsi="宋体" w:cs="宋体"/>
          <w:highlight w:val="none"/>
          <w:lang w:val="en-US" w:eastAsia="zh-CN"/>
        </w:rPr>
        <w:t>指提供的绿色业务领域相关产品或服务，在采购方应用过程中，使得采购方满足同等需要或达到相同目的条件下，与行业平均水平相比，能源消费减少的数量。计算公式如下：</w:t>
      </w:r>
    </w:p>
    <w:p>
      <w:pPr>
        <w:pStyle w:val="135"/>
        <w:jc w:val="center"/>
        <w:rPr>
          <w:rFonts w:hAnsi="宋体" w:cs="宋体"/>
          <w:highlight w:val="none"/>
        </w:rPr>
      </w:pPr>
      <m:oMathPara>
        <m:oMath>
          <m:r>
            <m:rPr/>
            <w:rPr>
              <w:rFonts w:hint="default" w:ascii="Cambria Math" w:hAnsi="Cambria Math" w:cs="宋体"/>
              <w:lang w:val="en-US" w:eastAsia="zh-CN"/>
            </w:rPr>
            <m:t>E</m:t>
          </m:r>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lang w:eastAsia="zh-CN"/>
                    </w:rPr>
                    <m:t>（</m:t>
                  </m:r>
                  <m:r>
                    <m:rPr/>
                    <w:rPr>
                      <w:rFonts w:hint="default" w:ascii="Cambria Math" w:hAnsi="Cambria Math" w:cs="宋体"/>
                      <w:lang w:val="en-US" w:eastAsia="zh-CN"/>
                    </w:rPr>
                    <m:t>C</m:t>
                  </m:r>
                  <m:ctrlPr>
                    <w:rPr>
                      <w:rFonts w:hint="eastAsia" w:ascii="Cambria Math" w:hAnsi="Cambria Math" w:cs="宋体"/>
                      <w:i/>
                      <w:iCs/>
                    </w:rPr>
                  </m:ctrlPr>
                </m:e>
                <m:sub>
                  <m:r>
                    <m:rPr/>
                    <w:rPr>
                      <w:rFonts w:hint="default" w:ascii="Cambria Math" w:hAnsi="Cambria Math" w:cs="宋体"/>
                      <w:lang w:val="en-US" w:eastAsia="zh-CN"/>
                    </w:rPr>
                    <m:t>0</m:t>
                  </m:r>
                  <m:ctrlPr>
                    <w:rPr>
                      <w:rFonts w:hint="eastAsia" w:ascii="Cambria Math" w:hAnsi="Cambria Math" w:cs="宋体"/>
                      <w:i/>
                      <w:iCs/>
                    </w:rPr>
                  </m:ctrlPr>
                </m:sub>
              </m:sSub>
              <m:r>
                <m:rPr/>
                <w:rPr>
                  <w:rFonts w:hint="default" w:ascii="Cambria Math" w:hAnsi="Cambria Math" w:cs="宋体"/>
                  <w:lang w:val="en-US" w:eastAsia="zh-CN"/>
                </w:rPr>
                <m:t>−</m:t>
              </m:r>
              <m:sSub>
                <m:sSubPr>
                  <m:ctrlPr>
                    <w:rPr>
                      <w:rFonts w:hint="default" w:ascii="Cambria Math" w:hAnsi="Cambria Math" w:cs="宋体"/>
                      <w:i/>
                      <w:iCs/>
                      <w:lang w:val="en-US" w:eastAsia="zh-CN"/>
                    </w:rPr>
                  </m:ctrlPr>
                </m:sSubPr>
                <m:e>
                  <m:r>
                    <m:rPr/>
                    <w:rPr>
                      <w:rFonts w:hint="default" w:ascii="Cambria Math" w:hAnsi="Cambria Math" w:cs="宋体"/>
                      <w:lang w:val="en-US" w:eastAsia="zh-CN"/>
                    </w:rPr>
                    <m:t>C</m:t>
                  </m:r>
                  <m:ctrlPr>
                    <w:rPr>
                      <w:rFonts w:hint="default" w:ascii="Cambria Math" w:hAnsi="Cambria Math" w:cs="宋体"/>
                      <w:i/>
                      <w:iCs/>
                      <w:lang w:val="en-US" w:eastAsia="zh-CN"/>
                    </w:rPr>
                  </m:ctrlPr>
                </m:e>
                <m:sub>
                  <m:r>
                    <m:rPr/>
                    <w:rPr>
                      <w:rFonts w:hint="default" w:ascii="Cambria Math" w:hAnsi="Cambria Math" w:cs="宋体"/>
                      <w:lang w:val="en-US" w:eastAsia="zh-CN"/>
                    </w:rPr>
                    <m:t>1</m:t>
                  </m:r>
                  <m:ctrlPr>
                    <w:rPr>
                      <w:rFonts w:hint="default" w:ascii="Cambria Math" w:hAnsi="Cambria Math" w:cs="宋体"/>
                      <w:i/>
                      <w:iCs/>
                      <w:lang w:val="en-US" w:eastAsia="zh-CN"/>
                    </w:rPr>
                  </m:ctrlPr>
                </m:sub>
              </m:sSub>
              <m:r>
                <m:rPr>
                  <m:sty m:val="p"/>
                </m:rPr>
                <w:rPr>
                  <w:rFonts w:hint="eastAsia" w:ascii="Cambria Math" w:hAnsi="Cambria Math" w:cs="宋体"/>
                  <w:lang w:val="en-US" w:eastAsia="zh-CN"/>
                </w:rPr>
                <m:t>）</m:t>
              </m:r>
              <m:r>
                <m:rPr/>
                <w:rPr>
                  <w:rFonts w:hint="eastAsia" w:ascii="Cambria Math" w:hAnsi="Cambria Math" w:cs="宋体"/>
                </w:rPr>
                <m:t>×</m:t>
              </m:r>
              <m:sSub>
                <m:sSubPr>
                  <m:ctrlPr>
                    <w:rPr>
                      <w:rFonts w:hint="eastAsia" w:ascii="Cambria Math" w:hAnsi="Cambria Math" w:cs="宋体"/>
                      <w:i/>
                      <w:iCs/>
                    </w:rPr>
                  </m:ctrlPr>
                </m:sSubPr>
                <m:e>
                  <m:r>
                    <m:rPr/>
                    <w:rPr>
                      <w:rFonts w:hint="default" w:ascii="Cambria Math" w:hAnsi="Cambria Math" w:cs="宋体"/>
                      <w:lang w:val="en-US" w:eastAsia="zh-CN"/>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35"/>
        <w:ind w:firstLine="420" w:firstLineChars="200"/>
        <w:rPr>
          <w:rFonts w:hAnsi="宋体" w:cs="宋体"/>
          <w:highlight w:val="none"/>
        </w:rPr>
      </w:pPr>
      <w:r>
        <w:rPr>
          <w:rFonts w:hint="eastAsia" w:hAnsi="宋体" w:cs="宋体"/>
          <w:highlight w:val="none"/>
        </w:rPr>
        <w:t>式中：</w:t>
      </w:r>
    </w:p>
    <w:p>
      <w:pPr>
        <w:pStyle w:val="135"/>
        <w:ind w:firstLine="420" w:firstLineChars="200"/>
        <w:rPr>
          <w:rFonts w:hAnsi="宋体" w:cs="宋体"/>
          <w:highlight w:val="none"/>
        </w:rPr>
      </w:pPr>
      <m:oMath>
        <m:r>
          <m:rPr/>
          <w:rPr>
            <w:rFonts w:hint="default" w:ascii="Cambria Math" w:hAnsi="Cambria Math" w:cs="宋体"/>
            <w:lang w:val="en-US" w:eastAsia="zh-CN"/>
          </w:rPr>
          <m:t>E</m:t>
        </m:r>
      </m:oMath>
      <w:r>
        <w:rPr>
          <w:rFonts w:hint="eastAsia" w:hAnsi="宋体" w:cs="宋体"/>
          <w:highlight w:val="none"/>
        </w:rPr>
        <w:t>——</w:t>
      </w:r>
      <w:r>
        <w:rPr>
          <w:rFonts w:hint="eastAsia" w:hAnsi="宋体" w:cs="宋体"/>
          <w:highlight w:val="none"/>
          <w:lang w:val="en-US" w:eastAsia="zh-CN"/>
        </w:rPr>
        <w:t>节能总量（电：kW/h，氢能：kg）</w:t>
      </w:r>
      <w:r>
        <w:rPr>
          <w:rFonts w:hint="eastAsia" w:hAnsi="宋体" w:cs="宋体"/>
          <w:highlight w:val="none"/>
        </w:rPr>
        <w:t>；</w:t>
      </w:r>
    </w:p>
    <w:p>
      <w:pPr>
        <w:pStyle w:val="135"/>
        <w:ind w:firstLine="420" w:firstLineChars="200"/>
        <w:rPr>
          <w:rFonts w:hAnsi="宋体" w:cs="宋体"/>
          <w:highlight w:val="none"/>
        </w:rPr>
      </w:pPr>
      <m:oMath>
        <m:sSub>
          <m:sSubPr>
            <m:ctrlPr>
              <w:rPr>
                <w:rFonts w:hint="eastAsia" w:ascii="Cambria Math" w:hAnsi="Cambria Math" w:cs="宋体"/>
                <w:i/>
                <w:iCs/>
              </w:rPr>
            </m:ctrlPr>
          </m:sSubPr>
          <m:e>
            <m:r>
              <m:rPr/>
              <w:rPr>
                <w:rFonts w:hint="default" w:ascii="Cambria Math" w:hAnsi="Cambria Math" w:cs="宋体"/>
                <w:lang w:val="en-US" w:eastAsia="zh-CN"/>
              </w:rPr>
              <m:t>C</m:t>
            </m:r>
            <m:ctrlPr>
              <w:rPr>
                <w:rFonts w:hint="eastAsia" w:ascii="Cambria Math" w:hAnsi="Cambria Math" w:cs="宋体"/>
                <w:i/>
                <w:iCs/>
              </w:rPr>
            </m:ctrlPr>
          </m:e>
          <m:sub>
            <m:r>
              <m:rPr/>
              <w:rPr>
                <w:rFonts w:hint="default" w:ascii="Cambria Math" w:hAnsi="Cambria Math" w:cs="宋体"/>
                <w:lang w:val="en-US" w:eastAsia="zh-CN"/>
              </w:rPr>
              <m:t>0</m:t>
            </m:r>
            <m:ctrlPr>
              <w:rPr>
                <w:rFonts w:hint="eastAsia" w:ascii="Cambria Math" w:hAnsi="Cambria Math" w:cs="宋体"/>
                <w:i/>
                <w:iCs/>
              </w:rPr>
            </m:ctrlPr>
          </m:sub>
        </m:sSub>
      </m:oMath>
      <w:r>
        <w:rPr>
          <w:rFonts w:hint="eastAsia" w:hAnsi="宋体" w:cs="宋体"/>
          <w:highlight w:val="none"/>
        </w:rPr>
        <w:t>——</w:t>
      </w:r>
      <w:r>
        <w:rPr>
          <w:rFonts w:hint="eastAsia" w:hAnsi="宋体" w:cs="宋体"/>
          <w:highlight w:val="none"/>
          <w:lang w:val="en-US" w:eastAsia="zh-CN"/>
        </w:rPr>
        <w:t>绿色业务领域相关产品或服务应用前设备能耗水平</w:t>
      </w:r>
      <w:r>
        <w:rPr>
          <w:rFonts w:hint="eastAsia" w:hAnsi="宋体" w:cs="宋体"/>
          <w:highlight w:val="none"/>
        </w:rPr>
        <w:t>；</w:t>
      </w:r>
    </w:p>
    <w:p>
      <w:pPr>
        <w:pStyle w:val="135"/>
        <w:ind w:firstLine="420" w:firstLineChars="200"/>
        <w:rPr>
          <w:rFonts w:hint="eastAsia" w:hAnsi="Cambria Math" w:cs="宋体"/>
          <w:i w:val="0"/>
          <w:highlight w:val="none"/>
        </w:rPr>
      </w:pPr>
      <m:oMath>
        <m:sSub>
          <m:sSubPr>
            <m:ctrlPr>
              <w:rPr>
                <w:rFonts w:hint="eastAsia" w:ascii="Cambria Math" w:hAnsi="Cambria Math" w:cs="宋体"/>
                <w:i/>
                <w:iCs/>
              </w:rPr>
            </m:ctrlPr>
          </m:sSubPr>
          <m:e>
            <m:r>
              <m:rPr/>
              <w:rPr>
                <w:rFonts w:hint="default" w:ascii="Cambria Math" w:hAnsi="Cambria Math" w:cs="宋体"/>
                <w:lang w:val="en-US" w:eastAsia="zh-CN"/>
              </w:rPr>
              <m:t>C</m:t>
            </m:r>
            <m:ctrlPr>
              <w:rPr>
                <w:rFonts w:hint="eastAsia" w:ascii="Cambria Math" w:hAnsi="Cambria Math" w:cs="宋体"/>
                <w:i/>
                <w:iCs/>
              </w:rPr>
            </m:ctrlPr>
          </m:e>
          <m:sub>
            <m:r>
              <m:rPr/>
              <w:rPr>
                <w:rFonts w:hint="default" w:ascii="Cambria Math" w:hAnsi="Cambria Math" w:cs="宋体"/>
                <w:lang w:val="en-US" w:eastAsia="zh-CN"/>
              </w:rPr>
              <m:t>1</m:t>
            </m:r>
            <m:ctrlPr>
              <w:rPr>
                <w:rFonts w:hint="eastAsia" w:ascii="Cambria Math" w:hAnsi="Cambria Math" w:cs="宋体"/>
                <w:i/>
                <w:iCs/>
              </w:rPr>
            </m:ctrlPr>
          </m:sub>
        </m:sSub>
      </m:oMath>
      <w:r>
        <w:rPr>
          <w:rFonts w:hint="eastAsia" w:hAnsi="Cambria Math" w:cs="宋体"/>
          <w:i w:val="0"/>
          <w:highlight w:val="none"/>
        </w:rPr>
        <w:t>——</w:t>
      </w:r>
      <w:r>
        <w:rPr>
          <w:rFonts w:hint="eastAsia" w:hAnsi="Cambria Math" w:cs="宋体"/>
          <w:i w:val="0"/>
          <w:highlight w:val="none"/>
          <w:lang w:val="en-US" w:eastAsia="zh-CN"/>
        </w:rPr>
        <w:t>绿色业务领域相关产品或服务应用后设备能耗水平</w:t>
      </w:r>
      <w:r>
        <w:rPr>
          <w:rFonts w:hint="eastAsia" w:hAnsi="Cambria Math" w:cs="宋体"/>
          <w:i w:val="0"/>
          <w:highlight w:val="none"/>
        </w:rPr>
        <w:t>；</w:t>
      </w:r>
    </w:p>
    <w:p>
      <w:pPr>
        <w:pStyle w:val="135"/>
        <w:ind w:firstLine="420" w:firstLineChars="200"/>
        <w:rPr>
          <w:rFonts w:hint="default"/>
          <w:highlight w:val="none"/>
          <w:lang w:val="en-US" w:eastAsia="zh-CN"/>
        </w:rPr>
      </w:pPr>
      <m:oMath>
        <m:sSub>
          <m:sSubPr>
            <m:ctrlPr>
              <w:rPr>
                <w:rFonts w:hint="eastAsia" w:ascii="Cambria Math" w:hAnsi="Cambria Math" w:cs="宋体"/>
                <w:i/>
                <w:iCs/>
              </w:rPr>
            </m:ctrlPr>
          </m:sSubPr>
          <m:e>
            <m:r>
              <m:rPr/>
              <w:rPr>
                <w:rFonts w:hint="default" w:ascii="Cambria Math" w:hAnsi="Cambria Math" w:cs="宋体"/>
                <w:lang w:val="en-US" w:eastAsia="zh-CN"/>
              </w:rPr>
              <m:t>D</m:t>
            </m:r>
            <m:ctrlPr>
              <w:rPr>
                <w:rFonts w:hint="eastAsia" w:ascii="Cambria Math" w:hAnsi="Cambria Math" w:cs="宋体"/>
                <w:i/>
                <w:iCs/>
              </w:rPr>
            </m:ctrlPr>
          </m:e>
          <m:sub>
            <m:r>
              <m:rPr/>
              <w:rPr>
                <w:rFonts w:hint="default" w:ascii="Cambria Math" w:hAnsi="Cambria Math" w:cs="宋体"/>
                <w:lang w:val="en-US" w:eastAsia="zh-CN"/>
              </w:rPr>
              <m:t>i</m:t>
            </m:r>
            <m:ctrlPr>
              <w:rPr>
                <w:rFonts w:hint="eastAsia" w:ascii="Cambria Math" w:hAnsi="Cambria Math" w:cs="宋体"/>
                <w:i/>
                <w:iCs/>
              </w:rPr>
            </m:ctrlPr>
          </m:sub>
        </m:sSub>
      </m:oMath>
      <w:r>
        <w:rPr>
          <w:rFonts w:hint="eastAsia" w:hAnsi="宋体" w:cs="宋体"/>
          <w:highlight w:val="none"/>
        </w:rPr>
        <w:t>——第i</w:t>
      </w:r>
      <w:r>
        <w:rPr>
          <w:rFonts w:hint="eastAsia" w:hAnsi="宋体" w:cs="宋体"/>
          <w:highlight w:val="none"/>
          <w:lang w:val="en-US" w:eastAsia="zh-CN"/>
        </w:rPr>
        <w:t>类产品数量</w:t>
      </w:r>
      <w:r>
        <w:rPr>
          <w:rFonts w:hint="eastAsia" w:hAnsi="宋体" w:cs="宋体"/>
          <w:highlight w:val="none"/>
        </w:rPr>
        <w:t>。</w:t>
      </w:r>
    </w:p>
    <w:p>
      <w:pPr>
        <w:pStyle w:val="64"/>
        <w:tabs>
          <w:tab w:val="center" w:pos="4201"/>
          <w:tab w:val="right" w:leader="dot" w:pos="9298"/>
        </w:tabs>
        <w:rPr>
          <w:rFonts w:hint="default" w:hAnsi="宋体" w:cs="宋体"/>
          <w:highlight w:val="none"/>
          <w:lang w:val="en-US" w:eastAsia="zh-CN"/>
        </w:rPr>
      </w:pPr>
      <w:r>
        <w:rPr>
          <w:rFonts w:hint="eastAsia" w:hAnsi="宋体" w:cs="宋体"/>
          <w:highlight w:val="none"/>
          <w:lang w:val="en-US" w:eastAsia="zh-CN"/>
        </w:rPr>
        <w:t>替代化石能源量</w:t>
      </w:r>
    </w:p>
    <w:p>
      <w:pPr>
        <w:pStyle w:val="24"/>
        <w:rPr>
          <w:rFonts w:hint="eastAsia" w:hAnsi="宋体" w:cs="宋体"/>
          <w:highlight w:val="none"/>
          <w:lang w:val="en-US" w:eastAsia="zh-CN"/>
        </w:rPr>
      </w:pPr>
      <w:r>
        <w:rPr>
          <w:rFonts w:hint="eastAsia" w:hAnsi="宋体" w:cs="宋体"/>
          <w:highlight w:val="none"/>
          <w:lang w:val="en-US" w:eastAsia="zh-CN"/>
        </w:rPr>
        <w:t>指提供的绿色业务领域相关产品或服务，在采购方应用过程中，间接减少的化石能源消耗量。计算公式如下：</w:t>
      </w:r>
    </w:p>
    <w:p>
      <w:pPr>
        <w:pStyle w:val="135"/>
        <w:jc w:val="center"/>
        <w:rPr>
          <w:rFonts w:hAnsi="宋体" w:cs="宋体"/>
          <w:highlight w:val="none"/>
        </w:rPr>
      </w:pPr>
      <m:oMathPara>
        <m:oMath>
          <m:r>
            <m:rPr/>
            <w:rPr>
              <w:rFonts w:hint="default" w:ascii="Cambria Math" w:hAnsi="Cambria Math" w:cs="宋体"/>
              <w:lang w:val="en-US" w:eastAsia="zh-CN"/>
            </w:rPr>
            <m:t>E</m:t>
          </m:r>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lang w:eastAsia="zh-CN"/>
                    </w:rPr>
                    <m:t>（</m:t>
                  </m:r>
                  <m:r>
                    <m:rPr/>
                    <w:rPr>
                      <w:rFonts w:hint="default" w:ascii="Cambria Math" w:hAnsi="Cambria Math" w:cs="宋体"/>
                      <w:lang w:val="en-US" w:eastAsia="zh-CN"/>
                    </w:rPr>
                    <m:t>C</m:t>
                  </m:r>
                  <m:ctrlPr>
                    <w:rPr>
                      <w:rFonts w:hint="eastAsia" w:ascii="Cambria Math" w:hAnsi="Cambria Math" w:cs="宋体"/>
                      <w:i/>
                      <w:iCs/>
                    </w:rPr>
                  </m:ctrlPr>
                </m:e>
                <m:sub>
                  <m:r>
                    <m:rPr/>
                    <w:rPr>
                      <w:rFonts w:hint="default" w:ascii="Cambria Math" w:hAnsi="Cambria Math" w:cs="宋体"/>
                      <w:lang w:val="en-US" w:eastAsia="zh-CN"/>
                    </w:rPr>
                    <m:t>0</m:t>
                  </m:r>
                  <m:ctrlPr>
                    <w:rPr>
                      <w:rFonts w:hint="eastAsia" w:ascii="Cambria Math" w:hAnsi="Cambria Math" w:cs="宋体"/>
                      <w:i/>
                      <w:iCs/>
                    </w:rPr>
                  </m:ctrlPr>
                </m:sub>
              </m:sSub>
              <m:r>
                <m:rPr/>
                <w:rPr>
                  <w:rFonts w:hint="default" w:ascii="Cambria Math" w:hAnsi="Cambria Math" w:cs="宋体"/>
                  <w:lang w:val="en-US" w:eastAsia="zh-CN"/>
                </w:rPr>
                <m:t>−</m:t>
              </m:r>
              <m:sSub>
                <m:sSubPr>
                  <m:ctrlPr>
                    <w:rPr>
                      <w:rFonts w:hint="default" w:ascii="Cambria Math" w:hAnsi="Cambria Math" w:cs="宋体"/>
                      <w:i/>
                      <w:iCs/>
                      <w:lang w:val="en-US" w:eastAsia="zh-CN"/>
                    </w:rPr>
                  </m:ctrlPr>
                </m:sSubPr>
                <m:e>
                  <m:r>
                    <m:rPr/>
                    <w:rPr>
                      <w:rFonts w:hint="default" w:ascii="Cambria Math" w:hAnsi="Cambria Math" w:cs="宋体"/>
                      <w:lang w:val="en-US" w:eastAsia="zh-CN"/>
                    </w:rPr>
                    <m:t>C</m:t>
                  </m:r>
                  <m:ctrlPr>
                    <w:rPr>
                      <w:rFonts w:hint="default" w:ascii="Cambria Math" w:hAnsi="Cambria Math" w:cs="宋体"/>
                      <w:i/>
                      <w:iCs/>
                      <w:lang w:val="en-US" w:eastAsia="zh-CN"/>
                    </w:rPr>
                  </m:ctrlPr>
                </m:e>
                <m:sub>
                  <m:r>
                    <m:rPr/>
                    <w:rPr>
                      <w:rFonts w:hint="default" w:ascii="Cambria Math" w:hAnsi="Cambria Math" w:cs="宋体"/>
                      <w:lang w:val="en-US" w:eastAsia="zh-CN"/>
                    </w:rPr>
                    <m:t>1</m:t>
                  </m:r>
                  <m:ctrlPr>
                    <w:rPr>
                      <w:rFonts w:hint="default" w:ascii="Cambria Math" w:hAnsi="Cambria Math" w:cs="宋体"/>
                      <w:i/>
                      <w:iCs/>
                      <w:lang w:val="en-US" w:eastAsia="zh-CN"/>
                    </w:rPr>
                  </m:ctrlPr>
                </m:sub>
              </m:sSub>
              <m:r>
                <m:rPr>
                  <m:sty m:val="p"/>
                </m:rPr>
                <w:rPr>
                  <w:rFonts w:hint="eastAsia" w:ascii="Cambria Math" w:hAnsi="Cambria Math" w:cs="宋体"/>
                  <w:lang w:val="en-US" w:eastAsia="zh-CN"/>
                </w:rPr>
                <m:t>）</m:t>
              </m:r>
              <m:r>
                <m:rPr/>
                <w:rPr>
                  <w:rFonts w:hint="eastAsia" w:ascii="Cambria Math" w:hAnsi="Cambria Math" w:cs="宋体"/>
                </w:rPr>
                <m:t>×</m:t>
              </m:r>
              <m:sSub>
                <m:sSubPr>
                  <m:ctrlPr>
                    <w:rPr>
                      <w:rFonts w:hint="eastAsia" w:ascii="Cambria Math" w:hAnsi="Cambria Math" w:cs="宋体"/>
                      <w:i/>
                      <w:iCs/>
                    </w:rPr>
                  </m:ctrlPr>
                </m:sSubPr>
                <m:e>
                  <m:r>
                    <m:rPr/>
                    <w:rPr>
                      <w:rFonts w:hint="default" w:ascii="Cambria Math" w:hAnsi="Cambria Math" w:cs="宋体"/>
                      <w:lang w:val="en-US" w:eastAsia="zh-CN"/>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35"/>
        <w:ind w:firstLine="420" w:firstLineChars="200"/>
        <w:rPr>
          <w:rFonts w:hAnsi="宋体" w:cs="宋体"/>
          <w:highlight w:val="none"/>
        </w:rPr>
      </w:pPr>
      <w:r>
        <w:rPr>
          <w:rFonts w:hint="eastAsia" w:hAnsi="宋体" w:cs="宋体"/>
          <w:highlight w:val="none"/>
        </w:rPr>
        <w:t>式中：</w:t>
      </w:r>
    </w:p>
    <w:p>
      <w:pPr>
        <w:pStyle w:val="135"/>
        <w:ind w:firstLine="420" w:firstLineChars="200"/>
        <w:rPr>
          <w:rFonts w:hAnsi="宋体" w:cs="宋体"/>
          <w:highlight w:val="none"/>
        </w:rPr>
      </w:pPr>
      <m:oMath>
        <m:r>
          <m:rPr/>
          <w:rPr>
            <w:rFonts w:hint="default" w:ascii="Cambria Math" w:hAnsi="Cambria Math" w:cs="宋体"/>
            <w:lang w:val="en-US" w:eastAsia="zh-CN"/>
          </w:rPr>
          <m:t>E</m:t>
        </m:r>
      </m:oMath>
      <w:r>
        <w:rPr>
          <w:rFonts w:hint="eastAsia" w:hAnsi="宋体" w:cs="宋体"/>
          <w:highlight w:val="none"/>
        </w:rPr>
        <w:t>——</w:t>
      </w:r>
      <w:r>
        <w:rPr>
          <w:rFonts w:hint="eastAsia" w:hAnsi="宋体" w:cs="宋体"/>
          <w:highlight w:val="none"/>
          <w:lang w:val="en-US" w:eastAsia="zh-CN"/>
        </w:rPr>
        <w:t>节能总量，吨标煤/年</w:t>
      </w:r>
      <w:r>
        <w:rPr>
          <w:rFonts w:hint="eastAsia" w:hAnsi="宋体" w:cs="宋体"/>
          <w:highlight w:val="none"/>
        </w:rPr>
        <w:t>；</w:t>
      </w:r>
    </w:p>
    <w:p>
      <w:pPr>
        <w:pStyle w:val="135"/>
        <w:ind w:firstLine="420" w:firstLineChars="200"/>
        <w:rPr>
          <w:rFonts w:hAnsi="宋体" w:cs="宋体"/>
          <w:highlight w:val="none"/>
        </w:rPr>
      </w:pPr>
      <m:oMath>
        <m:sSub>
          <m:sSubPr>
            <m:ctrlPr>
              <w:rPr>
                <w:rFonts w:hint="eastAsia" w:ascii="Cambria Math" w:hAnsi="Cambria Math" w:cs="宋体"/>
                <w:i/>
                <w:iCs/>
              </w:rPr>
            </m:ctrlPr>
          </m:sSubPr>
          <m:e>
            <m:r>
              <m:rPr/>
              <w:rPr>
                <w:rFonts w:hint="default" w:ascii="Cambria Math" w:hAnsi="Cambria Math" w:cs="宋体"/>
                <w:lang w:val="en-US" w:eastAsia="zh-CN"/>
              </w:rPr>
              <m:t>C</m:t>
            </m:r>
            <m:ctrlPr>
              <w:rPr>
                <w:rFonts w:hint="eastAsia" w:ascii="Cambria Math" w:hAnsi="Cambria Math" w:cs="宋体"/>
                <w:i/>
                <w:iCs/>
              </w:rPr>
            </m:ctrlPr>
          </m:e>
          <m:sub>
            <m:r>
              <m:rPr/>
              <w:rPr>
                <w:rFonts w:hint="default" w:ascii="Cambria Math" w:hAnsi="Cambria Math" w:cs="宋体"/>
                <w:lang w:val="en-US" w:eastAsia="zh-CN"/>
              </w:rPr>
              <m:t>0</m:t>
            </m:r>
            <m:ctrlPr>
              <w:rPr>
                <w:rFonts w:hint="eastAsia" w:ascii="Cambria Math" w:hAnsi="Cambria Math" w:cs="宋体"/>
                <w:i/>
                <w:iCs/>
              </w:rPr>
            </m:ctrlPr>
          </m:sub>
        </m:sSub>
      </m:oMath>
      <w:r>
        <w:rPr>
          <w:rFonts w:hint="eastAsia" w:hAnsi="宋体" w:cs="宋体"/>
          <w:highlight w:val="none"/>
        </w:rPr>
        <w:t>——</w:t>
      </w:r>
      <w:r>
        <w:rPr>
          <w:rFonts w:hint="eastAsia" w:hAnsi="宋体" w:cs="宋体"/>
          <w:highlight w:val="none"/>
          <w:lang w:val="en-US" w:eastAsia="zh-CN"/>
        </w:rPr>
        <w:t>绿色业务领域相关产品或服务应用前设备能耗水平，吨标煤/年</w:t>
      </w:r>
      <w:r>
        <w:rPr>
          <w:rFonts w:hint="eastAsia" w:hAnsi="宋体" w:cs="宋体"/>
          <w:highlight w:val="none"/>
        </w:rPr>
        <w:t>；</w:t>
      </w:r>
    </w:p>
    <w:p>
      <w:pPr>
        <w:pStyle w:val="135"/>
        <w:ind w:firstLine="420" w:firstLineChars="200"/>
        <w:rPr>
          <w:rFonts w:hint="eastAsia" w:hAnsi="Cambria Math" w:cs="宋体"/>
          <w:i w:val="0"/>
          <w:highlight w:val="none"/>
        </w:rPr>
      </w:pPr>
      <m:oMath>
        <m:sSub>
          <m:sSubPr>
            <m:ctrlPr>
              <w:rPr>
                <w:rFonts w:hint="eastAsia" w:ascii="Cambria Math" w:hAnsi="Cambria Math" w:cs="宋体"/>
                <w:i/>
                <w:iCs/>
              </w:rPr>
            </m:ctrlPr>
          </m:sSubPr>
          <m:e>
            <m:r>
              <m:rPr/>
              <w:rPr>
                <w:rFonts w:hint="default" w:ascii="Cambria Math" w:hAnsi="Cambria Math" w:cs="宋体"/>
                <w:lang w:val="en-US" w:eastAsia="zh-CN"/>
              </w:rPr>
              <m:t>C</m:t>
            </m:r>
            <m:ctrlPr>
              <w:rPr>
                <w:rFonts w:hint="eastAsia" w:ascii="Cambria Math" w:hAnsi="Cambria Math" w:cs="宋体"/>
                <w:i/>
                <w:iCs/>
              </w:rPr>
            </m:ctrlPr>
          </m:e>
          <m:sub>
            <m:r>
              <m:rPr/>
              <w:rPr>
                <w:rFonts w:hint="default" w:ascii="Cambria Math" w:hAnsi="Cambria Math" w:cs="宋体"/>
                <w:lang w:val="en-US" w:eastAsia="zh-CN"/>
              </w:rPr>
              <m:t>1</m:t>
            </m:r>
            <m:ctrlPr>
              <w:rPr>
                <w:rFonts w:hint="eastAsia" w:ascii="Cambria Math" w:hAnsi="Cambria Math" w:cs="宋体"/>
                <w:i/>
                <w:iCs/>
              </w:rPr>
            </m:ctrlPr>
          </m:sub>
        </m:sSub>
      </m:oMath>
      <w:r>
        <w:rPr>
          <w:rFonts w:hint="eastAsia" w:hAnsi="Cambria Math" w:cs="宋体"/>
          <w:i w:val="0"/>
          <w:highlight w:val="none"/>
        </w:rPr>
        <w:t>——</w:t>
      </w:r>
      <w:r>
        <w:rPr>
          <w:rFonts w:hint="eastAsia" w:hAnsi="Cambria Math" w:cs="宋体"/>
          <w:i w:val="0"/>
          <w:highlight w:val="none"/>
          <w:lang w:val="en-US" w:eastAsia="zh-CN"/>
        </w:rPr>
        <w:t>绿色业务领域相关产品或服务应用后设备能耗水平，吨标煤/年</w:t>
      </w:r>
      <w:r>
        <w:rPr>
          <w:rFonts w:hint="eastAsia" w:hAnsi="Cambria Math" w:cs="宋体"/>
          <w:i w:val="0"/>
          <w:highlight w:val="none"/>
        </w:rPr>
        <w:t>；</w:t>
      </w:r>
    </w:p>
    <w:p>
      <w:pPr>
        <w:pStyle w:val="135"/>
        <w:ind w:firstLine="420" w:firstLineChars="200"/>
        <w:rPr>
          <w:rFonts w:hint="default"/>
          <w:highlight w:val="none"/>
          <w:lang w:val="en-US" w:eastAsia="zh-CN"/>
        </w:rPr>
      </w:pPr>
      <m:oMath>
        <m:sSub>
          <m:sSubPr>
            <m:ctrlPr>
              <w:rPr>
                <w:rFonts w:hint="eastAsia" w:ascii="Cambria Math" w:hAnsi="Cambria Math" w:cs="宋体"/>
                <w:i/>
                <w:iCs/>
              </w:rPr>
            </m:ctrlPr>
          </m:sSubPr>
          <m:e>
            <m:r>
              <m:rPr/>
              <w:rPr>
                <w:rFonts w:hint="default" w:ascii="Cambria Math" w:hAnsi="Cambria Math" w:cs="宋体"/>
                <w:lang w:val="en-US" w:eastAsia="zh-CN"/>
              </w:rPr>
              <m:t>D</m:t>
            </m:r>
            <m:ctrlPr>
              <w:rPr>
                <w:rFonts w:hint="eastAsia" w:ascii="Cambria Math" w:hAnsi="Cambria Math" w:cs="宋体"/>
                <w:i/>
                <w:iCs/>
              </w:rPr>
            </m:ctrlPr>
          </m:e>
          <m:sub>
            <m:r>
              <m:rPr/>
              <w:rPr>
                <w:rFonts w:hint="default" w:ascii="Cambria Math" w:hAnsi="Cambria Math" w:cs="宋体"/>
                <w:lang w:val="en-US" w:eastAsia="zh-CN"/>
              </w:rPr>
              <m:t>i</m:t>
            </m:r>
            <m:ctrlPr>
              <w:rPr>
                <w:rFonts w:hint="eastAsia" w:ascii="Cambria Math" w:hAnsi="Cambria Math" w:cs="宋体"/>
                <w:i/>
                <w:iCs/>
              </w:rPr>
            </m:ctrlPr>
          </m:sub>
        </m:sSub>
      </m:oMath>
      <w:r>
        <w:rPr>
          <w:rFonts w:hint="eastAsia" w:hAnsi="宋体" w:cs="宋体"/>
          <w:highlight w:val="none"/>
        </w:rPr>
        <w:t>——第i</w:t>
      </w:r>
      <w:r>
        <w:rPr>
          <w:rFonts w:hint="eastAsia" w:hAnsi="宋体" w:cs="宋体"/>
          <w:highlight w:val="none"/>
          <w:lang w:val="en-US" w:eastAsia="zh-CN"/>
        </w:rPr>
        <w:t>类产品数量</w:t>
      </w:r>
      <w:r>
        <w:rPr>
          <w:rFonts w:hint="eastAsia" w:hAnsi="宋体" w:cs="宋体"/>
          <w:highlight w:val="none"/>
        </w:rPr>
        <w:t>。</w:t>
      </w:r>
    </w:p>
    <w:p>
      <w:pPr>
        <w:pStyle w:val="64"/>
        <w:tabs>
          <w:tab w:val="center" w:pos="4201"/>
          <w:tab w:val="right" w:leader="dot" w:pos="9298"/>
        </w:tabs>
        <w:rPr>
          <w:rFonts w:hint="eastAsia" w:hAnsi="宋体" w:cs="宋体"/>
          <w:highlight w:val="none"/>
          <w:lang w:val="en-US" w:eastAsia="zh-CN"/>
        </w:rPr>
      </w:pPr>
      <w:r>
        <w:rPr>
          <w:rFonts w:hint="eastAsia" w:hAnsi="宋体" w:cs="宋体"/>
          <w:highlight w:val="none"/>
          <w:lang w:val="en-US" w:eastAsia="zh-CN"/>
        </w:rPr>
        <w:t>碳减排量</w:t>
      </w:r>
    </w:p>
    <w:p>
      <w:pPr>
        <w:pStyle w:val="24"/>
        <w:rPr>
          <w:rFonts w:hint="default" w:hAnsi="宋体" w:cs="宋体"/>
          <w:highlight w:val="none"/>
          <w:lang w:val="en-US" w:eastAsia="zh-CN"/>
        </w:rPr>
      </w:pPr>
      <w:r>
        <w:rPr>
          <w:rFonts w:hint="eastAsia" w:hAnsi="宋体" w:cs="宋体"/>
          <w:highlight w:val="none"/>
          <w:lang w:val="en-US" w:eastAsia="zh-CN"/>
        </w:rPr>
        <w:t>指提供的绿色业务领域相关产品或服务，在采购方应用过程中，因替代化石能源消耗产生的温室气体减排量，折算产生的二氧化碳当量排放减少量。计算公式如下：</w:t>
      </w:r>
    </w:p>
    <w:p>
      <w:pPr>
        <w:pStyle w:val="135"/>
        <w:jc w:val="center"/>
        <w:rPr>
          <w:rFonts w:hAnsi="宋体" w:cs="宋体"/>
          <w:highlight w:val="none"/>
        </w:rPr>
      </w:pPr>
      <m:oMathPara>
        <m:oMath>
          <m:sSub>
            <m:sSubPr>
              <m:ctrlPr>
                <w:rPr>
                  <w:rFonts w:hint="eastAsia" w:ascii="Cambria Math" w:hAnsi="Cambria Math" w:cs="宋体"/>
                  <w:i/>
                </w:rPr>
              </m:ctrlPr>
            </m:sSubPr>
            <m:e>
              <m:r>
                <m:rPr/>
                <w:rPr>
                  <w:rFonts w:hint="default" w:ascii="Cambria Math" w:hAnsi="Cambria Math" w:cs="宋体"/>
                  <w:lang w:val="en-US" w:eastAsia="zh-CN"/>
                </w:rPr>
                <m:t>Q</m:t>
              </m:r>
              <m:ctrlPr>
                <w:rPr>
                  <w:rFonts w:hint="eastAsia" w:ascii="Cambria Math" w:hAnsi="Cambria Math" w:cs="宋体"/>
                  <w:i/>
                </w:rPr>
              </m:ctrlPr>
            </m:e>
            <m:sub>
              <m:sSub>
                <m:sSubPr>
                  <m:ctrlPr>
                    <w:rPr>
                      <w:rFonts w:hint="eastAsia" w:ascii="Cambria Math" w:hAnsi="Cambria Math" w:cs="宋体"/>
                      <w:i/>
                    </w:rPr>
                  </m:ctrlPr>
                </m:sSubPr>
                <m:e>
                  <m:r>
                    <m:rPr/>
                    <w:rPr>
                      <w:rFonts w:hint="default" w:ascii="Cambria Math" w:hAnsi="Cambria Math" w:cs="宋体"/>
                      <w:lang w:val="en-US" w:eastAsia="zh-CN"/>
                    </w:rPr>
                    <m:t>CO</m:t>
                  </m:r>
                  <m:ctrlPr>
                    <w:rPr>
                      <w:rFonts w:hint="eastAsia" w:ascii="Cambria Math" w:hAnsi="Cambria Math" w:cs="宋体"/>
                      <w:i/>
                    </w:rPr>
                  </m:ctrlPr>
                </m:e>
                <m:sub>
                  <m:r>
                    <m:rPr/>
                    <w:rPr>
                      <w:rFonts w:hint="default" w:ascii="Cambria Math" w:hAnsi="Cambria Math" w:cs="宋体"/>
                      <w:lang w:val="en-US" w:eastAsia="zh-CN"/>
                    </w:rPr>
                    <m:t>2</m:t>
                  </m:r>
                  <m:ctrlPr>
                    <w:rPr>
                      <w:rFonts w:hint="eastAsia" w:ascii="Cambria Math" w:hAnsi="Cambria Math" w:cs="宋体"/>
                      <w:i/>
                    </w:rPr>
                  </m:ctrlPr>
                </m:sub>
              </m:sSub>
              <m:r>
                <m:rPr/>
                <w:rPr>
                  <w:rFonts w:hint="default" w:ascii="Cambria Math" w:hAnsi="Cambria Math" w:cs="宋体"/>
                  <w:lang w:val="en-US" w:eastAsia="zh-CN"/>
                </w:rPr>
                <m:t>e</m:t>
              </m:r>
              <m:ctrlPr>
                <w:rPr>
                  <w:rFonts w:hint="eastAsia" w:ascii="Cambria Math" w:hAnsi="Cambria Math" w:cs="宋体"/>
                  <w:i/>
                </w:rPr>
              </m:ctrlPr>
            </m:sub>
          </m:sSub>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lang w:eastAsia="zh-CN"/>
                    </w:rPr>
                    <m:t>（</m:t>
                  </m:r>
                  <m:r>
                    <m:rPr/>
                    <w:rPr>
                      <w:rFonts w:hint="default" w:ascii="Cambria Math" w:hAnsi="Cambria Math" w:cs="宋体"/>
                      <w:lang w:val="en-US" w:eastAsia="zh-CN"/>
                    </w:rPr>
                    <m:t>E</m:t>
                  </m:r>
                  <m:ctrlPr>
                    <w:rPr>
                      <w:rFonts w:hint="eastAsia" w:ascii="Cambria Math" w:hAnsi="Cambria Math" w:cs="宋体"/>
                      <w:i/>
                      <w:iCs/>
                    </w:rPr>
                  </m:ctrlPr>
                </m:e>
                <m:sub>
                  <m:r>
                    <m:rPr/>
                    <w:rPr>
                      <w:rFonts w:hint="default" w:ascii="Cambria Math" w:hAnsi="Cambria Math" w:cs="宋体"/>
                      <w:lang w:val="en-US" w:eastAsia="zh-CN"/>
                    </w:rPr>
                    <m:t>0</m:t>
                  </m:r>
                  <m:ctrlPr>
                    <w:rPr>
                      <w:rFonts w:hint="eastAsia" w:ascii="Cambria Math" w:hAnsi="Cambria Math" w:cs="宋体"/>
                      <w:i/>
                      <w:iCs/>
                    </w:rPr>
                  </m:ctrlPr>
                </m:sub>
              </m:sSub>
              <m:r>
                <m:rPr/>
                <w:rPr>
                  <w:rFonts w:hint="default" w:ascii="Cambria Math" w:hAnsi="Cambria Math" w:cs="宋体"/>
                  <w:lang w:val="en-US" w:eastAsia="zh-CN"/>
                </w:rPr>
                <m:t>−</m:t>
              </m:r>
              <m:sSub>
                <m:sSubPr>
                  <m:ctrlPr>
                    <w:rPr>
                      <w:rFonts w:hint="default" w:ascii="Cambria Math" w:hAnsi="Cambria Math" w:cs="宋体"/>
                      <w:i/>
                      <w:iCs/>
                      <w:lang w:val="en-US" w:eastAsia="zh-CN"/>
                    </w:rPr>
                  </m:ctrlPr>
                </m:sSubPr>
                <m:e>
                  <m:r>
                    <m:rPr/>
                    <w:rPr>
                      <w:rFonts w:hint="default" w:ascii="Cambria Math" w:hAnsi="Cambria Math" w:cs="宋体"/>
                      <w:lang w:val="en-US" w:eastAsia="zh-CN"/>
                    </w:rPr>
                    <m:t>E</m:t>
                  </m:r>
                  <m:ctrlPr>
                    <w:rPr>
                      <w:rFonts w:hint="default" w:ascii="Cambria Math" w:hAnsi="Cambria Math" w:cs="宋体"/>
                      <w:i/>
                      <w:iCs/>
                      <w:lang w:val="en-US" w:eastAsia="zh-CN"/>
                    </w:rPr>
                  </m:ctrlPr>
                </m:e>
                <m:sub>
                  <m:r>
                    <m:rPr/>
                    <w:rPr>
                      <w:rFonts w:hint="default" w:ascii="Cambria Math" w:hAnsi="Cambria Math" w:cs="宋体"/>
                      <w:lang w:val="en-US" w:eastAsia="zh-CN"/>
                    </w:rPr>
                    <m:t>1</m:t>
                  </m:r>
                  <m:ctrlPr>
                    <w:rPr>
                      <w:rFonts w:hint="default" w:ascii="Cambria Math" w:hAnsi="Cambria Math" w:cs="宋体"/>
                      <w:i/>
                      <w:iCs/>
                      <w:lang w:val="en-US" w:eastAsia="zh-CN"/>
                    </w:rPr>
                  </m:ctrlPr>
                </m:sub>
              </m:sSub>
              <m:r>
                <m:rPr>
                  <m:sty m:val="p"/>
                </m:rPr>
                <w:rPr>
                  <w:rFonts w:hint="eastAsia" w:ascii="Cambria Math" w:hAnsi="Cambria Math" w:cs="宋体"/>
                  <w:lang w:val="en-US" w:eastAsia="zh-CN"/>
                </w:rPr>
                <m:t>）</m:t>
              </m:r>
              <m:r>
                <m:rPr/>
                <w:rPr>
                  <w:rFonts w:hint="eastAsia" w:ascii="Cambria Math" w:hAnsi="Cambria Math" w:cs="宋体"/>
                </w:rPr>
                <m:t>×</m:t>
              </m:r>
              <m:sSub>
                <m:sSubPr>
                  <m:ctrlPr>
                    <w:rPr>
                      <w:rFonts w:hint="eastAsia" w:ascii="Cambria Math" w:hAnsi="Cambria Math" w:cs="宋体"/>
                      <w:i/>
                      <w:iCs/>
                    </w:rPr>
                  </m:ctrlPr>
                </m:sSubPr>
                <m:e>
                  <m:r>
                    <m:rPr/>
                    <w:rPr>
                      <w:rFonts w:hint="default" w:ascii="Cambria Math" w:hAnsi="Cambria Math" w:cs="宋体"/>
                      <w:lang w:val="en-US" w:eastAsia="zh-CN"/>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35"/>
        <w:ind w:firstLine="420" w:firstLineChars="200"/>
        <w:rPr>
          <w:rFonts w:hAnsi="宋体" w:cs="宋体"/>
          <w:highlight w:val="none"/>
        </w:rPr>
      </w:pPr>
      <w:r>
        <w:rPr>
          <w:rFonts w:hint="eastAsia" w:hAnsi="宋体" w:cs="宋体"/>
          <w:highlight w:val="none"/>
        </w:rPr>
        <w:t>式中：</w:t>
      </w:r>
    </w:p>
    <w:p>
      <w:pPr>
        <w:pStyle w:val="135"/>
        <w:ind w:firstLine="420" w:firstLineChars="200"/>
        <w:rPr>
          <w:rFonts w:hAnsi="宋体" w:cs="宋体"/>
          <w:highlight w:val="none"/>
        </w:rPr>
      </w:pPr>
      <m:oMath>
        <m:sSub>
          <m:sSubPr>
            <m:ctrlPr>
              <w:rPr>
                <w:rFonts w:hint="eastAsia" w:ascii="Cambria Math" w:hAnsi="Cambria Math" w:cs="宋体"/>
                <w:i/>
              </w:rPr>
            </m:ctrlPr>
          </m:sSubPr>
          <m:e>
            <m:r>
              <m:rPr/>
              <w:rPr>
                <w:rFonts w:hint="default" w:ascii="Cambria Math" w:hAnsi="Cambria Math" w:cs="宋体"/>
                <w:lang w:val="en-US" w:eastAsia="zh-CN"/>
              </w:rPr>
              <m:t>Q</m:t>
            </m:r>
            <m:ctrlPr>
              <w:rPr>
                <w:rFonts w:hint="eastAsia" w:ascii="Cambria Math" w:hAnsi="Cambria Math" w:cs="宋体"/>
                <w:i/>
              </w:rPr>
            </m:ctrlPr>
          </m:e>
          <m:sub>
            <m:sSub>
              <m:sSubPr>
                <m:ctrlPr>
                  <w:rPr>
                    <w:rFonts w:hint="eastAsia" w:ascii="Cambria Math" w:hAnsi="Cambria Math" w:cs="宋体"/>
                    <w:i/>
                  </w:rPr>
                </m:ctrlPr>
              </m:sSubPr>
              <m:e>
                <m:r>
                  <m:rPr/>
                  <w:rPr>
                    <w:rFonts w:hint="default" w:ascii="Cambria Math" w:hAnsi="Cambria Math" w:cs="宋体"/>
                    <w:lang w:val="en-US" w:eastAsia="zh-CN"/>
                  </w:rPr>
                  <m:t>CO</m:t>
                </m:r>
                <m:ctrlPr>
                  <w:rPr>
                    <w:rFonts w:hint="eastAsia" w:ascii="Cambria Math" w:hAnsi="Cambria Math" w:cs="宋体"/>
                    <w:i/>
                  </w:rPr>
                </m:ctrlPr>
              </m:e>
              <m:sub>
                <m:r>
                  <m:rPr/>
                  <w:rPr>
                    <w:rFonts w:hint="default" w:ascii="Cambria Math" w:hAnsi="Cambria Math" w:cs="宋体"/>
                    <w:lang w:val="en-US" w:eastAsia="zh-CN"/>
                  </w:rPr>
                  <m:t>2</m:t>
                </m:r>
                <m:ctrlPr>
                  <w:rPr>
                    <w:rFonts w:hint="eastAsia" w:ascii="Cambria Math" w:hAnsi="Cambria Math" w:cs="宋体"/>
                    <w:i/>
                  </w:rPr>
                </m:ctrlPr>
              </m:sub>
            </m:sSub>
            <m:r>
              <m:rPr/>
              <w:rPr>
                <w:rFonts w:hint="default" w:ascii="Cambria Math" w:hAnsi="Cambria Math" w:cs="宋体"/>
                <w:lang w:val="en-US" w:eastAsia="zh-CN"/>
              </w:rPr>
              <m:t>e</m:t>
            </m:r>
            <m:ctrlPr>
              <w:rPr>
                <w:rFonts w:hint="eastAsia" w:ascii="Cambria Math" w:hAnsi="Cambria Math" w:cs="宋体"/>
                <w:i/>
              </w:rPr>
            </m:ctrlPr>
          </m:sub>
        </m:sSub>
      </m:oMath>
      <w:r>
        <w:rPr>
          <w:rFonts w:hint="eastAsia" w:hAnsi="宋体" w:cs="宋体"/>
          <w:highlight w:val="none"/>
        </w:rPr>
        <w:t>——</w:t>
      </w:r>
      <w:r>
        <w:rPr>
          <w:rFonts w:hint="eastAsia" w:hAnsi="宋体" w:cs="宋体"/>
          <w:highlight w:val="none"/>
          <w:lang w:val="en-US" w:eastAsia="zh-CN"/>
        </w:rPr>
        <w:t>二氧化碳当量排放减少量，吨二氧化碳当量/年</w:t>
      </w:r>
      <w:r>
        <w:rPr>
          <w:rFonts w:hint="eastAsia" w:hAnsi="宋体" w:cs="宋体"/>
          <w:highlight w:val="none"/>
        </w:rPr>
        <w:t>；</w:t>
      </w:r>
    </w:p>
    <w:p>
      <w:pPr>
        <w:pStyle w:val="135"/>
        <w:ind w:firstLine="420" w:firstLineChars="200"/>
        <w:rPr>
          <w:rFonts w:hAnsi="宋体" w:cs="宋体"/>
          <w:highlight w:val="none"/>
        </w:rPr>
      </w:pPr>
      <m:oMath>
        <m:sSub>
          <m:sSubPr>
            <m:ctrlPr>
              <w:rPr>
                <w:rFonts w:hint="eastAsia" w:ascii="Cambria Math" w:hAnsi="Cambria Math" w:cs="宋体"/>
                <w:i/>
                <w:iCs/>
              </w:rPr>
            </m:ctrlPr>
          </m:sSubPr>
          <m:e>
            <m:r>
              <m:rPr/>
              <w:rPr>
                <w:rFonts w:hint="default" w:ascii="Cambria Math" w:hAnsi="Cambria Math" w:cs="宋体"/>
                <w:lang w:val="en-US" w:eastAsia="zh-CN"/>
              </w:rPr>
              <m:t>E</m:t>
            </m:r>
            <m:ctrlPr>
              <w:rPr>
                <w:rFonts w:hint="eastAsia" w:ascii="Cambria Math" w:hAnsi="Cambria Math" w:cs="宋体"/>
                <w:i/>
                <w:iCs/>
              </w:rPr>
            </m:ctrlPr>
          </m:e>
          <m:sub>
            <m:r>
              <m:rPr/>
              <w:rPr>
                <w:rFonts w:hint="default" w:ascii="Cambria Math" w:hAnsi="Cambria Math" w:cs="宋体"/>
                <w:lang w:val="en-US" w:eastAsia="zh-CN"/>
              </w:rPr>
              <m:t>0</m:t>
            </m:r>
            <m:ctrlPr>
              <w:rPr>
                <w:rFonts w:hint="eastAsia" w:ascii="Cambria Math" w:hAnsi="Cambria Math" w:cs="宋体"/>
                <w:i/>
                <w:iCs/>
              </w:rPr>
            </m:ctrlPr>
          </m:sub>
        </m:sSub>
      </m:oMath>
      <w:r>
        <w:rPr>
          <w:rFonts w:hint="eastAsia" w:hAnsi="宋体" w:cs="宋体"/>
          <w:highlight w:val="none"/>
        </w:rPr>
        <w:t>——</w:t>
      </w:r>
      <w:r>
        <w:rPr>
          <w:rFonts w:hint="eastAsia" w:hAnsi="宋体" w:cs="宋体"/>
          <w:highlight w:val="none"/>
          <w:lang w:val="en-US" w:eastAsia="zh-CN"/>
        </w:rPr>
        <w:t>绿色业务领域相关产品或服务应用前设备二氧化碳排放水平，吨二氧化碳当量/年</w:t>
      </w:r>
      <w:r>
        <w:rPr>
          <w:rFonts w:hint="eastAsia" w:hAnsi="宋体" w:cs="宋体"/>
          <w:highlight w:val="none"/>
        </w:rPr>
        <w:t>；</w:t>
      </w:r>
    </w:p>
    <w:p>
      <w:pPr>
        <w:pStyle w:val="135"/>
        <w:ind w:firstLine="420" w:firstLineChars="200"/>
        <w:rPr>
          <w:rFonts w:hint="eastAsia" w:hAnsi="Cambria Math" w:cs="宋体"/>
          <w:i w:val="0"/>
          <w:highlight w:val="none"/>
        </w:rPr>
      </w:pPr>
      <m:oMath>
        <m:sSub>
          <m:sSubPr>
            <m:ctrlPr>
              <w:rPr>
                <w:rFonts w:hint="eastAsia" w:ascii="Cambria Math" w:hAnsi="Cambria Math" w:cs="宋体"/>
                <w:i/>
                <w:iCs/>
              </w:rPr>
            </m:ctrlPr>
          </m:sSubPr>
          <m:e>
            <m:r>
              <m:rPr/>
              <w:rPr>
                <w:rFonts w:hint="default" w:ascii="Cambria Math" w:hAnsi="Cambria Math" w:cs="宋体"/>
                <w:lang w:val="en-US" w:eastAsia="zh-CN"/>
              </w:rPr>
              <m:t>E</m:t>
            </m:r>
            <m:ctrlPr>
              <w:rPr>
                <w:rFonts w:hint="eastAsia" w:ascii="Cambria Math" w:hAnsi="Cambria Math" w:cs="宋体"/>
                <w:i/>
                <w:iCs/>
              </w:rPr>
            </m:ctrlPr>
          </m:e>
          <m:sub>
            <m:r>
              <m:rPr/>
              <w:rPr>
                <w:rFonts w:hint="default" w:ascii="Cambria Math" w:hAnsi="Cambria Math" w:cs="宋体"/>
                <w:lang w:val="en-US" w:eastAsia="zh-CN"/>
              </w:rPr>
              <m:t>1</m:t>
            </m:r>
            <m:ctrlPr>
              <w:rPr>
                <w:rFonts w:hint="eastAsia" w:ascii="Cambria Math" w:hAnsi="Cambria Math" w:cs="宋体"/>
                <w:i/>
                <w:iCs/>
              </w:rPr>
            </m:ctrlPr>
          </m:sub>
        </m:sSub>
      </m:oMath>
      <w:r>
        <w:rPr>
          <w:rFonts w:hint="eastAsia" w:hAnsi="Cambria Math" w:cs="宋体"/>
          <w:i w:val="0"/>
          <w:highlight w:val="none"/>
        </w:rPr>
        <w:t>——</w:t>
      </w:r>
      <w:r>
        <w:rPr>
          <w:rFonts w:hint="eastAsia" w:hAnsi="Cambria Math" w:cs="宋体"/>
          <w:i w:val="0"/>
          <w:highlight w:val="none"/>
          <w:lang w:val="en-US" w:eastAsia="zh-CN"/>
        </w:rPr>
        <w:t>绿色业务领域相关产品或服务应用后设备</w:t>
      </w:r>
      <w:r>
        <w:rPr>
          <w:rFonts w:hint="eastAsia" w:hAnsi="宋体" w:cs="宋体"/>
          <w:highlight w:val="none"/>
          <w:lang w:val="en-US" w:eastAsia="zh-CN"/>
        </w:rPr>
        <w:t>二氧化碳排放</w:t>
      </w:r>
      <w:r>
        <w:rPr>
          <w:rFonts w:hint="eastAsia" w:hAnsi="Cambria Math" w:cs="宋体"/>
          <w:i w:val="0"/>
          <w:highlight w:val="none"/>
          <w:lang w:val="en-US" w:eastAsia="zh-CN"/>
        </w:rPr>
        <w:t>水平，</w:t>
      </w:r>
      <w:r>
        <w:rPr>
          <w:rFonts w:hint="eastAsia" w:hAnsi="宋体" w:cs="宋体"/>
          <w:highlight w:val="none"/>
          <w:lang w:val="en-US" w:eastAsia="zh-CN"/>
        </w:rPr>
        <w:t>吨二氧化碳当量/年</w:t>
      </w:r>
      <w:r>
        <w:rPr>
          <w:rFonts w:hint="eastAsia" w:hAnsi="Cambria Math" w:cs="宋体"/>
          <w:i w:val="0"/>
          <w:highlight w:val="none"/>
        </w:rPr>
        <w:t>；</w:t>
      </w:r>
    </w:p>
    <w:p>
      <w:pPr>
        <w:pStyle w:val="135"/>
        <w:ind w:firstLine="420" w:firstLineChars="200"/>
        <w:rPr>
          <w:rFonts w:hint="default"/>
          <w:highlight w:val="none"/>
          <w:lang w:val="en-US" w:eastAsia="zh-CN"/>
        </w:rPr>
      </w:pPr>
      <m:oMath>
        <m:sSub>
          <m:sSubPr>
            <m:ctrlPr>
              <w:rPr>
                <w:rFonts w:hint="eastAsia" w:ascii="Cambria Math" w:hAnsi="Cambria Math" w:cs="宋体"/>
                <w:i/>
                <w:iCs/>
              </w:rPr>
            </m:ctrlPr>
          </m:sSubPr>
          <m:e>
            <m:r>
              <m:rPr/>
              <w:rPr>
                <w:rFonts w:hint="default" w:ascii="Cambria Math" w:hAnsi="Cambria Math" w:cs="宋体"/>
                <w:lang w:val="en-US" w:eastAsia="zh-CN"/>
              </w:rPr>
              <m:t>D</m:t>
            </m:r>
            <m:ctrlPr>
              <w:rPr>
                <w:rFonts w:hint="eastAsia" w:ascii="Cambria Math" w:hAnsi="Cambria Math" w:cs="宋体"/>
                <w:i/>
                <w:iCs/>
              </w:rPr>
            </m:ctrlPr>
          </m:e>
          <m:sub>
            <m:r>
              <m:rPr/>
              <w:rPr>
                <w:rFonts w:hint="default" w:ascii="Cambria Math" w:hAnsi="Cambria Math" w:cs="宋体"/>
                <w:lang w:val="en-US" w:eastAsia="zh-CN"/>
              </w:rPr>
              <m:t>i</m:t>
            </m:r>
            <m:ctrlPr>
              <w:rPr>
                <w:rFonts w:hint="eastAsia" w:ascii="Cambria Math" w:hAnsi="Cambria Math" w:cs="宋体"/>
                <w:i/>
                <w:iCs/>
              </w:rPr>
            </m:ctrlPr>
          </m:sub>
        </m:sSub>
      </m:oMath>
      <w:r>
        <w:rPr>
          <w:rFonts w:hint="eastAsia" w:hAnsi="宋体" w:cs="宋体"/>
          <w:highlight w:val="none"/>
        </w:rPr>
        <w:t>——第i</w:t>
      </w:r>
      <w:r>
        <w:rPr>
          <w:rFonts w:hint="eastAsia" w:hAnsi="宋体" w:cs="宋体"/>
          <w:highlight w:val="none"/>
          <w:lang w:val="en-US" w:eastAsia="zh-CN"/>
        </w:rPr>
        <w:t>类产品数量</w:t>
      </w:r>
      <w:r>
        <w:rPr>
          <w:rFonts w:hint="eastAsia" w:hAnsi="宋体" w:cs="宋体"/>
          <w:highlight w:val="none"/>
        </w:rPr>
        <w:t>。</w:t>
      </w:r>
    </w:p>
    <w:p>
      <w:pPr>
        <w:pStyle w:val="63"/>
        <w:spacing w:before="156" w:after="156"/>
        <w:rPr>
          <w:rFonts w:ascii="Times New Roman"/>
          <w:highlight w:val="none"/>
        </w:rPr>
      </w:pPr>
      <w:r>
        <w:rPr>
          <w:rFonts w:hint="eastAsia" w:ascii="Times New Roman"/>
          <w:highlight w:val="none"/>
        </w:rPr>
        <w:t>资源综合利用效益</w:t>
      </w:r>
    </w:p>
    <w:p>
      <w:pPr>
        <w:pStyle w:val="24"/>
        <w:rPr>
          <w:rFonts w:hAnsi="宋体" w:cs="宋体"/>
          <w:highlight w:val="none"/>
        </w:rPr>
      </w:pPr>
      <w:r>
        <w:rPr>
          <w:rFonts w:hint="eastAsia" w:ascii="Times New Roman"/>
          <w:highlight w:val="none"/>
        </w:rPr>
        <w:t>资源综合利用效益可从固体废弃物循环利用量</w:t>
      </w:r>
      <w:r>
        <w:rPr>
          <w:rFonts w:hint="eastAsia" w:ascii="Times New Roman"/>
          <w:highlight w:val="none"/>
          <w:lang w:eastAsia="zh-CN"/>
        </w:rPr>
        <w:t>、</w:t>
      </w:r>
      <w:r>
        <w:rPr>
          <w:rFonts w:hint="eastAsia" w:ascii="Times New Roman"/>
          <w:highlight w:val="none"/>
        </w:rPr>
        <w:t>水资源循环利用量进行评估，</w:t>
      </w:r>
      <w:r>
        <w:rPr>
          <w:rFonts w:hint="eastAsia" w:hAnsi="宋体" w:cs="宋体"/>
          <w:highlight w:val="none"/>
        </w:rPr>
        <w:t>指提供的绿色业务领域相关产品或服务，在采购方应用过程中，产生的固体、液体、气体物质循环利用的总量。计算公式如下：</w:t>
      </w:r>
    </w:p>
    <w:p>
      <w:pPr>
        <w:pStyle w:val="135"/>
        <w:jc w:val="center"/>
        <w:rPr>
          <w:rFonts w:hAnsi="宋体" w:cs="宋体"/>
        </w:rPr>
      </w:pPr>
      <m:oMath>
        <m:r>
          <m:rPr>
            <m:sty m:val="p"/>
          </m:rPr>
          <w:rPr>
            <w:rFonts w:hint="eastAsia" w:ascii="Cambria Math" w:hAnsi="Cambria Math" w:cs="宋体"/>
          </w:rPr>
          <m:t>△</m:t>
        </m:r>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oMath>
      <w:r>
        <w:rPr>
          <w:rFonts w:hint="eastAsia" w:hAnsi="Cambria Math" w:cs="宋体"/>
        </w:rPr>
        <w:t>=</w:t>
      </w:r>
      <m:oMath>
        <m:sSub>
          <m:sSubPr>
            <m:ctrlPr>
              <w:rPr>
                <w:rFonts w:hint="eastAsia" w:ascii="Cambria Math" w:hAnsi="Cambria Math" w:cs="宋体"/>
                <w:i/>
                <w:iCs/>
              </w:rPr>
            </m:ctrlPr>
          </m:sSubPr>
          <m:e>
            <m:r>
              <m:rPr/>
              <w:rPr>
                <w:rFonts w:ascii="Cambria Math" w:hAnsi="Cambria Math" w:cs="宋体"/>
              </w:rPr>
              <m:t>E'</m:t>
            </m:r>
            <m:ctrlPr>
              <w:rPr>
                <w:rFonts w:hint="eastAsia" w:ascii="Cambria Math" w:hAnsi="Cambria Math" w:cs="宋体"/>
                <w:i/>
                <w:iCs/>
              </w:rPr>
            </m:ctrlPr>
          </m:e>
          <m:sub>
            <m:r>
              <m:rPr/>
              <w:rPr>
                <w:rFonts w:ascii="Cambria Math" w:hAnsi="Cambria Math" w:cs="宋体"/>
              </w:rPr>
              <m:t>x</m:t>
            </m:r>
            <m:ctrlPr>
              <w:rPr>
                <w:rFonts w:hint="eastAsia" w:ascii="Cambria Math" w:hAnsi="Cambria Math" w:cs="宋体"/>
                <w:i/>
                <w:iCs/>
              </w:rPr>
            </m:ctrlPr>
          </m:sub>
        </m:sSub>
        <m:r>
          <m:rPr/>
          <w:rPr>
            <w:rFonts w:ascii="Cambria Math" w:hAnsi="Cambria Math" w:cs="宋体"/>
          </w:rPr>
          <m:t>−</m:t>
        </m:r>
        <m:sSub>
          <m:sSubPr>
            <m:ctrlPr>
              <w:rPr>
                <w:rFonts w:ascii="Cambria Math" w:hAnsi="Cambria Math" w:cs="宋体"/>
                <w:i/>
                <w:iCs/>
              </w:rPr>
            </m:ctrlPr>
          </m:sSubPr>
          <m:e>
            <m:r>
              <m:rPr/>
              <w:rPr>
                <w:rFonts w:ascii="Cambria Math" w:hAnsi="Cambria Math" w:cs="宋体"/>
              </w:rPr>
              <m:t>E</m:t>
            </m:r>
            <m:ctrlPr>
              <w:rPr>
                <w:rFonts w:ascii="Cambria Math" w:hAnsi="Cambria Math" w:cs="宋体"/>
                <w:i/>
                <w:iCs/>
              </w:rPr>
            </m:ctrlPr>
          </m:e>
          <m:sub>
            <m:r>
              <m:rPr/>
              <w:rPr>
                <w:rFonts w:ascii="Cambria Math" w:hAnsi="Cambria Math" w:cs="宋体"/>
              </w:rPr>
              <m:t>x</m:t>
            </m:r>
            <m:ctrlPr>
              <w:rPr>
                <w:rFonts w:ascii="Cambria Math" w:hAnsi="Cambria Math" w:cs="宋体"/>
                <w:i/>
                <w:iCs/>
              </w:rPr>
            </m:ctrlPr>
          </m:sub>
        </m:sSub>
      </m:oMath>
    </w:p>
    <w:p>
      <w:pPr>
        <w:pStyle w:val="135"/>
        <w:ind w:firstLine="420" w:firstLineChars="200"/>
        <w:rPr>
          <w:rFonts w:hAnsi="宋体" w:cs="宋体"/>
        </w:rPr>
      </w:pPr>
      <w:r>
        <w:rPr>
          <w:rFonts w:hint="eastAsia" w:hAnsi="宋体" w:cs="宋体"/>
        </w:rPr>
        <w:t>式中：</w:t>
      </w:r>
    </w:p>
    <w:p>
      <w:pPr>
        <w:pStyle w:val="135"/>
        <w:ind w:firstLine="420" w:firstLineChars="200"/>
        <w:rPr>
          <w:rFonts w:hAnsi="宋体" w:cs="宋体"/>
        </w:rPr>
      </w:pPr>
      <m:oMath>
        <m:sSub>
          <m:sSubPr>
            <m:ctrlPr>
              <w:rPr>
                <w:rFonts w:hint="eastAsia" w:ascii="Cambria Math" w:hAnsi="Cambria Math" w:cs="宋体"/>
                <w:i/>
              </w:rPr>
            </m:ctrlPr>
          </m:sSubPr>
          <m:e>
            <m:r>
              <m:rPr>
                <m:sty m:val="p"/>
              </m:rPr>
              <w:rPr>
                <w:rFonts w:hint="eastAsia" w:ascii="Cambria Math" w:hAnsi="Cambria Math" w:cs="宋体"/>
              </w:rPr>
              <m:t>△</m:t>
            </m:r>
            <m:r>
              <m:rPr/>
              <w:rPr>
                <w:rFonts w:ascii="Cambria Math" w:hAnsi="Cambria Math" w:cs="宋体"/>
              </w:rPr>
              <m:t>M</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oMath>
      <w:r>
        <w:rPr>
          <w:rFonts w:hint="eastAsia" w:hAnsi="宋体" w:cs="宋体"/>
        </w:rPr>
        <w:t>——物质循环利用增量，吨/年；</w:t>
      </w:r>
    </w:p>
    <w:p>
      <w:pPr>
        <w:pStyle w:val="135"/>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E'</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oMath>
      <w:r>
        <w:rPr>
          <w:rFonts w:hint="eastAsia" w:hAnsi="宋体" w:cs="宋体"/>
        </w:rPr>
        <w:t>——使用本产品或服务前物质循环利用水平，吨/年；</w:t>
      </w:r>
    </w:p>
    <w:p>
      <w:pPr>
        <w:pStyle w:val="135"/>
        <w:ind w:firstLine="420" w:firstLineChars="200"/>
        <w:rPr>
          <w:rFonts w:hint="eastAsia" w:hAnsi="Cambria Math" w:eastAsia="宋体" w:cs="宋体"/>
          <w:lang w:val="en-US" w:eastAsia="zh-CN"/>
        </w:rPr>
      </w:pPr>
      <m:oMath>
        <m:sSub>
          <m:sSubPr>
            <m:ctrlPr>
              <w:rPr>
                <w:rFonts w:hint="eastAsia" w:ascii="Cambria Math" w:hAnsi="Cambria Math" w:cs="宋体"/>
              </w:rPr>
            </m:ctrlPr>
          </m:sSubPr>
          <m:e>
            <m:r>
              <m:rPr/>
              <w:rPr>
                <w:rFonts w:ascii="Cambria Math" w:hAnsi="Cambria Math" w:cs="宋体"/>
              </w:rPr>
              <m:t>E</m:t>
            </m:r>
            <m:ctrlPr>
              <w:rPr>
                <w:rFonts w:hint="eastAsia" w:ascii="Cambria Math" w:hAnsi="Cambria Math" w:cs="宋体"/>
              </w:rPr>
            </m:ctrlPr>
          </m:e>
          <m:sub>
            <m:r>
              <m:rPr>
                <m:sty m:val="p"/>
              </m:rPr>
              <w:rPr>
                <w:rFonts w:hint="eastAsia" w:ascii="Cambria Math" w:hAnsi="Cambria Math" w:cs="宋体"/>
              </w:rPr>
              <m:t>x</m:t>
            </m:r>
            <m:ctrlPr>
              <w:rPr>
                <w:rFonts w:hint="eastAsia" w:ascii="Cambria Math" w:hAnsi="Cambria Math" w:cs="宋体"/>
              </w:rPr>
            </m:ctrlPr>
          </m:sub>
        </m:sSub>
      </m:oMath>
      <w:r>
        <w:rPr>
          <w:rFonts w:hint="eastAsia" w:hAnsi="Cambria Math" w:cs="宋体"/>
        </w:rPr>
        <w:t>——使用本产品或服务后</w:t>
      </w:r>
      <w:r>
        <w:rPr>
          <w:rFonts w:hint="eastAsia" w:hAnsi="宋体" w:cs="宋体"/>
        </w:rPr>
        <w:t>物质循环利用</w:t>
      </w:r>
      <w:r>
        <w:rPr>
          <w:rFonts w:hint="eastAsia" w:hAnsi="Cambria Math" w:cs="宋体"/>
        </w:rPr>
        <w:t>水平，吨/年</w:t>
      </w:r>
      <w:r>
        <w:rPr>
          <w:rFonts w:hint="eastAsia" w:hAnsi="Cambria Math" w:cs="宋体"/>
          <w:lang w:eastAsia="zh-CN"/>
        </w:rPr>
        <w:t>。</w:t>
      </w:r>
    </w:p>
    <w:p>
      <w:pPr>
        <w:pStyle w:val="54"/>
        <w:spacing w:before="156" w:after="156"/>
        <w:rPr>
          <w:rFonts w:ascii="Times New Roman"/>
          <w:highlight w:val="none"/>
        </w:rPr>
      </w:pPr>
      <w:r>
        <w:rPr>
          <w:rFonts w:ascii="Times New Roman"/>
          <w:highlight w:val="none"/>
        </w:rPr>
        <w:t>业务表现</w:t>
      </w:r>
    </w:p>
    <w:p>
      <w:pPr>
        <w:pStyle w:val="59"/>
        <w:numPr>
          <w:ilvl w:val="3"/>
          <w:numId w:val="2"/>
        </w:numPr>
        <w:spacing w:before="156" w:after="156"/>
        <w:rPr>
          <w:rFonts w:ascii="Times New Roman"/>
          <w:highlight w:val="none"/>
        </w:rPr>
      </w:pPr>
      <w:r>
        <w:rPr>
          <w:rFonts w:ascii="Times New Roman"/>
          <w:highlight w:val="none"/>
        </w:rPr>
        <w:t>发展能力</w:t>
      </w:r>
    </w:p>
    <w:p>
      <w:pPr>
        <w:pStyle w:val="63"/>
        <w:spacing w:before="156" w:after="156"/>
        <w:rPr>
          <w:rFonts w:ascii="Times New Roman"/>
          <w:highlight w:val="none"/>
        </w:rPr>
      </w:pPr>
      <w:r>
        <w:rPr>
          <w:rFonts w:ascii="Times New Roman"/>
          <w:highlight w:val="none"/>
        </w:rPr>
        <w:t>团队技术实力</w:t>
      </w:r>
    </w:p>
    <w:p>
      <w:pPr>
        <w:pStyle w:val="24"/>
        <w:rPr>
          <w:rFonts w:hAnsi="宋体" w:cs="宋体"/>
          <w:highlight w:val="none"/>
        </w:rPr>
      </w:pPr>
      <w:r>
        <w:rPr>
          <w:rFonts w:hint="eastAsia" w:hAnsi="宋体" w:cs="宋体"/>
          <w:highlight w:val="none"/>
        </w:rPr>
        <w:t>团队技术实力从专业覆盖面、学历职称、相关工作年限等方面进行综合评价。具体评分规则见表1</w:t>
      </w:r>
      <w:r>
        <w:rPr>
          <w:rFonts w:hint="eastAsia" w:hAnsi="宋体" w:cs="宋体"/>
          <w:highlight w:val="none"/>
          <w:lang w:val="en-US" w:eastAsia="zh-CN"/>
        </w:rPr>
        <w:t>0</w:t>
      </w:r>
      <w:r>
        <w:rPr>
          <w:rFonts w:hint="eastAsia" w:hAnsi="宋体" w:cs="宋体"/>
          <w:highlight w:val="none"/>
        </w:rPr>
        <w:t>。</w:t>
      </w:r>
    </w:p>
    <w:p>
      <w:pPr>
        <w:pStyle w:val="134"/>
        <w:rPr>
          <w:rFonts w:ascii="Times New Roman"/>
          <w:highlight w:val="none"/>
        </w:rPr>
      </w:pPr>
      <w:r>
        <w:rPr>
          <w:rFonts w:ascii="Times New Roman"/>
          <w:highlight w:val="none"/>
        </w:rPr>
        <w:t>团队技术实力评分规则表</w:t>
      </w:r>
    </w:p>
    <w:tbl>
      <w:tblPr>
        <w:tblStyle w:val="34"/>
        <w:tblW w:w="8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1023"/>
        <w:gridCol w:w="1023"/>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2" w:type="dxa"/>
            <w:tcBorders>
              <w:top w:val="single" w:color="auto" w:sz="8" w:space="0"/>
              <w:left w:val="single" w:color="auto" w:sz="8" w:space="0"/>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团队技术实力</w:t>
            </w:r>
          </w:p>
        </w:tc>
        <w:tc>
          <w:tcPr>
            <w:tcW w:w="1023" w:type="dxa"/>
            <w:tcBorders>
              <w:top w:val="single" w:color="auto" w:sz="8" w:space="0"/>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基础分值</w:t>
            </w:r>
            <w:r>
              <w:rPr>
                <w:rFonts w:hint="eastAsia" w:ascii="Times New Roman"/>
                <w:b/>
                <w:bCs/>
                <w:sz w:val="18"/>
                <w:szCs w:val="18"/>
                <w:highlight w:val="none"/>
              </w:rPr>
              <w:t>（分）</w:t>
            </w:r>
          </w:p>
        </w:tc>
        <w:tc>
          <w:tcPr>
            <w:tcW w:w="1023" w:type="dxa"/>
            <w:tcBorders>
              <w:top w:val="single" w:color="auto" w:sz="8" w:space="0"/>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最高分值</w:t>
            </w:r>
            <w:r>
              <w:rPr>
                <w:rFonts w:hint="eastAsia" w:ascii="Times New Roman"/>
                <w:b/>
                <w:bCs/>
                <w:sz w:val="18"/>
                <w:szCs w:val="18"/>
                <w:highlight w:val="none"/>
              </w:rPr>
              <w:t>（分）</w:t>
            </w:r>
          </w:p>
        </w:tc>
        <w:tc>
          <w:tcPr>
            <w:tcW w:w="3114" w:type="dxa"/>
            <w:tcBorders>
              <w:top w:val="single" w:color="auto" w:sz="8" w:space="0"/>
              <w:bottom w:val="single" w:color="auto" w:sz="8" w:space="0"/>
              <w:right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加分规则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2" w:type="dxa"/>
            <w:tcBorders>
              <w:top w:val="single" w:color="auto" w:sz="8" w:space="0"/>
              <w:left w:val="single" w:color="auto" w:sz="8" w:space="0"/>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人员配置合理，涵盖所需专业，研发部门中30%以上科研人员从事相关工作达3年或以上年限，至少配备一名高级职称或博士技术人员。</w:t>
            </w:r>
          </w:p>
        </w:tc>
        <w:tc>
          <w:tcPr>
            <w:tcW w:w="1023" w:type="dxa"/>
            <w:tcBorders>
              <w:top w:val="single" w:color="auto" w:sz="8" w:space="0"/>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4</w:t>
            </w:r>
          </w:p>
        </w:tc>
        <w:tc>
          <w:tcPr>
            <w:tcW w:w="1023" w:type="dxa"/>
            <w:tcBorders>
              <w:top w:val="single" w:color="auto" w:sz="8" w:space="0"/>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8</w:t>
            </w:r>
          </w:p>
        </w:tc>
        <w:tc>
          <w:tcPr>
            <w:tcW w:w="3114" w:type="dxa"/>
            <w:vMerge w:val="restart"/>
            <w:tcBorders>
              <w:top w:val="single" w:color="auto" w:sz="8" w:space="0"/>
              <w:right w:val="single" w:color="auto" w:sz="8" w:space="0"/>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每增加一名从事相关技术领域的高级职称或博士技术人员，加0.5分。</w:t>
            </w:r>
          </w:p>
          <w:p>
            <w:pPr>
              <w:pStyle w:val="24"/>
              <w:ind w:firstLine="0" w:firstLineChars="0"/>
              <w:rPr>
                <w:rFonts w:hAnsi="宋体" w:cs="宋体"/>
                <w:sz w:val="18"/>
                <w:szCs w:val="18"/>
                <w:highlight w:val="none"/>
              </w:rPr>
            </w:pPr>
            <w:r>
              <w:rPr>
                <w:rFonts w:hint="eastAsia" w:hAnsi="宋体" w:cs="宋体"/>
                <w:sz w:val="18"/>
                <w:szCs w:val="18"/>
                <w:highlight w:val="none"/>
              </w:rPr>
              <w:t>每增加5%从事相关工作达3年或以上年限的团队人员，加0.5分。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2" w:type="dxa"/>
            <w:tcBorders>
              <w:left w:val="single" w:color="auto" w:sz="8" w:space="0"/>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人员配置基本合理，涵盖所需专业，研发部门中20%以上科研人员从事相关工作达3年或以上年限，至少配备一名高级职称或博士技术人员。</w:t>
            </w:r>
          </w:p>
        </w:tc>
        <w:tc>
          <w:tcPr>
            <w:tcW w:w="1023" w:type="dxa"/>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3</w:t>
            </w:r>
          </w:p>
        </w:tc>
        <w:tc>
          <w:tcPr>
            <w:tcW w:w="1023" w:type="dxa"/>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7</w:t>
            </w:r>
          </w:p>
        </w:tc>
        <w:tc>
          <w:tcPr>
            <w:tcW w:w="3114" w:type="dxa"/>
            <w:vMerge w:val="continue"/>
            <w:tcBorders>
              <w:right w:val="single" w:color="auto" w:sz="8" w:space="0"/>
            </w:tcBorders>
            <w:noWrap w:val="0"/>
            <w:vAlign w:val="center"/>
          </w:tcPr>
          <w:p>
            <w:pPr>
              <w:pStyle w:val="24"/>
              <w:ind w:firstLine="0" w:firstLineChars="0"/>
              <w:rPr>
                <w:rFonts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2" w:type="dxa"/>
            <w:tcBorders>
              <w:left w:val="single" w:color="auto" w:sz="8" w:space="0"/>
              <w:bottom w:val="single" w:color="auto" w:sz="8" w:space="0"/>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人员配置未完全覆盖所需专业，团队实力一般。</w:t>
            </w:r>
          </w:p>
        </w:tc>
        <w:tc>
          <w:tcPr>
            <w:tcW w:w="1023" w:type="dxa"/>
            <w:tcBorders>
              <w:bottom w:val="single" w:color="auto" w:sz="8" w:space="0"/>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w:t>
            </w:r>
          </w:p>
        </w:tc>
        <w:tc>
          <w:tcPr>
            <w:tcW w:w="1023" w:type="dxa"/>
            <w:tcBorders>
              <w:bottom w:val="single" w:color="auto" w:sz="8" w:space="0"/>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3</w:t>
            </w:r>
          </w:p>
        </w:tc>
        <w:tc>
          <w:tcPr>
            <w:tcW w:w="3114" w:type="dxa"/>
            <w:vMerge w:val="continue"/>
            <w:tcBorders>
              <w:bottom w:val="single" w:color="auto" w:sz="8" w:space="0"/>
              <w:right w:val="single" w:color="auto" w:sz="8" w:space="0"/>
            </w:tcBorders>
            <w:noWrap w:val="0"/>
            <w:vAlign w:val="center"/>
          </w:tcPr>
          <w:p>
            <w:pPr>
              <w:pStyle w:val="24"/>
              <w:ind w:firstLine="0" w:firstLineChars="0"/>
              <w:rPr>
                <w:rFonts w:hAnsi="宋体" w:cs="宋体"/>
                <w:sz w:val="18"/>
                <w:szCs w:val="18"/>
                <w:highlight w:val="none"/>
              </w:rPr>
            </w:pPr>
          </w:p>
        </w:tc>
      </w:tr>
    </w:tbl>
    <w:p>
      <w:pPr>
        <w:pStyle w:val="72"/>
        <w:ind w:left="780" w:leftChars="200" w:hanging="360" w:hangingChars="200"/>
        <w:rPr>
          <w:rFonts w:ascii="Times New Roman"/>
          <w:highlight w:val="none"/>
        </w:rPr>
      </w:pPr>
      <w:r>
        <w:rPr>
          <w:rFonts w:hint="eastAsia" w:hAnsi="宋体" w:cs="宋体"/>
          <w:highlight w:val="none"/>
        </w:rPr>
        <w:t>科研人员是指直接从事绿色</w:t>
      </w:r>
      <w:r>
        <w:rPr>
          <w:rFonts w:hint="eastAsia" w:hAnsi="宋体" w:cs="宋体"/>
          <w:highlight w:val="none"/>
          <w:lang w:val="en-US" w:eastAsia="zh-CN"/>
        </w:rPr>
        <w:t>低碳</w:t>
      </w:r>
      <w:r>
        <w:rPr>
          <w:rFonts w:hint="eastAsia" w:hAnsi="宋体" w:cs="宋体"/>
          <w:highlight w:val="none"/>
        </w:rPr>
        <w:t>产业领域研发和相关技术创新活动，以及专门从事上述活动的管理或提供直接技术服务的，累计实际工作时间在183天以上的人员，包括在职、兼职和临时聘用人员。在职人员可以通过企事业单位是否签订了劳动合同或缴纳社会保险费来鉴别；兼职、临时聘用人员全年须在企事业单位累计工作183天以上。</w:t>
      </w:r>
    </w:p>
    <w:p>
      <w:pPr>
        <w:pStyle w:val="63"/>
        <w:spacing w:before="156" w:after="156"/>
        <w:rPr>
          <w:rFonts w:ascii="Times New Roman"/>
          <w:highlight w:val="none"/>
        </w:rPr>
      </w:pPr>
      <w:r>
        <w:rPr>
          <w:rFonts w:ascii="Times New Roman"/>
          <w:highlight w:val="none"/>
        </w:rPr>
        <w:t>研发投入</w:t>
      </w:r>
    </w:p>
    <w:p>
      <w:pPr>
        <w:pStyle w:val="24"/>
        <w:rPr>
          <w:rFonts w:hAnsi="宋体" w:cs="宋体"/>
          <w:sz w:val="18"/>
          <w:szCs w:val="18"/>
          <w:highlight w:val="none"/>
        </w:rPr>
      </w:pPr>
      <w:r>
        <w:rPr>
          <w:rFonts w:hint="eastAsia" w:hAnsi="宋体" w:cs="宋体"/>
          <w:highlight w:val="none"/>
        </w:rPr>
        <w:t>研发投入从绿色业务领域研发投入占比，以及所处同行业研发投入水平进行综合评价。研发投入占比是指上一个会计年度（实际经营期不满一年的，按实际经营时间计算）的研究开发费用总额与同期销售收入总额的比值。具体评分规则见表1</w:t>
      </w:r>
      <w:r>
        <w:rPr>
          <w:rFonts w:hint="eastAsia" w:hAnsi="宋体" w:cs="宋体"/>
          <w:highlight w:val="none"/>
          <w:lang w:val="en-US" w:eastAsia="zh-CN"/>
        </w:rPr>
        <w:t>1</w:t>
      </w:r>
      <w:r>
        <w:rPr>
          <w:rFonts w:hint="eastAsia" w:hAnsi="宋体" w:cs="宋体"/>
          <w:highlight w:val="none"/>
        </w:rPr>
        <w:t>。</w:t>
      </w:r>
    </w:p>
    <w:p>
      <w:pPr>
        <w:pStyle w:val="134"/>
        <w:rPr>
          <w:rFonts w:ascii="Times New Roman"/>
          <w:highlight w:val="none"/>
        </w:rPr>
      </w:pPr>
      <w:r>
        <w:rPr>
          <w:rFonts w:ascii="Times New Roman"/>
          <w:highlight w:val="none"/>
        </w:rPr>
        <w:t>研发投入评分规则表</w:t>
      </w:r>
    </w:p>
    <w:tbl>
      <w:tblPr>
        <w:tblStyle w:val="34"/>
        <w:tblW w:w="72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92"/>
        <w:gridCol w:w="1064"/>
        <w:gridCol w:w="1077"/>
        <w:gridCol w:w="23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92"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绿色业务领域研发投入占比</w:t>
            </w:r>
          </w:p>
        </w:tc>
        <w:tc>
          <w:tcPr>
            <w:tcW w:w="1064"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基础分值</w:t>
            </w:r>
            <w:r>
              <w:rPr>
                <w:rFonts w:hint="eastAsia" w:ascii="Times New Roman"/>
                <w:b/>
                <w:bCs/>
                <w:sz w:val="18"/>
                <w:szCs w:val="18"/>
                <w:highlight w:val="none"/>
              </w:rPr>
              <w:t>（分）</w:t>
            </w:r>
          </w:p>
        </w:tc>
        <w:tc>
          <w:tcPr>
            <w:tcW w:w="1077"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最高分值</w:t>
            </w:r>
            <w:r>
              <w:rPr>
                <w:rFonts w:hint="eastAsia" w:ascii="Times New Roman"/>
                <w:b/>
                <w:bCs/>
                <w:sz w:val="18"/>
                <w:szCs w:val="18"/>
                <w:highlight w:val="none"/>
              </w:rPr>
              <w:t>（分）</w:t>
            </w:r>
          </w:p>
        </w:tc>
        <w:tc>
          <w:tcPr>
            <w:tcW w:w="2373"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加分规则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92" w:type="dxa"/>
            <w:tcBorders>
              <w:top w:val="single" w:color="auto" w:sz="8" w:space="0"/>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最近一年销售收入小于5000万元（含）的企事业单位，比例不低于5%。</w:t>
            </w:r>
          </w:p>
        </w:tc>
        <w:tc>
          <w:tcPr>
            <w:tcW w:w="1064" w:type="dxa"/>
            <w:vMerge w:val="restart"/>
            <w:tcBorders>
              <w:top w:val="single" w:color="auto" w:sz="8" w:space="0"/>
              <w:tl2br w:val="nil"/>
              <w:tr2bl w:val="nil"/>
            </w:tcBorders>
            <w:noWrap w:val="0"/>
            <w:vAlign w:val="center"/>
          </w:tcPr>
          <w:p>
            <w:pPr>
              <w:pStyle w:val="24"/>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3</w:t>
            </w:r>
          </w:p>
        </w:tc>
        <w:tc>
          <w:tcPr>
            <w:tcW w:w="1077" w:type="dxa"/>
            <w:vMerge w:val="restart"/>
            <w:tcBorders>
              <w:top w:val="single" w:color="auto" w:sz="8" w:space="0"/>
              <w:tl2br w:val="nil"/>
              <w:tr2bl w:val="nil"/>
            </w:tcBorders>
            <w:noWrap w:val="0"/>
            <w:vAlign w:val="center"/>
          </w:tcPr>
          <w:p>
            <w:pPr>
              <w:pStyle w:val="24"/>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6</w:t>
            </w:r>
          </w:p>
        </w:tc>
        <w:tc>
          <w:tcPr>
            <w:tcW w:w="2373" w:type="dxa"/>
            <w:vMerge w:val="restart"/>
            <w:tcBorders>
              <w:top w:val="single" w:color="auto" w:sz="8" w:space="0"/>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研发投入占比显著高于同行业平均水平，加3分；研发投入占比略高于同行业平均水平，加1分。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92"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最近一年销售收入在5000万元至2亿元（含）的企事业单位，比例不低于4%。</w:t>
            </w:r>
          </w:p>
        </w:tc>
        <w:tc>
          <w:tcPr>
            <w:tcW w:w="1064" w:type="dxa"/>
            <w:vMerge w:val="continue"/>
            <w:tcBorders>
              <w:tl2br w:val="nil"/>
              <w:tr2bl w:val="nil"/>
            </w:tcBorders>
            <w:noWrap w:val="0"/>
            <w:vAlign w:val="center"/>
          </w:tcPr>
          <w:p>
            <w:pPr>
              <w:pStyle w:val="24"/>
              <w:ind w:firstLine="0" w:firstLineChars="0"/>
              <w:jc w:val="center"/>
              <w:rPr>
                <w:rFonts w:hint="default" w:hAnsi="宋体" w:eastAsia="宋体" w:cs="宋体"/>
                <w:sz w:val="18"/>
                <w:szCs w:val="18"/>
                <w:highlight w:val="none"/>
                <w:lang w:val="en-US" w:eastAsia="zh-CN"/>
              </w:rPr>
            </w:pPr>
          </w:p>
        </w:tc>
        <w:tc>
          <w:tcPr>
            <w:tcW w:w="1077" w:type="dxa"/>
            <w:vMerge w:val="continue"/>
            <w:tcBorders>
              <w:tl2br w:val="nil"/>
              <w:tr2bl w:val="nil"/>
            </w:tcBorders>
            <w:noWrap w:val="0"/>
            <w:vAlign w:val="center"/>
          </w:tcPr>
          <w:p>
            <w:pPr>
              <w:pStyle w:val="24"/>
              <w:ind w:firstLine="0" w:firstLineChars="0"/>
              <w:jc w:val="center"/>
              <w:rPr>
                <w:rFonts w:hint="default" w:hAnsi="宋体" w:eastAsia="宋体" w:cs="宋体"/>
                <w:sz w:val="18"/>
                <w:szCs w:val="18"/>
                <w:highlight w:val="none"/>
                <w:lang w:val="en-US" w:eastAsia="zh-CN"/>
              </w:rPr>
            </w:pPr>
          </w:p>
        </w:tc>
        <w:tc>
          <w:tcPr>
            <w:tcW w:w="2373" w:type="dxa"/>
            <w:vMerge w:val="continue"/>
            <w:tcBorders>
              <w:tl2br w:val="nil"/>
              <w:tr2bl w:val="nil"/>
            </w:tcBorders>
            <w:noWrap w:val="0"/>
            <w:vAlign w:val="center"/>
          </w:tcPr>
          <w:p>
            <w:pPr>
              <w:pStyle w:val="24"/>
              <w:ind w:firstLine="0" w:firstLineChars="0"/>
              <w:jc w:val="left"/>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92"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最近一年销售收入在2亿元以上的企事业单位，比例不低于3%。</w:t>
            </w:r>
          </w:p>
        </w:tc>
        <w:tc>
          <w:tcPr>
            <w:tcW w:w="1064" w:type="dxa"/>
            <w:vMerge w:val="continue"/>
            <w:tcBorders>
              <w:tl2br w:val="nil"/>
              <w:tr2bl w:val="nil"/>
            </w:tcBorders>
            <w:noWrap w:val="0"/>
            <w:vAlign w:val="center"/>
          </w:tcPr>
          <w:p>
            <w:pPr>
              <w:pStyle w:val="24"/>
              <w:ind w:firstLine="0" w:firstLineChars="0"/>
              <w:jc w:val="center"/>
              <w:rPr>
                <w:rFonts w:hint="default" w:hAnsi="宋体" w:eastAsia="宋体" w:cs="宋体"/>
                <w:sz w:val="18"/>
                <w:szCs w:val="18"/>
                <w:highlight w:val="none"/>
                <w:lang w:val="en-US" w:eastAsia="zh-CN"/>
              </w:rPr>
            </w:pPr>
          </w:p>
        </w:tc>
        <w:tc>
          <w:tcPr>
            <w:tcW w:w="1077" w:type="dxa"/>
            <w:vMerge w:val="continue"/>
            <w:tcBorders>
              <w:tl2br w:val="nil"/>
              <w:tr2bl w:val="nil"/>
            </w:tcBorders>
            <w:noWrap w:val="0"/>
            <w:vAlign w:val="center"/>
          </w:tcPr>
          <w:p>
            <w:pPr>
              <w:pStyle w:val="24"/>
              <w:ind w:firstLine="0" w:firstLineChars="0"/>
              <w:jc w:val="center"/>
              <w:rPr>
                <w:rFonts w:hint="default" w:hAnsi="宋体" w:eastAsia="宋体" w:cs="宋体"/>
                <w:sz w:val="18"/>
                <w:szCs w:val="18"/>
                <w:highlight w:val="none"/>
                <w:lang w:val="en-US" w:eastAsia="zh-CN"/>
              </w:rPr>
            </w:pPr>
          </w:p>
        </w:tc>
        <w:tc>
          <w:tcPr>
            <w:tcW w:w="2373" w:type="dxa"/>
            <w:vMerge w:val="continue"/>
            <w:tcBorders>
              <w:tl2br w:val="nil"/>
              <w:tr2bl w:val="nil"/>
            </w:tcBorders>
            <w:noWrap w:val="0"/>
            <w:vAlign w:val="center"/>
          </w:tcPr>
          <w:p>
            <w:pPr>
              <w:pStyle w:val="24"/>
              <w:ind w:firstLine="0" w:firstLineChars="0"/>
              <w:jc w:val="left"/>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92"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上述项均不满足。</w:t>
            </w:r>
          </w:p>
        </w:tc>
        <w:tc>
          <w:tcPr>
            <w:tcW w:w="1064" w:type="dxa"/>
            <w:tcBorders>
              <w:tl2br w:val="nil"/>
              <w:tr2bl w:val="nil"/>
            </w:tcBorders>
            <w:noWrap w:val="0"/>
            <w:vAlign w:val="center"/>
          </w:tcPr>
          <w:p>
            <w:pPr>
              <w:pStyle w:val="24"/>
              <w:ind w:firstLine="0" w:firstLineChars="0"/>
              <w:jc w:val="center"/>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0</w:t>
            </w:r>
          </w:p>
        </w:tc>
        <w:tc>
          <w:tcPr>
            <w:tcW w:w="1077" w:type="dxa"/>
            <w:tcBorders>
              <w:tl2br w:val="nil"/>
              <w:tr2bl w:val="nil"/>
            </w:tcBorders>
            <w:noWrap w:val="0"/>
            <w:vAlign w:val="center"/>
          </w:tcPr>
          <w:p>
            <w:pPr>
              <w:pStyle w:val="24"/>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3</w:t>
            </w:r>
          </w:p>
        </w:tc>
        <w:tc>
          <w:tcPr>
            <w:tcW w:w="2373" w:type="dxa"/>
            <w:vMerge w:val="continue"/>
            <w:tcBorders>
              <w:tl2br w:val="nil"/>
              <w:tr2bl w:val="nil"/>
            </w:tcBorders>
            <w:noWrap w:val="0"/>
            <w:vAlign w:val="center"/>
          </w:tcPr>
          <w:p>
            <w:pPr>
              <w:pStyle w:val="24"/>
              <w:ind w:firstLine="0" w:firstLineChars="0"/>
              <w:jc w:val="center"/>
              <w:rPr>
                <w:rFonts w:hAnsi="宋体" w:cs="宋体"/>
                <w:sz w:val="18"/>
                <w:szCs w:val="18"/>
                <w:highlight w:val="none"/>
              </w:rPr>
            </w:pPr>
          </w:p>
        </w:tc>
      </w:tr>
    </w:tbl>
    <w:p>
      <w:pPr>
        <w:pStyle w:val="72"/>
        <w:ind w:left="780" w:leftChars="200" w:hanging="360" w:hangingChars="200"/>
        <w:rPr>
          <w:rFonts w:ascii="Times New Roman"/>
          <w:highlight w:val="none"/>
        </w:rPr>
      </w:pPr>
      <w:r>
        <w:rPr>
          <w:rFonts w:hint="eastAsia" w:ascii="Times New Roman"/>
          <w:highlight w:val="none"/>
        </w:rPr>
        <w:t>研发</w:t>
      </w:r>
      <w:r>
        <w:rPr>
          <w:rFonts w:ascii="Times New Roman"/>
          <w:highlight w:val="none"/>
        </w:rPr>
        <w:t>开发费用包含研发人员人工费用、直接投入费用、折旧费用与长期待摊费用、无形资产摊销费用、设计费用、装备调试费用与试验费用、委托外部研究开发费用等。</w:t>
      </w:r>
    </w:p>
    <w:p>
      <w:pPr>
        <w:pStyle w:val="63"/>
        <w:spacing w:before="156" w:after="156"/>
        <w:rPr>
          <w:rFonts w:ascii="Times New Roman"/>
          <w:highlight w:val="none"/>
        </w:rPr>
      </w:pPr>
      <w:r>
        <w:rPr>
          <w:rFonts w:hint="eastAsia" w:ascii="Times New Roman"/>
          <w:highlight w:val="none"/>
          <w:lang w:eastAsia="zh-CN"/>
        </w:rPr>
        <w:t>业务增长率</w:t>
      </w:r>
    </w:p>
    <w:p>
      <w:pPr>
        <w:pStyle w:val="24"/>
        <w:rPr>
          <w:rFonts w:ascii="Times New Roman"/>
          <w:highlight w:val="none"/>
        </w:rPr>
      </w:pPr>
      <w:r>
        <w:rPr>
          <w:rFonts w:hint="eastAsia" w:ascii="宋体" w:hAnsi="宋体" w:eastAsia="宋体" w:cs="宋体"/>
          <w:sz w:val="21"/>
          <w:highlight w:val="none"/>
          <w:lang w:val="en-US" w:eastAsia="zh-CN" w:bidi="ar-SA"/>
        </w:rPr>
        <w:t>指当年主营业务收入增长额与上年主营业务收入总额比值，采用近三年平均值进行评估（实际经营期不满三年的，按实际经营时间计算）</w:t>
      </w:r>
      <w:r>
        <w:rPr>
          <w:rFonts w:hint="eastAsia" w:hAnsi="宋体" w:cs="宋体"/>
          <w:highlight w:val="none"/>
        </w:rPr>
        <w:t>。具体评分规则见表</w:t>
      </w:r>
      <w:r>
        <w:rPr>
          <w:rFonts w:hint="eastAsia" w:hAnsi="宋体" w:cs="宋体"/>
          <w:highlight w:val="none"/>
          <w:lang w:val="en-US" w:eastAsia="zh-CN"/>
        </w:rPr>
        <w:t>12</w:t>
      </w:r>
      <w:r>
        <w:rPr>
          <w:rFonts w:hint="eastAsia" w:hAnsi="宋体" w:cs="宋体"/>
          <w:highlight w:val="none"/>
        </w:rPr>
        <w:t>。</w:t>
      </w:r>
    </w:p>
    <w:p>
      <w:pPr>
        <w:pStyle w:val="134"/>
        <w:rPr>
          <w:rFonts w:ascii="Times New Roman"/>
          <w:highlight w:val="none"/>
        </w:rPr>
      </w:pPr>
      <w:r>
        <w:rPr>
          <w:rFonts w:hint="eastAsia" w:ascii="Times New Roman" w:hAnsi="Times New Roman" w:eastAsia="黑体" w:cs="Times New Roman"/>
          <w:sz w:val="21"/>
          <w:highlight w:val="none"/>
          <w:lang w:val="en-US" w:eastAsia="zh-CN" w:bidi="ar-SA"/>
        </w:rPr>
        <w:t>业务增长率</w:t>
      </w:r>
      <w:r>
        <w:rPr>
          <w:rFonts w:ascii="Times New Roman" w:hAnsi="Times New Roman" w:eastAsia="黑体" w:cs="Times New Roman"/>
          <w:sz w:val="21"/>
          <w:highlight w:val="none"/>
          <w:lang w:val="en-US" w:eastAsia="zh-CN" w:bidi="ar-SA"/>
        </w:rPr>
        <w:t>评分规则表</w:t>
      </w:r>
    </w:p>
    <w:tbl>
      <w:tblPr>
        <w:tblStyle w:val="34"/>
        <w:tblW w:w="38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3" w:type="dxa"/>
            <w:tcBorders>
              <w:bottom w:val="single" w:color="auto" w:sz="8" w:space="0"/>
            </w:tcBorders>
            <w:noWrap w:val="0"/>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业务增长率</w:t>
            </w:r>
            <w:r>
              <w:rPr>
                <w:rFonts w:hint="eastAsia" w:ascii="Times New Roman" w:hAnsi="Times New Roman" w:eastAsia="宋体" w:cs="Times New Roman"/>
                <w:b/>
                <w:bCs/>
                <w:sz w:val="18"/>
                <w:szCs w:val="18"/>
                <w:highlight w:val="none"/>
                <w:lang w:val="en-US" w:eastAsia="zh-CN" w:bidi="ar-SA"/>
              </w:rPr>
              <w:t>（%）</w:t>
            </w:r>
          </w:p>
        </w:tc>
        <w:tc>
          <w:tcPr>
            <w:tcW w:w="1559" w:type="dxa"/>
            <w:tcBorders>
              <w:bottom w:val="single" w:color="auto" w:sz="8" w:space="0"/>
            </w:tcBorders>
            <w:noWrap w:val="0"/>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分值</w:t>
            </w:r>
            <w:r>
              <w:rPr>
                <w:rFonts w:hint="eastAsia" w:ascii="Times New Roman" w:hAnsi="Times New Roman" w:eastAsia="宋体" w:cs="Times New Roman"/>
                <w:b/>
                <w:bCs/>
                <w:sz w:val="18"/>
                <w:szCs w:val="18"/>
                <w:highlight w:val="none"/>
                <w:lang w:val="en-US" w:eastAsia="zh-CN" w:bidi="ar-SA"/>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3" w:type="dxa"/>
            <w:tcBorders>
              <w:top w:val="single" w:color="auto" w:sz="8" w:space="0"/>
              <w:tl2br w:val="nil"/>
              <w:tr2bl w:val="nil"/>
            </w:tcBorders>
            <w:noWrap w:val="0"/>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≥10%</w:t>
            </w:r>
          </w:p>
        </w:tc>
        <w:tc>
          <w:tcPr>
            <w:tcW w:w="1559" w:type="dxa"/>
            <w:tcBorders>
              <w:top w:val="single" w:color="auto" w:sz="8" w:space="0"/>
              <w:tl2br w:val="nil"/>
              <w:tr2bl w:val="nil"/>
            </w:tcBorders>
            <w:noWrap w:val="0"/>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cs="宋体"/>
                <w:sz w:val="18"/>
                <w:szCs w:val="18"/>
                <w:highlight w:val="none"/>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3" w:type="dxa"/>
            <w:tcBorders>
              <w:tl2br w:val="nil"/>
              <w:tr2bl w:val="nil"/>
            </w:tcBorders>
            <w:noWrap w:val="0"/>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[5%,10%)</w:t>
            </w:r>
          </w:p>
        </w:tc>
        <w:tc>
          <w:tcPr>
            <w:tcW w:w="1559" w:type="dxa"/>
            <w:tcBorders>
              <w:tl2br w:val="nil"/>
              <w:tr2bl w:val="nil"/>
            </w:tcBorders>
            <w:noWrap w:val="0"/>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3" w:type="dxa"/>
            <w:tcBorders>
              <w:tl2br w:val="nil"/>
              <w:tr2bl w:val="nil"/>
            </w:tcBorders>
            <w:noWrap w:val="0"/>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[0,5%)</w:t>
            </w:r>
          </w:p>
        </w:tc>
        <w:tc>
          <w:tcPr>
            <w:tcW w:w="1559" w:type="dxa"/>
            <w:tcBorders>
              <w:tl2br w:val="nil"/>
              <w:tr2bl w:val="nil"/>
            </w:tcBorders>
            <w:noWrap w:val="0"/>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303" w:type="dxa"/>
            <w:tcBorders>
              <w:tl2br w:val="nil"/>
              <w:tr2bl w:val="nil"/>
            </w:tcBorders>
            <w:noWrap w:val="0"/>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＜0</w:t>
            </w:r>
          </w:p>
        </w:tc>
        <w:tc>
          <w:tcPr>
            <w:tcW w:w="1559" w:type="dxa"/>
            <w:tcBorders>
              <w:tl2br w:val="nil"/>
              <w:tr2bl w:val="nil"/>
            </w:tcBorders>
            <w:noWrap w:val="0"/>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0</w:t>
            </w:r>
          </w:p>
        </w:tc>
      </w:tr>
    </w:tbl>
    <w:p>
      <w:pPr>
        <w:pStyle w:val="63"/>
        <w:spacing w:before="156" w:after="156"/>
        <w:rPr>
          <w:rFonts w:ascii="Times New Roman"/>
          <w:highlight w:val="none"/>
        </w:rPr>
      </w:pPr>
      <w:r>
        <w:rPr>
          <w:rFonts w:hint="eastAsia" w:ascii="Times New Roman"/>
          <w:highlight w:val="none"/>
        </w:rPr>
        <w:t>资产负债率</w:t>
      </w:r>
    </w:p>
    <w:p>
      <w:pPr>
        <w:pStyle w:val="24"/>
        <w:rPr>
          <w:rFonts w:ascii="Times New Roman"/>
          <w:highlight w:val="none"/>
        </w:rPr>
      </w:pPr>
      <w:r>
        <w:rPr>
          <w:rFonts w:hint="eastAsia" w:hAnsi="宋体" w:cs="宋体"/>
          <w:highlight w:val="none"/>
          <w:lang w:val="en-US" w:eastAsia="zh-CN"/>
        </w:rPr>
        <w:t>资产负债率是</w:t>
      </w:r>
      <w:r>
        <w:rPr>
          <w:rFonts w:hint="eastAsia" w:hAnsi="宋体" w:cs="宋体"/>
          <w:highlight w:val="none"/>
        </w:rPr>
        <w:t>指期末负债总额与资产总额比值，采用近三年平均值进行评估（实际经营期不满三年的，按实际经营时间计算）</w:t>
      </w:r>
      <w:r>
        <w:rPr>
          <w:rFonts w:hint="eastAsia" w:hAnsi="宋体" w:cs="宋体"/>
          <w:highlight w:val="none"/>
          <w:lang w:eastAsia="zh-CN"/>
        </w:rPr>
        <w:t>，</w:t>
      </w:r>
      <w:r>
        <w:rPr>
          <w:rFonts w:hint="eastAsia" w:hAnsi="宋体" w:cs="宋体"/>
          <w:highlight w:val="none"/>
        </w:rPr>
        <w:t>具体评分规则见表</w:t>
      </w:r>
      <w:r>
        <w:rPr>
          <w:rFonts w:hint="eastAsia" w:hAnsi="宋体" w:cs="宋体"/>
          <w:highlight w:val="none"/>
          <w:lang w:val="en-US" w:eastAsia="zh-CN"/>
        </w:rPr>
        <w:t>13</w:t>
      </w:r>
      <w:r>
        <w:rPr>
          <w:rFonts w:hint="eastAsia" w:hAnsi="宋体" w:cs="宋体"/>
          <w:highlight w:val="none"/>
        </w:rPr>
        <w:t>。</w:t>
      </w:r>
    </w:p>
    <w:p>
      <w:pPr>
        <w:pStyle w:val="134"/>
        <w:rPr>
          <w:rFonts w:ascii="Times New Roman"/>
          <w:highlight w:val="none"/>
        </w:rPr>
      </w:pPr>
      <w:r>
        <w:rPr>
          <w:rFonts w:hint="eastAsia" w:ascii="Times New Roman"/>
          <w:highlight w:val="none"/>
        </w:rPr>
        <w:t>资产负债率</w:t>
      </w:r>
      <w:r>
        <w:rPr>
          <w:rFonts w:ascii="Times New Roman"/>
          <w:highlight w:val="none"/>
        </w:rPr>
        <w:t>评分规则表</w:t>
      </w:r>
    </w:p>
    <w:tbl>
      <w:tblPr>
        <w:tblStyle w:val="34"/>
        <w:tblW w:w="4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14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54"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资产负债率</w:t>
            </w:r>
            <w:r>
              <w:rPr>
                <w:rFonts w:hint="eastAsia" w:ascii="Times New Roman"/>
                <w:b/>
                <w:bCs/>
                <w:sz w:val="18"/>
                <w:szCs w:val="18"/>
                <w:highlight w:val="none"/>
              </w:rPr>
              <w:t>（%）</w:t>
            </w:r>
          </w:p>
        </w:tc>
        <w:tc>
          <w:tcPr>
            <w:tcW w:w="1469"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54"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≤55%</w:t>
            </w:r>
          </w:p>
        </w:tc>
        <w:tc>
          <w:tcPr>
            <w:tcW w:w="1469"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54"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(55%,75%]</w:t>
            </w:r>
          </w:p>
        </w:tc>
        <w:tc>
          <w:tcPr>
            <w:tcW w:w="1469"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54"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＞75%</w:t>
            </w:r>
          </w:p>
        </w:tc>
        <w:tc>
          <w:tcPr>
            <w:tcW w:w="1469"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w:t>
            </w:r>
          </w:p>
        </w:tc>
      </w:tr>
    </w:tbl>
    <w:p>
      <w:pPr>
        <w:pStyle w:val="63"/>
        <w:spacing w:before="156" w:after="156"/>
        <w:rPr>
          <w:rFonts w:ascii="Times New Roman"/>
          <w:highlight w:val="none"/>
        </w:rPr>
      </w:pPr>
      <w:r>
        <w:rPr>
          <w:rFonts w:hint="eastAsia" w:ascii="Times New Roman"/>
          <w:highlight w:val="none"/>
        </w:rPr>
        <w:t>净利润率</w:t>
      </w:r>
    </w:p>
    <w:p>
      <w:pPr>
        <w:pStyle w:val="24"/>
        <w:rPr>
          <w:rFonts w:ascii="Times New Roman"/>
          <w:highlight w:val="none"/>
        </w:rPr>
      </w:pPr>
      <w:r>
        <w:rPr>
          <w:rFonts w:hint="eastAsia" w:hAnsi="宋体" w:cs="宋体"/>
          <w:highlight w:val="none"/>
          <w:lang w:val="en-US" w:eastAsia="zh-CN"/>
        </w:rPr>
        <w:t>净利润率是</w:t>
      </w:r>
      <w:r>
        <w:rPr>
          <w:rFonts w:hint="eastAsia" w:hAnsi="宋体" w:cs="宋体"/>
          <w:highlight w:val="none"/>
        </w:rPr>
        <w:t>指当年经营所得的净利润占销货净额的百分比，或占投入资本额的百分比，采用近三年平均值进行评估（实际经营期不满三年的，按实际经营时间计算）</w:t>
      </w:r>
      <w:r>
        <w:rPr>
          <w:rFonts w:hint="eastAsia" w:hAnsi="宋体" w:cs="宋体"/>
          <w:highlight w:val="none"/>
          <w:lang w:eastAsia="zh-CN"/>
        </w:rPr>
        <w:t>，</w:t>
      </w:r>
      <w:r>
        <w:rPr>
          <w:rFonts w:hint="eastAsia" w:hAnsi="宋体" w:cs="宋体"/>
          <w:highlight w:val="none"/>
        </w:rPr>
        <w:t>具体评分规则见表</w:t>
      </w:r>
      <w:r>
        <w:rPr>
          <w:rFonts w:hint="eastAsia" w:hAnsi="宋体" w:cs="宋体"/>
          <w:highlight w:val="none"/>
          <w:lang w:val="en-US" w:eastAsia="zh-CN"/>
        </w:rPr>
        <w:t>14</w:t>
      </w:r>
      <w:r>
        <w:rPr>
          <w:rFonts w:hint="eastAsia" w:hAnsi="宋体" w:cs="宋体"/>
          <w:highlight w:val="none"/>
        </w:rPr>
        <w:t>。</w:t>
      </w:r>
    </w:p>
    <w:p>
      <w:pPr>
        <w:pStyle w:val="134"/>
        <w:rPr>
          <w:rFonts w:ascii="Times New Roman"/>
          <w:highlight w:val="none"/>
        </w:rPr>
      </w:pPr>
      <w:r>
        <w:rPr>
          <w:rFonts w:hint="eastAsia" w:ascii="Times New Roman"/>
          <w:highlight w:val="none"/>
        </w:rPr>
        <w:t>净利润率</w:t>
      </w:r>
      <w:r>
        <w:rPr>
          <w:rFonts w:ascii="Times New Roman"/>
          <w:highlight w:val="none"/>
        </w:rPr>
        <w:t>评分规则表</w:t>
      </w:r>
    </w:p>
    <w:tbl>
      <w:tblPr>
        <w:tblStyle w:val="34"/>
        <w:tblW w:w="44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17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72"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净利润率</w:t>
            </w:r>
            <w:r>
              <w:rPr>
                <w:rFonts w:hint="eastAsia" w:ascii="Times New Roman"/>
                <w:b/>
                <w:bCs/>
                <w:sz w:val="18"/>
                <w:szCs w:val="18"/>
                <w:highlight w:val="none"/>
              </w:rPr>
              <w:t>（%）</w:t>
            </w:r>
          </w:p>
        </w:tc>
        <w:tc>
          <w:tcPr>
            <w:tcW w:w="1788"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72"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≥6%</w:t>
            </w:r>
          </w:p>
        </w:tc>
        <w:tc>
          <w:tcPr>
            <w:tcW w:w="1788"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72"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[2%,6%)</w:t>
            </w:r>
          </w:p>
        </w:tc>
        <w:tc>
          <w:tcPr>
            <w:tcW w:w="1788"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72"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＜2%</w:t>
            </w:r>
          </w:p>
        </w:tc>
        <w:tc>
          <w:tcPr>
            <w:tcW w:w="1788"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w:t>
            </w:r>
          </w:p>
        </w:tc>
      </w:tr>
    </w:tbl>
    <w:p>
      <w:pPr>
        <w:pStyle w:val="59"/>
        <w:numPr>
          <w:ilvl w:val="3"/>
          <w:numId w:val="2"/>
        </w:numPr>
        <w:spacing w:before="156" w:after="156"/>
        <w:rPr>
          <w:rFonts w:ascii="Times New Roman"/>
          <w:highlight w:val="none"/>
        </w:rPr>
      </w:pPr>
      <w:r>
        <w:rPr>
          <w:rFonts w:ascii="Times New Roman"/>
          <w:highlight w:val="none"/>
        </w:rPr>
        <w:t>市场影响</w:t>
      </w:r>
    </w:p>
    <w:p>
      <w:pPr>
        <w:pStyle w:val="63"/>
        <w:spacing w:before="156" w:after="156"/>
        <w:rPr>
          <w:rFonts w:ascii="Times New Roman"/>
          <w:highlight w:val="none"/>
        </w:rPr>
      </w:pPr>
      <w:r>
        <w:rPr>
          <w:rFonts w:ascii="Times New Roman"/>
          <w:highlight w:val="none"/>
        </w:rPr>
        <w:t>市场竞争力</w:t>
      </w:r>
    </w:p>
    <w:p>
      <w:pPr>
        <w:pStyle w:val="24"/>
        <w:rPr>
          <w:rFonts w:ascii="Times New Roman"/>
          <w:highlight w:val="none"/>
        </w:rPr>
      </w:pPr>
      <w:r>
        <w:rPr>
          <w:rFonts w:hint="eastAsia" w:hAnsi="宋体" w:cs="宋体"/>
          <w:highlight w:val="none"/>
        </w:rPr>
        <w:t>市场竞争力从提供的绿色业务领域相关产品或服务的市场占有</w:t>
      </w:r>
      <w:r>
        <w:rPr>
          <w:rFonts w:hint="eastAsia" w:hAnsi="宋体" w:cs="宋体"/>
          <w:highlight w:val="none"/>
          <w:lang w:eastAsia="zh-CN"/>
        </w:rPr>
        <w:t>率</w:t>
      </w:r>
      <w:r>
        <w:rPr>
          <w:rFonts w:hint="eastAsia" w:hAnsi="宋体" w:cs="宋体"/>
          <w:highlight w:val="none"/>
        </w:rPr>
        <w:t>，以及稳定提供相关产品或服务的年限进行综合评价。具体评分规则见表</w:t>
      </w:r>
      <w:r>
        <w:rPr>
          <w:rFonts w:hint="eastAsia" w:hAnsi="宋体" w:cs="宋体"/>
          <w:highlight w:val="none"/>
          <w:lang w:val="en-US" w:eastAsia="zh-CN"/>
        </w:rPr>
        <w:t>15</w:t>
      </w:r>
      <w:r>
        <w:rPr>
          <w:rFonts w:hint="eastAsia" w:hAnsi="宋体" w:cs="宋体"/>
          <w:highlight w:val="none"/>
        </w:rPr>
        <w:t>。</w:t>
      </w:r>
    </w:p>
    <w:p>
      <w:pPr>
        <w:pStyle w:val="134"/>
        <w:rPr>
          <w:rFonts w:ascii="Times New Roman"/>
          <w:highlight w:val="none"/>
        </w:rPr>
      </w:pPr>
      <w:r>
        <w:rPr>
          <w:rFonts w:ascii="Times New Roman"/>
          <w:highlight w:val="none"/>
        </w:rPr>
        <w:t>市场竞争力评分规则表</w:t>
      </w:r>
    </w:p>
    <w:tbl>
      <w:tblPr>
        <w:tblStyle w:val="34"/>
        <w:tblW w:w="407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30"/>
        <w:gridCol w:w="1032"/>
        <w:gridCol w:w="1380"/>
        <w:gridCol w:w="1019"/>
        <w:gridCol w:w="14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77" w:type="pct"/>
            <w:tcBorders>
              <w:bottom w:val="single" w:color="auto" w:sz="8" w:space="0"/>
            </w:tcBorders>
            <w:noWrap w:val="0"/>
            <w:vAlign w:val="center"/>
          </w:tcPr>
          <w:p>
            <w:pPr>
              <w:pStyle w:val="24"/>
              <w:adjustRightInd w:val="0"/>
              <w:ind w:firstLine="0" w:firstLineChars="0"/>
              <w:jc w:val="center"/>
              <w:rPr>
                <w:rFonts w:ascii="Times New Roman"/>
                <w:b/>
                <w:bCs/>
                <w:sz w:val="18"/>
                <w:szCs w:val="18"/>
                <w:highlight w:val="none"/>
              </w:rPr>
            </w:pPr>
            <w:r>
              <w:rPr>
                <w:rFonts w:ascii="Times New Roman"/>
                <w:b/>
                <w:bCs/>
                <w:sz w:val="18"/>
                <w:szCs w:val="18"/>
                <w:highlight w:val="none"/>
              </w:rPr>
              <w:t>市场占有</w:t>
            </w:r>
            <w:r>
              <w:rPr>
                <w:rFonts w:hint="eastAsia" w:ascii="Times New Roman"/>
                <w:b/>
                <w:bCs/>
                <w:sz w:val="18"/>
                <w:szCs w:val="18"/>
                <w:highlight w:val="none"/>
              </w:rPr>
              <w:t>率</w:t>
            </w:r>
          </w:p>
        </w:tc>
        <w:tc>
          <w:tcPr>
            <w:tcW w:w="661" w:type="pct"/>
            <w:tcBorders>
              <w:bottom w:val="single" w:color="auto" w:sz="8" w:space="0"/>
            </w:tcBorders>
            <w:noWrap w:val="0"/>
            <w:vAlign w:val="center"/>
          </w:tcPr>
          <w:p>
            <w:pPr>
              <w:pStyle w:val="24"/>
              <w:adjustRightInd w:val="0"/>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884" w:type="pct"/>
            <w:tcBorders>
              <w:bottom w:val="single" w:color="auto" w:sz="8" w:space="0"/>
            </w:tcBorders>
            <w:noWrap w:val="0"/>
            <w:vAlign w:val="center"/>
          </w:tcPr>
          <w:p>
            <w:pPr>
              <w:pStyle w:val="24"/>
              <w:adjustRightInd w:val="0"/>
              <w:ind w:firstLine="0" w:firstLineChars="0"/>
              <w:jc w:val="center"/>
              <w:rPr>
                <w:rFonts w:ascii="Times New Roman"/>
                <w:b/>
                <w:bCs/>
                <w:sz w:val="18"/>
                <w:szCs w:val="18"/>
                <w:highlight w:val="none"/>
              </w:rPr>
            </w:pPr>
            <w:r>
              <w:rPr>
                <w:rFonts w:ascii="Times New Roman"/>
                <w:b/>
                <w:bCs/>
                <w:sz w:val="18"/>
                <w:szCs w:val="18"/>
                <w:highlight w:val="none"/>
              </w:rPr>
              <w:t>稳定提供产品或服务年限</w:t>
            </w:r>
          </w:p>
        </w:tc>
        <w:tc>
          <w:tcPr>
            <w:tcW w:w="653" w:type="pct"/>
            <w:tcBorders>
              <w:bottom w:val="single" w:color="auto" w:sz="8" w:space="0"/>
            </w:tcBorders>
            <w:noWrap w:val="0"/>
            <w:vAlign w:val="center"/>
          </w:tcPr>
          <w:p>
            <w:pPr>
              <w:pStyle w:val="24"/>
              <w:adjustRightInd w:val="0"/>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922" w:type="pct"/>
            <w:tcBorders>
              <w:bottom w:val="single" w:color="auto" w:sz="8" w:space="0"/>
            </w:tcBorders>
            <w:noWrap w:val="0"/>
            <w:vAlign w:val="center"/>
          </w:tcPr>
          <w:p>
            <w:pPr>
              <w:pStyle w:val="24"/>
              <w:adjustRightInd w:val="0"/>
              <w:ind w:firstLine="0" w:firstLineChars="0"/>
              <w:jc w:val="center"/>
              <w:rPr>
                <w:rFonts w:ascii="Times New Roman"/>
                <w:b/>
                <w:bCs/>
                <w:sz w:val="18"/>
                <w:szCs w:val="18"/>
                <w:highlight w:val="none"/>
              </w:rPr>
            </w:pPr>
            <w:r>
              <w:rPr>
                <w:rFonts w:ascii="Times New Roman"/>
                <w:b/>
                <w:bCs/>
                <w:sz w:val="18"/>
                <w:szCs w:val="18"/>
                <w:highlight w:val="none"/>
              </w:rPr>
              <w:t>分值</w:t>
            </w:r>
          </w:p>
          <w:p>
            <w:pPr>
              <w:pStyle w:val="24"/>
              <w:adjustRightInd w:val="0"/>
              <w:ind w:firstLine="0" w:firstLineChars="0"/>
              <w:jc w:val="center"/>
              <w:rPr>
                <w:rFonts w:ascii="Times New Roman"/>
                <w:b/>
                <w:bCs/>
                <w:sz w:val="18"/>
                <w:szCs w:val="18"/>
                <w:highlight w:val="none"/>
              </w:rPr>
            </w:pP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77" w:type="pct"/>
            <w:tcBorders>
              <w:top w:val="single" w:color="auto" w:sz="8" w:space="0"/>
              <w:tl2br w:val="nil"/>
              <w:tr2bl w:val="nil"/>
            </w:tcBorders>
            <w:noWrap w:val="0"/>
            <w:vAlign w:val="center"/>
          </w:tcPr>
          <w:p>
            <w:pPr>
              <w:pStyle w:val="24"/>
              <w:adjustRightInd w:val="0"/>
              <w:ind w:firstLine="0" w:firstLineChars="0"/>
              <w:rPr>
                <w:rFonts w:hAnsi="宋体" w:cs="宋体"/>
                <w:sz w:val="18"/>
                <w:szCs w:val="18"/>
                <w:highlight w:val="none"/>
              </w:rPr>
            </w:pPr>
            <w:r>
              <w:rPr>
                <w:rFonts w:hint="eastAsia" w:hAnsi="宋体" w:cs="宋体"/>
                <w:sz w:val="18"/>
                <w:szCs w:val="18"/>
                <w:highlight w:val="none"/>
              </w:rPr>
              <w:t>行业内市场占有率处于较高水平。</w:t>
            </w:r>
          </w:p>
        </w:tc>
        <w:tc>
          <w:tcPr>
            <w:tcW w:w="661" w:type="pct"/>
            <w:tcBorders>
              <w:top w:val="single" w:color="auto" w:sz="8" w:space="0"/>
              <w:tl2br w:val="nil"/>
              <w:tr2bl w:val="nil"/>
            </w:tcBorders>
            <w:noWrap w:val="0"/>
            <w:vAlign w:val="center"/>
          </w:tcPr>
          <w:p>
            <w:pPr>
              <w:pStyle w:val="24"/>
              <w:adjustRightInd w:val="0"/>
              <w:ind w:firstLine="0" w:firstLineChars="0"/>
              <w:jc w:val="center"/>
              <w:rPr>
                <w:rFonts w:hAnsi="宋体" w:cs="宋体"/>
                <w:sz w:val="18"/>
                <w:szCs w:val="18"/>
                <w:highlight w:val="none"/>
              </w:rPr>
            </w:pPr>
            <w:r>
              <w:rPr>
                <w:rFonts w:hint="eastAsia" w:hAnsi="宋体" w:cs="宋体"/>
                <w:sz w:val="18"/>
                <w:szCs w:val="18"/>
                <w:highlight w:val="none"/>
              </w:rPr>
              <w:t>(3,5]</w:t>
            </w:r>
          </w:p>
        </w:tc>
        <w:tc>
          <w:tcPr>
            <w:tcW w:w="884" w:type="pct"/>
            <w:tcBorders>
              <w:top w:val="single" w:color="auto" w:sz="8" w:space="0"/>
              <w:tl2br w:val="nil"/>
              <w:tr2bl w:val="nil"/>
            </w:tcBorders>
            <w:noWrap w:val="0"/>
            <w:vAlign w:val="center"/>
          </w:tcPr>
          <w:p>
            <w:pPr>
              <w:pStyle w:val="24"/>
              <w:adjustRightInd w:val="0"/>
              <w:ind w:firstLine="0" w:firstLineChars="0"/>
              <w:jc w:val="center"/>
              <w:rPr>
                <w:rFonts w:hAnsi="宋体" w:cs="宋体"/>
                <w:sz w:val="18"/>
                <w:szCs w:val="18"/>
                <w:highlight w:val="none"/>
              </w:rPr>
            </w:pPr>
            <w:r>
              <w:rPr>
                <w:rFonts w:hint="eastAsia" w:hAnsi="宋体" w:cs="宋体"/>
                <w:sz w:val="18"/>
                <w:szCs w:val="18"/>
                <w:highlight w:val="none"/>
              </w:rPr>
              <w:t>＞10</w:t>
            </w:r>
          </w:p>
        </w:tc>
        <w:tc>
          <w:tcPr>
            <w:tcW w:w="653" w:type="pct"/>
            <w:tcBorders>
              <w:top w:val="single" w:color="auto" w:sz="8" w:space="0"/>
              <w:tl2br w:val="nil"/>
              <w:tr2bl w:val="nil"/>
            </w:tcBorders>
            <w:noWrap w:val="0"/>
            <w:vAlign w:val="center"/>
          </w:tcPr>
          <w:p>
            <w:pPr>
              <w:pStyle w:val="24"/>
              <w:adjustRightInd w:val="0"/>
              <w:ind w:firstLine="0" w:firstLineChars="0"/>
              <w:jc w:val="center"/>
              <w:rPr>
                <w:rFonts w:hAnsi="宋体" w:cs="宋体"/>
                <w:sz w:val="18"/>
                <w:szCs w:val="18"/>
                <w:highlight w:val="none"/>
              </w:rPr>
            </w:pPr>
            <w:r>
              <w:rPr>
                <w:rFonts w:hint="eastAsia" w:hAnsi="宋体" w:cs="宋体"/>
                <w:sz w:val="18"/>
                <w:szCs w:val="18"/>
                <w:highlight w:val="none"/>
              </w:rPr>
              <w:t>3</w:t>
            </w:r>
          </w:p>
        </w:tc>
        <w:tc>
          <w:tcPr>
            <w:tcW w:w="922" w:type="pct"/>
            <w:vMerge w:val="restart"/>
            <w:tcBorders>
              <w:top w:val="single" w:color="auto" w:sz="8" w:space="0"/>
              <w:tl2br w:val="nil"/>
              <w:tr2bl w:val="nil"/>
            </w:tcBorders>
            <w:noWrap w:val="0"/>
            <w:vAlign w:val="center"/>
          </w:tcPr>
          <w:p>
            <w:pPr>
              <w:pStyle w:val="24"/>
              <w:adjustRightInd w:val="0"/>
              <w:ind w:firstLine="0" w:firstLineChars="0"/>
              <w:rPr>
                <w:rFonts w:hAnsi="宋体" w:cs="宋体"/>
                <w:sz w:val="18"/>
                <w:szCs w:val="18"/>
                <w:highlight w:val="none"/>
              </w:rPr>
            </w:pPr>
            <w:r>
              <w:rPr>
                <w:rFonts w:hint="eastAsia" w:hAnsi="宋体" w:cs="宋体"/>
                <w:sz w:val="18"/>
                <w:szCs w:val="18"/>
                <w:highlight w:val="none"/>
              </w:rPr>
              <w:t>该项得分为两项指标累计得分。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77" w:type="pct"/>
            <w:tcBorders>
              <w:tl2br w:val="nil"/>
              <w:tr2bl w:val="nil"/>
            </w:tcBorders>
            <w:noWrap w:val="0"/>
            <w:vAlign w:val="center"/>
          </w:tcPr>
          <w:p>
            <w:pPr>
              <w:pStyle w:val="24"/>
              <w:adjustRightInd w:val="0"/>
              <w:ind w:firstLine="0" w:firstLineChars="0"/>
              <w:rPr>
                <w:rFonts w:hAnsi="宋体" w:cs="宋体"/>
                <w:sz w:val="18"/>
                <w:szCs w:val="18"/>
                <w:highlight w:val="none"/>
              </w:rPr>
            </w:pPr>
            <w:r>
              <w:rPr>
                <w:rFonts w:hint="eastAsia" w:hAnsi="宋体" w:cs="宋体"/>
                <w:sz w:val="18"/>
                <w:szCs w:val="18"/>
                <w:highlight w:val="none"/>
              </w:rPr>
              <w:t>行业内市场占有率处于中等水平。</w:t>
            </w:r>
          </w:p>
        </w:tc>
        <w:tc>
          <w:tcPr>
            <w:tcW w:w="661" w:type="pct"/>
            <w:tcBorders>
              <w:tl2br w:val="nil"/>
              <w:tr2bl w:val="nil"/>
            </w:tcBorders>
            <w:noWrap w:val="0"/>
            <w:vAlign w:val="center"/>
          </w:tcPr>
          <w:p>
            <w:pPr>
              <w:pStyle w:val="24"/>
              <w:adjustRightInd w:val="0"/>
              <w:ind w:firstLine="0" w:firstLineChars="0"/>
              <w:jc w:val="center"/>
              <w:rPr>
                <w:rFonts w:hAnsi="宋体" w:cs="宋体"/>
                <w:sz w:val="18"/>
                <w:szCs w:val="18"/>
                <w:highlight w:val="none"/>
              </w:rPr>
            </w:pPr>
            <w:r>
              <w:rPr>
                <w:rFonts w:hint="eastAsia" w:hAnsi="宋体" w:cs="宋体"/>
                <w:sz w:val="18"/>
                <w:szCs w:val="18"/>
                <w:highlight w:val="none"/>
              </w:rPr>
              <w:t>(1,3]</w:t>
            </w:r>
          </w:p>
        </w:tc>
        <w:tc>
          <w:tcPr>
            <w:tcW w:w="884" w:type="pct"/>
            <w:tcBorders>
              <w:tl2br w:val="nil"/>
              <w:tr2bl w:val="nil"/>
            </w:tcBorders>
            <w:noWrap w:val="0"/>
            <w:vAlign w:val="center"/>
          </w:tcPr>
          <w:p>
            <w:pPr>
              <w:pStyle w:val="24"/>
              <w:adjustRightInd w:val="0"/>
              <w:ind w:firstLine="0" w:firstLineChars="0"/>
              <w:jc w:val="center"/>
              <w:rPr>
                <w:rFonts w:hAnsi="宋体" w:cs="宋体"/>
                <w:sz w:val="18"/>
                <w:szCs w:val="18"/>
                <w:highlight w:val="none"/>
              </w:rPr>
            </w:pPr>
            <w:r>
              <w:rPr>
                <w:rFonts w:hint="eastAsia" w:hAnsi="宋体" w:cs="宋体"/>
                <w:sz w:val="18"/>
                <w:szCs w:val="18"/>
                <w:highlight w:val="none"/>
              </w:rPr>
              <w:t>(5,10]</w:t>
            </w:r>
          </w:p>
        </w:tc>
        <w:tc>
          <w:tcPr>
            <w:tcW w:w="653" w:type="pct"/>
            <w:tcBorders>
              <w:tl2br w:val="nil"/>
              <w:tr2bl w:val="nil"/>
            </w:tcBorders>
            <w:noWrap w:val="0"/>
            <w:vAlign w:val="center"/>
          </w:tcPr>
          <w:p>
            <w:pPr>
              <w:pStyle w:val="24"/>
              <w:adjustRightInd w:val="0"/>
              <w:ind w:firstLine="0" w:firstLineChars="0"/>
              <w:jc w:val="center"/>
              <w:rPr>
                <w:rFonts w:hAnsi="宋体" w:cs="宋体"/>
                <w:sz w:val="18"/>
                <w:szCs w:val="18"/>
                <w:highlight w:val="none"/>
              </w:rPr>
            </w:pPr>
            <w:r>
              <w:rPr>
                <w:rFonts w:hint="eastAsia" w:hAnsi="宋体" w:cs="宋体"/>
                <w:sz w:val="18"/>
                <w:szCs w:val="18"/>
                <w:highlight w:val="none"/>
              </w:rPr>
              <w:t>2</w:t>
            </w:r>
          </w:p>
        </w:tc>
        <w:tc>
          <w:tcPr>
            <w:tcW w:w="922" w:type="pct"/>
            <w:vMerge w:val="continue"/>
            <w:tcBorders>
              <w:tl2br w:val="nil"/>
              <w:tr2bl w:val="nil"/>
            </w:tcBorders>
            <w:noWrap w:val="0"/>
            <w:vAlign w:val="center"/>
          </w:tcPr>
          <w:p>
            <w:pPr>
              <w:pStyle w:val="24"/>
              <w:adjustRightInd w:val="0"/>
              <w:ind w:firstLine="0" w:firstLineChars="0"/>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77" w:type="pct"/>
            <w:tcBorders>
              <w:tl2br w:val="nil"/>
              <w:tr2bl w:val="nil"/>
            </w:tcBorders>
            <w:noWrap w:val="0"/>
            <w:vAlign w:val="center"/>
          </w:tcPr>
          <w:p>
            <w:pPr>
              <w:pStyle w:val="24"/>
              <w:adjustRightInd w:val="0"/>
              <w:ind w:firstLine="0" w:firstLineChars="0"/>
              <w:rPr>
                <w:rFonts w:hAnsi="宋体" w:cs="宋体"/>
                <w:sz w:val="18"/>
                <w:szCs w:val="18"/>
                <w:highlight w:val="none"/>
              </w:rPr>
            </w:pPr>
            <w:r>
              <w:rPr>
                <w:rFonts w:hint="eastAsia" w:hAnsi="宋体" w:cs="宋体"/>
                <w:sz w:val="18"/>
                <w:szCs w:val="18"/>
                <w:highlight w:val="none"/>
              </w:rPr>
              <w:t>行业内市场占有率处于一般水平。</w:t>
            </w:r>
          </w:p>
        </w:tc>
        <w:tc>
          <w:tcPr>
            <w:tcW w:w="661" w:type="pct"/>
            <w:tcBorders>
              <w:tl2br w:val="nil"/>
              <w:tr2bl w:val="nil"/>
            </w:tcBorders>
            <w:noWrap w:val="0"/>
            <w:vAlign w:val="center"/>
          </w:tcPr>
          <w:p>
            <w:pPr>
              <w:pStyle w:val="24"/>
              <w:adjustRightInd w:val="0"/>
              <w:ind w:firstLine="0" w:firstLineChars="0"/>
              <w:jc w:val="center"/>
              <w:rPr>
                <w:rFonts w:hAnsi="宋体" w:cs="宋体"/>
                <w:sz w:val="18"/>
                <w:szCs w:val="18"/>
                <w:highlight w:val="none"/>
              </w:rPr>
            </w:pPr>
            <w:r>
              <w:rPr>
                <w:rFonts w:hint="eastAsia" w:hAnsi="宋体" w:cs="宋体"/>
                <w:sz w:val="18"/>
                <w:szCs w:val="18"/>
                <w:highlight w:val="none"/>
              </w:rPr>
              <w:t>[0,1]</w:t>
            </w:r>
          </w:p>
        </w:tc>
        <w:tc>
          <w:tcPr>
            <w:tcW w:w="884" w:type="pct"/>
            <w:tcBorders>
              <w:tl2br w:val="nil"/>
              <w:tr2bl w:val="nil"/>
            </w:tcBorders>
            <w:noWrap w:val="0"/>
            <w:vAlign w:val="center"/>
          </w:tcPr>
          <w:p>
            <w:pPr>
              <w:pStyle w:val="24"/>
              <w:adjustRightInd w:val="0"/>
              <w:ind w:firstLine="0" w:firstLineChars="0"/>
              <w:jc w:val="center"/>
              <w:rPr>
                <w:rFonts w:hAnsi="宋体" w:cs="宋体"/>
                <w:sz w:val="18"/>
                <w:szCs w:val="18"/>
                <w:highlight w:val="none"/>
              </w:rPr>
            </w:pPr>
            <w:r>
              <w:rPr>
                <w:rFonts w:hint="eastAsia" w:hAnsi="宋体" w:cs="宋体"/>
                <w:sz w:val="18"/>
                <w:szCs w:val="18"/>
                <w:highlight w:val="none"/>
              </w:rPr>
              <w:t>(2,5]</w:t>
            </w:r>
          </w:p>
        </w:tc>
        <w:tc>
          <w:tcPr>
            <w:tcW w:w="653" w:type="pct"/>
            <w:tcBorders>
              <w:tl2br w:val="nil"/>
              <w:tr2bl w:val="nil"/>
            </w:tcBorders>
            <w:noWrap w:val="0"/>
            <w:vAlign w:val="center"/>
          </w:tcPr>
          <w:p>
            <w:pPr>
              <w:pStyle w:val="24"/>
              <w:adjustRightInd w:val="0"/>
              <w:ind w:firstLine="0" w:firstLineChars="0"/>
              <w:jc w:val="center"/>
              <w:rPr>
                <w:rFonts w:hAnsi="宋体" w:cs="宋体"/>
                <w:sz w:val="18"/>
                <w:szCs w:val="18"/>
                <w:highlight w:val="none"/>
              </w:rPr>
            </w:pPr>
            <w:r>
              <w:rPr>
                <w:rFonts w:hint="eastAsia" w:hAnsi="宋体" w:cs="宋体"/>
                <w:sz w:val="18"/>
                <w:szCs w:val="18"/>
                <w:highlight w:val="none"/>
              </w:rPr>
              <w:t>1</w:t>
            </w:r>
          </w:p>
        </w:tc>
        <w:tc>
          <w:tcPr>
            <w:tcW w:w="922" w:type="pct"/>
            <w:vMerge w:val="continue"/>
            <w:tcBorders>
              <w:tl2br w:val="nil"/>
              <w:tr2bl w:val="nil"/>
            </w:tcBorders>
            <w:noWrap w:val="0"/>
            <w:vAlign w:val="center"/>
          </w:tcPr>
          <w:p>
            <w:pPr>
              <w:pStyle w:val="24"/>
              <w:adjustRightInd w:val="0"/>
              <w:ind w:firstLine="0" w:firstLineChars="0"/>
              <w:rPr>
                <w:rFonts w:hAnsi="宋体" w:cs="宋体"/>
                <w:sz w:val="18"/>
                <w:szCs w:val="18"/>
                <w:highlight w:val="none"/>
              </w:rPr>
            </w:pPr>
          </w:p>
        </w:tc>
      </w:tr>
    </w:tbl>
    <w:p>
      <w:pPr>
        <w:pStyle w:val="63"/>
        <w:spacing w:before="156" w:after="156"/>
        <w:rPr>
          <w:rFonts w:ascii="Times New Roman"/>
          <w:highlight w:val="none"/>
        </w:rPr>
      </w:pPr>
      <w:r>
        <w:rPr>
          <w:rFonts w:ascii="Times New Roman"/>
          <w:highlight w:val="none"/>
        </w:rPr>
        <w:t>产业影响力</w:t>
      </w:r>
    </w:p>
    <w:p>
      <w:pPr>
        <w:pStyle w:val="24"/>
        <w:rPr>
          <w:rFonts w:ascii="Times New Roman"/>
          <w:highlight w:val="none"/>
        </w:rPr>
      </w:pPr>
      <w:r>
        <w:rPr>
          <w:rFonts w:hint="eastAsia" w:hAnsi="宋体" w:cs="宋体"/>
          <w:highlight w:val="none"/>
        </w:rPr>
        <w:t>产业影响力从提供的绿色业务领域相关产品或服务，引领绿色</w:t>
      </w:r>
      <w:r>
        <w:rPr>
          <w:rFonts w:hint="eastAsia" w:hAnsi="宋体" w:cs="宋体"/>
          <w:highlight w:val="none"/>
          <w:lang w:val="en-US" w:eastAsia="zh-CN"/>
        </w:rPr>
        <w:t>低碳</w:t>
      </w:r>
      <w:r>
        <w:rPr>
          <w:rFonts w:hint="eastAsia" w:hAnsi="宋体" w:cs="宋体"/>
          <w:highlight w:val="none"/>
        </w:rPr>
        <w:t>产业技术创新或市场发展的影响能力进行评价，如在产业链关键环节及领域取得“补短板”“锻长</w:t>
      </w:r>
      <w:r>
        <w:rPr>
          <w:rFonts w:hint="eastAsia" w:hAnsi="宋体" w:cs="宋体"/>
          <w:highlight w:val="none"/>
          <w:lang w:eastAsia="zh-CN"/>
        </w:rPr>
        <w:t>链</w:t>
      </w:r>
      <w:r>
        <w:rPr>
          <w:rFonts w:hint="eastAsia" w:hAnsi="宋体" w:cs="宋体"/>
          <w:highlight w:val="none"/>
        </w:rPr>
        <w:t>”“填空白”的实际技术突破</w:t>
      </w:r>
      <w:r>
        <w:rPr>
          <w:rFonts w:hint="eastAsia" w:hAnsi="宋体" w:cs="宋体"/>
          <w:highlight w:val="none"/>
          <w:lang w:eastAsia="zh-CN"/>
        </w:rPr>
        <w:t>，</w:t>
      </w:r>
      <w:r>
        <w:rPr>
          <w:rFonts w:hint="eastAsia" w:hAnsi="宋体" w:cs="宋体"/>
          <w:highlight w:val="none"/>
          <w:lang w:val="en-US" w:eastAsia="zh-CN"/>
        </w:rPr>
        <w:t>包括但不限于</w:t>
      </w:r>
      <w:r>
        <w:rPr>
          <w:rFonts w:hint="eastAsia" w:hAnsi="宋体" w:cs="宋体"/>
          <w:color w:val="auto"/>
          <w:highlight w:val="none"/>
          <w:lang w:val="en-US" w:eastAsia="zh-CN"/>
        </w:rPr>
        <w:t>固态动力电池、燃料电池基础研究和前沿技术布局，动力电池核心材料、车规级芯片、电机控制器、轮毂电机、发卡绕组电机、整车控制系统等关键技术攻关和核心零部件研制，无模组化电池、驱动电机、高端车型整车制造等重点领域科技成果转化与产业化</w:t>
      </w:r>
      <w:r>
        <w:rPr>
          <w:rFonts w:hint="eastAsia" w:hAnsi="宋体" w:cs="宋体"/>
          <w:color w:val="auto"/>
          <w:highlight w:val="none"/>
        </w:rPr>
        <w:t>。</w:t>
      </w:r>
      <w:r>
        <w:rPr>
          <w:rFonts w:hint="eastAsia" w:hAnsi="宋体" w:cs="宋体"/>
          <w:highlight w:val="none"/>
        </w:rPr>
        <w:t>具体评分规则见表</w:t>
      </w:r>
      <w:r>
        <w:rPr>
          <w:rFonts w:hint="eastAsia" w:hAnsi="宋体" w:cs="宋体"/>
          <w:highlight w:val="none"/>
          <w:lang w:val="en-US" w:eastAsia="zh-CN"/>
        </w:rPr>
        <w:t>16</w:t>
      </w:r>
      <w:r>
        <w:rPr>
          <w:rFonts w:hint="eastAsia" w:hAnsi="宋体" w:cs="宋体"/>
          <w:highlight w:val="none"/>
        </w:rPr>
        <w:t>。</w:t>
      </w:r>
    </w:p>
    <w:p>
      <w:pPr>
        <w:pStyle w:val="134"/>
        <w:rPr>
          <w:rFonts w:ascii="Times New Roman"/>
          <w:highlight w:val="none"/>
        </w:rPr>
      </w:pPr>
      <w:r>
        <w:rPr>
          <w:rFonts w:ascii="Times New Roman"/>
          <w:highlight w:val="none"/>
        </w:rPr>
        <w:t>产业影响力评分规则表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1"/>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1" w:type="dxa"/>
            <w:tcBorders>
              <w:top w:val="single" w:color="auto" w:sz="8" w:space="0"/>
              <w:left w:val="single" w:color="auto" w:sz="8" w:space="0"/>
              <w:bottom w:val="single" w:color="auto" w:sz="8" w:space="0"/>
            </w:tcBorders>
            <w:noWrap w:val="0"/>
            <w:vAlign w:val="top"/>
          </w:tcPr>
          <w:p>
            <w:pPr>
              <w:pStyle w:val="24"/>
              <w:ind w:firstLine="0" w:firstLineChars="0"/>
              <w:jc w:val="center"/>
              <w:rPr>
                <w:rFonts w:ascii="Times New Roman"/>
                <w:b/>
                <w:bCs/>
                <w:sz w:val="18"/>
                <w:szCs w:val="18"/>
                <w:highlight w:val="none"/>
              </w:rPr>
            </w:pPr>
            <w:r>
              <w:rPr>
                <w:rFonts w:ascii="Times New Roman"/>
                <w:b/>
                <w:bCs/>
                <w:sz w:val="18"/>
                <w:szCs w:val="18"/>
                <w:highlight w:val="none"/>
              </w:rPr>
              <w:t>产业影响力水平</w:t>
            </w:r>
          </w:p>
        </w:tc>
        <w:tc>
          <w:tcPr>
            <w:tcW w:w="1130" w:type="dxa"/>
            <w:tcBorders>
              <w:top w:val="single" w:color="auto" w:sz="8" w:space="0"/>
              <w:bottom w:val="single" w:color="auto" w:sz="8" w:space="0"/>
              <w:right w:val="single" w:color="auto" w:sz="8" w:space="0"/>
            </w:tcBorders>
            <w:noWrap w:val="0"/>
            <w:vAlign w:val="top"/>
          </w:tcPr>
          <w:p>
            <w:pPr>
              <w:pStyle w:val="24"/>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1" w:type="dxa"/>
            <w:tcBorders>
              <w:top w:val="single" w:color="auto" w:sz="8" w:space="0"/>
              <w:left w:val="single" w:color="auto" w:sz="8" w:space="0"/>
            </w:tcBorders>
            <w:noWrap w:val="0"/>
            <w:vAlign w:val="top"/>
          </w:tcPr>
          <w:p>
            <w:pPr>
              <w:pStyle w:val="24"/>
              <w:ind w:firstLine="0" w:firstLineChars="0"/>
              <w:rPr>
                <w:rFonts w:hAnsi="宋体" w:cs="宋体"/>
                <w:sz w:val="18"/>
                <w:szCs w:val="18"/>
                <w:highlight w:val="none"/>
              </w:rPr>
            </w:pPr>
            <w:r>
              <w:rPr>
                <w:rFonts w:hint="eastAsia" w:hAnsi="宋体" w:cs="宋体"/>
                <w:sz w:val="18"/>
                <w:szCs w:val="18"/>
                <w:highlight w:val="none"/>
              </w:rPr>
              <w:t>具有显著的引领绿色</w:t>
            </w:r>
            <w:r>
              <w:rPr>
                <w:rFonts w:hint="eastAsia" w:hAnsi="宋体" w:cs="宋体"/>
                <w:sz w:val="18"/>
                <w:szCs w:val="18"/>
                <w:highlight w:val="none"/>
                <w:lang w:val="en-US" w:eastAsia="zh-CN"/>
              </w:rPr>
              <w:t>低碳</w:t>
            </w:r>
            <w:r>
              <w:rPr>
                <w:rFonts w:hint="eastAsia" w:hAnsi="宋体" w:cs="宋体"/>
                <w:sz w:val="18"/>
                <w:szCs w:val="18"/>
                <w:highlight w:val="none"/>
              </w:rPr>
              <w:t>产业技术或市场发展的影响能力。</w:t>
            </w:r>
          </w:p>
        </w:tc>
        <w:tc>
          <w:tcPr>
            <w:tcW w:w="1130" w:type="dxa"/>
            <w:tcBorders>
              <w:top w:val="single" w:color="auto" w:sz="8" w:space="0"/>
              <w:right w:val="single" w:color="auto" w:sz="8" w:space="0"/>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1" w:type="dxa"/>
            <w:tcBorders>
              <w:left w:val="single" w:color="auto" w:sz="8" w:space="0"/>
            </w:tcBorders>
            <w:noWrap w:val="0"/>
            <w:vAlign w:val="top"/>
          </w:tcPr>
          <w:p>
            <w:pPr>
              <w:pStyle w:val="24"/>
              <w:ind w:firstLine="0" w:firstLineChars="0"/>
              <w:rPr>
                <w:rFonts w:hAnsi="宋体" w:cs="宋体"/>
                <w:sz w:val="18"/>
                <w:szCs w:val="18"/>
                <w:highlight w:val="none"/>
              </w:rPr>
            </w:pPr>
            <w:r>
              <w:rPr>
                <w:rFonts w:hint="eastAsia" w:hAnsi="宋体" w:cs="宋体"/>
                <w:sz w:val="18"/>
                <w:szCs w:val="18"/>
                <w:highlight w:val="none"/>
              </w:rPr>
              <w:t>具有较强的引领绿色</w:t>
            </w:r>
            <w:r>
              <w:rPr>
                <w:rFonts w:hint="eastAsia" w:hAnsi="宋体" w:cs="宋体"/>
                <w:sz w:val="18"/>
                <w:szCs w:val="18"/>
                <w:highlight w:val="none"/>
                <w:lang w:val="en-US" w:eastAsia="zh-CN"/>
              </w:rPr>
              <w:t>低碳</w:t>
            </w:r>
            <w:r>
              <w:rPr>
                <w:rFonts w:hint="eastAsia" w:hAnsi="宋体" w:cs="宋体"/>
                <w:sz w:val="18"/>
                <w:szCs w:val="18"/>
                <w:highlight w:val="none"/>
              </w:rPr>
              <w:t>产业技术或市场发展的影响能力。</w:t>
            </w:r>
          </w:p>
        </w:tc>
        <w:tc>
          <w:tcPr>
            <w:tcW w:w="1130" w:type="dxa"/>
            <w:tcBorders>
              <w:right w:val="single" w:color="auto" w:sz="8" w:space="0"/>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1" w:type="dxa"/>
            <w:tcBorders>
              <w:left w:val="single" w:color="auto" w:sz="8" w:space="0"/>
            </w:tcBorders>
            <w:noWrap w:val="0"/>
            <w:vAlign w:val="top"/>
          </w:tcPr>
          <w:p>
            <w:pPr>
              <w:pStyle w:val="24"/>
              <w:ind w:firstLine="0" w:firstLineChars="0"/>
              <w:rPr>
                <w:rFonts w:hAnsi="宋体" w:cs="宋体"/>
                <w:sz w:val="18"/>
                <w:szCs w:val="18"/>
                <w:highlight w:val="none"/>
              </w:rPr>
            </w:pPr>
            <w:r>
              <w:rPr>
                <w:rFonts w:hint="eastAsia" w:hAnsi="宋体" w:cs="宋体"/>
                <w:sz w:val="18"/>
                <w:szCs w:val="18"/>
                <w:highlight w:val="none"/>
              </w:rPr>
              <w:t>具有一定的引领绿色</w:t>
            </w:r>
            <w:r>
              <w:rPr>
                <w:rFonts w:hint="eastAsia" w:hAnsi="宋体" w:cs="宋体"/>
                <w:sz w:val="18"/>
                <w:szCs w:val="18"/>
                <w:highlight w:val="none"/>
                <w:lang w:val="en-US" w:eastAsia="zh-CN"/>
              </w:rPr>
              <w:t>低碳</w:t>
            </w:r>
            <w:r>
              <w:rPr>
                <w:rFonts w:hint="eastAsia" w:hAnsi="宋体" w:cs="宋体"/>
                <w:sz w:val="18"/>
                <w:szCs w:val="18"/>
                <w:highlight w:val="none"/>
              </w:rPr>
              <w:t>产业技术或市场发展的影响能力。</w:t>
            </w:r>
          </w:p>
        </w:tc>
        <w:tc>
          <w:tcPr>
            <w:tcW w:w="1130" w:type="dxa"/>
            <w:tcBorders>
              <w:right w:val="single" w:color="auto" w:sz="8" w:space="0"/>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1" w:type="dxa"/>
            <w:tcBorders>
              <w:left w:val="single" w:color="auto" w:sz="8" w:space="0"/>
              <w:bottom w:val="single" w:color="auto" w:sz="8" w:space="0"/>
            </w:tcBorders>
            <w:noWrap w:val="0"/>
            <w:vAlign w:val="top"/>
          </w:tcPr>
          <w:p>
            <w:pPr>
              <w:pStyle w:val="24"/>
              <w:ind w:firstLine="0" w:firstLineChars="0"/>
              <w:rPr>
                <w:rFonts w:hAnsi="宋体" w:cs="宋体"/>
                <w:sz w:val="18"/>
                <w:szCs w:val="18"/>
                <w:highlight w:val="none"/>
              </w:rPr>
            </w:pPr>
            <w:r>
              <w:rPr>
                <w:rFonts w:hint="eastAsia" w:hAnsi="宋体" w:cs="宋体"/>
                <w:sz w:val="18"/>
                <w:szCs w:val="18"/>
                <w:highlight w:val="none"/>
              </w:rPr>
              <w:t>未产生明显产业影响力。</w:t>
            </w:r>
          </w:p>
        </w:tc>
        <w:tc>
          <w:tcPr>
            <w:tcW w:w="1130" w:type="dxa"/>
            <w:tcBorders>
              <w:bottom w:val="single" w:color="auto" w:sz="8" w:space="0"/>
              <w:right w:val="single" w:color="auto" w:sz="8" w:space="0"/>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w:t>
            </w:r>
          </w:p>
        </w:tc>
      </w:tr>
    </w:tbl>
    <w:p>
      <w:pPr>
        <w:pStyle w:val="63"/>
        <w:spacing w:before="156" w:after="156"/>
        <w:rPr>
          <w:rFonts w:ascii="Times New Roman"/>
          <w:highlight w:val="none"/>
        </w:rPr>
      </w:pPr>
      <w:r>
        <w:rPr>
          <w:rFonts w:ascii="Times New Roman"/>
          <w:highlight w:val="none"/>
        </w:rPr>
        <w:t>行业资质荣誉</w:t>
      </w:r>
    </w:p>
    <w:p>
      <w:pPr>
        <w:pStyle w:val="24"/>
        <w:rPr>
          <w:rFonts w:ascii="Times New Roman"/>
          <w:highlight w:val="none"/>
        </w:rPr>
      </w:pPr>
      <w:r>
        <w:rPr>
          <w:rFonts w:hint="eastAsia" w:hAnsi="宋体" w:cs="宋体"/>
          <w:highlight w:val="none"/>
        </w:rPr>
        <w:t>行业资质荣誉从提供的绿色业务领域相关产品或服务，获得的国家级、省部级、市级或区级奖项、资质、荣誉、认定或证书的情况进行评价</w:t>
      </w:r>
      <w:r>
        <w:rPr>
          <w:rFonts w:hint="eastAsia" w:hAnsi="宋体" w:cs="宋体"/>
          <w:highlight w:val="none"/>
          <w:lang w:eastAsia="zh-CN"/>
        </w:rPr>
        <w:t>，</w:t>
      </w:r>
      <w:r>
        <w:rPr>
          <w:rFonts w:hint="eastAsia" w:hAnsi="宋体" w:cs="宋体"/>
          <w:highlight w:val="none"/>
          <w:lang w:val="en-US" w:eastAsia="zh-CN"/>
        </w:rPr>
        <w:t>国家级行业协会颁发的相关资质、荣誉、认定或证书视为省部级</w:t>
      </w:r>
      <w:r>
        <w:rPr>
          <w:rFonts w:hint="eastAsia" w:hAnsi="宋体" w:cs="宋体"/>
          <w:highlight w:val="none"/>
        </w:rPr>
        <w:t>。具体评分规则见表</w:t>
      </w:r>
      <w:r>
        <w:rPr>
          <w:rFonts w:hint="eastAsia" w:hAnsi="宋体" w:cs="宋体"/>
          <w:highlight w:val="none"/>
          <w:lang w:val="en-US" w:eastAsia="zh-CN"/>
        </w:rPr>
        <w:t>17</w:t>
      </w:r>
      <w:r>
        <w:rPr>
          <w:rFonts w:hint="eastAsia" w:hAnsi="宋体" w:cs="宋体"/>
          <w:highlight w:val="none"/>
        </w:rPr>
        <w:t>。</w:t>
      </w:r>
    </w:p>
    <w:p>
      <w:pPr>
        <w:pStyle w:val="134"/>
        <w:rPr>
          <w:rFonts w:ascii="Times New Roman"/>
          <w:highlight w:val="none"/>
        </w:rPr>
      </w:pPr>
      <w:r>
        <w:rPr>
          <w:rFonts w:ascii="Times New Roman"/>
          <w:highlight w:val="none"/>
        </w:rPr>
        <w:t>行业资质荣誉评分规则表</w:t>
      </w:r>
    </w:p>
    <w:tbl>
      <w:tblPr>
        <w:tblStyle w:val="34"/>
        <w:tblW w:w="86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11"/>
        <w:gridCol w:w="952"/>
        <w:gridCol w:w="1005"/>
        <w:gridCol w:w="24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11"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hint="eastAsia" w:ascii="Times New Roman"/>
                <w:b/>
                <w:bCs/>
                <w:sz w:val="18"/>
                <w:szCs w:val="18"/>
                <w:highlight w:val="none"/>
              </w:rPr>
              <w:t>行业资质荣誉</w:t>
            </w:r>
          </w:p>
        </w:tc>
        <w:tc>
          <w:tcPr>
            <w:tcW w:w="952"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基础分值</w:t>
            </w:r>
            <w:r>
              <w:rPr>
                <w:rFonts w:hint="eastAsia" w:ascii="Times New Roman"/>
                <w:b/>
                <w:bCs/>
                <w:sz w:val="18"/>
                <w:szCs w:val="18"/>
                <w:highlight w:val="none"/>
              </w:rPr>
              <w:t>（分）</w:t>
            </w:r>
          </w:p>
        </w:tc>
        <w:tc>
          <w:tcPr>
            <w:tcW w:w="1005"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最高分值</w:t>
            </w:r>
            <w:r>
              <w:rPr>
                <w:rFonts w:hint="eastAsia" w:ascii="Times New Roman"/>
                <w:b/>
                <w:bCs/>
                <w:sz w:val="18"/>
                <w:szCs w:val="18"/>
                <w:highlight w:val="none"/>
              </w:rPr>
              <w:t>（分）</w:t>
            </w:r>
          </w:p>
        </w:tc>
        <w:tc>
          <w:tcPr>
            <w:tcW w:w="2497"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加分规则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211" w:type="dxa"/>
            <w:tcBorders>
              <w:top w:val="single" w:color="auto" w:sz="8" w:space="0"/>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获得1项国家级奖项、资质、荣誉、认定或证书。</w:t>
            </w:r>
          </w:p>
        </w:tc>
        <w:tc>
          <w:tcPr>
            <w:tcW w:w="952"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4</w:t>
            </w:r>
          </w:p>
        </w:tc>
        <w:tc>
          <w:tcPr>
            <w:tcW w:w="1005"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5</w:t>
            </w:r>
          </w:p>
        </w:tc>
        <w:tc>
          <w:tcPr>
            <w:tcW w:w="2497" w:type="dxa"/>
            <w:vMerge w:val="restart"/>
            <w:tcBorders>
              <w:top w:val="single" w:color="auto" w:sz="8" w:space="0"/>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优质中小企业相应基础分值加1分。</w:t>
            </w:r>
          </w:p>
          <w:p>
            <w:pPr>
              <w:pStyle w:val="24"/>
              <w:ind w:firstLine="0" w:firstLineChars="0"/>
              <w:rPr>
                <w:rFonts w:hAnsi="宋体" w:cs="宋体"/>
                <w:sz w:val="18"/>
                <w:szCs w:val="18"/>
                <w:highlight w:val="none"/>
              </w:rPr>
            </w:pPr>
            <w:r>
              <w:rPr>
                <w:rFonts w:hint="eastAsia" w:hAnsi="宋体" w:cs="宋体"/>
                <w:sz w:val="18"/>
                <w:szCs w:val="18"/>
                <w:highlight w:val="none"/>
              </w:rPr>
              <w:t>每多一项国家级、省部级、市级、区级资质荣誉，分别加1分、0.5分、0.3分、0.2分。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211"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获得1项省部级奖项、资质、荣誉、认定或证书。</w:t>
            </w:r>
          </w:p>
        </w:tc>
        <w:tc>
          <w:tcPr>
            <w:tcW w:w="952"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2</w:t>
            </w:r>
          </w:p>
        </w:tc>
        <w:tc>
          <w:tcPr>
            <w:tcW w:w="1005"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4</w:t>
            </w:r>
          </w:p>
        </w:tc>
        <w:tc>
          <w:tcPr>
            <w:tcW w:w="2497" w:type="dxa"/>
            <w:vMerge w:val="continue"/>
            <w:tcBorders>
              <w:tl2br w:val="nil"/>
              <w:tr2bl w:val="nil"/>
            </w:tcBorders>
            <w:noWrap w:val="0"/>
            <w:vAlign w:val="center"/>
          </w:tcPr>
          <w:p>
            <w:pPr>
              <w:pStyle w:val="24"/>
              <w:ind w:firstLine="0" w:firstLineChars="0"/>
              <w:jc w:val="center"/>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211"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获得1项市级奖项、资质、荣誉、认定或证书。</w:t>
            </w:r>
          </w:p>
        </w:tc>
        <w:tc>
          <w:tcPr>
            <w:tcW w:w="952"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1</w:t>
            </w:r>
          </w:p>
        </w:tc>
        <w:tc>
          <w:tcPr>
            <w:tcW w:w="1005"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3</w:t>
            </w:r>
          </w:p>
        </w:tc>
        <w:tc>
          <w:tcPr>
            <w:tcW w:w="2497" w:type="dxa"/>
            <w:vMerge w:val="continue"/>
            <w:tcBorders>
              <w:tl2br w:val="nil"/>
              <w:tr2bl w:val="nil"/>
            </w:tcBorders>
            <w:noWrap w:val="0"/>
            <w:vAlign w:val="center"/>
          </w:tcPr>
          <w:p>
            <w:pPr>
              <w:pStyle w:val="24"/>
              <w:ind w:firstLine="0" w:firstLineChars="0"/>
              <w:jc w:val="center"/>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11"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未获得行业资质荣誉奖项。</w:t>
            </w:r>
          </w:p>
        </w:tc>
        <w:tc>
          <w:tcPr>
            <w:tcW w:w="952"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w:t>
            </w:r>
          </w:p>
        </w:tc>
        <w:tc>
          <w:tcPr>
            <w:tcW w:w="1005"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w:t>
            </w:r>
          </w:p>
        </w:tc>
        <w:tc>
          <w:tcPr>
            <w:tcW w:w="2497" w:type="dxa"/>
            <w:vMerge w:val="continue"/>
            <w:tcBorders>
              <w:tl2br w:val="nil"/>
              <w:tr2bl w:val="nil"/>
            </w:tcBorders>
            <w:noWrap w:val="0"/>
            <w:vAlign w:val="center"/>
          </w:tcPr>
          <w:p>
            <w:pPr>
              <w:pStyle w:val="24"/>
              <w:ind w:firstLine="0" w:firstLineChars="0"/>
              <w:jc w:val="center"/>
              <w:rPr>
                <w:rFonts w:hAnsi="宋体" w:cs="宋体"/>
                <w:sz w:val="18"/>
                <w:szCs w:val="18"/>
                <w:highlight w:val="none"/>
              </w:rPr>
            </w:pPr>
          </w:p>
        </w:tc>
      </w:tr>
    </w:tbl>
    <w:p>
      <w:pPr>
        <w:pStyle w:val="72"/>
        <w:ind w:left="780" w:leftChars="200" w:hanging="360" w:hangingChars="200"/>
        <w:rPr>
          <w:rFonts w:ascii="Times New Roman"/>
          <w:highlight w:val="none"/>
        </w:rPr>
      </w:pPr>
      <w:r>
        <w:rPr>
          <w:rFonts w:hint="eastAsia" w:hAnsi="宋体" w:cs="宋体"/>
          <w:highlight w:val="none"/>
        </w:rPr>
        <w:t>优质中小企业是指在产品、技术、管理、模式等方面创新能力强、专注细分市场、成长性好的中小企业，由创新型中小企业、专精特新中小企业和专精特新“小巨人”企业三个层次组成。</w:t>
      </w:r>
    </w:p>
    <w:p>
      <w:pPr>
        <w:pStyle w:val="54"/>
        <w:spacing w:before="156" w:after="156"/>
        <w:rPr>
          <w:rFonts w:ascii="Times New Roman"/>
          <w:highlight w:val="none"/>
        </w:rPr>
      </w:pPr>
      <w:r>
        <w:rPr>
          <w:rFonts w:ascii="Times New Roman"/>
          <w:highlight w:val="none"/>
        </w:rPr>
        <w:t>环境表现</w:t>
      </w:r>
    </w:p>
    <w:p>
      <w:pPr>
        <w:pStyle w:val="59"/>
        <w:numPr>
          <w:ilvl w:val="3"/>
          <w:numId w:val="2"/>
        </w:numPr>
        <w:spacing w:before="156" w:after="156"/>
        <w:rPr>
          <w:rFonts w:ascii="Times New Roman"/>
          <w:highlight w:val="none"/>
        </w:rPr>
      </w:pPr>
      <w:r>
        <w:rPr>
          <w:rFonts w:hint="eastAsia" w:ascii="Times New Roman"/>
          <w:highlight w:val="none"/>
        </w:rPr>
        <w:t>工艺设备材料</w:t>
      </w:r>
    </w:p>
    <w:p>
      <w:pPr>
        <w:pStyle w:val="24"/>
        <w:rPr>
          <w:rFonts w:ascii="Times New Roman"/>
          <w:highlight w:val="none"/>
        </w:rPr>
      </w:pPr>
      <w:r>
        <w:rPr>
          <w:rFonts w:hint="eastAsia" w:hAnsi="宋体" w:cs="宋体"/>
          <w:highlight w:val="none"/>
        </w:rPr>
        <w:t>工艺设备材料从企事业单位自身生产运营过程中，采用工艺、设备及原材料的绿色化水平进行评价。推荐优先选用列入国家节能、环保相关技术推荐目录的工艺技术和装备设备，推荐参照《国家鼓励的有毒有害原料（产品）替代品目录》实现有毒有害原材料替代</w:t>
      </w:r>
      <w:r>
        <w:rPr>
          <w:rFonts w:hint="eastAsia" w:hAnsi="宋体" w:cs="宋体"/>
          <w:highlight w:val="none"/>
          <w:lang w:eastAsia="zh-CN"/>
        </w:rPr>
        <w:t>，</w:t>
      </w:r>
      <w:r>
        <w:rPr>
          <w:rFonts w:hint="eastAsia" w:hAnsi="宋体" w:cs="宋体"/>
          <w:highlight w:val="none"/>
        </w:rPr>
        <w:t>具体评分规则见表1</w:t>
      </w:r>
      <w:r>
        <w:rPr>
          <w:rFonts w:hint="eastAsia" w:hAnsi="宋体" w:cs="宋体"/>
          <w:highlight w:val="none"/>
          <w:lang w:val="en-US" w:eastAsia="zh-CN"/>
        </w:rPr>
        <w:t>8</w:t>
      </w:r>
      <w:r>
        <w:rPr>
          <w:rFonts w:hint="eastAsia" w:hAnsi="宋体" w:cs="宋体"/>
          <w:highlight w:val="none"/>
        </w:rPr>
        <w:t>。</w:t>
      </w:r>
    </w:p>
    <w:p>
      <w:pPr>
        <w:pStyle w:val="134"/>
        <w:rPr>
          <w:rFonts w:ascii="Times New Roman"/>
          <w:highlight w:val="none"/>
        </w:rPr>
      </w:pPr>
      <w:r>
        <w:rPr>
          <w:rFonts w:ascii="Times New Roman"/>
          <w:highlight w:val="none"/>
        </w:rPr>
        <w:t>工艺设备材料评分规则表</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992"/>
        <w:gridCol w:w="1560"/>
        <w:gridCol w:w="1071"/>
        <w:gridCol w:w="1622"/>
        <w:gridCol w:w="992"/>
        <w:gridCol w:w="7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0"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工艺绿色化水平</w:t>
            </w:r>
          </w:p>
        </w:tc>
        <w:tc>
          <w:tcPr>
            <w:tcW w:w="992"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1560"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设备绿色化水平</w:t>
            </w:r>
          </w:p>
        </w:tc>
        <w:tc>
          <w:tcPr>
            <w:tcW w:w="1071"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1622"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材料绿色化水平</w:t>
            </w:r>
          </w:p>
        </w:tc>
        <w:tc>
          <w:tcPr>
            <w:tcW w:w="992"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759"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0" w:type="dxa"/>
            <w:tcBorders>
              <w:top w:val="single" w:color="auto" w:sz="8" w:space="0"/>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全部选用推荐工艺。</w:t>
            </w:r>
          </w:p>
        </w:tc>
        <w:tc>
          <w:tcPr>
            <w:tcW w:w="992"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1</w:t>
            </w:r>
          </w:p>
        </w:tc>
        <w:tc>
          <w:tcPr>
            <w:tcW w:w="1560" w:type="dxa"/>
            <w:tcBorders>
              <w:top w:val="single" w:color="auto" w:sz="8" w:space="0"/>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推荐目录采购比例超过50%。</w:t>
            </w:r>
          </w:p>
        </w:tc>
        <w:tc>
          <w:tcPr>
            <w:tcW w:w="1071"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1</w:t>
            </w:r>
          </w:p>
        </w:tc>
        <w:tc>
          <w:tcPr>
            <w:tcW w:w="1622" w:type="dxa"/>
            <w:tcBorders>
              <w:top w:val="single" w:color="auto" w:sz="8" w:space="0"/>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全面实施无毒无害原材料替代。</w:t>
            </w:r>
          </w:p>
        </w:tc>
        <w:tc>
          <w:tcPr>
            <w:tcW w:w="992"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1</w:t>
            </w:r>
          </w:p>
        </w:tc>
        <w:tc>
          <w:tcPr>
            <w:tcW w:w="759" w:type="dxa"/>
            <w:vMerge w:val="restart"/>
            <w:tcBorders>
              <w:top w:val="single" w:color="auto" w:sz="8" w:space="0"/>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0"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部分选用推荐工艺。</w:t>
            </w:r>
          </w:p>
        </w:tc>
        <w:tc>
          <w:tcPr>
            <w:tcW w:w="992"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0.5</w:t>
            </w:r>
          </w:p>
        </w:tc>
        <w:tc>
          <w:tcPr>
            <w:tcW w:w="1560"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推荐目录采购比例超过30%。</w:t>
            </w:r>
          </w:p>
        </w:tc>
        <w:tc>
          <w:tcPr>
            <w:tcW w:w="1071"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0.5</w:t>
            </w:r>
          </w:p>
        </w:tc>
        <w:tc>
          <w:tcPr>
            <w:tcW w:w="1622"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部分实施无毒无害原材料替代。</w:t>
            </w:r>
          </w:p>
        </w:tc>
        <w:tc>
          <w:tcPr>
            <w:tcW w:w="992"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0.5</w:t>
            </w:r>
          </w:p>
        </w:tc>
        <w:tc>
          <w:tcPr>
            <w:tcW w:w="759" w:type="dxa"/>
            <w:vMerge w:val="continue"/>
            <w:tcBorders>
              <w:tl2br w:val="nil"/>
              <w:tr2bl w:val="nil"/>
            </w:tcBorders>
            <w:noWrap w:val="0"/>
            <w:vAlign w:val="center"/>
          </w:tcPr>
          <w:p>
            <w:pPr>
              <w:pStyle w:val="24"/>
              <w:ind w:firstLine="0" w:firstLineChars="0"/>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0"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未选用推荐工艺。</w:t>
            </w:r>
          </w:p>
        </w:tc>
        <w:tc>
          <w:tcPr>
            <w:tcW w:w="992"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w:t>
            </w:r>
          </w:p>
        </w:tc>
        <w:tc>
          <w:tcPr>
            <w:tcW w:w="1560"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推荐目录采购比例未超过30%。</w:t>
            </w:r>
          </w:p>
        </w:tc>
        <w:tc>
          <w:tcPr>
            <w:tcW w:w="1071"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w:t>
            </w:r>
          </w:p>
        </w:tc>
        <w:tc>
          <w:tcPr>
            <w:tcW w:w="1622"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未实施无毒无害原材料替代。</w:t>
            </w:r>
          </w:p>
        </w:tc>
        <w:tc>
          <w:tcPr>
            <w:tcW w:w="992"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w:t>
            </w:r>
          </w:p>
        </w:tc>
        <w:tc>
          <w:tcPr>
            <w:tcW w:w="759" w:type="dxa"/>
            <w:vMerge w:val="continue"/>
            <w:tcBorders>
              <w:tl2br w:val="nil"/>
              <w:tr2bl w:val="nil"/>
            </w:tcBorders>
            <w:noWrap w:val="0"/>
            <w:vAlign w:val="center"/>
          </w:tcPr>
          <w:p>
            <w:pPr>
              <w:pStyle w:val="24"/>
              <w:ind w:firstLine="0" w:firstLineChars="0"/>
              <w:rPr>
                <w:rFonts w:hAnsi="宋体" w:cs="宋体"/>
                <w:sz w:val="18"/>
                <w:szCs w:val="18"/>
                <w:highlight w:val="none"/>
              </w:rPr>
            </w:pPr>
          </w:p>
        </w:tc>
      </w:tr>
    </w:tbl>
    <w:p>
      <w:pPr>
        <w:pStyle w:val="59"/>
        <w:numPr>
          <w:ilvl w:val="3"/>
          <w:numId w:val="2"/>
        </w:numPr>
        <w:spacing w:before="156" w:after="156"/>
        <w:rPr>
          <w:rFonts w:ascii="Times New Roman"/>
          <w:highlight w:val="none"/>
        </w:rPr>
      </w:pPr>
      <w:r>
        <w:rPr>
          <w:rFonts w:ascii="Times New Roman"/>
          <w:highlight w:val="none"/>
        </w:rPr>
        <w:t>能源资源利用</w:t>
      </w:r>
    </w:p>
    <w:p>
      <w:pPr>
        <w:pStyle w:val="63"/>
        <w:spacing w:before="156" w:after="156"/>
        <w:rPr>
          <w:rFonts w:hint="default" w:ascii="宋体" w:hAnsi="宋体" w:cs="宋体"/>
          <w:sz w:val="21"/>
          <w:highlight w:val="none"/>
          <w:lang w:val="en-US" w:eastAsia="zh-CN" w:bidi="ar-SA"/>
        </w:rPr>
      </w:pPr>
      <w:r>
        <w:rPr>
          <w:rFonts w:hint="eastAsia" w:ascii="宋体" w:hAnsi="宋体" w:cs="宋体"/>
          <w:sz w:val="21"/>
          <w:highlight w:val="none"/>
          <w:lang w:val="en-US" w:eastAsia="zh-CN" w:bidi="ar-SA"/>
        </w:rPr>
        <w:t>可</w:t>
      </w:r>
      <w:r>
        <w:rPr>
          <w:rFonts w:hint="eastAsia" w:ascii="宋体" w:hAnsi="宋体" w:cs="宋体"/>
          <w:highlight w:val="none"/>
        </w:rPr>
        <w:t>再生能源占比</w:t>
      </w:r>
    </w:p>
    <w:p>
      <w:pPr>
        <w:pStyle w:val="24"/>
        <w:rPr>
          <w:rFonts w:ascii="Times New Roman"/>
          <w:highlight w:val="none"/>
        </w:rPr>
      </w:pPr>
      <w:r>
        <w:rPr>
          <w:rFonts w:hint="eastAsia" w:hAnsi="宋体" w:cs="宋体"/>
          <w:highlight w:val="none"/>
        </w:rPr>
        <w:t>可再生能源占比是指可再生能源消费量与终端能源消费总量的比值</w:t>
      </w:r>
      <w:r>
        <w:rPr>
          <w:rFonts w:hint="eastAsia" w:hAnsi="宋体" w:cs="宋体"/>
          <w:highlight w:val="none"/>
          <w:lang w:eastAsia="zh-CN"/>
        </w:rPr>
        <w:t>，</w:t>
      </w:r>
      <w:r>
        <w:rPr>
          <w:rFonts w:hint="eastAsia" w:hAnsi="宋体" w:cs="宋体"/>
          <w:highlight w:val="none"/>
        </w:rPr>
        <w:t>具体评分规则见表</w:t>
      </w:r>
      <w:r>
        <w:rPr>
          <w:rFonts w:hint="eastAsia" w:hAnsi="宋体" w:cs="宋体"/>
          <w:highlight w:val="none"/>
          <w:lang w:val="en-US" w:eastAsia="zh-CN"/>
        </w:rPr>
        <w:t>19</w:t>
      </w:r>
      <w:r>
        <w:rPr>
          <w:rFonts w:hint="eastAsia" w:hAnsi="宋体" w:cs="宋体"/>
          <w:highlight w:val="none"/>
        </w:rPr>
        <w:t>。</w:t>
      </w:r>
    </w:p>
    <w:p>
      <w:pPr>
        <w:pStyle w:val="134"/>
        <w:rPr>
          <w:rFonts w:ascii="Times New Roman"/>
          <w:highlight w:val="none"/>
        </w:rPr>
      </w:pPr>
      <w:r>
        <w:rPr>
          <w:rFonts w:hint="eastAsia" w:ascii="Times New Roman"/>
          <w:highlight w:val="none"/>
        </w:rPr>
        <w:t>可再生能源占比</w:t>
      </w:r>
      <w:r>
        <w:rPr>
          <w:rFonts w:ascii="Times New Roman"/>
          <w:highlight w:val="none"/>
        </w:rPr>
        <w:t>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11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96"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hint="eastAsia" w:ascii="Times New Roman"/>
                <w:b/>
                <w:bCs/>
                <w:sz w:val="18"/>
                <w:szCs w:val="18"/>
                <w:highlight w:val="none"/>
              </w:rPr>
              <w:t>可再生能源</w:t>
            </w:r>
            <w:r>
              <w:rPr>
                <w:rFonts w:ascii="Times New Roman"/>
                <w:b/>
                <w:bCs/>
                <w:sz w:val="18"/>
                <w:szCs w:val="18"/>
                <w:highlight w:val="none"/>
              </w:rPr>
              <w:t>利用</w:t>
            </w:r>
          </w:p>
        </w:tc>
        <w:tc>
          <w:tcPr>
            <w:tcW w:w="1163"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96"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≥10%</w:t>
            </w:r>
          </w:p>
        </w:tc>
        <w:tc>
          <w:tcPr>
            <w:tcW w:w="1163"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96"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[5%,10%）</w:t>
            </w:r>
          </w:p>
        </w:tc>
        <w:tc>
          <w:tcPr>
            <w:tcW w:w="1163"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96"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Ansi="宋体" w:cs="宋体"/>
                <w:sz w:val="18"/>
                <w:szCs w:val="18"/>
                <w:highlight w:val="none"/>
              </w:rPr>
              <w:t>[</w:t>
            </w:r>
            <w:r>
              <w:rPr>
                <w:rFonts w:hint="eastAsia" w:hAnsi="宋体" w:cs="宋体"/>
                <w:sz w:val="18"/>
                <w:szCs w:val="18"/>
                <w:highlight w:val="none"/>
              </w:rPr>
              <w:t>0</w:t>
            </w:r>
            <w:r>
              <w:rPr>
                <w:rFonts w:hAnsi="宋体" w:cs="宋体"/>
                <w:sz w:val="18"/>
                <w:szCs w:val="18"/>
                <w:highlight w:val="none"/>
              </w:rPr>
              <w:t>,</w:t>
            </w:r>
            <w:r>
              <w:rPr>
                <w:rFonts w:hint="eastAsia" w:hAnsi="宋体" w:cs="宋体"/>
                <w:sz w:val="18"/>
                <w:szCs w:val="18"/>
                <w:highlight w:val="none"/>
              </w:rPr>
              <w:t>5</w:t>
            </w:r>
            <w:r>
              <w:rPr>
                <w:rFonts w:hAnsi="宋体" w:cs="宋体"/>
                <w:sz w:val="18"/>
                <w:szCs w:val="18"/>
                <w:highlight w:val="none"/>
              </w:rPr>
              <w:t>%）</w:t>
            </w:r>
          </w:p>
        </w:tc>
        <w:tc>
          <w:tcPr>
            <w:tcW w:w="1163"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w:t>
            </w:r>
          </w:p>
        </w:tc>
      </w:tr>
    </w:tbl>
    <w:p>
      <w:pPr>
        <w:pStyle w:val="63"/>
        <w:spacing w:before="156" w:after="156"/>
        <w:rPr>
          <w:rFonts w:hint="default" w:ascii="宋体" w:hAnsi="宋体" w:cs="宋体"/>
          <w:sz w:val="21"/>
          <w:highlight w:val="none"/>
          <w:lang w:val="en-US" w:eastAsia="zh-CN" w:bidi="ar-SA"/>
        </w:rPr>
      </w:pPr>
      <w:r>
        <w:rPr>
          <w:rFonts w:hint="eastAsia" w:ascii="宋体" w:hAnsi="宋体" w:cs="宋体"/>
          <w:highlight w:val="none"/>
        </w:rPr>
        <w:t>非常规水资源利用率</w:t>
      </w:r>
    </w:p>
    <w:p>
      <w:pPr>
        <w:pStyle w:val="24"/>
        <w:rPr>
          <w:rFonts w:ascii="Times New Roman"/>
          <w:highlight w:val="none"/>
        </w:rPr>
      </w:pPr>
      <w:r>
        <w:rPr>
          <w:rFonts w:hint="eastAsia" w:hAnsi="宋体" w:cs="宋体"/>
          <w:highlight w:val="none"/>
        </w:rPr>
        <w:t>非常规水资源利用率是指再生水、雨水、海水、矿井水、苦咸水等非常规水资源利用总量与用水总量的比值</w:t>
      </w:r>
      <w:r>
        <w:rPr>
          <w:rFonts w:hint="eastAsia" w:hAnsi="宋体" w:cs="宋体"/>
          <w:highlight w:val="none"/>
          <w:lang w:eastAsia="zh-CN"/>
        </w:rPr>
        <w:t>，</w:t>
      </w:r>
      <w:r>
        <w:rPr>
          <w:rFonts w:hint="eastAsia" w:hAnsi="宋体" w:cs="宋体"/>
          <w:highlight w:val="none"/>
        </w:rPr>
        <w:t>具体评分规则见表</w:t>
      </w:r>
      <w:r>
        <w:rPr>
          <w:rFonts w:hint="eastAsia" w:hAnsi="宋体" w:cs="宋体"/>
          <w:highlight w:val="none"/>
          <w:lang w:val="en-US" w:eastAsia="zh-CN"/>
        </w:rPr>
        <w:t>20</w:t>
      </w:r>
      <w:r>
        <w:rPr>
          <w:rFonts w:hint="eastAsia" w:hAnsi="宋体" w:cs="宋体"/>
          <w:highlight w:val="none"/>
        </w:rPr>
        <w:t>。</w:t>
      </w:r>
    </w:p>
    <w:p>
      <w:pPr>
        <w:pStyle w:val="134"/>
        <w:rPr>
          <w:rFonts w:ascii="Times New Roman"/>
          <w:highlight w:val="none"/>
        </w:rPr>
      </w:pPr>
      <w:r>
        <w:rPr>
          <w:rFonts w:hint="eastAsia" w:ascii="Times New Roman"/>
          <w:highlight w:val="none"/>
        </w:rPr>
        <w:t>非常规水资源利用率</w:t>
      </w:r>
      <w:r>
        <w:rPr>
          <w:rFonts w:ascii="Times New Roman"/>
          <w:highlight w:val="none"/>
        </w:rPr>
        <w:t>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11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0" w:type="dxa"/>
            <w:tcBorders>
              <w:top w:val="single" w:color="auto" w:sz="8" w:space="0"/>
              <w:bottom w:val="single" w:color="auto" w:sz="8" w:space="0"/>
            </w:tcBorders>
            <w:noWrap w:val="0"/>
            <w:vAlign w:val="center"/>
          </w:tcPr>
          <w:p>
            <w:pPr>
              <w:pStyle w:val="24"/>
              <w:ind w:firstLine="0" w:firstLineChars="0"/>
              <w:jc w:val="center"/>
              <w:rPr>
                <w:rFonts w:hAnsi="宋体" w:cs="宋体"/>
                <w:b/>
                <w:bCs/>
                <w:sz w:val="18"/>
                <w:szCs w:val="18"/>
                <w:highlight w:val="none"/>
              </w:rPr>
            </w:pPr>
            <w:r>
              <w:rPr>
                <w:rFonts w:hint="eastAsia" w:hAnsi="宋体" w:cs="宋体"/>
                <w:b/>
                <w:bCs/>
                <w:sz w:val="18"/>
                <w:szCs w:val="18"/>
                <w:highlight w:val="none"/>
              </w:rPr>
              <w:t>非常规水资源利用率</w:t>
            </w:r>
          </w:p>
        </w:tc>
        <w:tc>
          <w:tcPr>
            <w:tcW w:w="1195" w:type="dxa"/>
            <w:tcBorders>
              <w:top w:val="single" w:color="auto" w:sz="8" w:space="0"/>
              <w:bottom w:val="single" w:color="auto" w:sz="8" w:space="0"/>
            </w:tcBorders>
            <w:noWrap w:val="0"/>
            <w:vAlign w:val="center"/>
          </w:tcPr>
          <w:p>
            <w:pPr>
              <w:pStyle w:val="24"/>
              <w:ind w:firstLine="0" w:firstLineChars="0"/>
              <w:jc w:val="center"/>
              <w:rPr>
                <w:rFonts w:hAnsi="宋体" w:cs="宋体"/>
                <w:b/>
                <w:bCs/>
                <w:sz w:val="18"/>
                <w:szCs w:val="18"/>
                <w:highlight w:val="none"/>
              </w:rPr>
            </w:pPr>
            <w:r>
              <w:rPr>
                <w:rFonts w:hint="eastAsia" w:hAnsi="宋体" w:cs="宋体"/>
                <w:b/>
                <w:bCs/>
                <w:sz w:val="18"/>
                <w:szCs w:val="18"/>
                <w:highlight w:val="none"/>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≥60%</w:t>
            </w:r>
          </w:p>
        </w:tc>
        <w:tc>
          <w:tcPr>
            <w:tcW w:w="1195"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550"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[20%,60%）</w:t>
            </w:r>
          </w:p>
        </w:tc>
        <w:tc>
          <w:tcPr>
            <w:tcW w:w="1195"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550"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＜20%</w:t>
            </w:r>
          </w:p>
        </w:tc>
        <w:tc>
          <w:tcPr>
            <w:tcW w:w="1195"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w:t>
            </w:r>
          </w:p>
        </w:tc>
      </w:tr>
    </w:tbl>
    <w:p>
      <w:pPr>
        <w:pStyle w:val="63"/>
        <w:spacing w:before="156" w:after="156"/>
        <w:rPr>
          <w:rFonts w:hint="default" w:ascii="宋体" w:hAnsi="宋体" w:cs="宋体"/>
          <w:sz w:val="21"/>
          <w:highlight w:val="none"/>
          <w:lang w:val="en-US" w:eastAsia="zh-CN" w:bidi="ar-SA"/>
        </w:rPr>
      </w:pPr>
      <w:r>
        <w:rPr>
          <w:rFonts w:hint="eastAsia" w:ascii="宋体" w:hAnsi="宋体" w:cs="宋体"/>
          <w:highlight w:val="none"/>
        </w:rPr>
        <w:t>废弃物综合利用率</w:t>
      </w:r>
    </w:p>
    <w:p>
      <w:pPr>
        <w:pStyle w:val="24"/>
        <w:rPr>
          <w:rFonts w:ascii="Times New Roman"/>
          <w:highlight w:val="none"/>
        </w:rPr>
      </w:pPr>
      <w:r>
        <w:rPr>
          <w:rFonts w:hint="eastAsia" w:hAnsi="宋体" w:cs="宋体"/>
          <w:highlight w:val="none"/>
        </w:rPr>
        <w:t>废弃物综合利用率是指工业固体废物综合利用量与工业固体废物产生量的比值</w:t>
      </w:r>
      <w:r>
        <w:rPr>
          <w:rFonts w:hint="eastAsia" w:hAnsi="宋体" w:cs="宋体"/>
          <w:highlight w:val="none"/>
          <w:lang w:eastAsia="zh-CN"/>
        </w:rPr>
        <w:t>，</w:t>
      </w:r>
      <w:r>
        <w:rPr>
          <w:rFonts w:hint="eastAsia" w:hAnsi="宋体" w:cs="宋体"/>
          <w:highlight w:val="none"/>
        </w:rPr>
        <w:t>具体评分规则见表</w:t>
      </w:r>
      <w:r>
        <w:rPr>
          <w:rFonts w:hint="eastAsia" w:hAnsi="宋体" w:cs="宋体"/>
          <w:highlight w:val="none"/>
          <w:lang w:val="en-US" w:eastAsia="zh-CN"/>
        </w:rPr>
        <w:t>21</w:t>
      </w:r>
      <w:r>
        <w:rPr>
          <w:rFonts w:hint="eastAsia" w:hAnsi="宋体" w:cs="宋体"/>
          <w:highlight w:val="none"/>
        </w:rPr>
        <w:t>。</w:t>
      </w:r>
    </w:p>
    <w:p>
      <w:pPr>
        <w:pStyle w:val="134"/>
        <w:rPr>
          <w:rFonts w:ascii="Times New Roman"/>
          <w:highlight w:val="none"/>
        </w:rPr>
      </w:pPr>
      <w:r>
        <w:rPr>
          <w:rFonts w:hint="eastAsia" w:ascii="Times New Roman"/>
          <w:highlight w:val="none"/>
        </w:rPr>
        <w:t>废弃物综合利用率</w:t>
      </w:r>
      <w:r>
        <w:rPr>
          <w:rFonts w:ascii="Times New Roman"/>
          <w:highlight w:val="none"/>
        </w:rPr>
        <w:t>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86"/>
        <w:gridCol w:w="12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486"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hint="eastAsia" w:ascii="Times New Roman"/>
                <w:b/>
                <w:bCs/>
                <w:sz w:val="18"/>
                <w:szCs w:val="18"/>
                <w:highlight w:val="none"/>
              </w:rPr>
              <w:t>废弃物综合利用率</w:t>
            </w:r>
          </w:p>
        </w:tc>
        <w:tc>
          <w:tcPr>
            <w:tcW w:w="1231"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486"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≥92%</w:t>
            </w:r>
          </w:p>
        </w:tc>
        <w:tc>
          <w:tcPr>
            <w:tcW w:w="1231"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486"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[80%,92%）</w:t>
            </w:r>
          </w:p>
        </w:tc>
        <w:tc>
          <w:tcPr>
            <w:tcW w:w="1231"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486"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＜80%</w:t>
            </w:r>
          </w:p>
        </w:tc>
        <w:tc>
          <w:tcPr>
            <w:tcW w:w="1231"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w:t>
            </w:r>
          </w:p>
        </w:tc>
      </w:tr>
    </w:tbl>
    <w:p>
      <w:pPr>
        <w:pStyle w:val="64"/>
        <w:numPr>
          <w:ilvl w:val="3"/>
          <w:numId w:val="2"/>
        </w:numPr>
        <w:spacing w:before="156" w:beforeLines="50" w:after="156" w:afterLines="50"/>
        <w:ind w:left="0" w:firstLine="0"/>
        <w:outlineLvl w:val="4"/>
        <w:rPr>
          <w:rFonts w:ascii="Times New Roman" w:hAnsi="Times New Roman" w:eastAsia="黑体" w:cs="Times New Roman"/>
          <w:sz w:val="21"/>
          <w:szCs w:val="21"/>
          <w:highlight w:val="none"/>
          <w:lang w:val="en-US" w:eastAsia="zh-CN" w:bidi="ar-SA"/>
        </w:rPr>
      </w:pPr>
      <w:r>
        <w:rPr>
          <w:rFonts w:hint="eastAsia" w:ascii="Times New Roman" w:hAnsi="Times New Roman" w:eastAsia="黑体" w:cs="Times New Roman"/>
          <w:sz w:val="21"/>
          <w:szCs w:val="21"/>
          <w:highlight w:val="none"/>
          <w:lang w:val="en-US" w:eastAsia="zh-CN" w:bidi="ar-SA"/>
        </w:rPr>
        <w:t>污染物</w:t>
      </w:r>
      <w:r>
        <w:rPr>
          <w:rFonts w:ascii="Times New Roman" w:hAnsi="Times New Roman" w:eastAsia="黑体" w:cs="Times New Roman"/>
          <w:sz w:val="21"/>
          <w:szCs w:val="21"/>
          <w:highlight w:val="none"/>
          <w:lang w:val="en-US" w:eastAsia="zh-CN" w:bidi="ar-SA"/>
        </w:rPr>
        <w:t>排放</w:t>
      </w:r>
      <w:r>
        <w:rPr>
          <w:rFonts w:hint="eastAsia" w:ascii="Times New Roman" w:hAnsi="Times New Roman" w:eastAsia="黑体" w:cs="Times New Roman"/>
          <w:sz w:val="21"/>
          <w:szCs w:val="21"/>
          <w:highlight w:val="none"/>
          <w:lang w:val="en-US" w:eastAsia="zh-CN" w:bidi="ar-SA"/>
        </w:rPr>
        <w:t>水平</w:t>
      </w:r>
    </w:p>
    <w:p>
      <w:pPr>
        <w:autoSpaceDE w:val="0"/>
        <w:autoSpaceDN w:val="0"/>
        <w:ind w:firstLine="420" w:firstLineChars="200"/>
        <w:jc w:val="both"/>
        <w:rPr>
          <w:rFonts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从企事业单位自身生产运营过程，向环境排放污染物的情况进行评价。应报告与企事业单位绿色业务直接关联的深圳市行政区域外分支机构的污染物排放情况，污染物排放水平数据宜以全国污染源监测数据管理与共享系统平台的自行监测数据为准。具体评分规则见表</w:t>
      </w:r>
      <w:r>
        <w:rPr>
          <w:rFonts w:hint="eastAsia" w:ascii="宋体" w:hAnsi="宋体" w:cs="宋体"/>
          <w:sz w:val="21"/>
          <w:highlight w:val="none"/>
          <w:lang w:val="en-US" w:eastAsia="zh-CN" w:bidi="ar-SA"/>
        </w:rPr>
        <w:t>22</w:t>
      </w:r>
      <w:r>
        <w:rPr>
          <w:rFonts w:hint="eastAsia" w:ascii="宋体" w:hAnsi="宋体" w:eastAsia="宋体" w:cs="宋体"/>
          <w:sz w:val="21"/>
          <w:highlight w:val="none"/>
          <w:lang w:val="en-US" w:eastAsia="zh-CN" w:bidi="ar-SA"/>
        </w:rPr>
        <w:t>。</w:t>
      </w:r>
    </w:p>
    <w:p>
      <w:pPr>
        <w:numPr>
          <w:ilvl w:val="0"/>
          <w:numId w:val="17"/>
        </w:numPr>
        <w:spacing w:before="156" w:beforeLines="50" w:after="156" w:afterLines="50"/>
        <w:jc w:val="center"/>
        <w:rPr>
          <w:rFonts w:ascii="Times New Roman" w:hAnsi="Times New Roman" w:eastAsia="黑体" w:cs="Times New Roman"/>
          <w:sz w:val="21"/>
          <w:highlight w:val="none"/>
          <w:lang w:val="en-US" w:eastAsia="zh-CN" w:bidi="ar-SA"/>
        </w:rPr>
      </w:pPr>
      <w:r>
        <w:rPr>
          <w:rFonts w:hint="eastAsia" w:ascii="Times New Roman" w:hAnsi="Times New Roman" w:eastAsia="黑体" w:cs="Times New Roman"/>
          <w:sz w:val="21"/>
          <w:highlight w:val="none"/>
          <w:lang w:val="en-US" w:eastAsia="zh-CN" w:bidi="ar-SA"/>
        </w:rPr>
        <w:t>污染物</w:t>
      </w:r>
      <w:r>
        <w:rPr>
          <w:rFonts w:ascii="Times New Roman" w:hAnsi="Times New Roman" w:eastAsia="黑体" w:cs="Times New Roman"/>
          <w:sz w:val="21"/>
          <w:highlight w:val="none"/>
          <w:lang w:val="en-US" w:eastAsia="zh-CN" w:bidi="ar-SA"/>
        </w:rPr>
        <w:t>排放</w:t>
      </w:r>
      <w:r>
        <w:rPr>
          <w:rFonts w:hint="eastAsia" w:ascii="Times New Roman" w:hAnsi="Times New Roman" w:eastAsia="黑体" w:cs="Times New Roman"/>
          <w:sz w:val="21"/>
          <w:highlight w:val="none"/>
          <w:lang w:val="en-US" w:eastAsia="zh-CN" w:bidi="ar-SA"/>
        </w:rPr>
        <w:t>水平</w:t>
      </w:r>
      <w:r>
        <w:rPr>
          <w:rFonts w:ascii="Times New Roman" w:hAnsi="Times New Roman" w:eastAsia="黑体" w:cs="Times New Roman"/>
          <w:sz w:val="21"/>
          <w:highlight w:val="none"/>
          <w:lang w:val="en-US" w:eastAsia="zh-CN" w:bidi="ar-SA"/>
        </w:rPr>
        <w:t>评分规则表</w:t>
      </w:r>
    </w:p>
    <w:tbl>
      <w:tblPr>
        <w:tblStyle w:val="34"/>
        <w:tblW w:w="78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81"/>
        <w:gridCol w:w="16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281" w:type="dxa"/>
            <w:tcBorders>
              <w:bottom w:val="single" w:color="auto" w:sz="8" w:space="0"/>
            </w:tcBorders>
            <w:noWrap w:val="0"/>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污染物排放水平</w:t>
            </w:r>
          </w:p>
        </w:tc>
        <w:tc>
          <w:tcPr>
            <w:tcW w:w="1618" w:type="dxa"/>
            <w:tcBorders>
              <w:bottom w:val="single" w:color="auto" w:sz="8" w:space="0"/>
            </w:tcBorders>
            <w:noWrap w:val="0"/>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分值</w:t>
            </w:r>
            <w:r>
              <w:rPr>
                <w:rFonts w:hint="eastAsia" w:ascii="Times New Roman" w:hAnsi="Times New Roman" w:eastAsia="宋体" w:cs="Times New Roman"/>
                <w:b/>
                <w:bCs/>
                <w:sz w:val="18"/>
                <w:szCs w:val="18"/>
                <w:highlight w:val="none"/>
                <w:lang w:val="en-US" w:eastAsia="zh-CN" w:bidi="ar-SA"/>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281" w:type="dxa"/>
            <w:tcBorders>
              <w:top w:val="single" w:color="auto" w:sz="8" w:space="0"/>
              <w:tl2br w:val="nil"/>
              <w:tr2bl w:val="nil"/>
            </w:tcBorders>
            <w:noWrap w:val="0"/>
            <w:vAlign w:val="center"/>
          </w:tcPr>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不排放污染物，或优于排污许可证限值20%，或优于排放源所在地同类行业污染物排放限值20%。</w:t>
            </w:r>
          </w:p>
        </w:tc>
        <w:tc>
          <w:tcPr>
            <w:tcW w:w="1618" w:type="dxa"/>
            <w:tcBorders>
              <w:top w:val="single" w:color="auto" w:sz="8" w:space="0"/>
              <w:tl2br w:val="nil"/>
              <w:tr2bl w:val="nil"/>
            </w:tcBorders>
            <w:noWrap w:val="0"/>
            <w:vAlign w:val="center"/>
          </w:tcPr>
          <w:p>
            <w:pPr>
              <w:autoSpaceDE w:val="0"/>
              <w:autoSpaceDN w:val="0"/>
              <w:ind w:firstLine="0" w:firstLineChars="0"/>
              <w:jc w:val="center"/>
              <w:rPr>
                <w:rFonts w:hint="eastAsia" w:ascii="宋体" w:hAnsi="宋体" w:eastAsia="宋体" w:cs="宋体"/>
                <w:sz w:val="18"/>
                <w:szCs w:val="18"/>
                <w:highlight w:val="none"/>
                <w:lang w:val="en-US" w:eastAsia="zh-CN" w:bidi="ar-SA"/>
              </w:rPr>
            </w:pPr>
            <w:r>
              <w:rPr>
                <w:rFonts w:hint="eastAsia" w:ascii="宋体" w:hAnsi="宋体" w:cs="宋体"/>
                <w:sz w:val="18"/>
                <w:szCs w:val="18"/>
                <w:highlight w:val="none"/>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281" w:type="dxa"/>
            <w:tcBorders>
              <w:tl2br w:val="nil"/>
              <w:tr2bl w:val="nil"/>
            </w:tcBorders>
            <w:noWrap w:val="0"/>
            <w:vAlign w:val="center"/>
          </w:tcPr>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优于排污许可证限值10%，或优于排放源所在地同类行业污染物排放限值10%。</w:t>
            </w:r>
          </w:p>
        </w:tc>
        <w:tc>
          <w:tcPr>
            <w:tcW w:w="1618" w:type="dxa"/>
            <w:tcBorders>
              <w:tl2br w:val="nil"/>
              <w:tr2bl w:val="nil"/>
            </w:tcBorders>
            <w:noWrap w:val="0"/>
            <w:vAlign w:val="center"/>
          </w:tcPr>
          <w:p>
            <w:pPr>
              <w:autoSpaceDE w:val="0"/>
              <w:autoSpaceDN w:val="0"/>
              <w:ind w:firstLine="0" w:firstLineChars="0"/>
              <w:jc w:val="center"/>
              <w:rPr>
                <w:rFonts w:hint="eastAsia" w:ascii="宋体" w:hAnsi="宋体" w:eastAsia="宋体" w:cs="宋体"/>
                <w:sz w:val="18"/>
                <w:szCs w:val="18"/>
                <w:highlight w:val="none"/>
                <w:lang w:val="en-US" w:eastAsia="zh-CN" w:bidi="ar-SA"/>
              </w:rPr>
            </w:pPr>
            <w:r>
              <w:rPr>
                <w:rFonts w:hint="eastAsia" w:ascii="宋体" w:hAnsi="宋体" w:cs="宋体"/>
                <w:sz w:val="18"/>
                <w:szCs w:val="18"/>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281" w:type="dxa"/>
            <w:tcBorders>
              <w:tl2br w:val="nil"/>
              <w:tr2bl w:val="nil"/>
            </w:tcBorders>
            <w:noWrap w:val="0"/>
            <w:vAlign w:val="center"/>
          </w:tcPr>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不满足上述任何一项。</w:t>
            </w:r>
          </w:p>
        </w:tc>
        <w:tc>
          <w:tcPr>
            <w:tcW w:w="1618" w:type="dxa"/>
            <w:tcBorders>
              <w:tl2br w:val="nil"/>
              <w:tr2bl w:val="nil"/>
            </w:tcBorders>
            <w:noWrap w:val="0"/>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0</w:t>
            </w:r>
          </w:p>
        </w:tc>
      </w:tr>
    </w:tbl>
    <w:p>
      <w:pPr>
        <w:pStyle w:val="64"/>
        <w:numPr>
          <w:ilvl w:val="3"/>
          <w:numId w:val="2"/>
        </w:numPr>
        <w:spacing w:before="156" w:beforeLines="50" w:after="156" w:afterLines="50"/>
        <w:ind w:left="0" w:firstLine="0"/>
        <w:outlineLvl w:val="4"/>
        <w:rPr>
          <w:rFonts w:ascii="Times New Roman" w:hAnsi="Times New Roman" w:eastAsia="黑体" w:cs="Times New Roman"/>
          <w:sz w:val="21"/>
          <w:szCs w:val="21"/>
          <w:highlight w:val="none"/>
          <w:lang w:val="en-US" w:eastAsia="zh-CN" w:bidi="ar-SA"/>
        </w:rPr>
      </w:pPr>
      <w:r>
        <w:rPr>
          <w:rFonts w:hint="eastAsia" w:ascii="Times New Roman" w:hAnsi="Times New Roman" w:eastAsia="黑体" w:cs="Times New Roman"/>
          <w:sz w:val="21"/>
          <w:szCs w:val="21"/>
          <w:highlight w:val="none"/>
          <w:lang w:val="en-US" w:eastAsia="zh-CN" w:bidi="ar-SA"/>
        </w:rPr>
        <w:t>温室气体</w:t>
      </w:r>
      <w:r>
        <w:rPr>
          <w:rFonts w:ascii="Times New Roman" w:hAnsi="Times New Roman" w:eastAsia="黑体" w:cs="Times New Roman"/>
          <w:sz w:val="21"/>
          <w:szCs w:val="21"/>
          <w:highlight w:val="none"/>
          <w:lang w:val="en-US" w:eastAsia="zh-CN" w:bidi="ar-SA"/>
        </w:rPr>
        <w:t>排放</w:t>
      </w:r>
      <w:r>
        <w:rPr>
          <w:rFonts w:hint="eastAsia" w:ascii="Times New Roman" w:hAnsi="Times New Roman" w:eastAsia="黑体" w:cs="Times New Roman"/>
          <w:sz w:val="21"/>
          <w:szCs w:val="21"/>
          <w:highlight w:val="none"/>
          <w:lang w:val="en-US" w:eastAsia="zh-CN" w:bidi="ar-SA"/>
        </w:rPr>
        <w:t>水平</w:t>
      </w:r>
    </w:p>
    <w:p>
      <w:pPr>
        <w:autoSpaceDE w:val="0"/>
        <w:autoSpaceDN w:val="0"/>
        <w:ind w:firstLine="420" w:firstLineChars="200"/>
        <w:jc w:val="both"/>
        <w:rPr>
          <w:rFonts w:ascii="宋体" w:hAnsi="宋体" w:eastAsia="宋体" w:cs="宋体"/>
          <w:sz w:val="21"/>
          <w:highlight w:val="none"/>
          <w:lang w:val="en-US" w:eastAsia="zh-CN" w:bidi="ar-SA"/>
        </w:rPr>
      </w:pPr>
      <w:r>
        <w:rPr>
          <w:rFonts w:hint="eastAsia" w:ascii="宋体" w:hAnsi="宋体" w:eastAsia="宋体" w:cs="宋体"/>
          <w:sz w:val="21"/>
          <w:highlight w:val="none"/>
          <w:lang w:val="en-US" w:eastAsia="zh-CN" w:bidi="ar-SA"/>
        </w:rPr>
        <w:t>从企事业单位自身生产运营过程，向环境排放温室气体的情况进行评价。应报告与企事业单位绿色业务直接关联的深圳市行政区域外分支机构的温室气体排放情况，温室气体排放水平数据宜以第三方碳核查机构出具的报告数据为准。具体评分规则见表</w:t>
      </w:r>
      <w:r>
        <w:rPr>
          <w:rFonts w:hint="eastAsia" w:ascii="宋体" w:hAnsi="宋体" w:cs="宋体"/>
          <w:sz w:val="21"/>
          <w:highlight w:val="none"/>
          <w:lang w:val="en-US" w:eastAsia="zh-CN" w:bidi="ar-SA"/>
        </w:rPr>
        <w:t>23</w:t>
      </w:r>
      <w:r>
        <w:rPr>
          <w:rFonts w:hint="eastAsia" w:ascii="宋体" w:hAnsi="宋体" w:eastAsia="宋体" w:cs="宋体"/>
          <w:sz w:val="21"/>
          <w:highlight w:val="none"/>
          <w:lang w:val="en-US" w:eastAsia="zh-CN" w:bidi="ar-SA"/>
        </w:rPr>
        <w:t>。</w:t>
      </w:r>
    </w:p>
    <w:p>
      <w:pPr>
        <w:numPr>
          <w:ilvl w:val="0"/>
          <w:numId w:val="17"/>
        </w:numPr>
        <w:spacing w:before="156" w:beforeLines="50" w:after="156" w:afterLines="50"/>
        <w:ind w:left="0" w:firstLine="0"/>
        <w:jc w:val="center"/>
        <w:rPr>
          <w:rFonts w:ascii="Times New Roman" w:hAnsi="Times New Roman" w:eastAsia="黑体" w:cs="Times New Roman"/>
          <w:sz w:val="21"/>
          <w:highlight w:val="none"/>
          <w:lang w:val="en-US" w:eastAsia="zh-CN" w:bidi="ar-SA"/>
        </w:rPr>
      </w:pPr>
      <w:r>
        <w:rPr>
          <w:rFonts w:hint="eastAsia" w:ascii="Times New Roman" w:hAnsi="Times New Roman" w:eastAsia="黑体" w:cs="Times New Roman"/>
          <w:sz w:val="21"/>
          <w:highlight w:val="none"/>
          <w:lang w:val="en-US" w:eastAsia="zh-CN" w:bidi="ar-SA"/>
        </w:rPr>
        <w:t>温室气体</w:t>
      </w:r>
      <w:r>
        <w:rPr>
          <w:rFonts w:ascii="Times New Roman" w:hAnsi="Times New Roman" w:eastAsia="黑体" w:cs="Times New Roman"/>
          <w:sz w:val="21"/>
          <w:highlight w:val="none"/>
          <w:lang w:val="en-US" w:eastAsia="zh-CN" w:bidi="ar-SA"/>
        </w:rPr>
        <w:t>排放</w:t>
      </w:r>
      <w:r>
        <w:rPr>
          <w:rFonts w:hint="eastAsia" w:ascii="Times New Roman" w:hAnsi="Times New Roman" w:eastAsia="黑体" w:cs="Times New Roman"/>
          <w:sz w:val="21"/>
          <w:highlight w:val="none"/>
          <w:lang w:val="en-US" w:eastAsia="zh-CN" w:bidi="ar-SA"/>
        </w:rPr>
        <w:t>水平</w:t>
      </w:r>
      <w:r>
        <w:rPr>
          <w:rFonts w:ascii="Times New Roman" w:hAnsi="Times New Roman" w:eastAsia="黑体" w:cs="Times New Roman"/>
          <w:sz w:val="21"/>
          <w:highlight w:val="none"/>
          <w:lang w:val="en-US" w:eastAsia="zh-CN" w:bidi="ar-SA"/>
        </w:rPr>
        <w:t>评分规则表</w:t>
      </w:r>
    </w:p>
    <w:tbl>
      <w:tblPr>
        <w:tblStyle w:val="34"/>
        <w:tblW w:w="79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02"/>
        <w:gridCol w:w="10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2" w:type="dxa"/>
            <w:tcBorders>
              <w:bottom w:val="single" w:color="auto" w:sz="8" w:space="0"/>
            </w:tcBorders>
            <w:noWrap w:val="0"/>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温室气体排放水平</w:t>
            </w:r>
          </w:p>
        </w:tc>
        <w:tc>
          <w:tcPr>
            <w:tcW w:w="1080" w:type="dxa"/>
            <w:tcBorders>
              <w:bottom w:val="single" w:color="auto" w:sz="8" w:space="0"/>
            </w:tcBorders>
            <w:noWrap w:val="0"/>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分值</w:t>
            </w:r>
            <w:r>
              <w:rPr>
                <w:rFonts w:hint="eastAsia" w:ascii="Times New Roman" w:hAnsi="Times New Roman" w:eastAsia="宋体" w:cs="Times New Roman"/>
                <w:b/>
                <w:bCs/>
                <w:sz w:val="18"/>
                <w:szCs w:val="18"/>
                <w:highlight w:val="none"/>
                <w:lang w:val="en-US" w:eastAsia="zh-CN" w:bidi="ar-SA"/>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2" w:type="dxa"/>
            <w:tcBorders>
              <w:top w:val="single" w:color="auto" w:sz="8" w:space="0"/>
              <w:tl2br w:val="nil"/>
              <w:tr2bl w:val="nil"/>
            </w:tcBorders>
            <w:noWrap w:val="0"/>
            <w:vAlign w:val="center"/>
          </w:tcPr>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生产制造类企业碳排放总量和碳排放强度相较上一年度的下降比例超过6%。</w:t>
            </w:r>
          </w:p>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建设运营类企业碳排放总量和碳排放强度相较上一年度的下降比例超过3%。</w:t>
            </w:r>
          </w:p>
        </w:tc>
        <w:tc>
          <w:tcPr>
            <w:tcW w:w="1080" w:type="dxa"/>
            <w:tcBorders>
              <w:top w:val="single" w:color="auto" w:sz="8" w:space="0"/>
              <w:tl2br w:val="nil"/>
              <w:tr2bl w:val="nil"/>
            </w:tcBorders>
            <w:noWrap w:val="0"/>
            <w:vAlign w:val="center"/>
          </w:tcPr>
          <w:p>
            <w:pPr>
              <w:pStyle w:val="24"/>
              <w:ind w:firstLine="0" w:firstLineChars="0"/>
              <w:jc w:val="center"/>
              <w:rPr>
                <w:rFonts w:hint="eastAsia" w:ascii="宋体" w:hAnsi="宋体" w:eastAsia="宋体" w:cs="宋体"/>
                <w:sz w:val="18"/>
                <w:szCs w:val="18"/>
                <w:highlight w:val="none"/>
                <w:lang w:val="en-US" w:eastAsia="zh-CN" w:bidi="ar-SA"/>
              </w:rPr>
            </w:pPr>
            <w:r>
              <w:rPr>
                <w:rFonts w:hint="eastAsia" w:hAnsi="宋体" w:cs="宋体"/>
                <w:sz w:val="18"/>
                <w:szCs w:val="18"/>
                <w:highlight w:val="non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2" w:type="dxa"/>
            <w:tcBorders>
              <w:tl2br w:val="nil"/>
              <w:tr2bl w:val="nil"/>
            </w:tcBorders>
            <w:noWrap w:val="0"/>
            <w:vAlign w:val="center"/>
          </w:tcPr>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生产制造类企业碳排放总量和碳排放强度相较上一年度的下降比例超过3%、不足6%。</w:t>
            </w:r>
          </w:p>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建设运营类企业碳排放总量和碳排放强度相较上一年度的下降比例超过1%、不足3%。</w:t>
            </w:r>
          </w:p>
        </w:tc>
        <w:tc>
          <w:tcPr>
            <w:tcW w:w="1080" w:type="dxa"/>
            <w:tcBorders>
              <w:tl2br w:val="nil"/>
              <w:tr2bl w:val="nil"/>
            </w:tcBorders>
            <w:noWrap w:val="0"/>
            <w:vAlign w:val="center"/>
          </w:tcPr>
          <w:p>
            <w:pPr>
              <w:pStyle w:val="24"/>
              <w:ind w:firstLine="0" w:firstLineChars="0"/>
              <w:jc w:val="center"/>
              <w:rPr>
                <w:rFonts w:hint="eastAsia" w:ascii="宋体" w:hAnsi="宋体" w:eastAsia="宋体" w:cs="宋体"/>
                <w:sz w:val="18"/>
                <w:szCs w:val="18"/>
                <w:highlight w:val="none"/>
                <w:lang w:val="en-US" w:eastAsia="zh-CN" w:bidi="ar-SA"/>
              </w:rPr>
            </w:pPr>
            <w:r>
              <w:rPr>
                <w:rFonts w:hint="eastAsia" w:hAnsi="宋体" w:cs="宋体"/>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2" w:type="dxa"/>
            <w:tcBorders>
              <w:tl2br w:val="nil"/>
              <w:tr2bl w:val="nil"/>
            </w:tcBorders>
            <w:noWrap w:val="0"/>
            <w:vAlign w:val="center"/>
          </w:tcPr>
          <w:p>
            <w:pPr>
              <w:autoSpaceDE w:val="0"/>
              <w:autoSpaceDN w:val="0"/>
              <w:ind w:firstLine="0" w:firstLineChars="0"/>
              <w:jc w:val="both"/>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不满足上述任何一项。</w:t>
            </w:r>
          </w:p>
        </w:tc>
        <w:tc>
          <w:tcPr>
            <w:tcW w:w="1080" w:type="dxa"/>
            <w:tcBorders>
              <w:tl2br w:val="nil"/>
              <w:tr2bl w:val="nil"/>
            </w:tcBorders>
            <w:noWrap w:val="0"/>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0</w:t>
            </w:r>
          </w:p>
        </w:tc>
      </w:tr>
    </w:tbl>
    <w:p>
      <w:pPr>
        <w:pStyle w:val="72"/>
        <w:ind w:left="780" w:leftChars="200" w:hanging="360" w:hangingChars="200"/>
        <w:rPr>
          <w:rFonts w:ascii="Times New Roman"/>
          <w:highlight w:val="none"/>
        </w:rPr>
      </w:pPr>
      <w:r>
        <w:rPr>
          <w:rFonts w:ascii="宋体" w:hAnsi="Times New Roman" w:eastAsia="宋体" w:cs="Times New Roman"/>
          <w:sz w:val="18"/>
          <w:szCs w:val="18"/>
          <w:highlight w:val="none"/>
          <w:lang w:val="en-US" w:eastAsia="zh-CN" w:bidi="ar-SA"/>
        </w:rPr>
        <w:t>a</w:t>
      </w:r>
      <w:r>
        <w:rPr>
          <w:rFonts w:hint="eastAsia" w:ascii="宋体" w:hAnsi="Times New Roman" w:eastAsia="宋体" w:cs="Times New Roman"/>
          <w:sz w:val="18"/>
          <w:szCs w:val="18"/>
          <w:highlight w:val="none"/>
          <w:lang w:val="en-US" w:eastAsia="zh-CN" w:bidi="ar-SA"/>
        </w:rPr>
        <w:t>）碳排放总量核算方法宜参</w:t>
      </w:r>
      <w:r>
        <w:rPr>
          <w:rFonts w:hint="eastAsia" w:ascii="宋体" w:hAnsi="宋体" w:eastAsia="宋体" w:cs="Times New Roman"/>
          <w:sz w:val="18"/>
          <w:szCs w:val="18"/>
          <w:highlight w:val="none"/>
          <w:lang w:val="en-US" w:eastAsia="zh-CN" w:bidi="ar-SA"/>
        </w:rPr>
        <w:t>照SZDB Z 69《</w:t>
      </w:r>
      <w:r>
        <w:rPr>
          <w:rFonts w:hint="eastAsia" w:ascii="Times New Roman" w:hAnsi="Times New Roman" w:eastAsia="宋体" w:cs="Times New Roman"/>
          <w:sz w:val="18"/>
          <w:szCs w:val="18"/>
          <w:highlight w:val="none"/>
          <w:lang w:val="en-US" w:eastAsia="zh-CN" w:bidi="ar-SA"/>
        </w:rPr>
        <w:t>组织的温室气体排放量化和报告指南》及深圳市生态环境局印发的配套技术文件执行</w:t>
      </w:r>
      <w:r>
        <w:rPr>
          <w:rFonts w:hint="eastAsia" w:ascii="宋体" w:hAnsi="Times New Roman" w:eastAsia="宋体" w:cs="Times New Roman"/>
          <w:sz w:val="18"/>
          <w:szCs w:val="18"/>
          <w:highlight w:val="none"/>
          <w:lang w:val="en-US" w:eastAsia="zh-CN" w:bidi="ar-SA"/>
        </w:rPr>
        <w:t>；b）</w:t>
      </w:r>
      <w:r>
        <w:rPr>
          <w:rFonts w:ascii="宋体" w:hAnsi="Times New Roman" w:eastAsia="宋体" w:cs="Times New Roman"/>
          <w:sz w:val="18"/>
          <w:szCs w:val="18"/>
          <w:highlight w:val="none"/>
          <w:lang w:val="en-US" w:eastAsia="zh-CN" w:bidi="ar-SA"/>
        </w:rPr>
        <w:t>碳排放强度为</w:t>
      </w:r>
      <w:r>
        <w:rPr>
          <w:rFonts w:hint="eastAsia" w:ascii="宋体" w:hAnsi="Times New Roman" w:eastAsia="宋体" w:cs="Times New Roman"/>
          <w:sz w:val="18"/>
          <w:szCs w:val="18"/>
          <w:highlight w:val="none"/>
          <w:lang w:val="en-US" w:eastAsia="zh-CN" w:bidi="ar-SA"/>
        </w:rPr>
        <w:t>碳排放总量</w:t>
      </w:r>
      <w:r>
        <w:rPr>
          <w:rFonts w:ascii="宋体" w:hAnsi="Times New Roman" w:eastAsia="宋体" w:cs="Times New Roman"/>
          <w:sz w:val="18"/>
          <w:szCs w:val="18"/>
          <w:highlight w:val="none"/>
          <w:lang w:val="en-US" w:eastAsia="zh-CN" w:bidi="ar-SA"/>
        </w:rPr>
        <w:t>与工业增加值的比值</w:t>
      </w:r>
      <w:r>
        <w:rPr>
          <w:rFonts w:hint="eastAsia" w:ascii="宋体" w:hAnsi="Times New Roman" w:eastAsia="宋体" w:cs="Times New Roman"/>
          <w:sz w:val="18"/>
          <w:szCs w:val="18"/>
          <w:highlight w:val="none"/>
          <w:lang w:val="en-US" w:eastAsia="zh-CN" w:bidi="ar-SA"/>
        </w:rPr>
        <w:t>。</w:t>
      </w:r>
    </w:p>
    <w:p>
      <w:pPr>
        <w:pStyle w:val="54"/>
        <w:spacing w:before="156" w:after="156"/>
        <w:rPr>
          <w:rFonts w:ascii="Times New Roman"/>
          <w:highlight w:val="none"/>
        </w:rPr>
      </w:pPr>
      <w:r>
        <w:rPr>
          <w:rFonts w:ascii="Times New Roman"/>
          <w:highlight w:val="none"/>
        </w:rPr>
        <w:t>社会表现</w:t>
      </w:r>
    </w:p>
    <w:p>
      <w:pPr>
        <w:pStyle w:val="59"/>
        <w:numPr>
          <w:ilvl w:val="3"/>
          <w:numId w:val="2"/>
        </w:numPr>
        <w:spacing w:before="156" w:after="156"/>
        <w:rPr>
          <w:rFonts w:ascii="Times New Roman"/>
          <w:highlight w:val="none"/>
        </w:rPr>
      </w:pPr>
      <w:r>
        <w:rPr>
          <w:rFonts w:ascii="Times New Roman"/>
          <w:highlight w:val="none"/>
        </w:rPr>
        <w:t>内部行动</w:t>
      </w:r>
    </w:p>
    <w:p>
      <w:pPr>
        <w:pStyle w:val="24"/>
        <w:rPr>
          <w:rFonts w:hint="eastAsia" w:hAnsi="宋体" w:cs="宋体"/>
          <w:highlight w:val="none"/>
        </w:rPr>
      </w:pPr>
      <w:r>
        <w:rPr>
          <w:rFonts w:hint="eastAsia" w:hAnsi="宋体" w:cs="宋体"/>
          <w:highlight w:val="none"/>
        </w:rPr>
        <w:t>内部行动从企事业单位开展</w:t>
      </w:r>
      <w:r>
        <w:rPr>
          <w:rFonts w:hint="eastAsia" w:hAnsi="宋体" w:cs="宋体"/>
          <w:highlight w:val="none"/>
          <w:lang w:eastAsia="zh-CN"/>
        </w:rPr>
        <w:t>绿色发展行动</w:t>
      </w:r>
      <w:r>
        <w:rPr>
          <w:rFonts w:hint="eastAsia" w:hAnsi="宋体" w:cs="宋体"/>
          <w:highlight w:val="none"/>
        </w:rPr>
        <w:t>、信息披露以及低碳培训的情况进行评价。绿色发展行动包括编制发布资源节约、环境友好、生态良好相关绿色</w:t>
      </w:r>
      <w:r>
        <w:rPr>
          <w:rFonts w:hint="eastAsia" w:hAnsi="宋体" w:cs="宋体"/>
          <w:highlight w:val="none"/>
          <w:lang w:val="en-US" w:eastAsia="zh-CN"/>
        </w:rPr>
        <w:t>低碳</w:t>
      </w:r>
      <w:r>
        <w:rPr>
          <w:rFonts w:hint="eastAsia" w:hAnsi="宋体" w:cs="宋体"/>
          <w:highlight w:val="none"/>
        </w:rPr>
        <w:t>产业转型蓝皮书等文件，或创建近零碳排放试点、编制发布碳中和规划或行动方案等碳达峰碳中和建设相关行动</w:t>
      </w:r>
      <w:r>
        <w:rPr>
          <w:rFonts w:hint="eastAsia" w:hAnsi="宋体" w:cs="宋体"/>
          <w:highlight w:val="none"/>
          <w:lang w:eastAsia="zh-CN"/>
        </w:rPr>
        <w:t>。</w:t>
      </w:r>
      <w:r>
        <w:rPr>
          <w:rFonts w:hint="eastAsia" w:hAnsi="宋体" w:cs="宋体"/>
          <w:highlight w:val="none"/>
        </w:rPr>
        <w:t>信息披露包括依据《企业环境信息依法披露管理办法》，通过公开渠道披露产品或服务技术性能、资源能源消耗情况、环境信息等相关内容，或依法依规披露环境、社会和公司治理（ESG）情况。低碳培训包括对员工开展低碳环保、节能减排、循环经济等低碳主题相关的绿色低碳意识培训。具体评分规则见表</w:t>
      </w:r>
      <w:r>
        <w:rPr>
          <w:rFonts w:hint="eastAsia" w:hAnsi="宋体" w:cs="宋体"/>
          <w:highlight w:val="none"/>
          <w:lang w:val="en-US" w:eastAsia="zh-CN"/>
        </w:rPr>
        <w:t>24</w:t>
      </w:r>
      <w:r>
        <w:rPr>
          <w:rFonts w:hint="eastAsia" w:hAnsi="宋体" w:cs="宋体"/>
          <w:highlight w:val="none"/>
        </w:rPr>
        <w:t>。</w:t>
      </w:r>
    </w:p>
    <w:p>
      <w:pPr>
        <w:pStyle w:val="24"/>
        <w:rPr>
          <w:rFonts w:hint="eastAsia" w:hAnsi="宋体" w:cs="宋体"/>
          <w:highlight w:val="none"/>
        </w:rPr>
      </w:pPr>
    </w:p>
    <w:p>
      <w:pPr>
        <w:pStyle w:val="24"/>
        <w:rPr>
          <w:rFonts w:hint="eastAsia" w:hAnsi="宋体" w:cs="宋体"/>
          <w:highlight w:val="none"/>
        </w:rPr>
      </w:pPr>
    </w:p>
    <w:p>
      <w:pPr>
        <w:pStyle w:val="134"/>
        <w:rPr>
          <w:rFonts w:ascii="Times New Roman"/>
          <w:highlight w:val="none"/>
        </w:rPr>
      </w:pPr>
      <w:r>
        <w:rPr>
          <w:rFonts w:ascii="Times New Roman"/>
          <w:highlight w:val="none"/>
        </w:rPr>
        <w:t>内部行动评分规则表</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3974"/>
        <w:gridCol w:w="1111"/>
        <w:gridCol w:w="11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hint="eastAsia" w:ascii="Times New Roman"/>
                <w:b/>
                <w:bCs/>
                <w:sz w:val="18"/>
                <w:szCs w:val="18"/>
                <w:highlight w:val="none"/>
              </w:rPr>
              <w:t>内部行动</w:t>
            </w:r>
          </w:p>
        </w:tc>
        <w:tc>
          <w:tcPr>
            <w:tcW w:w="3974"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开展情况</w:t>
            </w:r>
          </w:p>
        </w:tc>
        <w:tc>
          <w:tcPr>
            <w:tcW w:w="1111"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1110"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分值</w:t>
            </w:r>
          </w:p>
          <w:p>
            <w:pPr>
              <w:pStyle w:val="24"/>
              <w:ind w:firstLine="0" w:firstLineChars="0"/>
              <w:jc w:val="center"/>
              <w:rPr>
                <w:rFonts w:ascii="Times New Roman"/>
                <w:b/>
                <w:bCs/>
                <w:sz w:val="18"/>
                <w:szCs w:val="18"/>
                <w:highlight w:val="none"/>
              </w:rPr>
            </w:pP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57" w:type="dxa"/>
            <w:tcBorders>
              <w:top w:val="single" w:color="auto" w:sz="8" w:space="0"/>
              <w:tl2br w:val="nil"/>
              <w:tr2bl w:val="nil"/>
            </w:tcBorders>
            <w:noWrap w:val="0"/>
            <w:vAlign w:val="center"/>
          </w:tcPr>
          <w:p>
            <w:pPr>
              <w:pStyle w:val="24"/>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eastAsia="zh-CN"/>
              </w:rPr>
              <w:t>绿色发展行动</w:t>
            </w:r>
          </w:p>
        </w:tc>
        <w:tc>
          <w:tcPr>
            <w:tcW w:w="3974" w:type="dxa"/>
            <w:tcBorders>
              <w:top w:val="single" w:color="auto" w:sz="8" w:space="0"/>
              <w:tl2br w:val="nil"/>
              <w:tr2bl w:val="nil"/>
            </w:tcBorders>
            <w:noWrap w:val="0"/>
            <w:vAlign w:val="center"/>
          </w:tcPr>
          <w:p>
            <w:pPr>
              <w:pStyle w:val="24"/>
              <w:ind w:firstLine="0" w:firstLineChars="0"/>
              <w:jc w:val="left"/>
              <w:rPr>
                <w:rFonts w:hAnsi="宋体" w:cs="宋体"/>
                <w:sz w:val="18"/>
                <w:szCs w:val="18"/>
                <w:highlight w:val="none"/>
              </w:rPr>
            </w:pPr>
            <w:r>
              <w:rPr>
                <w:rFonts w:hint="default" w:hAnsi="宋体" w:cs="宋体"/>
                <w:sz w:val="18"/>
                <w:szCs w:val="18"/>
                <w:highlight w:val="none"/>
              </w:rPr>
              <w:t>编制发布资源节约、环境友好、生态良好相关绿色</w:t>
            </w:r>
            <w:r>
              <w:rPr>
                <w:rFonts w:hint="eastAsia" w:hAnsi="宋体" w:cs="宋体"/>
                <w:sz w:val="18"/>
                <w:szCs w:val="18"/>
                <w:highlight w:val="none"/>
                <w:lang w:val="en-US" w:eastAsia="zh-CN"/>
              </w:rPr>
              <w:t>低碳</w:t>
            </w:r>
            <w:r>
              <w:rPr>
                <w:rFonts w:hint="default" w:hAnsi="宋体" w:cs="宋体"/>
                <w:sz w:val="18"/>
                <w:szCs w:val="18"/>
                <w:highlight w:val="none"/>
              </w:rPr>
              <w:t>产业转型蓝皮书等文件，或创建近零碳排放试点、编制发布碳中和规划或行动方案。</w:t>
            </w:r>
          </w:p>
        </w:tc>
        <w:tc>
          <w:tcPr>
            <w:tcW w:w="1111"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1</w:t>
            </w:r>
          </w:p>
        </w:tc>
        <w:tc>
          <w:tcPr>
            <w:tcW w:w="1110" w:type="dxa"/>
            <w:vMerge w:val="restart"/>
            <w:tcBorders>
              <w:top w:val="single" w:color="auto" w:sz="8" w:space="0"/>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该项得分为</w:t>
            </w:r>
            <w:r>
              <w:rPr>
                <w:rFonts w:hint="eastAsia" w:hAnsi="宋体" w:cs="宋体"/>
                <w:sz w:val="18"/>
                <w:szCs w:val="18"/>
                <w:highlight w:val="none"/>
                <w:lang w:eastAsia="zh-CN"/>
              </w:rPr>
              <w:t>三</w:t>
            </w:r>
            <w:r>
              <w:rPr>
                <w:rFonts w:hint="eastAsia" w:hAnsi="宋体" w:cs="宋体"/>
                <w:sz w:val="18"/>
                <w:szCs w:val="18"/>
                <w:highlight w:val="none"/>
              </w:rPr>
              <w:t>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信息披露</w:t>
            </w:r>
          </w:p>
        </w:tc>
        <w:tc>
          <w:tcPr>
            <w:tcW w:w="3974" w:type="dxa"/>
            <w:tcBorders>
              <w:tl2br w:val="nil"/>
              <w:tr2bl w:val="nil"/>
            </w:tcBorders>
            <w:noWrap w:val="0"/>
            <w:vAlign w:val="center"/>
          </w:tcPr>
          <w:p>
            <w:pPr>
              <w:pStyle w:val="24"/>
              <w:ind w:firstLine="0" w:firstLineChars="0"/>
              <w:jc w:val="left"/>
              <w:rPr>
                <w:rFonts w:hAnsi="宋体" w:cs="宋体"/>
                <w:sz w:val="18"/>
                <w:szCs w:val="18"/>
                <w:highlight w:val="none"/>
              </w:rPr>
            </w:pPr>
            <w:r>
              <w:rPr>
                <w:rFonts w:hint="eastAsia" w:hAnsi="宋体" w:cs="宋体"/>
                <w:sz w:val="18"/>
                <w:szCs w:val="18"/>
                <w:highlight w:val="none"/>
              </w:rPr>
              <w:t>主动依法依规开展信息披露。</w:t>
            </w:r>
          </w:p>
        </w:tc>
        <w:tc>
          <w:tcPr>
            <w:tcW w:w="1111" w:type="dxa"/>
            <w:tcBorders>
              <w:tl2br w:val="nil"/>
              <w:tr2bl w:val="nil"/>
            </w:tcBorders>
            <w:noWrap w:val="0"/>
            <w:vAlign w:val="center"/>
          </w:tcPr>
          <w:p>
            <w:pPr>
              <w:pStyle w:val="24"/>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1</w:t>
            </w:r>
          </w:p>
        </w:tc>
        <w:tc>
          <w:tcPr>
            <w:tcW w:w="1110" w:type="dxa"/>
            <w:vMerge w:val="continue"/>
            <w:tcBorders>
              <w:tl2br w:val="nil"/>
              <w:tr2bl w:val="nil"/>
            </w:tcBorders>
            <w:noWrap w:val="0"/>
            <w:vAlign w:val="center"/>
          </w:tcPr>
          <w:p>
            <w:pPr>
              <w:pStyle w:val="24"/>
              <w:ind w:firstLine="0" w:firstLineChars="0"/>
              <w:jc w:val="center"/>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低碳培训</w:t>
            </w:r>
          </w:p>
        </w:tc>
        <w:tc>
          <w:tcPr>
            <w:tcW w:w="3974" w:type="dxa"/>
            <w:tcBorders>
              <w:tl2br w:val="nil"/>
              <w:tr2bl w:val="nil"/>
            </w:tcBorders>
            <w:noWrap w:val="0"/>
            <w:vAlign w:val="center"/>
          </w:tcPr>
          <w:p>
            <w:pPr>
              <w:pStyle w:val="24"/>
              <w:ind w:firstLine="0" w:firstLineChars="0"/>
              <w:jc w:val="left"/>
              <w:rPr>
                <w:rFonts w:hAnsi="宋体" w:cs="宋体"/>
                <w:sz w:val="18"/>
                <w:szCs w:val="18"/>
                <w:highlight w:val="none"/>
              </w:rPr>
            </w:pPr>
            <w:r>
              <w:rPr>
                <w:rFonts w:hint="eastAsia" w:hAnsi="宋体" w:cs="宋体"/>
                <w:sz w:val="18"/>
                <w:szCs w:val="18"/>
                <w:highlight w:val="none"/>
              </w:rPr>
              <w:t>每年实施2次及以上绿色低碳意识培训。</w:t>
            </w:r>
          </w:p>
        </w:tc>
        <w:tc>
          <w:tcPr>
            <w:tcW w:w="1111"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1</w:t>
            </w:r>
          </w:p>
        </w:tc>
        <w:tc>
          <w:tcPr>
            <w:tcW w:w="1110" w:type="dxa"/>
            <w:vMerge w:val="continue"/>
            <w:tcBorders>
              <w:tl2br w:val="nil"/>
              <w:tr2bl w:val="nil"/>
            </w:tcBorders>
            <w:noWrap w:val="0"/>
            <w:vAlign w:val="center"/>
          </w:tcPr>
          <w:p>
            <w:pPr>
              <w:pStyle w:val="24"/>
              <w:ind w:firstLine="0" w:firstLineChars="0"/>
              <w:jc w:val="center"/>
              <w:rPr>
                <w:rFonts w:hAnsi="宋体" w:cs="宋体"/>
                <w:sz w:val="18"/>
                <w:szCs w:val="18"/>
                <w:highlight w:val="none"/>
              </w:rPr>
            </w:pPr>
          </w:p>
        </w:tc>
      </w:tr>
    </w:tbl>
    <w:p>
      <w:pPr>
        <w:pStyle w:val="59"/>
        <w:numPr>
          <w:ilvl w:val="3"/>
          <w:numId w:val="2"/>
        </w:numPr>
        <w:spacing w:before="156" w:after="156"/>
        <w:rPr>
          <w:rFonts w:ascii="Times New Roman"/>
          <w:highlight w:val="none"/>
        </w:rPr>
      </w:pPr>
      <w:r>
        <w:rPr>
          <w:rFonts w:ascii="Times New Roman"/>
          <w:highlight w:val="none"/>
        </w:rPr>
        <w:t>社会责任</w:t>
      </w:r>
    </w:p>
    <w:p>
      <w:pPr>
        <w:pStyle w:val="24"/>
        <w:rPr>
          <w:rFonts w:ascii="Times New Roman"/>
          <w:highlight w:val="none"/>
        </w:rPr>
      </w:pPr>
      <w:r>
        <w:rPr>
          <w:rFonts w:hint="eastAsia" w:hAnsi="宋体" w:cs="宋体"/>
          <w:highlight w:val="none"/>
        </w:rPr>
        <w:t>社会责任从企事业单位履行公共关系和社会公益责任、实施供应链绿色管理等情况进行评价。在履行公共关系和社会公益责任上，积极主动举办环保公益活动，或参加环境保护、教育、扶贫济困等公益活动，或对本地或外地重大自然灾害或突发事件提供援助。在绿色化管理上，取得绿色供应链管理体系认证证书，或实施供应商绿色管理相关制度。具体评分规则见表</w:t>
      </w:r>
      <w:r>
        <w:rPr>
          <w:rFonts w:hint="eastAsia" w:hAnsi="宋体" w:cs="宋体"/>
          <w:highlight w:val="none"/>
          <w:lang w:val="en-US" w:eastAsia="zh-CN"/>
        </w:rPr>
        <w:t>25</w:t>
      </w:r>
      <w:r>
        <w:rPr>
          <w:rFonts w:hint="eastAsia" w:hAnsi="宋体" w:cs="宋体"/>
          <w:highlight w:val="none"/>
        </w:rPr>
        <w:t>。</w:t>
      </w:r>
    </w:p>
    <w:p>
      <w:pPr>
        <w:pStyle w:val="134"/>
        <w:rPr>
          <w:rFonts w:ascii="Times New Roman"/>
          <w:highlight w:val="none"/>
        </w:rPr>
      </w:pPr>
      <w:r>
        <w:rPr>
          <w:rFonts w:ascii="Times New Roman"/>
          <w:highlight w:val="none"/>
        </w:rPr>
        <w:t>社会责任评分规则表</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4020"/>
        <w:gridCol w:w="1080"/>
        <w:gridCol w:w="11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社会责任</w:t>
            </w:r>
          </w:p>
        </w:tc>
        <w:tc>
          <w:tcPr>
            <w:tcW w:w="4020"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hint="eastAsia" w:ascii="Times New Roman"/>
                <w:b/>
                <w:bCs/>
                <w:sz w:val="18"/>
                <w:szCs w:val="18"/>
                <w:highlight w:val="none"/>
              </w:rPr>
              <w:t>开展情况</w:t>
            </w:r>
          </w:p>
        </w:tc>
        <w:tc>
          <w:tcPr>
            <w:tcW w:w="1080"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1106"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分值</w:t>
            </w:r>
          </w:p>
          <w:p>
            <w:pPr>
              <w:pStyle w:val="24"/>
              <w:ind w:firstLine="0" w:firstLineChars="0"/>
              <w:jc w:val="center"/>
              <w:rPr>
                <w:rFonts w:ascii="Times New Roman"/>
                <w:b/>
                <w:bCs/>
                <w:sz w:val="18"/>
                <w:szCs w:val="18"/>
                <w:highlight w:val="none"/>
              </w:rPr>
            </w:pP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vMerge w:val="restart"/>
            <w:tcBorders>
              <w:top w:val="single" w:color="auto" w:sz="8" w:space="0"/>
              <w:tl2br w:val="nil"/>
              <w:tr2bl w:val="nil"/>
            </w:tcBorders>
            <w:noWrap w:val="0"/>
            <w:vAlign w:val="center"/>
          </w:tcPr>
          <w:p>
            <w:pPr>
              <w:pStyle w:val="24"/>
              <w:ind w:firstLine="0" w:firstLineChars="0"/>
              <w:jc w:val="center"/>
              <w:rPr>
                <w:rFonts w:hint="eastAsia" w:hAnsi="宋体" w:cs="宋体"/>
                <w:sz w:val="18"/>
                <w:szCs w:val="18"/>
                <w:highlight w:val="none"/>
              </w:rPr>
            </w:pPr>
            <w:r>
              <w:rPr>
                <w:rFonts w:hint="eastAsia" w:hAnsi="宋体" w:cs="宋体"/>
                <w:sz w:val="18"/>
                <w:szCs w:val="18"/>
                <w:highlight w:val="none"/>
              </w:rPr>
              <w:t>公共关系和社会</w:t>
            </w:r>
          </w:p>
          <w:p>
            <w:pPr>
              <w:pStyle w:val="24"/>
              <w:ind w:firstLine="0" w:firstLineChars="0"/>
              <w:jc w:val="center"/>
              <w:rPr>
                <w:rFonts w:hAnsi="宋体" w:cs="宋体"/>
                <w:sz w:val="18"/>
                <w:szCs w:val="18"/>
                <w:highlight w:val="none"/>
              </w:rPr>
            </w:pPr>
            <w:r>
              <w:rPr>
                <w:rFonts w:hint="eastAsia" w:hAnsi="宋体" w:cs="宋体"/>
                <w:sz w:val="18"/>
                <w:szCs w:val="18"/>
                <w:highlight w:val="none"/>
              </w:rPr>
              <w:t>公益责任</w:t>
            </w:r>
          </w:p>
        </w:tc>
        <w:tc>
          <w:tcPr>
            <w:tcW w:w="4020" w:type="dxa"/>
            <w:tcBorders>
              <w:top w:val="single" w:color="auto" w:sz="8" w:space="0"/>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主动举办环保公益活动，或参加环境保护、教育、扶贫济困等公益活动。</w:t>
            </w:r>
          </w:p>
        </w:tc>
        <w:tc>
          <w:tcPr>
            <w:tcW w:w="1080"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1</w:t>
            </w:r>
          </w:p>
        </w:tc>
        <w:tc>
          <w:tcPr>
            <w:tcW w:w="1106" w:type="dxa"/>
            <w:vMerge w:val="restart"/>
            <w:tcBorders>
              <w:top w:val="single" w:color="auto" w:sz="8" w:space="0"/>
              <w:tl2br w:val="nil"/>
              <w:tr2bl w:val="nil"/>
            </w:tcBorders>
            <w:noWrap w:val="0"/>
            <w:vAlign w:val="center"/>
          </w:tcPr>
          <w:p>
            <w:pPr>
              <w:pStyle w:val="24"/>
              <w:ind w:firstLine="0" w:firstLineChars="0"/>
              <w:jc w:val="left"/>
              <w:rPr>
                <w:rFonts w:hAnsi="宋体" w:cs="宋体"/>
                <w:sz w:val="18"/>
                <w:szCs w:val="18"/>
                <w:highlight w:val="none"/>
              </w:rPr>
            </w:pPr>
            <w:r>
              <w:rPr>
                <w:rFonts w:hint="eastAsia" w:hAnsi="宋体" w:cs="宋体"/>
                <w:sz w:val="18"/>
                <w:szCs w:val="18"/>
                <w:highlight w:val="none"/>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vMerge w:val="continue"/>
            <w:tcBorders>
              <w:tl2br w:val="nil"/>
              <w:tr2bl w:val="nil"/>
            </w:tcBorders>
            <w:noWrap w:val="0"/>
            <w:vAlign w:val="center"/>
          </w:tcPr>
          <w:p>
            <w:pPr>
              <w:pStyle w:val="24"/>
              <w:ind w:firstLine="0" w:firstLineChars="0"/>
              <w:jc w:val="center"/>
              <w:rPr>
                <w:rFonts w:hAnsi="宋体" w:cs="宋体"/>
                <w:sz w:val="18"/>
                <w:szCs w:val="18"/>
                <w:highlight w:val="none"/>
              </w:rPr>
            </w:pPr>
          </w:p>
        </w:tc>
        <w:tc>
          <w:tcPr>
            <w:tcW w:w="4020"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积极对本地或外地重大自然灾害或突发事件提供援助。</w:t>
            </w:r>
          </w:p>
        </w:tc>
        <w:tc>
          <w:tcPr>
            <w:tcW w:w="1080"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1</w:t>
            </w:r>
          </w:p>
        </w:tc>
        <w:tc>
          <w:tcPr>
            <w:tcW w:w="1106" w:type="dxa"/>
            <w:vMerge w:val="continue"/>
            <w:tcBorders>
              <w:tl2br w:val="nil"/>
              <w:tr2bl w:val="nil"/>
            </w:tcBorders>
            <w:noWrap w:val="0"/>
            <w:vAlign w:val="center"/>
          </w:tcPr>
          <w:p>
            <w:pPr>
              <w:pStyle w:val="24"/>
              <w:ind w:firstLine="0" w:firstLineChars="0"/>
              <w:jc w:val="center"/>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绿色化管理</w:t>
            </w:r>
          </w:p>
        </w:tc>
        <w:tc>
          <w:tcPr>
            <w:tcW w:w="4020"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取得绿色供应链管理体系认证证书，或实施供应商绿色管理相关制度。</w:t>
            </w:r>
          </w:p>
        </w:tc>
        <w:tc>
          <w:tcPr>
            <w:tcW w:w="1080"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1</w:t>
            </w:r>
          </w:p>
        </w:tc>
        <w:tc>
          <w:tcPr>
            <w:tcW w:w="1106" w:type="dxa"/>
            <w:vMerge w:val="continue"/>
            <w:tcBorders>
              <w:tl2br w:val="nil"/>
              <w:tr2bl w:val="nil"/>
            </w:tcBorders>
            <w:noWrap w:val="0"/>
            <w:vAlign w:val="center"/>
          </w:tcPr>
          <w:p>
            <w:pPr>
              <w:pStyle w:val="24"/>
              <w:ind w:firstLine="0" w:firstLineChars="0"/>
              <w:jc w:val="center"/>
              <w:rPr>
                <w:rFonts w:hAnsi="宋体" w:cs="宋体"/>
                <w:sz w:val="18"/>
                <w:szCs w:val="18"/>
                <w:highlight w:val="none"/>
              </w:rPr>
            </w:pPr>
          </w:p>
        </w:tc>
      </w:tr>
    </w:tbl>
    <w:p>
      <w:pPr>
        <w:pStyle w:val="53"/>
        <w:outlineLvl w:val="0"/>
        <w:rPr>
          <w:rFonts w:ascii="Times New Roman"/>
          <w:highlight w:val="none"/>
        </w:rPr>
      </w:pPr>
      <w:bookmarkStart w:id="102" w:name="_Toc13599"/>
      <w:bookmarkStart w:id="103" w:name="_Toc15293"/>
      <w:bookmarkStart w:id="104" w:name="_Toc23684"/>
      <w:bookmarkStart w:id="105" w:name="_Toc102992462"/>
      <w:bookmarkStart w:id="106" w:name="_Toc118282045"/>
      <w:r>
        <w:rPr>
          <w:rFonts w:hint="eastAsia" w:ascii="Times New Roman"/>
          <w:highlight w:val="none"/>
          <w:lang w:val="en-US" w:eastAsia="zh-CN"/>
        </w:rPr>
        <w:t>新能源汽车产品产业项目评价</w:t>
      </w:r>
      <w:bookmarkEnd w:id="102"/>
      <w:bookmarkEnd w:id="103"/>
    </w:p>
    <w:p>
      <w:pPr>
        <w:pStyle w:val="50"/>
        <w:outlineLvl w:val="1"/>
        <w:rPr>
          <w:rFonts w:ascii="Times New Roman"/>
          <w:highlight w:val="none"/>
        </w:rPr>
      </w:pPr>
      <w:bookmarkStart w:id="107" w:name="_Toc3577"/>
      <w:bookmarkStart w:id="108" w:name="_Toc17354"/>
      <w:r>
        <w:rPr>
          <w:rFonts w:ascii="Times New Roman"/>
          <w:highlight w:val="none"/>
        </w:rPr>
        <w:t>符合性评价</w:t>
      </w:r>
      <w:bookmarkEnd w:id="107"/>
      <w:bookmarkEnd w:id="108"/>
    </w:p>
    <w:p>
      <w:pPr>
        <w:pStyle w:val="54"/>
        <w:spacing w:before="156" w:after="156"/>
        <w:rPr>
          <w:rFonts w:ascii="Times New Roman"/>
          <w:highlight w:val="none"/>
        </w:rPr>
      </w:pPr>
      <w:r>
        <w:rPr>
          <w:rFonts w:ascii="Times New Roman"/>
          <w:highlight w:val="none"/>
        </w:rPr>
        <w:t>目录符合</w:t>
      </w:r>
    </w:p>
    <w:p>
      <w:pPr>
        <w:pStyle w:val="24"/>
        <w:rPr>
          <w:rFonts w:hint="eastAsia" w:ascii="Times New Roman" w:eastAsia="宋体"/>
          <w:highlight w:val="none"/>
          <w:lang w:val="en-US" w:eastAsia="zh-CN"/>
        </w:rPr>
      </w:pPr>
      <w:r>
        <w:rPr>
          <w:rFonts w:hint="eastAsia" w:ascii="Times New Roman"/>
          <w:highlight w:val="none"/>
        </w:rPr>
        <w:t>申报认定评价的</w:t>
      </w:r>
      <w:r>
        <w:rPr>
          <w:rFonts w:hint="eastAsia" w:ascii="Times New Roman"/>
          <w:highlight w:val="none"/>
          <w:lang w:val="en-US" w:eastAsia="zh-CN"/>
        </w:rPr>
        <w:t>项目</w:t>
      </w:r>
      <w:r>
        <w:rPr>
          <w:rFonts w:hint="eastAsia" w:ascii="Times New Roman"/>
          <w:highlight w:val="none"/>
        </w:rPr>
        <w:t>属于</w:t>
      </w:r>
      <w:r>
        <w:rPr>
          <w:rFonts w:hint="default"/>
          <w:highlight w:val="none"/>
          <w:lang w:val="en-US" w:eastAsia="zh-CN"/>
        </w:rPr>
        <w:t>《深圳市绿色低碳产业指导目录》所列</w:t>
      </w:r>
      <w:r>
        <w:rPr>
          <w:rFonts w:hint="eastAsia" w:ascii="Times New Roman"/>
          <w:highlight w:val="none"/>
        </w:rPr>
        <w:t>新能源汽车整车制造、动力电池系统及核心零部件制造、新能源汽车电机/发动机制造、新能源汽车控制系统制造、新能源汽车电附件制造等新能源汽车产品制造产业</w:t>
      </w:r>
      <w:r>
        <w:rPr>
          <w:rFonts w:hint="eastAsia"/>
          <w:lang w:val="en-US" w:eastAsia="zh-CN"/>
        </w:rPr>
        <w:t>，且符合安全、环保、</w:t>
      </w:r>
      <w:bookmarkStart w:id="169" w:name="_GoBack"/>
      <w:bookmarkEnd w:id="169"/>
      <w:r>
        <w:rPr>
          <w:rFonts w:hint="eastAsia"/>
          <w:lang w:val="en-US" w:eastAsia="zh-CN"/>
        </w:rPr>
        <w:t>质量相关法规政策、强制性标准等的要求。</w:t>
      </w:r>
    </w:p>
    <w:p>
      <w:pPr>
        <w:pStyle w:val="54"/>
        <w:spacing w:before="156" w:after="156"/>
        <w:rPr>
          <w:rFonts w:ascii="Times New Roman"/>
          <w:highlight w:val="none"/>
        </w:rPr>
      </w:pPr>
      <w:r>
        <w:rPr>
          <w:rFonts w:hint="eastAsia" w:ascii="Times New Roman"/>
          <w:highlight w:val="none"/>
          <w:lang w:val="en-US" w:eastAsia="zh-CN"/>
        </w:rPr>
        <w:t>技术</w:t>
      </w:r>
      <w:r>
        <w:rPr>
          <w:rFonts w:ascii="Times New Roman"/>
          <w:highlight w:val="none"/>
        </w:rPr>
        <w:t>符合</w:t>
      </w:r>
    </w:p>
    <w:p>
      <w:pPr>
        <w:pStyle w:val="24"/>
        <w:rPr>
          <w:rFonts w:ascii="Times New Roman"/>
          <w:highlight w:val="none"/>
        </w:rPr>
      </w:pPr>
      <w:r>
        <w:rPr>
          <w:rFonts w:hint="eastAsia" w:hAnsi="宋体" w:cs="宋体"/>
          <w:highlight w:val="none"/>
        </w:rPr>
        <w:t>提供的产品或服务应符合国家、广东省及深圳市相关主管部门发布的法律法规和政策标准要求，</w:t>
      </w:r>
      <w:r>
        <w:rPr>
          <w:rFonts w:hint="eastAsia" w:ascii="Times New Roman"/>
          <w:highlight w:val="none"/>
        </w:rPr>
        <w:t>相关产品</w:t>
      </w:r>
      <w:r>
        <w:rPr>
          <w:rFonts w:hint="eastAsia" w:ascii="Times New Roman"/>
          <w:highlight w:val="none"/>
          <w:lang w:val="en-US" w:eastAsia="zh-CN"/>
        </w:rPr>
        <w:t>技术开发及制造</w:t>
      </w:r>
      <w:r>
        <w:rPr>
          <w:rFonts w:hint="eastAsia" w:ascii="Times New Roman"/>
          <w:highlight w:val="none"/>
        </w:rPr>
        <w:t>活动符合深圳市绿色低碳产业认定规则体系规定的技术要求。</w:t>
      </w:r>
    </w:p>
    <w:p>
      <w:pPr>
        <w:pStyle w:val="50"/>
        <w:outlineLvl w:val="1"/>
        <w:rPr>
          <w:rFonts w:ascii="Times New Roman"/>
          <w:highlight w:val="none"/>
        </w:rPr>
      </w:pPr>
      <w:bookmarkStart w:id="109" w:name="_Toc5563"/>
      <w:bookmarkStart w:id="110" w:name="_Toc25572"/>
      <w:r>
        <w:rPr>
          <w:rFonts w:hint="eastAsia" w:ascii="Times New Roman"/>
          <w:highlight w:val="none"/>
        </w:rPr>
        <w:t>综合评价指标</w:t>
      </w:r>
      <w:bookmarkEnd w:id="109"/>
      <w:bookmarkEnd w:id="110"/>
    </w:p>
    <w:p>
      <w:pPr>
        <w:pStyle w:val="59"/>
        <w:numPr>
          <w:ilvl w:val="3"/>
          <w:numId w:val="2"/>
        </w:numPr>
        <w:bidi w:val="0"/>
        <w:spacing w:before="156" w:after="156"/>
        <w:rPr>
          <w:rFonts w:hint="eastAsia" w:ascii="Times New Roman" w:eastAsia="宋体"/>
          <w:highlight w:val="none"/>
          <w:lang w:val="en-US" w:eastAsia="zh-CN"/>
        </w:rPr>
      </w:pPr>
      <w:r>
        <w:rPr>
          <w:rFonts w:hint="eastAsia"/>
          <w:highlight w:val="none"/>
          <w:lang w:val="en-US" w:eastAsia="zh-CN"/>
        </w:rPr>
        <w:t>技术表现</w:t>
      </w:r>
    </w:p>
    <w:p>
      <w:pPr>
        <w:pStyle w:val="63"/>
        <w:rPr>
          <w:rFonts w:hint="eastAsia" w:ascii="Times New Roman" w:eastAsia="宋体"/>
          <w:highlight w:val="none"/>
          <w:lang w:val="en-US" w:eastAsia="zh-CN"/>
        </w:rPr>
      </w:pPr>
      <w:r>
        <w:rPr>
          <w:rFonts w:hint="eastAsia"/>
          <w:highlight w:val="none"/>
          <w:lang w:val="en-US" w:eastAsia="zh-CN"/>
        </w:rPr>
        <w:t>有效知识产权</w:t>
      </w:r>
    </w:p>
    <w:p>
      <w:pPr>
        <w:pStyle w:val="63"/>
        <w:numPr>
          <w:ilvl w:val="0"/>
          <w:numId w:val="0"/>
        </w:numPr>
        <w:adjustRightInd w:val="0"/>
        <w:ind w:firstLine="420" w:firstLineChars="200"/>
        <w:outlineLvl w:val="9"/>
        <w:rPr>
          <w:rFonts w:hint="eastAsia" w:ascii="Times New Roman" w:eastAsia="宋体"/>
          <w:highlight w:val="none"/>
          <w:lang w:val="en-US" w:eastAsia="zh-CN"/>
        </w:rPr>
      </w:pPr>
      <w:r>
        <w:rPr>
          <w:rFonts w:hint="eastAsia" w:ascii="宋体" w:hAnsi="宋体" w:eastAsia="宋体" w:cs="宋体"/>
          <w:highlight w:val="none"/>
          <w:lang w:val="en-US" w:eastAsia="zh-CN"/>
        </w:rPr>
        <w:t>从项目拥有并直接应用的有效知识产权数量情况进行评价，具体类别及加权计算规则参考本文件5.2.1.1.1。具体评分规则见表26。</w:t>
      </w:r>
    </w:p>
    <w:p>
      <w:pPr>
        <w:pStyle w:val="134"/>
        <w:ind w:left="0" w:firstLine="0"/>
        <w:rPr>
          <w:rFonts w:ascii="Times New Roman"/>
          <w:highlight w:val="none"/>
        </w:rPr>
      </w:pPr>
      <w:r>
        <w:rPr>
          <w:rFonts w:hint="eastAsia" w:ascii="Times New Roman"/>
          <w:highlight w:val="none"/>
          <w:lang w:val="en-US" w:eastAsia="zh-CN"/>
        </w:rPr>
        <w:t>有效知识产权</w:t>
      </w:r>
      <w:r>
        <w:rPr>
          <w:rFonts w:ascii="Times New Roman"/>
          <w:highlight w:val="none"/>
        </w:rPr>
        <w:t>评分规则表</w:t>
      </w:r>
    </w:p>
    <w:tbl>
      <w:tblPr>
        <w:tblStyle w:val="34"/>
        <w:tblW w:w="5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83"/>
        <w:gridCol w:w="1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483" w:type="dxa"/>
            <w:noWrap w:val="0"/>
            <w:vAlign w:val="center"/>
          </w:tcPr>
          <w:p>
            <w:pPr>
              <w:pStyle w:val="24"/>
              <w:ind w:firstLine="0" w:firstLineChars="0"/>
              <w:jc w:val="center"/>
              <w:rPr>
                <w:rFonts w:hint="default" w:ascii="Times New Roman"/>
                <w:b/>
                <w:bCs/>
                <w:sz w:val="18"/>
                <w:szCs w:val="18"/>
                <w:highlight w:val="none"/>
                <w:lang w:val="en-US" w:eastAsia="zh-CN"/>
              </w:rPr>
            </w:pPr>
            <w:r>
              <w:rPr>
                <w:rFonts w:hint="eastAsia" w:ascii="Times New Roman"/>
                <w:b/>
                <w:bCs/>
                <w:sz w:val="18"/>
                <w:szCs w:val="18"/>
                <w:highlight w:val="none"/>
                <w:lang w:val="en-US" w:eastAsia="zh-CN"/>
              </w:rPr>
              <w:t>有效知识产权</w:t>
            </w:r>
          </w:p>
        </w:tc>
        <w:tc>
          <w:tcPr>
            <w:tcW w:w="1501" w:type="dxa"/>
            <w:noWrap w:val="0"/>
            <w:vAlign w:val="center"/>
          </w:tcPr>
          <w:p>
            <w:pPr>
              <w:pStyle w:val="24"/>
              <w:ind w:firstLine="0" w:firstLineChars="0"/>
              <w:jc w:val="center"/>
              <w:rPr>
                <w:rFonts w:hint="default" w:ascii="Times New Roman"/>
                <w:b/>
                <w:bCs/>
                <w:sz w:val="18"/>
                <w:szCs w:val="18"/>
                <w:highlight w:val="none"/>
                <w:lang w:val="en-US"/>
              </w:rPr>
            </w:pPr>
            <w:r>
              <w:rPr>
                <w:rFonts w:hint="eastAsia" w:ascii="Times New Roman"/>
                <w:b/>
                <w:bCs/>
                <w:sz w:val="18"/>
                <w:szCs w:val="18"/>
                <w:highlight w:val="none"/>
                <w:lang w:val="en-US" w:eastAsia="zh-CN"/>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483" w:type="dxa"/>
            <w:tcBorders>
              <w:top w:val="single" w:color="auto" w:sz="8" w:space="0"/>
              <w:tl2br w:val="nil"/>
              <w:tr2bl w:val="nil"/>
            </w:tcBorders>
            <w:noWrap w:val="0"/>
            <w:vAlign w:val="center"/>
          </w:tcPr>
          <w:p>
            <w:pPr>
              <w:pStyle w:val="24"/>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有效知识产权应用处于行业领先水平</w:t>
            </w:r>
          </w:p>
        </w:tc>
        <w:tc>
          <w:tcPr>
            <w:tcW w:w="1501" w:type="dxa"/>
            <w:tcBorders>
              <w:top w:val="single" w:color="auto" w:sz="8" w:space="0"/>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w:t>
            </w:r>
            <w:r>
              <w:rPr>
                <w:rFonts w:hint="eastAsia" w:hAnsi="宋体" w:cs="宋体"/>
                <w:sz w:val="18"/>
                <w:szCs w:val="18"/>
                <w:lang w:val="en-US" w:eastAsia="zh-CN"/>
              </w:rPr>
              <w:t>5</w:t>
            </w: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3" w:type="dxa"/>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有效知识产权应用处于行业良好水平</w:t>
            </w:r>
          </w:p>
        </w:tc>
        <w:tc>
          <w:tcPr>
            <w:tcW w:w="1501" w:type="dxa"/>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lang w:val="en-US" w:eastAsia="zh-CN"/>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3" w:type="dxa"/>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有效知识产权应用处于行业一般水平</w:t>
            </w:r>
          </w:p>
        </w:tc>
        <w:tc>
          <w:tcPr>
            <w:tcW w:w="1501" w:type="dxa"/>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lang w:val="en-US" w:eastAsia="zh-CN"/>
              </w:rPr>
              <w:t>[0,1]</w:t>
            </w:r>
          </w:p>
        </w:tc>
      </w:tr>
    </w:tbl>
    <w:p>
      <w:pPr>
        <w:pStyle w:val="63"/>
        <w:rPr>
          <w:rFonts w:hint="default" w:ascii="Times New Roman" w:eastAsia="宋体"/>
          <w:highlight w:val="none"/>
          <w:lang w:val="en-US" w:eastAsia="zh-CN"/>
        </w:rPr>
      </w:pPr>
      <w:r>
        <w:rPr>
          <w:rFonts w:hint="eastAsia"/>
          <w:highlight w:val="none"/>
          <w:lang w:val="en-US" w:eastAsia="zh-CN"/>
        </w:rPr>
        <w:t>关键技术先进性</w:t>
      </w:r>
    </w:p>
    <w:p>
      <w:pPr>
        <w:pStyle w:val="63"/>
        <w:numPr>
          <w:ilvl w:val="0"/>
          <w:numId w:val="0"/>
        </w:numPr>
        <w:bidi w:val="0"/>
        <w:adjustRightInd w:val="0"/>
        <w:spacing w:before="156" w:after="156"/>
        <w:ind w:firstLine="420" w:firstLineChars="200"/>
        <w:outlineLvl w:val="9"/>
        <w:rPr>
          <w:rFonts w:hint="eastAsia" w:ascii="Times New Roman" w:eastAsia="宋体"/>
          <w:highlight w:val="none"/>
          <w:lang w:val="en-US" w:eastAsia="zh-CN"/>
        </w:rPr>
      </w:pPr>
      <w:r>
        <w:rPr>
          <w:rFonts w:hint="eastAsia" w:ascii="宋体" w:hAnsi="宋体" w:eastAsia="宋体" w:cs="宋体"/>
          <w:highlight w:val="none"/>
        </w:rPr>
        <w:t>关键技术先进性根据不同子行业选取不同评价指标，</w:t>
      </w:r>
      <w:r>
        <w:rPr>
          <w:rFonts w:hint="eastAsia" w:ascii="宋体" w:hAnsi="宋体" w:eastAsia="宋体" w:cs="宋体"/>
          <w:highlight w:val="none"/>
          <w:lang w:val="en-US" w:eastAsia="zh-CN"/>
        </w:rPr>
        <w:t>具体评价内容参考本文件5.2.1.1.3</w:t>
      </w:r>
      <w:r>
        <w:rPr>
          <w:rFonts w:hint="eastAsia" w:ascii="宋体" w:hAnsi="宋体" w:eastAsia="宋体" w:cs="宋体"/>
          <w:highlight w:val="none"/>
        </w:rPr>
        <w:t>。</w:t>
      </w:r>
      <w:r>
        <w:rPr>
          <w:rFonts w:hint="eastAsia" w:ascii="宋体" w:hAnsi="宋体" w:eastAsia="宋体" w:cs="宋体"/>
          <w:highlight w:val="none"/>
          <w:lang w:val="en-US" w:eastAsia="zh-CN"/>
        </w:rPr>
        <w:t>具体评分规则见表27</w:t>
      </w:r>
      <w:r>
        <w:rPr>
          <w:rFonts w:hint="eastAsia" w:ascii="Times New Roman" w:eastAsia="宋体"/>
          <w:highlight w:val="none"/>
          <w:lang w:val="en-US" w:eastAsia="zh-CN"/>
        </w:rPr>
        <w:t>。</w:t>
      </w:r>
    </w:p>
    <w:p>
      <w:pPr>
        <w:pStyle w:val="134"/>
        <w:ind w:left="0" w:firstLine="0"/>
        <w:rPr>
          <w:rFonts w:ascii="Times New Roman"/>
          <w:highlight w:val="none"/>
        </w:rPr>
      </w:pPr>
      <w:r>
        <w:rPr>
          <w:rFonts w:hint="eastAsia" w:ascii="Times New Roman"/>
          <w:highlight w:val="none"/>
          <w:lang w:val="en-US" w:eastAsia="zh-CN"/>
        </w:rPr>
        <w:t>关键技术先进性</w:t>
      </w:r>
      <w:r>
        <w:rPr>
          <w:rFonts w:ascii="Times New Roman"/>
          <w:highlight w:val="none"/>
        </w:rPr>
        <w:t>评分规则表</w:t>
      </w:r>
    </w:p>
    <w:tbl>
      <w:tblPr>
        <w:tblStyle w:val="34"/>
        <w:tblW w:w="59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82"/>
        <w:gridCol w:w="1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482" w:type="dxa"/>
            <w:noWrap w:val="0"/>
            <w:vAlign w:val="center"/>
          </w:tcPr>
          <w:p>
            <w:pPr>
              <w:pStyle w:val="24"/>
              <w:ind w:firstLine="0" w:firstLineChars="0"/>
              <w:jc w:val="center"/>
              <w:rPr>
                <w:rFonts w:hint="default" w:ascii="Times New Roman"/>
                <w:b/>
                <w:bCs/>
                <w:sz w:val="18"/>
                <w:szCs w:val="18"/>
                <w:highlight w:val="none"/>
                <w:lang w:val="en-US" w:eastAsia="zh-CN"/>
              </w:rPr>
            </w:pPr>
            <w:r>
              <w:rPr>
                <w:rFonts w:hint="eastAsia" w:ascii="Times New Roman"/>
                <w:b/>
                <w:bCs/>
                <w:sz w:val="18"/>
                <w:szCs w:val="18"/>
                <w:highlight w:val="none"/>
                <w:lang w:val="en-US" w:eastAsia="zh-CN"/>
              </w:rPr>
              <w:t>关键技术先进性</w:t>
            </w:r>
          </w:p>
        </w:tc>
        <w:tc>
          <w:tcPr>
            <w:tcW w:w="1501" w:type="dxa"/>
            <w:noWrap w:val="0"/>
            <w:vAlign w:val="center"/>
          </w:tcPr>
          <w:p>
            <w:pPr>
              <w:pStyle w:val="24"/>
              <w:ind w:firstLine="0" w:firstLineChars="0"/>
              <w:jc w:val="center"/>
              <w:rPr>
                <w:rFonts w:hint="default" w:ascii="Times New Roman"/>
                <w:b/>
                <w:bCs/>
                <w:sz w:val="18"/>
                <w:szCs w:val="18"/>
                <w:highlight w:val="none"/>
                <w:lang w:val="en-US"/>
              </w:rPr>
            </w:pPr>
            <w:r>
              <w:rPr>
                <w:rFonts w:hint="eastAsia" w:ascii="Times New Roman"/>
                <w:b/>
                <w:bCs/>
                <w:sz w:val="18"/>
                <w:szCs w:val="18"/>
                <w:highlight w:val="none"/>
                <w:lang w:val="en-US" w:eastAsia="zh-CN"/>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482" w:type="dxa"/>
            <w:tcBorders>
              <w:top w:val="single" w:color="auto" w:sz="8" w:space="0"/>
              <w:tl2br w:val="nil"/>
              <w:tr2bl w:val="nil"/>
            </w:tcBorders>
            <w:noWrap w:val="0"/>
            <w:vAlign w:val="center"/>
          </w:tcPr>
          <w:p>
            <w:pPr>
              <w:pStyle w:val="24"/>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关键技术处于行业领先水平，具有显著技术引领作用</w:t>
            </w:r>
          </w:p>
        </w:tc>
        <w:tc>
          <w:tcPr>
            <w:tcW w:w="1501" w:type="dxa"/>
            <w:tcBorders>
              <w:top w:val="single" w:color="auto" w:sz="8" w:space="0"/>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rPr>
              <w:t>(</w:t>
            </w:r>
            <w:r>
              <w:rPr>
                <w:rFonts w:hint="eastAsia" w:hAnsi="宋体" w:cs="宋体"/>
                <w:sz w:val="18"/>
                <w:szCs w:val="18"/>
                <w:lang w:val="en-US" w:eastAsia="zh-CN"/>
              </w:rPr>
              <w:t>10</w:t>
            </w:r>
            <w:r>
              <w:rPr>
                <w:rFonts w:hint="eastAsia" w:hAnsi="宋体" w:cs="宋体"/>
                <w:sz w:val="18"/>
                <w:szCs w:val="18"/>
              </w:rPr>
              <w:t>,</w:t>
            </w:r>
            <w:r>
              <w:rPr>
                <w:rFonts w:hint="eastAsia" w:hAnsi="宋体" w:cs="宋体"/>
                <w:sz w:val="18"/>
                <w:szCs w:val="18"/>
                <w:lang w:val="en-US" w:eastAsia="zh-CN"/>
              </w:rPr>
              <w:t>15</w:t>
            </w: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2" w:type="dxa"/>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关键技术处于行业较好水平，具有一定技术推动作用</w:t>
            </w:r>
          </w:p>
        </w:tc>
        <w:tc>
          <w:tcPr>
            <w:tcW w:w="1501" w:type="dxa"/>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lang w:val="en-US" w:eastAsia="zh-CN"/>
              </w:rPr>
              <w:t>(5,10]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2" w:type="dxa"/>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关键技术处于行业平均水平</w:t>
            </w:r>
          </w:p>
        </w:tc>
        <w:tc>
          <w:tcPr>
            <w:tcW w:w="1501" w:type="dxa"/>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lang w:val="en-US" w:eastAsia="zh-CN"/>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2" w:type="dxa"/>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未满足上述任何一项。</w:t>
            </w:r>
          </w:p>
        </w:tc>
        <w:tc>
          <w:tcPr>
            <w:tcW w:w="1501" w:type="dxa"/>
            <w:tcBorders>
              <w:tl2br w:val="nil"/>
              <w:tr2bl w:val="nil"/>
            </w:tcBorders>
            <w:noWrap w:val="0"/>
            <w:vAlign w:val="center"/>
          </w:tcPr>
          <w:p>
            <w:pPr>
              <w:pStyle w:val="24"/>
              <w:ind w:firstLine="0" w:firstLineChars="0"/>
              <w:jc w:val="center"/>
              <w:rPr>
                <w:rFonts w:hint="default" w:hAnsi="宋体" w:cs="宋体"/>
                <w:sz w:val="18"/>
                <w:szCs w:val="18"/>
                <w:highlight w:val="none"/>
                <w:lang w:val="en-US" w:eastAsia="zh-CN"/>
              </w:rPr>
            </w:pPr>
            <w:r>
              <w:rPr>
                <w:rFonts w:hint="eastAsia" w:hAnsi="宋体" w:cs="宋体"/>
                <w:sz w:val="18"/>
                <w:szCs w:val="18"/>
                <w:lang w:val="en-US" w:eastAsia="zh-CN"/>
              </w:rPr>
              <w:t>0</w:t>
            </w:r>
          </w:p>
        </w:tc>
      </w:tr>
    </w:tbl>
    <w:p>
      <w:pPr>
        <w:pStyle w:val="63"/>
        <w:rPr>
          <w:rFonts w:hint="eastAsia" w:ascii="Times New Roman" w:eastAsia="宋体"/>
          <w:highlight w:val="none"/>
          <w:lang w:val="en-US" w:eastAsia="zh-CN"/>
        </w:rPr>
      </w:pPr>
      <w:r>
        <w:rPr>
          <w:rFonts w:hint="eastAsia" w:ascii="黑体" w:eastAsia="黑体"/>
          <w:highlight w:val="none"/>
          <w:lang w:val="en-US" w:eastAsia="zh-CN"/>
        </w:rPr>
        <w:t>环境效益</w:t>
      </w:r>
    </w:p>
    <w:p>
      <w:pPr>
        <w:pStyle w:val="24"/>
        <w:numPr>
          <w:ilvl w:val="0"/>
          <w:numId w:val="0"/>
        </w:numPr>
        <w:spacing w:before="156" w:after="156"/>
        <w:ind w:firstLine="420" w:firstLineChars="200"/>
        <w:rPr>
          <w:rFonts w:hint="eastAsia" w:ascii="Times New Roman" w:eastAsia="宋体"/>
          <w:highlight w:val="none"/>
          <w:lang w:val="en-US" w:eastAsia="zh-CN"/>
        </w:rPr>
      </w:pPr>
      <w:r>
        <w:rPr>
          <w:rFonts w:hint="eastAsia" w:ascii="宋体" w:hAnsi="宋体" w:eastAsia="宋体" w:cs="宋体"/>
          <w:highlight w:val="none"/>
          <w:lang w:val="en-US" w:eastAsia="zh-CN"/>
        </w:rPr>
        <w:t>具体评价内容</w:t>
      </w:r>
      <w:r>
        <w:rPr>
          <w:rFonts w:hint="eastAsia" w:hAnsi="宋体" w:cs="宋体"/>
          <w:highlight w:val="none"/>
          <w:lang w:val="en-US" w:eastAsia="zh-CN"/>
        </w:rPr>
        <w:t>和计算方法</w:t>
      </w:r>
      <w:r>
        <w:rPr>
          <w:rFonts w:hint="eastAsia" w:ascii="宋体" w:hAnsi="宋体" w:eastAsia="宋体" w:cs="宋体"/>
          <w:highlight w:val="none"/>
          <w:lang w:val="en-US" w:eastAsia="zh-CN"/>
        </w:rPr>
        <w:t>参考本文件5.2.1.2</w:t>
      </w:r>
      <w:r>
        <w:rPr>
          <w:rFonts w:hint="eastAsia" w:hAnsi="宋体" w:cs="宋体"/>
          <w:highlight w:val="none"/>
        </w:rPr>
        <w:t>。</w:t>
      </w:r>
      <w:r>
        <w:rPr>
          <w:rFonts w:hint="eastAsia" w:ascii="宋体" w:hAnsi="宋体" w:eastAsia="宋体" w:cs="宋体"/>
          <w:highlight w:val="none"/>
          <w:lang w:val="en-US" w:eastAsia="zh-CN"/>
        </w:rPr>
        <w:t>具体评分规则见表</w:t>
      </w:r>
      <w:r>
        <w:rPr>
          <w:rFonts w:hint="eastAsia" w:hAnsi="宋体" w:cs="宋体"/>
          <w:highlight w:val="none"/>
          <w:lang w:val="en-US" w:eastAsia="zh-CN"/>
        </w:rPr>
        <w:t>28</w:t>
      </w:r>
      <w:r>
        <w:rPr>
          <w:rFonts w:hint="eastAsia" w:ascii="宋体" w:hAnsi="宋体" w:eastAsia="宋体" w:cs="宋体"/>
          <w:highlight w:val="none"/>
          <w:lang w:val="en-US" w:eastAsia="zh-CN"/>
        </w:rPr>
        <w:t>。</w:t>
      </w:r>
    </w:p>
    <w:p>
      <w:pPr>
        <w:pStyle w:val="134"/>
        <w:ind w:left="0" w:firstLine="0"/>
        <w:rPr>
          <w:rFonts w:ascii="Times New Roman"/>
          <w:highlight w:val="none"/>
        </w:rPr>
      </w:pPr>
      <w:r>
        <w:rPr>
          <w:rFonts w:hint="eastAsia" w:ascii="Times New Roman"/>
          <w:highlight w:val="none"/>
          <w:lang w:val="en-US" w:eastAsia="zh-CN"/>
        </w:rPr>
        <w:t>环境效益</w:t>
      </w:r>
      <w:r>
        <w:rPr>
          <w:rFonts w:ascii="Times New Roman"/>
          <w:highlight w:val="none"/>
        </w:rPr>
        <w:t>评分规则表</w:t>
      </w:r>
    </w:p>
    <w:tbl>
      <w:tblPr>
        <w:tblStyle w:val="34"/>
        <w:tblW w:w="59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72"/>
        <w:gridCol w:w="14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2" w:type="dxa"/>
            <w:noWrap w:val="0"/>
            <w:vAlign w:val="center"/>
          </w:tcPr>
          <w:p>
            <w:pPr>
              <w:pStyle w:val="24"/>
              <w:ind w:firstLine="0" w:firstLineChars="0"/>
              <w:jc w:val="center"/>
              <w:rPr>
                <w:rFonts w:hint="default" w:ascii="Times New Roman"/>
                <w:b/>
                <w:bCs/>
                <w:sz w:val="18"/>
                <w:szCs w:val="18"/>
                <w:highlight w:val="none"/>
                <w:lang w:val="en-US" w:eastAsia="zh-CN"/>
              </w:rPr>
            </w:pPr>
            <w:r>
              <w:rPr>
                <w:rFonts w:hint="eastAsia" w:ascii="Times New Roman"/>
                <w:b/>
                <w:bCs/>
                <w:sz w:val="18"/>
                <w:szCs w:val="18"/>
                <w:highlight w:val="none"/>
                <w:lang w:val="en-US" w:eastAsia="zh-CN"/>
              </w:rPr>
              <w:t>环境效益水平</w:t>
            </w:r>
          </w:p>
        </w:tc>
        <w:tc>
          <w:tcPr>
            <w:tcW w:w="1472" w:type="dxa"/>
            <w:noWrap w:val="0"/>
            <w:vAlign w:val="center"/>
          </w:tcPr>
          <w:p>
            <w:pPr>
              <w:pStyle w:val="24"/>
              <w:ind w:firstLine="0" w:firstLineChars="0"/>
              <w:jc w:val="center"/>
              <w:rPr>
                <w:rFonts w:hint="default" w:ascii="Times New Roman" w:eastAsia="宋体"/>
                <w:b/>
                <w:bCs/>
                <w:sz w:val="18"/>
                <w:szCs w:val="18"/>
                <w:highlight w:val="none"/>
                <w:lang w:val="en-US" w:eastAsia="zh-CN"/>
              </w:rPr>
            </w:pPr>
            <w:r>
              <w:rPr>
                <w:rFonts w:hint="eastAsia" w:ascii="Times New Roman"/>
                <w:b/>
                <w:bCs/>
                <w:sz w:val="18"/>
                <w:szCs w:val="18"/>
                <w:highlight w:val="none"/>
                <w:lang w:val="en-US" w:eastAsia="zh-CN"/>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2" w:type="dxa"/>
            <w:tcBorders>
              <w:top w:val="single" w:color="auto" w:sz="8" w:space="0"/>
              <w:tl2br w:val="nil"/>
              <w:tr2bl w:val="nil"/>
            </w:tcBorders>
            <w:noWrap w:val="0"/>
            <w:vAlign w:val="center"/>
          </w:tcPr>
          <w:p>
            <w:pPr>
              <w:pStyle w:val="24"/>
              <w:ind w:firstLine="0" w:firstLineChars="0"/>
              <w:jc w:val="center"/>
              <w:rPr>
                <w:rFonts w:hint="default" w:hAnsi="宋体" w:cs="宋体"/>
                <w:sz w:val="18"/>
                <w:szCs w:val="18"/>
                <w:highlight w:val="none"/>
                <w:lang w:val="en-US"/>
              </w:rPr>
            </w:pPr>
            <w:r>
              <w:rPr>
                <w:rFonts w:hint="eastAsia" w:hAnsi="宋体" w:cs="宋体"/>
                <w:sz w:val="18"/>
                <w:szCs w:val="18"/>
                <w:highlight w:val="none"/>
                <w:lang w:val="en-US" w:eastAsia="zh-CN"/>
              </w:rPr>
              <w:t>取得的环境效益效果显著，处于行业领先水平</w:t>
            </w:r>
          </w:p>
        </w:tc>
        <w:tc>
          <w:tcPr>
            <w:tcW w:w="1472"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rPr>
              <w:t>(</w:t>
            </w:r>
            <w:r>
              <w:rPr>
                <w:rFonts w:hint="eastAsia" w:hAnsi="宋体" w:cs="宋体"/>
                <w:sz w:val="18"/>
                <w:szCs w:val="18"/>
                <w:lang w:val="en-US" w:eastAsia="zh-CN"/>
              </w:rPr>
              <w:t>15</w:t>
            </w:r>
            <w:r>
              <w:rPr>
                <w:rFonts w:hint="eastAsia" w:hAnsi="宋体" w:cs="宋体"/>
                <w:sz w:val="18"/>
                <w:szCs w:val="18"/>
              </w:rPr>
              <w:t>,</w:t>
            </w:r>
            <w:r>
              <w:rPr>
                <w:rFonts w:hint="eastAsia" w:hAnsi="宋体" w:cs="宋体"/>
                <w:sz w:val="18"/>
                <w:szCs w:val="18"/>
                <w:lang w:val="en-US" w:eastAsia="zh-CN"/>
              </w:rPr>
              <w:t>20</w:t>
            </w: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2"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lang w:val="en-US" w:eastAsia="zh-CN"/>
              </w:rPr>
              <w:t>取得的环境效益效果较好，处于行业良好水平</w:t>
            </w:r>
          </w:p>
        </w:tc>
        <w:tc>
          <w:tcPr>
            <w:tcW w:w="1472"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lang w:val="en-US" w:eastAsia="zh-CN"/>
              </w:rPr>
              <w:t>(10,15]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4472" w:type="dxa"/>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取得的环境效益效果一般，处于行业一般水平</w:t>
            </w:r>
          </w:p>
        </w:tc>
        <w:tc>
          <w:tcPr>
            <w:tcW w:w="1472" w:type="dxa"/>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lang w:val="en-US" w:eastAsia="zh-CN"/>
              </w:rPr>
              <w:t>[0,10]</w:t>
            </w:r>
          </w:p>
        </w:tc>
      </w:tr>
    </w:tbl>
    <w:p>
      <w:pPr>
        <w:pStyle w:val="59"/>
        <w:numPr>
          <w:ilvl w:val="3"/>
          <w:numId w:val="2"/>
        </w:numPr>
        <w:spacing w:before="156" w:after="156"/>
        <w:rPr>
          <w:rFonts w:hint="eastAsia" w:ascii="Times New Roman" w:eastAsia="宋体"/>
          <w:highlight w:val="none"/>
          <w:lang w:val="en-US" w:eastAsia="zh-CN"/>
        </w:rPr>
      </w:pPr>
      <w:r>
        <w:rPr>
          <w:rFonts w:hint="default" w:ascii="黑体" w:eastAsia="黑体"/>
          <w:highlight w:val="none"/>
          <w:lang w:val="en-US" w:eastAsia="zh-CN"/>
        </w:rPr>
        <w:t>环境表现</w:t>
      </w:r>
    </w:p>
    <w:p>
      <w:pPr>
        <w:pStyle w:val="63"/>
        <w:spacing w:before="156" w:after="156"/>
        <w:rPr>
          <w:rFonts w:ascii="Times New Roman"/>
          <w:highlight w:val="none"/>
        </w:rPr>
      </w:pPr>
      <w:r>
        <w:rPr>
          <w:rFonts w:ascii="Times New Roman"/>
          <w:highlight w:val="none"/>
        </w:rPr>
        <w:t>工艺设备材料</w:t>
      </w:r>
    </w:p>
    <w:p>
      <w:pPr>
        <w:pStyle w:val="24"/>
        <w:rPr>
          <w:rFonts w:ascii="Times New Roman"/>
          <w:highlight w:val="none"/>
        </w:rPr>
      </w:pPr>
      <w:r>
        <w:rPr>
          <w:rFonts w:hint="eastAsia" w:ascii="宋体" w:hAnsi="宋体" w:eastAsia="宋体" w:cs="宋体"/>
          <w:highlight w:val="none"/>
          <w:lang w:val="en-US" w:eastAsia="zh-CN"/>
        </w:rPr>
        <w:t>具体评价内容参考本文件5.2.3</w:t>
      </w:r>
      <w:r>
        <w:rPr>
          <w:rFonts w:hint="eastAsia" w:hAnsi="宋体" w:cs="宋体"/>
          <w:highlight w:val="none"/>
          <w:lang w:val="en-US" w:eastAsia="zh-CN"/>
        </w:rPr>
        <w:t>.1</w:t>
      </w:r>
      <w:r>
        <w:rPr>
          <w:rFonts w:hint="eastAsia" w:ascii="宋体" w:hAnsi="宋体" w:eastAsia="宋体" w:cs="宋体"/>
          <w:highlight w:val="none"/>
          <w:lang w:val="en-US" w:eastAsia="zh-CN"/>
        </w:rPr>
        <w:t>，</w:t>
      </w:r>
      <w:r>
        <w:rPr>
          <w:rFonts w:hint="eastAsia" w:hAnsi="宋体" w:cs="宋体"/>
          <w:highlight w:val="none"/>
        </w:rPr>
        <w:t>具体评分规则见表</w:t>
      </w:r>
      <w:r>
        <w:rPr>
          <w:rFonts w:hint="eastAsia" w:hAnsi="宋体" w:cs="宋体"/>
          <w:highlight w:val="none"/>
          <w:lang w:val="en-US" w:eastAsia="zh-CN"/>
        </w:rPr>
        <w:t>29</w:t>
      </w:r>
      <w:r>
        <w:rPr>
          <w:rFonts w:hint="eastAsia" w:hAnsi="宋体" w:cs="宋体"/>
          <w:highlight w:val="none"/>
        </w:rPr>
        <w:t>。</w:t>
      </w:r>
    </w:p>
    <w:p>
      <w:pPr>
        <w:pStyle w:val="134"/>
        <w:rPr>
          <w:rFonts w:ascii="Times New Roman"/>
          <w:highlight w:val="none"/>
        </w:rPr>
      </w:pPr>
      <w:r>
        <w:rPr>
          <w:rFonts w:ascii="Times New Roman"/>
          <w:highlight w:val="none"/>
        </w:rPr>
        <w:t>工艺设备材料评分规则表</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32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2755" w:type="dxa"/>
            <w:noWrap w:val="0"/>
            <w:vAlign w:val="center"/>
          </w:tcPr>
          <w:p>
            <w:pPr>
              <w:pStyle w:val="24"/>
              <w:ind w:firstLine="0" w:firstLineChars="0"/>
              <w:jc w:val="center"/>
              <w:rPr>
                <w:rFonts w:hint="default" w:ascii="Times New Roman" w:eastAsia="宋体"/>
                <w:b/>
                <w:bCs/>
                <w:sz w:val="18"/>
                <w:szCs w:val="18"/>
                <w:highlight w:val="none"/>
                <w:lang w:val="en-US" w:eastAsia="zh-CN"/>
              </w:rPr>
            </w:pPr>
            <w:r>
              <w:rPr>
                <w:rFonts w:hint="eastAsia" w:ascii="Times New Roman"/>
                <w:b/>
                <w:bCs/>
                <w:sz w:val="18"/>
                <w:szCs w:val="18"/>
                <w:lang w:val="en-US" w:eastAsia="zh-CN"/>
              </w:rPr>
              <w:t>工艺设备材料</w:t>
            </w:r>
          </w:p>
        </w:tc>
        <w:tc>
          <w:tcPr>
            <w:tcW w:w="3211" w:type="dxa"/>
            <w:noWrap w:val="0"/>
            <w:vAlign w:val="center"/>
          </w:tcPr>
          <w:p>
            <w:pPr>
              <w:pStyle w:val="24"/>
              <w:ind w:firstLine="0" w:firstLineChars="0"/>
              <w:jc w:val="center"/>
              <w:rPr>
                <w:rFonts w:ascii="Times New Roman"/>
                <w:b/>
                <w:bCs/>
                <w:sz w:val="18"/>
                <w:szCs w:val="18"/>
                <w:highlight w:val="none"/>
              </w:rPr>
            </w:pPr>
            <w:r>
              <w:rPr>
                <w:rFonts w:hint="eastAsia" w:ascii="Times New Roman"/>
                <w:b/>
                <w:bCs/>
                <w:sz w:val="18"/>
                <w:szCs w:val="18"/>
                <w:lang w:val="en-US" w:eastAsia="zh-CN"/>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5" w:type="dxa"/>
            <w:tcBorders>
              <w:tl2br w:val="nil"/>
              <w:tr2bl w:val="nil"/>
            </w:tcBorders>
            <w:noWrap w:val="0"/>
            <w:vAlign w:val="center"/>
          </w:tcPr>
          <w:p>
            <w:pPr>
              <w:pStyle w:val="24"/>
              <w:ind w:firstLine="0" w:firstLineChars="0"/>
              <w:jc w:val="center"/>
              <w:rPr>
                <w:rFonts w:hint="default" w:hAnsi="宋体" w:cs="宋体"/>
                <w:sz w:val="18"/>
                <w:szCs w:val="18"/>
                <w:highlight w:val="none"/>
                <w:lang w:val="en-US" w:eastAsia="zh-CN"/>
              </w:rPr>
            </w:pPr>
            <w:r>
              <w:rPr>
                <w:rFonts w:hint="eastAsia" w:hAnsi="宋体" w:cs="宋体"/>
                <w:sz w:val="18"/>
                <w:szCs w:val="18"/>
                <w:lang w:val="en-US" w:eastAsia="zh-CN"/>
              </w:rPr>
              <w:t>工艺设备材料绿色化程度较高。</w:t>
            </w:r>
          </w:p>
        </w:tc>
        <w:tc>
          <w:tcPr>
            <w:tcW w:w="3211" w:type="dxa"/>
            <w:tcBorders>
              <w:tl2br w:val="nil"/>
              <w:tr2bl w:val="nil"/>
            </w:tcBorders>
            <w:noWrap w:val="0"/>
            <w:vAlign w:val="center"/>
          </w:tcPr>
          <w:p>
            <w:pPr>
              <w:pStyle w:val="24"/>
              <w:ind w:firstLine="0" w:firstLineChars="0"/>
              <w:jc w:val="center"/>
              <w:rPr>
                <w:rFonts w:hint="eastAsia" w:hAnsi="宋体" w:cs="宋体"/>
                <w:sz w:val="18"/>
                <w:szCs w:val="18"/>
                <w:highlight w:val="none"/>
              </w:rPr>
            </w:pPr>
            <w:r>
              <w:rPr>
                <w:rFonts w:hint="eastAsia" w:hAnsi="宋体" w:cs="宋体"/>
                <w:sz w:val="18"/>
                <w:szCs w:val="18"/>
                <w:lang w:val="en-US" w:eastAsia="zh-CN"/>
              </w:rPr>
              <w:t>(7,10]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55" w:type="dxa"/>
            <w:tcBorders>
              <w:tl2br w:val="nil"/>
              <w:tr2bl w:val="nil"/>
            </w:tcBorders>
            <w:noWrap w:val="0"/>
            <w:vAlign w:val="center"/>
          </w:tcPr>
          <w:p>
            <w:pPr>
              <w:pStyle w:val="24"/>
              <w:ind w:firstLine="0" w:firstLineChars="0"/>
              <w:jc w:val="center"/>
              <w:rPr>
                <w:rFonts w:hint="default" w:hAnsi="宋体" w:cs="宋体"/>
                <w:sz w:val="18"/>
                <w:szCs w:val="18"/>
                <w:highlight w:val="none"/>
                <w:lang w:val="en-US" w:eastAsia="zh-CN"/>
              </w:rPr>
            </w:pPr>
            <w:r>
              <w:rPr>
                <w:rFonts w:hint="eastAsia" w:hAnsi="宋体" w:cs="宋体"/>
                <w:sz w:val="18"/>
                <w:szCs w:val="18"/>
                <w:lang w:val="en-US" w:eastAsia="zh-CN"/>
              </w:rPr>
              <w:t>工艺设备材料绿色化程度中等。</w:t>
            </w:r>
          </w:p>
        </w:tc>
        <w:tc>
          <w:tcPr>
            <w:tcW w:w="3211" w:type="dxa"/>
            <w:tcBorders>
              <w:tl2br w:val="nil"/>
              <w:tr2bl w:val="nil"/>
            </w:tcBorders>
            <w:noWrap w:val="0"/>
            <w:vAlign w:val="center"/>
          </w:tcPr>
          <w:p>
            <w:pPr>
              <w:pStyle w:val="24"/>
              <w:ind w:firstLine="0" w:firstLineChars="0"/>
              <w:jc w:val="center"/>
              <w:rPr>
                <w:rFonts w:hint="eastAsia" w:hAnsi="宋体" w:cs="宋体"/>
                <w:sz w:val="18"/>
                <w:szCs w:val="18"/>
                <w:highlight w:val="none"/>
              </w:rPr>
            </w:pPr>
            <w:r>
              <w:rPr>
                <w:rFonts w:hint="eastAsia" w:hAnsi="宋体" w:cs="宋体"/>
                <w:sz w:val="18"/>
                <w:szCs w:val="18"/>
                <w:lang w:val="en-US" w:eastAsia="zh-CN"/>
              </w:rPr>
              <w:t>(4,7]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55" w:type="dxa"/>
            <w:tcBorders>
              <w:tl2br w:val="nil"/>
              <w:tr2bl w:val="nil"/>
            </w:tcBorders>
            <w:noWrap w:val="0"/>
            <w:vAlign w:val="center"/>
          </w:tcPr>
          <w:p>
            <w:pPr>
              <w:pStyle w:val="24"/>
              <w:ind w:firstLine="0" w:firstLineChars="0"/>
              <w:jc w:val="center"/>
              <w:rPr>
                <w:rFonts w:hint="default" w:hAnsi="宋体" w:cs="宋体"/>
                <w:sz w:val="18"/>
                <w:szCs w:val="18"/>
                <w:highlight w:val="none"/>
                <w:lang w:val="en-US" w:eastAsia="zh-CN"/>
              </w:rPr>
            </w:pPr>
            <w:r>
              <w:rPr>
                <w:rFonts w:hint="eastAsia" w:hAnsi="宋体" w:cs="宋体"/>
                <w:sz w:val="18"/>
                <w:szCs w:val="18"/>
                <w:lang w:val="en-US" w:eastAsia="zh-CN"/>
              </w:rPr>
              <w:t>工艺设备材料绿色化程度一般。</w:t>
            </w:r>
          </w:p>
        </w:tc>
        <w:tc>
          <w:tcPr>
            <w:tcW w:w="3211" w:type="dxa"/>
            <w:tcBorders>
              <w:tl2br w:val="nil"/>
              <w:tr2bl w:val="nil"/>
            </w:tcBorders>
            <w:noWrap w:val="0"/>
            <w:vAlign w:val="center"/>
          </w:tcPr>
          <w:p>
            <w:pPr>
              <w:pStyle w:val="24"/>
              <w:ind w:firstLine="0" w:firstLineChars="0"/>
              <w:jc w:val="center"/>
              <w:rPr>
                <w:rFonts w:hint="eastAsia" w:hAnsi="宋体" w:cs="宋体"/>
                <w:sz w:val="18"/>
                <w:szCs w:val="18"/>
                <w:highlight w:val="none"/>
              </w:rPr>
            </w:pPr>
            <w:r>
              <w:rPr>
                <w:rFonts w:hint="eastAsia" w:hAnsi="宋体" w:cs="宋体"/>
                <w:sz w:val="18"/>
                <w:szCs w:val="18"/>
                <w:lang w:val="en-US" w:eastAsia="zh-CN"/>
              </w:rPr>
              <w:t>(0,4]</w:t>
            </w:r>
          </w:p>
        </w:tc>
      </w:tr>
    </w:tbl>
    <w:p>
      <w:pPr>
        <w:pStyle w:val="63"/>
        <w:rPr>
          <w:rFonts w:hint="eastAsia" w:ascii="Times New Roman" w:eastAsia="宋体"/>
          <w:highlight w:val="none"/>
          <w:lang w:val="en-US" w:eastAsia="zh-CN"/>
        </w:rPr>
      </w:pPr>
      <w:r>
        <w:rPr>
          <w:rFonts w:hint="eastAsia" w:ascii="黑体" w:eastAsia="黑体"/>
          <w:highlight w:val="none"/>
          <w:lang w:val="en-US" w:eastAsia="zh-CN"/>
        </w:rPr>
        <w:t>绿色</w:t>
      </w:r>
      <w:r>
        <w:rPr>
          <w:rFonts w:hint="eastAsia"/>
          <w:highlight w:val="none"/>
          <w:lang w:val="en-US" w:eastAsia="zh-CN"/>
        </w:rPr>
        <w:t>低碳</w:t>
      </w:r>
      <w:r>
        <w:rPr>
          <w:rFonts w:hint="eastAsia" w:ascii="黑体" w:eastAsia="黑体"/>
          <w:highlight w:val="none"/>
          <w:lang w:val="en-US" w:eastAsia="zh-CN"/>
        </w:rPr>
        <w:t>运营</w:t>
      </w:r>
    </w:p>
    <w:p>
      <w:pPr>
        <w:pStyle w:val="24"/>
        <w:rPr>
          <w:rFonts w:hint="eastAsia"/>
          <w:highlight w:val="none"/>
          <w:lang w:val="en-US" w:eastAsia="zh-CN"/>
        </w:rPr>
      </w:pPr>
      <w:r>
        <w:rPr>
          <w:rFonts w:hint="eastAsia"/>
          <w:highlight w:val="none"/>
          <w:lang w:val="en-US" w:eastAsia="zh-CN"/>
        </w:rPr>
        <w:t>绿色低碳运营从单位总投资综合能耗、单位总投资用水量、单位总投资用地面积、单位总投资碳排放量、废弃物综合利用率等方面进行综合评估，</w:t>
      </w:r>
      <w:r>
        <w:rPr>
          <w:rFonts w:hint="eastAsia" w:hAnsi="宋体" w:cs="宋体"/>
          <w:highlight w:val="none"/>
        </w:rPr>
        <w:t>各技术规范结合实际产业情况</w:t>
      </w:r>
      <w:r>
        <w:rPr>
          <w:rFonts w:hint="eastAsia" w:hAnsi="宋体" w:cs="宋体"/>
          <w:highlight w:val="none"/>
          <w:lang w:val="en-US" w:eastAsia="zh-CN"/>
        </w:rPr>
        <w:t>选取</w:t>
      </w:r>
      <w:r>
        <w:rPr>
          <w:rFonts w:hint="eastAsia" w:hAnsi="宋体" w:cs="宋体"/>
          <w:highlight w:val="none"/>
        </w:rPr>
        <w:t>适宜</w:t>
      </w:r>
      <w:r>
        <w:rPr>
          <w:rFonts w:hint="eastAsia" w:hAnsi="宋体" w:cs="宋体"/>
          <w:highlight w:val="none"/>
          <w:lang w:val="en-US" w:eastAsia="zh-CN"/>
        </w:rPr>
        <w:t>的绿色低碳运营</w:t>
      </w:r>
      <w:r>
        <w:rPr>
          <w:rFonts w:hint="eastAsia" w:hAnsi="宋体" w:cs="宋体"/>
          <w:highlight w:val="none"/>
        </w:rPr>
        <w:t>指标</w:t>
      </w:r>
      <w:r>
        <w:rPr>
          <w:rFonts w:hint="eastAsia"/>
          <w:highlight w:val="none"/>
          <w:lang w:val="en-US" w:eastAsia="zh-CN"/>
        </w:rPr>
        <w:t>。其中，单位总投资综合能耗为项目生产建设综合能耗与项目总投资额的比值，单位为</w:t>
      </w:r>
      <w:r>
        <w:rPr>
          <w:rFonts w:hint="eastAsia" w:hAnsi="Times New Roman" w:cs="Times New Roman"/>
          <w:sz w:val="21"/>
          <w:szCs w:val="20"/>
          <w:highlight w:val="none"/>
          <w:lang w:val="en-US" w:eastAsia="zh-CN"/>
        </w:rPr>
        <w:t>吨标准煤/万元</w:t>
      </w:r>
      <w:r>
        <w:rPr>
          <w:rFonts w:hint="eastAsia"/>
          <w:highlight w:val="none"/>
          <w:lang w:val="en-US" w:eastAsia="zh-CN"/>
        </w:rPr>
        <w:t>；单位总投资用水量为项目生产建设用水总量与项目总投资额的比值，单位为</w:t>
      </w:r>
      <w:r>
        <w:rPr>
          <w:rFonts w:hint="eastAsia" w:hAnsi="Times New Roman" w:cs="Times New Roman"/>
          <w:sz w:val="21"/>
          <w:szCs w:val="20"/>
          <w:highlight w:val="none"/>
          <w:lang w:val="en-US" w:eastAsia="zh-CN"/>
        </w:rPr>
        <w:t>吨/万元</w:t>
      </w:r>
      <w:r>
        <w:rPr>
          <w:rFonts w:hint="eastAsia"/>
          <w:highlight w:val="none"/>
          <w:lang w:val="en-US" w:eastAsia="zh-CN"/>
        </w:rPr>
        <w:t>；单位总投资用地面积为项目生产建设用地面积与项目总投资额的比值，单位为</w:t>
      </w:r>
      <w:r>
        <w:rPr>
          <w:rFonts w:hint="eastAsia" w:hAnsi="Times New Roman" w:cs="Times New Roman"/>
          <w:sz w:val="21"/>
          <w:szCs w:val="20"/>
          <w:highlight w:val="none"/>
          <w:lang w:val="en-US" w:eastAsia="zh-CN"/>
        </w:rPr>
        <w:t>平方米/万元</w:t>
      </w:r>
      <w:r>
        <w:rPr>
          <w:rFonts w:hint="eastAsia"/>
          <w:highlight w:val="none"/>
          <w:lang w:val="en-US" w:eastAsia="zh-CN"/>
        </w:rPr>
        <w:t>；单位总投资碳排放量为项目碳排放总量与项目总投资额的比值，单位为</w:t>
      </w:r>
      <w:r>
        <w:rPr>
          <w:rFonts w:hint="eastAsia" w:ascii="宋体" w:hAnsi="Times New Roman" w:cs="Times New Roman"/>
          <w:b w:val="0"/>
          <w:bCs w:val="0"/>
          <w:sz w:val="21"/>
          <w:szCs w:val="20"/>
          <w:highlight w:val="none"/>
          <w:lang w:val="en-US" w:eastAsia="zh-CN"/>
        </w:rPr>
        <w:t>吨二氧化碳当量/万元</w:t>
      </w:r>
      <w:r>
        <w:rPr>
          <w:rFonts w:hint="eastAsia"/>
          <w:highlight w:val="none"/>
          <w:lang w:val="en-US" w:eastAsia="zh-CN"/>
        </w:rPr>
        <w:t>；废弃物综合利用率具体评价内容参考本文件5.2.3.2.3。具体评分规则见表30。</w:t>
      </w:r>
    </w:p>
    <w:p>
      <w:pPr>
        <w:pStyle w:val="134"/>
        <w:ind w:left="0" w:firstLine="0"/>
        <w:rPr>
          <w:rFonts w:ascii="Times New Roman"/>
          <w:highlight w:val="none"/>
        </w:rPr>
      </w:pPr>
      <w:r>
        <w:rPr>
          <w:rFonts w:hint="eastAsia" w:ascii="Times New Roman"/>
          <w:highlight w:val="none"/>
          <w:lang w:val="en-US" w:eastAsia="zh-CN"/>
        </w:rPr>
        <w:t>绿色低碳运营</w:t>
      </w:r>
      <w:r>
        <w:rPr>
          <w:rFonts w:ascii="Times New Roman"/>
          <w:highlight w:val="none"/>
        </w:rPr>
        <w:t>评分规则表</w:t>
      </w:r>
    </w:p>
    <w:tbl>
      <w:tblPr>
        <w:tblStyle w:val="34"/>
        <w:tblW w:w="56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35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95" w:type="dxa"/>
            <w:noWrap w:val="0"/>
            <w:vAlign w:val="center"/>
          </w:tcPr>
          <w:p>
            <w:pPr>
              <w:pStyle w:val="24"/>
              <w:ind w:firstLine="0" w:firstLineChars="0"/>
              <w:jc w:val="center"/>
              <w:rPr>
                <w:rFonts w:hint="default" w:ascii="Times New Roman" w:eastAsia="宋体"/>
                <w:b/>
                <w:bCs/>
                <w:sz w:val="18"/>
                <w:szCs w:val="18"/>
                <w:highlight w:val="none"/>
                <w:lang w:val="en-US" w:eastAsia="zh-CN"/>
              </w:rPr>
            </w:pPr>
            <w:r>
              <w:rPr>
                <w:rFonts w:hint="eastAsia" w:ascii="Times New Roman"/>
                <w:b/>
                <w:bCs/>
                <w:sz w:val="18"/>
                <w:szCs w:val="18"/>
                <w:highlight w:val="none"/>
                <w:lang w:val="en-US" w:eastAsia="zh-CN"/>
              </w:rPr>
              <w:t>项目投资水平</w:t>
            </w:r>
          </w:p>
        </w:tc>
        <w:tc>
          <w:tcPr>
            <w:tcW w:w="3581" w:type="dxa"/>
            <w:noWrap w:val="0"/>
            <w:vAlign w:val="center"/>
          </w:tcPr>
          <w:p>
            <w:pPr>
              <w:pStyle w:val="24"/>
              <w:ind w:firstLine="0" w:firstLineChars="0"/>
              <w:jc w:val="center"/>
              <w:rPr>
                <w:rFonts w:ascii="Times New Roman"/>
                <w:b/>
                <w:bCs/>
                <w:sz w:val="18"/>
                <w:szCs w:val="18"/>
                <w:highlight w:val="none"/>
              </w:rPr>
            </w:pPr>
            <w:r>
              <w:rPr>
                <w:rFonts w:hint="eastAsia" w:ascii="Times New Roman"/>
                <w:b/>
                <w:bCs/>
                <w:sz w:val="18"/>
                <w:szCs w:val="18"/>
                <w:highlight w:val="none"/>
                <w:lang w:val="en-US" w:eastAsia="zh-CN"/>
              </w:rPr>
              <w:t>评分依据及单项分值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lang w:val="en-US" w:eastAsia="zh-CN"/>
              </w:rPr>
              <w:t>单位总投资综合能耗</w:t>
            </w:r>
          </w:p>
        </w:tc>
        <w:tc>
          <w:tcPr>
            <w:tcW w:w="3581" w:type="dxa"/>
            <w:vMerge w:val="restart"/>
            <w:tcBorders>
              <w:top w:val="single" w:color="auto" w:sz="8" w:space="0"/>
              <w:tl2br w:val="nil"/>
              <w:tr2bl w:val="nil"/>
            </w:tcBorders>
            <w:noWrap w:val="0"/>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五项指标达到业内领先水平得(12,15]分；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四项指标达到业内领先水平得(9,12]分；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三项指标达到业内领先水平得(6,9]分；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两项指标达到业内领先水平得(3,6]分；</w:t>
            </w:r>
          </w:p>
          <w:p>
            <w:pPr>
              <w:pStyle w:val="24"/>
              <w:ind w:firstLine="0" w:firstLineChars="0"/>
              <w:jc w:val="left"/>
              <w:rPr>
                <w:rFonts w:hint="default" w:ascii="宋体" w:hAnsi="宋体" w:eastAsia="宋体" w:cs="宋体"/>
                <w:sz w:val="18"/>
                <w:szCs w:val="18"/>
                <w:highlight w:val="none"/>
                <w:lang w:val="en-US" w:eastAsia="zh-CN" w:bidi="ar-SA"/>
              </w:rPr>
            </w:pPr>
            <w:r>
              <w:rPr>
                <w:rFonts w:hint="eastAsia" w:hAnsi="宋体" w:cs="宋体"/>
                <w:sz w:val="18"/>
                <w:szCs w:val="18"/>
                <w:lang w:val="en-US" w:eastAsia="zh-CN"/>
              </w:rPr>
              <w:t>一项指标达到业内领先水平得(0,3]分。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lang w:val="en-US" w:eastAsia="zh-CN"/>
              </w:rPr>
              <w:t>单位总投资用水量</w:t>
            </w:r>
          </w:p>
        </w:tc>
        <w:tc>
          <w:tcPr>
            <w:tcW w:w="3581" w:type="dxa"/>
            <w:vMerge w:val="continue"/>
            <w:tcBorders>
              <w:tl2br w:val="nil"/>
              <w:tr2bl w:val="nil"/>
            </w:tcBorders>
            <w:noWrap w:val="0"/>
            <w:vAlign w:val="center"/>
          </w:tcPr>
          <w:p>
            <w:pPr>
              <w:pStyle w:val="24"/>
              <w:ind w:firstLine="0" w:firstLineChars="0"/>
              <w:jc w:val="center"/>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单位总投资用地面积</w:t>
            </w:r>
          </w:p>
        </w:tc>
        <w:tc>
          <w:tcPr>
            <w:tcW w:w="3581" w:type="dxa"/>
            <w:vMerge w:val="continue"/>
            <w:tcBorders>
              <w:tl2br w:val="nil"/>
              <w:tr2bl w:val="nil"/>
            </w:tcBorders>
            <w:noWrap w:val="0"/>
            <w:vAlign w:val="center"/>
          </w:tcPr>
          <w:p>
            <w:pPr>
              <w:pStyle w:val="24"/>
              <w:ind w:firstLine="0" w:firstLineChars="0"/>
              <w:jc w:val="center"/>
              <w:rPr>
                <w:rFonts w:hint="eastAsia"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95" w:type="dxa"/>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单位总投资碳排放量</w:t>
            </w:r>
          </w:p>
        </w:tc>
        <w:tc>
          <w:tcPr>
            <w:tcW w:w="3581" w:type="dxa"/>
            <w:vMerge w:val="continue"/>
            <w:tcBorders>
              <w:tl2br w:val="nil"/>
              <w:tr2bl w:val="nil"/>
            </w:tcBorders>
            <w:noWrap w:val="0"/>
            <w:vAlign w:val="center"/>
          </w:tcPr>
          <w:p>
            <w:pPr>
              <w:pStyle w:val="24"/>
              <w:ind w:firstLine="0" w:firstLineChars="0"/>
              <w:jc w:val="center"/>
              <w:rPr>
                <w:rFonts w:hint="eastAsia"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95" w:type="dxa"/>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废弃物综合利用率</w:t>
            </w:r>
          </w:p>
        </w:tc>
        <w:tc>
          <w:tcPr>
            <w:tcW w:w="3581" w:type="dxa"/>
            <w:vMerge w:val="continue"/>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p>
        </w:tc>
      </w:tr>
    </w:tbl>
    <w:p>
      <w:pPr>
        <w:pStyle w:val="63"/>
        <w:spacing w:before="156" w:after="156"/>
        <w:rPr>
          <w:rFonts w:ascii="Times New Roman"/>
          <w:highlight w:val="none"/>
        </w:rPr>
      </w:pPr>
      <w:r>
        <w:rPr>
          <w:rFonts w:hint="eastAsia"/>
          <w:highlight w:val="none"/>
          <w:lang w:val="en-US" w:eastAsia="zh-CN"/>
        </w:rPr>
        <w:t>污染物</w:t>
      </w:r>
      <w:r>
        <w:rPr>
          <w:highlight w:val="none"/>
        </w:rPr>
        <w:t>排放</w:t>
      </w:r>
      <w:r>
        <w:rPr>
          <w:rFonts w:hint="eastAsia"/>
          <w:highlight w:val="none"/>
        </w:rPr>
        <w:t>水平</w:t>
      </w:r>
    </w:p>
    <w:p>
      <w:pPr>
        <w:pStyle w:val="24"/>
        <w:rPr>
          <w:rFonts w:hAnsi="宋体" w:cs="宋体"/>
          <w:highlight w:val="none"/>
        </w:rPr>
      </w:pPr>
      <w:r>
        <w:rPr>
          <w:rFonts w:hint="eastAsia" w:hAnsi="宋体" w:cs="宋体"/>
          <w:highlight w:val="none"/>
        </w:rPr>
        <w:t>从</w:t>
      </w:r>
      <w:r>
        <w:rPr>
          <w:rFonts w:hint="eastAsia" w:hAnsi="宋体" w:cs="宋体"/>
          <w:highlight w:val="none"/>
          <w:lang w:val="en-US" w:eastAsia="zh-CN"/>
        </w:rPr>
        <w:t>项目</w:t>
      </w:r>
      <w:r>
        <w:rPr>
          <w:rFonts w:hint="eastAsia" w:hAnsi="宋体" w:cs="宋体"/>
          <w:highlight w:val="none"/>
        </w:rPr>
        <w:t>自身生产运营过程向环境排放污染物的情况进行评价</w:t>
      </w:r>
      <w:r>
        <w:rPr>
          <w:rFonts w:hint="eastAsia" w:hAnsi="宋体" w:cs="宋体"/>
          <w:highlight w:val="none"/>
          <w:lang w:eastAsia="zh-CN"/>
        </w:rPr>
        <w:t>，</w:t>
      </w:r>
      <w:r>
        <w:rPr>
          <w:rFonts w:hint="eastAsia" w:ascii="宋体" w:hAnsi="宋体" w:eastAsia="宋体" w:cs="宋体"/>
          <w:highlight w:val="none"/>
          <w:lang w:val="en-US" w:eastAsia="zh-CN"/>
        </w:rPr>
        <w:t>具体评价内容参考本文件5.2.3.</w:t>
      </w:r>
      <w:r>
        <w:rPr>
          <w:rFonts w:hint="eastAsia" w:hAnsi="宋体" w:cs="宋体"/>
          <w:highlight w:val="none"/>
          <w:lang w:val="en-US" w:eastAsia="zh-CN"/>
        </w:rPr>
        <w:t>3，</w:t>
      </w:r>
      <w:r>
        <w:rPr>
          <w:rFonts w:hint="eastAsia" w:hAnsi="宋体" w:cs="宋体"/>
          <w:highlight w:val="none"/>
        </w:rPr>
        <w:t>具体评分规则见表</w:t>
      </w:r>
      <w:r>
        <w:rPr>
          <w:rFonts w:hint="eastAsia" w:hAnsi="宋体" w:cs="宋体"/>
          <w:highlight w:val="none"/>
          <w:lang w:val="en-US" w:eastAsia="zh-CN"/>
        </w:rPr>
        <w:t>31</w:t>
      </w:r>
      <w:r>
        <w:rPr>
          <w:rFonts w:hint="eastAsia" w:hAnsi="宋体" w:cs="宋体"/>
          <w:highlight w:val="none"/>
        </w:rPr>
        <w:t>。</w:t>
      </w:r>
    </w:p>
    <w:p>
      <w:pPr>
        <w:pStyle w:val="134"/>
        <w:rPr>
          <w:rFonts w:ascii="Times New Roman"/>
          <w:highlight w:val="none"/>
        </w:rPr>
      </w:pPr>
      <w:r>
        <w:rPr>
          <w:rFonts w:hint="eastAsia" w:ascii="Times New Roman"/>
          <w:highlight w:val="none"/>
        </w:rPr>
        <w:t>污染物</w:t>
      </w:r>
      <w:r>
        <w:rPr>
          <w:rFonts w:ascii="Times New Roman"/>
          <w:highlight w:val="none"/>
        </w:rPr>
        <w:t>排放</w:t>
      </w:r>
      <w:r>
        <w:rPr>
          <w:rFonts w:hint="eastAsia" w:ascii="Times New Roman"/>
          <w:highlight w:val="none"/>
        </w:rPr>
        <w:t>水平</w:t>
      </w:r>
      <w:r>
        <w:rPr>
          <w:rFonts w:ascii="Times New Roman"/>
          <w:highlight w:val="none"/>
        </w:rPr>
        <w:t>评分规则表</w:t>
      </w:r>
    </w:p>
    <w:tbl>
      <w:tblPr>
        <w:tblStyle w:val="34"/>
        <w:tblW w:w="87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76"/>
        <w:gridCol w:w="12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76"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污染物排放水平</w:t>
            </w:r>
          </w:p>
        </w:tc>
        <w:tc>
          <w:tcPr>
            <w:tcW w:w="1203" w:type="dxa"/>
            <w:tcBorders>
              <w:bottom w:val="single" w:color="auto" w:sz="8" w:space="0"/>
            </w:tcBorders>
            <w:noWrap w:val="0"/>
            <w:vAlign w:val="center"/>
          </w:tcPr>
          <w:p>
            <w:pPr>
              <w:pStyle w:val="24"/>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76" w:type="dxa"/>
            <w:tcBorders>
              <w:top w:val="single" w:color="auto" w:sz="8" w:space="0"/>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不排放污染物，或优于排污许可证限值20%，或优于排放源所在地同类行业污染物排放限值20%。</w:t>
            </w:r>
          </w:p>
        </w:tc>
        <w:tc>
          <w:tcPr>
            <w:tcW w:w="1203" w:type="dxa"/>
            <w:tcBorders>
              <w:top w:val="single" w:color="auto" w:sz="8" w:space="0"/>
              <w:tl2br w:val="nil"/>
              <w:tr2bl w:val="nil"/>
            </w:tcBorders>
            <w:noWrap w:val="0"/>
            <w:vAlign w:val="center"/>
          </w:tcPr>
          <w:p>
            <w:pPr>
              <w:pStyle w:val="24"/>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rPr>
              <w:t>(</w:t>
            </w:r>
            <w:r>
              <w:rPr>
                <w:rFonts w:hint="eastAsia" w:hAnsi="宋体" w:cs="宋体"/>
                <w:sz w:val="18"/>
                <w:szCs w:val="18"/>
                <w:highlight w:val="none"/>
                <w:lang w:val="en-US" w:eastAsia="zh-CN"/>
              </w:rPr>
              <w:t>2</w:t>
            </w:r>
            <w:r>
              <w:rPr>
                <w:rFonts w:hint="eastAsia" w:hAnsi="宋体" w:cs="宋体"/>
                <w:sz w:val="18"/>
                <w:szCs w:val="18"/>
                <w:highlight w:val="none"/>
              </w:rPr>
              <w:t>,</w:t>
            </w:r>
            <w:r>
              <w:rPr>
                <w:rFonts w:hint="eastAsia" w:hAnsi="宋体" w:cs="宋体"/>
                <w:sz w:val="18"/>
                <w:szCs w:val="18"/>
                <w:highlight w:val="none"/>
                <w:lang w:val="en-US" w:eastAsia="zh-CN"/>
              </w:rPr>
              <w:t>5</w:t>
            </w:r>
            <w:r>
              <w:rPr>
                <w:rFonts w:hint="eastAsia" w:hAnsi="宋体" w:cs="宋体"/>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76"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优于排污许可证限值10%，或优于排放源所在地同类行业污染物排放限值10%。</w:t>
            </w:r>
          </w:p>
        </w:tc>
        <w:tc>
          <w:tcPr>
            <w:tcW w:w="1203" w:type="dxa"/>
            <w:tcBorders>
              <w:tl2br w:val="nil"/>
              <w:tr2bl w:val="nil"/>
            </w:tcBorders>
            <w:noWrap w:val="0"/>
            <w:vAlign w:val="center"/>
          </w:tcPr>
          <w:p>
            <w:pPr>
              <w:pStyle w:val="24"/>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76" w:type="dxa"/>
            <w:tcBorders>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highlight w:val="none"/>
              </w:rPr>
              <w:t>不满足上述任何一项。</w:t>
            </w:r>
          </w:p>
        </w:tc>
        <w:tc>
          <w:tcPr>
            <w:tcW w:w="1203" w:type="dxa"/>
            <w:tcBorders>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0</w:t>
            </w:r>
          </w:p>
        </w:tc>
      </w:tr>
    </w:tbl>
    <w:p>
      <w:pPr>
        <w:pStyle w:val="53"/>
        <w:outlineLvl w:val="0"/>
        <w:rPr>
          <w:rFonts w:ascii="Times New Roman"/>
          <w:highlight w:val="none"/>
        </w:rPr>
      </w:pPr>
      <w:bookmarkStart w:id="111" w:name="_Toc25271"/>
      <w:bookmarkStart w:id="112" w:name="_Toc7295"/>
      <w:r>
        <w:rPr>
          <w:rFonts w:ascii="Times New Roman"/>
          <w:highlight w:val="none"/>
        </w:rPr>
        <w:t>评价程序</w:t>
      </w:r>
      <w:bookmarkEnd w:id="104"/>
      <w:bookmarkEnd w:id="105"/>
      <w:bookmarkEnd w:id="106"/>
      <w:bookmarkEnd w:id="111"/>
      <w:bookmarkEnd w:id="112"/>
    </w:p>
    <w:p>
      <w:pPr>
        <w:pStyle w:val="50"/>
        <w:outlineLvl w:val="1"/>
        <w:rPr>
          <w:rFonts w:ascii="Times New Roman"/>
          <w:highlight w:val="none"/>
        </w:rPr>
      </w:pPr>
      <w:bookmarkStart w:id="113" w:name="_Toc16008"/>
      <w:bookmarkStart w:id="114" w:name="_Toc118281022"/>
      <w:bookmarkStart w:id="115" w:name="_Toc8648"/>
      <w:bookmarkStart w:id="116" w:name="_Toc118282046"/>
      <w:bookmarkStart w:id="117" w:name="_Toc19162"/>
      <w:bookmarkStart w:id="118" w:name="_Toc2913"/>
      <w:r>
        <w:rPr>
          <w:rFonts w:ascii="Times New Roman"/>
          <w:highlight w:val="none"/>
        </w:rPr>
        <w:t>成立工作组</w:t>
      </w:r>
      <w:bookmarkEnd w:id="113"/>
      <w:bookmarkEnd w:id="114"/>
      <w:bookmarkEnd w:id="115"/>
      <w:bookmarkEnd w:id="116"/>
      <w:bookmarkEnd w:id="117"/>
      <w:bookmarkEnd w:id="118"/>
    </w:p>
    <w:p>
      <w:pPr>
        <w:ind w:firstLine="420" w:firstLineChars="200"/>
        <w:rPr>
          <w:highlight w:val="none"/>
        </w:rPr>
      </w:pPr>
      <w:r>
        <w:rPr>
          <w:rFonts w:hint="eastAsia"/>
          <w:highlight w:val="none"/>
        </w:rPr>
        <w:t>成立绿色</w:t>
      </w:r>
      <w:r>
        <w:rPr>
          <w:rFonts w:hint="eastAsia"/>
          <w:highlight w:val="none"/>
          <w:lang w:val="en-US" w:eastAsia="zh-CN"/>
        </w:rPr>
        <w:t>低碳</w:t>
      </w:r>
      <w:r>
        <w:rPr>
          <w:rFonts w:hint="eastAsia"/>
          <w:highlight w:val="none"/>
        </w:rPr>
        <w:t>产业认定评价工作组，负责具体协调、组织和实施绿色</w:t>
      </w:r>
      <w:r>
        <w:rPr>
          <w:rFonts w:hint="eastAsia"/>
          <w:highlight w:val="none"/>
          <w:lang w:val="en-US" w:eastAsia="zh-CN"/>
        </w:rPr>
        <w:t>低碳</w:t>
      </w:r>
      <w:r>
        <w:rPr>
          <w:rFonts w:hint="eastAsia"/>
          <w:highlight w:val="none"/>
        </w:rPr>
        <w:t>产业认定评价工作。要求工作组成员：</w:t>
      </w:r>
    </w:p>
    <w:p>
      <w:pPr>
        <w:ind w:firstLine="420" w:firstLineChars="200"/>
        <w:rPr>
          <w:highlight w:val="none"/>
        </w:rPr>
      </w:pPr>
      <w:r>
        <w:rPr>
          <w:rFonts w:hint="eastAsia"/>
          <w:highlight w:val="none"/>
        </w:rPr>
        <w:t>——具有</w:t>
      </w:r>
      <w:r>
        <w:rPr>
          <w:rFonts w:hint="eastAsia"/>
          <w:highlight w:val="none"/>
          <w:lang w:val="en-US" w:eastAsia="zh-CN"/>
        </w:rPr>
        <w:t>新能源汽车产品</w:t>
      </w:r>
      <w:r>
        <w:rPr>
          <w:rFonts w:hint="eastAsia"/>
          <w:highlight w:val="none"/>
        </w:rPr>
        <w:t>、环境、财务等相关专业背景；</w:t>
      </w:r>
    </w:p>
    <w:p>
      <w:pPr>
        <w:ind w:firstLine="420" w:firstLineChars="200"/>
        <w:rPr>
          <w:highlight w:val="none"/>
        </w:rPr>
      </w:pPr>
      <w:r>
        <w:rPr>
          <w:rFonts w:hint="eastAsia"/>
          <w:highlight w:val="none"/>
        </w:rPr>
        <w:t>——熟悉掌握绿色</w:t>
      </w:r>
      <w:r>
        <w:rPr>
          <w:rFonts w:hint="eastAsia"/>
          <w:highlight w:val="none"/>
          <w:lang w:val="en-US" w:eastAsia="zh-CN"/>
        </w:rPr>
        <w:t>低碳</w:t>
      </w:r>
      <w:r>
        <w:rPr>
          <w:rFonts w:hint="eastAsia"/>
          <w:highlight w:val="none"/>
        </w:rPr>
        <w:t>产业认定评价方法和步骤；</w:t>
      </w:r>
    </w:p>
    <w:p>
      <w:pPr>
        <w:ind w:firstLine="420" w:firstLineChars="200"/>
        <w:rPr>
          <w:highlight w:val="none"/>
        </w:rPr>
      </w:pPr>
      <w:r>
        <w:rPr>
          <w:rFonts w:hint="eastAsia"/>
          <w:highlight w:val="none"/>
        </w:rPr>
        <w:t>——具备良好的沟通协调能力和文字表达能力。</w:t>
      </w:r>
    </w:p>
    <w:p>
      <w:pPr>
        <w:pStyle w:val="50"/>
        <w:outlineLvl w:val="1"/>
        <w:rPr>
          <w:rFonts w:ascii="Times New Roman"/>
          <w:highlight w:val="none"/>
        </w:rPr>
      </w:pPr>
      <w:bookmarkStart w:id="119" w:name="_Toc8861"/>
      <w:bookmarkStart w:id="120" w:name="_Toc10785"/>
      <w:bookmarkStart w:id="121" w:name="_Toc118281023"/>
      <w:bookmarkStart w:id="122" w:name="_Toc292"/>
      <w:bookmarkStart w:id="123" w:name="_Toc118282047"/>
      <w:r>
        <w:rPr>
          <w:rFonts w:hint="eastAsia" w:ascii="Times New Roman"/>
          <w:highlight w:val="none"/>
        </w:rPr>
        <w:t>收集材料</w:t>
      </w:r>
      <w:bookmarkEnd w:id="119"/>
      <w:bookmarkEnd w:id="120"/>
      <w:bookmarkEnd w:id="121"/>
      <w:bookmarkEnd w:id="122"/>
      <w:bookmarkEnd w:id="123"/>
    </w:p>
    <w:p>
      <w:pPr>
        <w:pStyle w:val="24"/>
        <w:rPr>
          <w:highlight w:val="none"/>
        </w:rPr>
      </w:pPr>
      <w:r>
        <w:rPr>
          <w:rFonts w:hint="eastAsia"/>
          <w:highlight w:val="none"/>
        </w:rPr>
        <w:t>绿色低碳产业认定评价应收集的信息和文件资料见表</w:t>
      </w:r>
      <w:r>
        <w:rPr>
          <w:rFonts w:hint="eastAsia"/>
          <w:highlight w:val="none"/>
          <w:lang w:val="en-US" w:eastAsia="zh-CN"/>
        </w:rPr>
        <w:t>32</w:t>
      </w:r>
      <w:r>
        <w:rPr>
          <w:highlight w:val="none"/>
        </w:rPr>
        <w:t>和表</w:t>
      </w:r>
      <w:r>
        <w:rPr>
          <w:rFonts w:hint="eastAsia"/>
          <w:highlight w:val="none"/>
          <w:lang w:val="en-US" w:eastAsia="zh-CN"/>
        </w:rPr>
        <w:t>33</w:t>
      </w:r>
      <w:r>
        <w:rPr>
          <w:rFonts w:hint="eastAsia"/>
          <w:highlight w:val="none"/>
        </w:rPr>
        <w:t>。</w:t>
      </w:r>
    </w:p>
    <w:p>
      <w:pPr>
        <w:numPr>
          <w:ilvl w:val="0"/>
          <w:numId w:val="17"/>
        </w:numPr>
        <w:spacing w:before="156" w:beforeLines="50" w:after="156" w:afterLines="50"/>
        <w:jc w:val="center"/>
        <w:rPr>
          <w:highlight w:val="none"/>
        </w:rPr>
      </w:pPr>
      <w:r>
        <w:rPr>
          <w:rFonts w:hint="eastAsia" w:eastAsia="黑体"/>
          <w:highlight w:val="none"/>
        </w:rPr>
        <w:t>符合性评价证明材料列表</w:t>
      </w:r>
    </w:p>
    <w:tbl>
      <w:tblPr>
        <w:tblStyle w:val="35"/>
        <w:tblW w:w="82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1"/>
        <w:gridCol w:w="5804"/>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81" w:type="dxa"/>
            <w:tcBorders>
              <w:top w:val="single" w:color="000000" w:sz="8" w:space="0"/>
              <w:bottom w:val="single" w:color="000000" w:sz="8" w:space="0"/>
            </w:tcBorders>
            <w:noWrap w:val="0"/>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hint="eastAsia" w:ascii="宋体"/>
                <w:b/>
                <w:kern w:val="0"/>
                <w:sz w:val="18"/>
                <w:szCs w:val="18"/>
                <w:highlight w:val="none"/>
              </w:rPr>
              <w:t>指标</w:t>
            </w:r>
          </w:p>
        </w:tc>
        <w:tc>
          <w:tcPr>
            <w:tcW w:w="5804" w:type="dxa"/>
            <w:tcBorders>
              <w:top w:val="single" w:color="000000" w:sz="8" w:space="0"/>
              <w:bottom w:val="single" w:color="000000" w:sz="8" w:space="0"/>
            </w:tcBorders>
            <w:noWrap w:val="0"/>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hint="eastAsia" w:ascii="宋体"/>
                <w:b/>
                <w:kern w:val="0"/>
                <w:sz w:val="18"/>
                <w:szCs w:val="18"/>
                <w:highlight w:val="none"/>
              </w:rPr>
              <w:t>评价内容</w:t>
            </w:r>
          </w:p>
        </w:tc>
        <w:tc>
          <w:tcPr>
            <w:tcW w:w="1483" w:type="dxa"/>
            <w:tcBorders>
              <w:top w:val="single" w:color="000000" w:sz="8" w:space="0"/>
              <w:bottom w:val="single" w:color="000000" w:sz="8" w:space="0"/>
              <w:right w:val="single" w:color="000000" w:sz="8" w:space="0"/>
            </w:tcBorders>
            <w:noWrap w:val="0"/>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1" w:type="dxa"/>
            <w:tcBorders>
              <w:top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目录符合</w:t>
            </w:r>
          </w:p>
        </w:tc>
        <w:tc>
          <w:tcPr>
            <w:tcW w:w="5804" w:type="dxa"/>
            <w:tcBorders>
              <w:top w:val="single" w:color="000000" w:sz="8" w:space="0"/>
            </w:tcBorders>
            <w:noWrap w:val="0"/>
            <w:vAlign w:val="center"/>
          </w:tcPr>
          <w:p>
            <w:pPr>
              <w:widowControl/>
              <w:tabs>
                <w:tab w:val="center" w:pos="4201"/>
                <w:tab w:val="right" w:leader="dot" w:pos="9298"/>
              </w:tabs>
              <w:autoSpaceDE w:val="0"/>
              <w:autoSpaceDN w:val="0"/>
              <w:jc w:val="left"/>
              <w:rPr>
                <w:rFonts w:ascii="宋体"/>
                <w:kern w:val="0"/>
                <w:sz w:val="18"/>
                <w:szCs w:val="18"/>
                <w:highlight w:val="none"/>
              </w:rPr>
            </w:pPr>
            <w:r>
              <w:rPr>
                <w:rFonts w:hint="eastAsia" w:ascii="宋体"/>
                <w:sz w:val="18"/>
                <w:szCs w:val="18"/>
                <w:highlight w:val="none"/>
              </w:rPr>
              <w:t>申报认定评价的主营业务应属于</w:t>
            </w:r>
            <w:r>
              <w:rPr>
                <w:rFonts w:hint="default" w:ascii="宋体"/>
                <w:sz w:val="18"/>
                <w:szCs w:val="18"/>
                <w:highlight w:val="none"/>
              </w:rPr>
              <w:t>新能源汽车整车制造</w:t>
            </w:r>
            <w:r>
              <w:rPr>
                <w:rFonts w:hint="eastAsia" w:ascii="宋体"/>
                <w:sz w:val="18"/>
                <w:szCs w:val="18"/>
                <w:highlight w:val="none"/>
              </w:rPr>
              <w:t>、动力电池系统及核心零部件制造、新能源汽车电机/发动机制造</w:t>
            </w:r>
            <w:r>
              <w:rPr>
                <w:rFonts w:hint="eastAsia" w:ascii="宋体"/>
                <w:sz w:val="18"/>
                <w:szCs w:val="18"/>
                <w:highlight w:val="none"/>
                <w:lang w:eastAsia="zh-CN"/>
              </w:rPr>
              <w:t>、</w:t>
            </w:r>
            <w:r>
              <w:rPr>
                <w:rFonts w:hint="eastAsia" w:ascii="宋体"/>
                <w:sz w:val="18"/>
                <w:szCs w:val="18"/>
                <w:highlight w:val="none"/>
              </w:rPr>
              <w:t>新能源汽车控制系统制造</w:t>
            </w:r>
            <w:r>
              <w:rPr>
                <w:rFonts w:hint="eastAsia" w:ascii="宋体"/>
                <w:sz w:val="18"/>
                <w:szCs w:val="18"/>
                <w:highlight w:val="none"/>
                <w:lang w:eastAsia="zh-CN"/>
              </w:rPr>
              <w:t>、</w:t>
            </w:r>
            <w:r>
              <w:rPr>
                <w:rFonts w:hint="eastAsia" w:ascii="宋体"/>
                <w:sz w:val="18"/>
                <w:szCs w:val="18"/>
                <w:highlight w:val="none"/>
              </w:rPr>
              <w:t>新能源汽车电附件制造等</w:t>
            </w:r>
            <w:r>
              <w:rPr>
                <w:rFonts w:hint="eastAsia" w:ascii="宋体"/>
                <w:sz w:val="18"/>
                <w:szCs w:val="18"/>
                <w:highlight w:val="none"/>
                <w:lang w:val="en-US" w:eastAsia="zh-CN"/>
              </w:rPr>
              <w:t>新能源汽车产品制造产业</w:t>
            </w:r>
            <w:r>
              <w:rPr>
                <w:rFonts w:hint="eastAsia" w:ascii="宋体"/>
                <w:sz w:val="18"/>
                <w:szCs w:val="18"/>
                <w:highlight w:val="none"/>
                <w:lang w:eastAsia="zh-CN"/>
              </w:rPr>
              <w:t>；</w:t>
            </w:r>
            <w:r>
              <w:rPr>
                <w:rFonts w:hint="eastAsia" w:ascii="宋体"/>
                <w:sz w:val="18"/>
                <w:szCs w:val="18"/>
                <w:highlight w:val="none"/>
                <w:lang w:val="en-US" w:eastAsia="zh-CN"/>
              </w:rPr>
              <w:t>且其绿色业务占比达到50%或以上，或跨界规模达到1亿元、在国内外新兴领域超前领先。</w:t>
            </w:r>
          </w:p>
        </w:tc>
        <w:tc>
          <w:tcPr>
            <w:tcW w:w="1483" w:type="dxa"/>
            <w:tcBorders>
              <w:top w:val="single" w:color="000000" w:sz="8" w:space="0"/>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有效营业执照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1" w:type="dxa"/>
            <w:tcBorders>
              <w:bottom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技术符合</w:t>
            </w:r>
          </w:p>
        </w:tc>
        <w:tc>
          <w:tcPr>
            <w:tcW w:w="5804" w:type="dxa"/>
            <w:tcBorders>
              <w:bottom w:val="single" w:color="000000" w:sz="8" w:space="0"/>
            </w:tcBorders>
            <w:noWrap w:val="0"/>
            <w:vAlign w:val="center"/>
          </w:tcPr>
          <w:p>
            <w:pPr>
              <w:widowControl/>
              <w:tabs>
                <w:tab w:val="center" w:pos="4201"/>
                <w:tab w:val="right" w:leader="dot" w:pos="9298"/>
              </w:tabs>
              <w:autoSpaceDE w:val="0"/>
              <w:autoSpaceDN w:val="0"/>
              <w:jc w:val="left"/>
              <w:rPr>
                <w:rFonts w:ascii="宋体"/>
                <w:kern w:val="0"/>
                <w:sz w:val="18"/>
                <w:szCs w:val="18"/>
                <w:highlight w:val="none"/>
              </w:rPr>
            </w:pPr>
            <w:r>
              <w:rPr>
                <w:rFonts w:hint="eastAsia" w:ascii="宋体"/>
                <w:sz w:val="18"/>
                <w:szCs w:val="18"/>
                <w:highlight w:val="none"/>
              </w:rPr>
              <w:t>提供的产品或服务应符合国家、广东省及深圳市相关主管部门发布文件列明的有关设计、能效、性能、安全、贮存、回收、标识、验收、管理、运维等技术要求。</w:t>
            </w:r>
          </w:p>
        </w:tc>
        <w:tc>
          <w:tcPr>
            <w:tcW w:w="1483" w:type="dxa"/>
            <w:tcBorders>
              <w:bottom w:val="single" w:color="000000" w:sz="8" w:space="0"/>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第三方检验报告及相关证明材料</w:t>
            </w:r>
          </w:p>
        </w:tc>
      </w:tr>
    </w:tbl>
    <w:p>
      <w:pPr>
        <w:numPr>
          <w:ilvl w:val="0"/>
          <w:numId w:val="17"/>
        </w:numPr>
        <w:spacing w:before="156" w:beforeLines="50" w:after="156" w:afterLines="50"/>
        <w:jc w:val="center"/>
        <w:rPr>
          <w:highlight w:val="none"/>
        </w:rPr>
      </w:pPr>
      <w:r>
        <w:rPr>
          <w:rFonts w:hint="eastAsia" w:eastAsia="黑体"/>
          <w:highlight w:val="none"/>
        </w:rPr>
        <w:t>综合</w:t>
      </w:r>
      <w:r>
        <w:rPr>
          <w:rFonts w:eastAsia="黑体"/>
          <w:highlight w:val="none"/>
        </w:rPr>
        <w:t>评价证明材料列表</w:t>
      </w:r>
    </w:p>
    <w:tbl>
      <w:tblPr>
        <w:tblStyle w:val="35"/>
        <w:tblW w:w="82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9"/>
        <w:gridCol w:w="1312"/>
        <w:gridCol w:w="1891"/>
        <w:gridCol w:w="4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tcBorders>
              <w:top w:val="single" w:color="000000" w:sz="8" w:space="0"/>
              <w:bottom w:val="single" w:color="000000" w:sz="8" w:space="0"/>
            </w:tcBorders>
            <w:noWrap w:val="0"/>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一级指标</w:t>
            </w:r>
          </w:p>
        </w:tc>
        <w:tc>
          <w:tcPr>
            <w:tcW w:w="1312" w:type="dxa"/>
            <w:tcBorders>
              <w:top w:val="single" w:color="000000" w:sz="8" w:space="0"/>
              <w:bottom w:val="single" w:color="000000" w:sz="8" w:space="0"/>
            </w:tcBorders>
            <w:noWrap w:val="0"/>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二级指标</w:t>
            </w:r>
          </w:p>
        </w:tc>
        <w:tc>
          <w:tcPr>
            <w:tcW w:w="1891" w:type="dxa"/>
            <w:tcBorders>
              <w:top w:val="single" w:color="000000" w:sz="8" w:space="0"/>
              <w:bottom w:val="single" w:color="000000" w:sz="8" w:space="0"/>
            </w:tcBorders>
            <w:noWrap w:val="0"/>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三级指标</w:t>
            </w:r>
          </w:p>
        </w:tc>
        <w:tc>
          <w:tcPr>
            <w:tcW w:w="4055" w:type="dxa"/>
            <w:tcBorders>
              <w:top w:val="single" w:color="000000" w:sz="8" w:space="0"/>
              <w:bottom w:val="single" w:color="000000" w:sz="8" w:space="0"/>
              <w:right w:val="single" w:color="000000" w:sz="8" w:space="0"/>
            </w:tcBorders>
            <w:noWrap w:val="0"/>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restart"/>
            <w:tcBorders>
              <w:top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技术表现</w:t>
            </w:r>
          </w:p>
        </w:tc>
        <w:tc>
          <w:tcPr>
            <w:tcW w:w="1312" w:type="dxa"/>
            <w:vMerge w:val="restart"/>
            <w:tcBorders>
              <w:top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先进性</w:t>
            </w:r>
          </w:p>
        </w:tc>
        <w:tc>
          <w:tcPr>
            <w:tcW w:w="1891" w:type="dxa"/>
            <w:tcBorders>
              <w:top w:val="single" w:color="000000" w:sz="8" w:space="0"/>
            </w:tcBorders>
            <w:noWrap w:val="0"/>
            <w:vAlign w:val="center"/>
          </w:tcPr>
          <w:p>
            <w:pPr>
              <w:autoSpaceDE w:val="0"/>
              <w:autoSpaceDN w:val="0"/>
              <w:jc w:val="center"/>
              <w:rPr>
                <w:rFonts w:ascii="宋体"/>
                <w:sz w:val="18"/>
                <w:szCs w:val="18"/>
                <w:highlight w:val="none"/>
              </w:rPr>
            </w:pPr>
            <w:r>
              <w:rPr>
                <w:rFonts w:ascii="宋体"/>
                <w:sz w:val="18"/>
                <w:szCs w:val="18"/>
                <w:highlight w:val="none"/>
              </w:rPr>
              <w:t>有效知识产权</w:t>
            </w:r>
          </w:p>
        </w:tc>
        <w:tc>
          <w:tcPr>
            <w:tcW w:w="4055" w:type="dxa"/>
            <w:tcBorders>
              <w:top w:val="single" w:color="000000" w:sz="8" w:space="0"/>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相关知识产权证明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312"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891" w:type="dxa"/>
            <w:noWrap w:val="0"/>
            <w:vAlign w:val="center"/>
          </w:tcPr>
          <w:p>
            <w:pPr>
              <w:autoSpaceDE w:val="0"/>
              <w:autoSpaceDN w:val="0"/>
              <w:jc w:val="center"/>
              <w:rPr>
                <w:rFonts w:ascii="宋体"/>
                <w:sz w:val="18"/>
                <w:szCs w:val="18"/>
                <w:highlight w:val="none"/>
              </w:rPr>
            </w:pPr>
            <w:r>
              <w:rPr>
                <w:rFonts w:ascii="宋体"/>
                <w:sz w:val="18"/>
                <w:szCs w:val="18"/>
                <w:highlight w:val="none"/>
              </w:rPr>
              <w:t>参与制修订标准</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相关</w:t>
            </w:r>
            <w:r>
              <w:rPr>
                <w:rFonts w:hint="eastAsia" w:ascii="宋体"/>
                <w:kern w:val="0"/>
                <w:sz w:val="18"/>
                <w:szCs w:val="18"/>
                <w:highlight w:val="none"/>
              </w:rPr>
              <w:t>标准材料</w:t>
            </w:r>
            <w:r>
              <w:rPr>
                <w:rFonts w:ascii="宋体"/>
                <w:kern w:val="0"/>
                <w:sz w:val="18"/>
                <w:szCs w:val="18"/>
                <w:highlight w:val="none"/>
              </w:rPr>
              <w:t>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312"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891" w:type="dxa"/>
            <w:noWrap w:val="0"/>
            <w:vAlign w:val="center"/>
          </w:tcPr>
          <w:p>
            <w:pPr>
              <w:autoSpaceDE w:val="0"/>
              <w:autoSpaceDN w:val="0"/>
              <w:jc w:val="center"/>
              <w:rPr>
                <w:rFonts w:ascii="宋体"/>
                <w:sz w:val="18"/>
                <w:szCs w:val="18"/>
                <w:highlight w:val="none"/>
              </w:rPr>
            </w:pPr>
            <w:r>
              <w:rPr>
                <w:rFonts w:hint="eastAsia" w:ascii="宋体"/>
                <w:sz w:val="18"/>
                <w:szCs w:val="18"/>
                <w:highlight w:val="none"/>
              </w:rPr>
              <w:t>关键技术先进性</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hint="eastAsia" w:ascii="宋体" w:eastAsia="宋体"/>
                <w:kern w:val="0"/>
                <w:sz w:val="18"/>
                <w:szCs w:val="18"/>
                <w:highlight w:val="none"/>
                <w:lang w:eastAsia="zh-CN"/>
              </w:rPr>
            </w:pPr>
            <w:r>
              <w:rPr>
                <w:rFonts w:hint="eastAsia" w:ascii="宋体"/>
                <w:kern w:val="0"/>
                <w:sz w:val="18"/>
                <w:szCs w:val="18"/>
                <w:highlight w:val="none"/>
              </w:rPr>
              <w:t>第三方检验报告、企业相关自证材料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312" w:type="dxa"/>
            <w:vMerge w:val="restart"/>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环境效益</w:t>
            </w:r>
          </w:p>
        </w:tc>
        <w:tc>
          <w:tcPr>
            <w:tcW w:w="1891" w:type="dxa"/>
            <w:noWrap w:val="0"/>
            <w:vAlign w:val="center"/>
          </w:tcPr>
          <w:p>
            <w:pPr>
              <w:autoSpaceDE w:val="0"/>
              <w:autoSpaceDN w:val="0"/>
              <w:jc w:val="center"/>
              <w:rPr>
                <w:rFonts w:hint="eastAsia" w:ascii="宋体" w:eastAsia="宋体"/>
                <w:sz w:val="18"/>
                <w:szCs w:val="18"/>
                <w:highlight w:val="none"/>
                <w:lang w:eastAsia="zh-CN"/>
              </w:rPr>
            </w:pPr>
            <w:r>
              <w:rPr>
                <w:rFonts w:hint="eastAsia" w:ascii="宋体"/>
                <w:sz w:val="18"/>
                <w:szCs w:val="18"/>
                <w:highlight w:val="none"/>
                <w:lang w:eastAsia="zh-CN"/>
              </w:rPr>
              <w:t>降碳效益</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312"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891" w:type="dxa"/>
            <w:noWrap w:val="0"/>
            <w:vAlign w:val="center"/>
          </w:tcPr>
          <w:p>
            <w:pPr>
              <w:autoSpaceDE w:val="0"/>
              <w:autoSpaceDN w:val="0"/>
              <w:jc w:val="center"/>
              <w:rPr>
                <w:rFonts w:hint="eastAsia" w:ascii="宋体" w:hAnsi="Times New Roman" w:eastAsia="宋体" w:cs="Times New Roman"/>
                <w:kern w:val="2"/>
                <w:sz w:val="18"/>
                <w:szCs w:val="18"/>
                <w:highlight w:val="none"/>
                <w:lang w:val="en-US" w:eastAsia="zh-CN" w:bidi="ar-SA"/>
              </w:rPr>
            </w:pPr>
            <w:r>
              <w:rPr>
                <w:rFonts w:ascii="宋体"/>
                <w:sz w:val="18"/>
                <w:szCs w:val="18"/>
                <w:highlight w:val="none"/>
              </w:rPr>
              <w:t>资源综合利用效益</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hAnsi="Times New Roman" w:eastAsia="宋体" w:cs="Times New Roman"/>
                <w:kern w:val="0"/>
                <w:sz w:val="18"/>
                <w:szCs w:val="18"/>
                <w:highlight w:val="none"/>
                <w:lang w:val="en-US" w:eastAsia="zh-CN" w:bidi="ar-SA"/>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jc w:val="center"/>
        </w:trPr>
        <w:tc>
          <w:tcPr>
            <w:tcW w:w="969" w:type="dxa"/>
            <w:vMerge w:val="restart"/>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业务表现</w:t>
            </w:r>
          </w:p>
        </w:tc>
        <w:tc>
          <w:tcPr>
            <w:tcW w:w="1312" w:type="dxa"/>
            <w:vMerge w:val="restart"/>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发展能力</w:t>
            </w:r>
          </w:p>
        </w:tc>
        <w:tc>
          <w:tcPr>
            <w:tcW w:w="1891" w:type="dxa"/>
            <w:noWrap w:val="0"/>
            <w:vAlign w:val="center"/>
          </w:tcPr>
          <w:p>
            <w:pPr>
              <w:autoSpaceDE w:val="0"/>
              <w:autoSpaceDN w:val="0"/>
              <w:jc w:val="center"/>
              <w:rPr>
                <w:rFonts w:ascii="宋体"/>
                <w:sz w:val="18"/>
                <w:szCs w:val="18"/>
                <w:highlight w:val="none"/>
              </w:rPr>
            </w:pPr>
            <w:r>
              <w:rPr>
                <w:rFonts w:ascii="宋体"/>
                <w:sz w:val="18"/>
                <w:szCs w:val="18"/>
                <w:highlight w:val="none"/>
              </w:rPr>
              <w:t>团队技术实力</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合同</w:t>
            </w:r>
            <w:r>
              <w:rPr>
                <w:rFonts w:hint="eastAsia" w:ascii="宋体"/>
                <w:kern w:val="0"/>
                <w:sz w:val="18"/>
                <w:szCs w:val="18"/>
                <w:highlight w:val="none"/>
                <w:lang w:eastAsia="zh-CN"/>
              </w:rPr>
              <w:t>、学历职称证书</w:t>
            </w:r>
            <w:r>
              <w:rPr>
                <w:rFonts w:ascii="宋体"/>
                <w:kern w:val="0"/>
                <w:sz w:val="18"/>
                <w:szCs w:val="18"/>
                <w:highlight w:val="none"/>
              </w:rPr>
              <w:t>及社保等相关材料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312"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891" w:type="dxa"/>
            <w:noWrap w:val="0"/>
            <w:vAlign w:val="center"/>
          </w:tcPr>
          <w:p>
            <w:pPr>
              <w:autoSpaceDE w:val="0"/>
              <w:autoSpaceDN w:val="0"/>
              <w:jc w:val="center"/>
              <w:rPr>
                <w:rFonts w:ascii="宋体"/>
                <w:sz w:val="18"/>
                <w:szCs w:val="18"/>
                <w:highlight w:val="none"/>
              </w:rPr>
            </w:pPr>
            <w:r>
              <w:rPr>
                <w:rFonts w:hint="eastAsia" w:ascii="宋体"/>
                <w:sz w:val="18"/>
                <w:szCs w:val="18"/>
                <w:highlight w:val="none"/>
              </w:rPr>
              <w:t>研发投入</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312"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891" w:type="dxa"/>
            <w:noWrap w:val="0"/>
            <w:vAlign w:val="center"/>
          </w:tcPr>
          <w:p>
            <w:pPr>
              <w:autoSpaceDE w:val="0"/>
              <w:autoSpaceDN w:val="0"/>
              <w:jc w:val="center"/>
              <w:rPr>
                <w:rFonts w:hint="eastAsia" w:ascii="宋体" w:eastAsia="宋体"/>
                <w:sz w:val="18"/>
                <w:szCs w:val="18"/>
                <w:highlight w:val="none"/>
                <w:lang w:eastAsia="zh-CN"/>
              </w:rPr>
            </w:pPr>
            <w:r>
              <w:rPr>
                <w:rFonts w:hint="eastAsia" w:ascii="宋体"/>
                <w:sz w:val="18"/>
                <w:szCs w:val="18"/>
                <w:highlight w:val="none"/>
                <w:lang w:eastAsia="zh-CN"/>
              </w:rPr>
              <w:t>业务增长率</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312"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891" w:type="dxa"/>
            <w:noWrap w:val="0"/>
            <w:vAlign w:val="center"/>
          </w:tcPr>
          <w:p>
            <w:pPr>
              <w:autoSpaceDE w:val="0"/>
              <w:autoSpaceDN w:val="0"/>
              <w:jc w:val="center"/>
              <w:rPr>
                <w:rFonts w:hint="default" w:ascii="宋体"/>
                <w:sz w:val="18"/>
                <w:szCs w:val="18"/>
                <w:highlight w:val="none"/>
                <w:lang w:val="en-US" w:eastAsia="zh-CN"/>
              </w:rPr>
            </w:pPr>
            <w:r>
              <w:rPr>
                <w:rFonts w:hint="eastAsia" w:ascii="宋体"/>
                <w:sz w:val="18"/>
                <w:szCs w:val="18"/>
                <w:highlight w:val="none"/>
                <w:lang w:val="en-US" w:eastAsia="zh-CN"/>
              </w:rPr>
              <w:t>资产负债率</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312"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891" w:type="dxa"/>
            <w:noWrap w:val="0"/>
            <w:vAlign w:val="center"/>
          </w:tcPr>
          <w:p>
            <w:pPr>
              <w:autoSpaceDE w:val="0"/>
              <w:autoSpaceDN w:val="0"/>
              <w:jc w:val="center"/>
              <w:rPr>
                <w:rFonts w:hint="default" w:ascii="宋体"/>
                <w:sz w:val="18"/>
                <w:szCs w:val="18"/>
                <w:highlight w:val="none"/>
                <w:lang w:val="en-US" w:eastAsia="zh-CN"/>
              </w:rPr>
            </w:pPr>
            <w:r>
              <w:rPr>
                <w:rFonts w:hint="eastAsia" w:ascii="宋体"/>
                <w:sz w:val="18"/>
                <w:szCs w:val="18"/>
                <w:highlight w:val="none"/>
                <w:lang w:val="en-US" w:eastAsia="zh-CN"/>
              </w:rPr>
              <w:t>净利润率</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312" w:type="dxa"/>
            <w:vMerge w:val="restart"/>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市场影响</w:t>
            </w:r>
          </w:p>
        </w:tc>
        <w:tc>
          <w:tcPr>
            <w:tcW w:w="1891" w:type="dxa"/>
            <w:noWrap w:val="0"/>
            <w:vAlign w:val="center"/>
          </w:tcPr>
          <w:p>
            <w:pPr>
              <w:autoSpaceDE w:val="0"/>
              <w:autoSpaceDN w:val="0"/>
              <w:jc w:val="center"/>
              <w:rPr>
                <w:rFonts w:ascii="宋体"/>
                <w:sz w:val="18"/>
                <w:szCs w:val="18"/>
                <w:highlight w:val="none"/>
              </w:rPr>
            </w:pPr>
            <w:r>
              <w:rPr>
                <w:rFonts w:ascii="宋体"/>
                <w:sz w:val="18"/>
                <w:szCs w:val="18"/>
                <w:highlight w:val="none"/>
              </w:rPr>
              <w:t>市场竞争力</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312"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891" w:type="dxa"/>
            <w:noWrap w:val="0"/>
            <w:vAlign w:val="center"/>
          </w:tcPr>
          <w:p>
            <w:pPr>
              <w:autoSpaceDE w:val="0"/>
              <w:autoSpaceDN w:val="0"/>
              <w:jc w:val="center"/>
              <w:rPr>
                <w:rFonts w:ascii="宋体"/>
                <w:sz w:val="18"/>
                <w:szCs w:val="18"/>
                <w:highlight w:val="none"/>
              </w:rPr>
            </w:pPr>
            <w:r>
              <w:rPr>
                <w:rFonts w:ascii="宋体"/>
                <w:sz w:val="18"/>
                <w:szCs w:val="18"/>
                <w:highlight w:val="none"/>
              </w:rPr>
              <w:t>产业影响力</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312"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891" w:type="dxa"/>
            <w:noWrap w:val="0"/>
            <w:vAlign w:val="center"/>
          </w:tcPr>
          <w:p>
            <w:pPr>
              <w:autoSpaceDE w:val="0"/>
              <w:autoSpaceDN w:val="0"/>
              <w:jc w:val="center"/>
              <w:rPr>
                <w:rFonts w:ascii="宋体"/>
                <w:sz w:val="18"/>
                <w:szCs w:val="18"/>
                <w:highlight w:val="none"/>
              </w:rPr>
            </w:pPr>
            <w:r>
              <w:rPr>
                <w:rFonts w:ascii="宋体"/>
                <w:sz w:val="18"/>
                <w:szCs w:val="18"/>
                <w:highlight w:val="none"/>
              </w:rPr>
              <w:t>行业资质荣誉</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rPr>
              <w:t>相关</w:t>
            </w:r>
            <w:r>
              <w:rPr>
                <w:rFonts w:hint="eastAsia" w:ascii="宋体"/>
                <w:kern w:val="0"/>
                <w:sz w:val="18"/>
                <w:szCs w:val="18"/>
                <w:highlight w:val="none"/>
                <w:lang w:eastAsia="zh-CN"/>
              </w:rPr>
              <w:t>机构颁发的</w:t>
            </w:r>
            <w:r>
              <w:rPr>
                <w:rFonts w:hint="eastAsia" w:ascii="宋体"/>
                <w:kern w:val="0"/>
                <w:sz w:val="18"/>
                <w:szCs w:val="18"/>
                <w:highlight w:val="none"/>
              </w:rPr>
              <w:t>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restart"/>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环境表现</w:t>
            </w:r>
          </w:p>
        </w:tc>
        <w:tc>
          <w:tcPr>
            <w:tcW w:w="3203" w:type="dxa"/>
            <w:gridSpan w:val="2"/>
            <w:noWrap w:val="0"/>
            <w:vAlign w:val="center"/>
          </w:tcPr>
          <w:p>
            <w:pPr>
              <w:autoSpaceDE w:val="0"/>
              <w:autoSpaceDN w:val="0"/>
              <w:jc w:val="center"/>
              <w:rPr>
                <w:rFonts w:ascii="宋体"/>
                <w:kern w:val="0"/>
                <w:sz w:val="18"/>
                <w:szCs w:val="18"/>
                <w:highlight w:val="none"/>
              </w:rPr>
            </w:pPr>
            <w:r>
              <w:rPr>
                <w:rFonts w:hint="eastAsia" w:ascii="宋体"/>
                <w:kern w:val="0"/>
                <w:sz w:val="18"/>
                <w:szCs w:val="18"/>
                <w:highlight w:val="none"/>
                <w:lang w:val="en-US" w:eastAsia="zh-CN"/>
              </w:rPr>
              <w:t>工艺</w:t>
            </w:r>
            <w:r>
              <w:rPr>
                <w:rFonts w:ascii="宋体"/>
                <w:kern w:val="0"/>
                <w:sz w:val="18"/>
                <w:szCs w:val="18"/>
                <w:highlight w:val="none"/>
              </w:rPr>
              <w:t>设备材料</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312" w:type="dxa"/>
            <w:vMerge w:val="restart"/>
            <w:noWrap w:val="0"/>
            <w:vAlign w:val="center"/>
          </w:tcPr>
          <w:p>
            <w:pPr>
              <w:autoSpaceDE w:val="0"/>
              <w:autoSpaceDN w:val="0"/>
              <w:jc w:val="center"/>
              <w:rPr>
                <w:rFonts w:hint="eastAsia" w:ascii="宋体" w:eastAsia="宋体"/>
                <w:kern w:val="0"/>
                <w:sz w:val="18"/>
                <w:szCs w:val="18"/>
                <w:highlight w:val="none"/>
                <w:lang w:eastAsia="zh-CN"/>
              </w:rPr>
            </w:pPr>
            <w:r>
              <w:rPr>
                <w:rFonts w:ascii="宋体"/>
                <w:kern w:val="0"/>
                <w:sz w:val="18"/>
                <w:szCs w:val="18"/>
                <w:highlight w:val="none"/>
              </w:rPr>
              <w:t>能源资源利用</w:t>
            </w:r>
          </w:p>
        </w:tc>
        <w:tc>
          <w:tcPr>
            <w:tcW w:w="1891" w:type="dxa"/>
            <w:noWrap w:val="0"/>
            <w:vAlign w:val="center"/>
          </w:tcPr>
          <w:p>
            <w:pPr>
              <w:autoSpaceDE w:val="0"/>
              <w:autoSpaceDN w:val="0"/>
              <w:jc w:val="center"/>
              <w:rPr>
                <w:rFonts w:hint="eastAsia" w:ascii="宋体" w:eastAsia="宋体"/>
                <w:kern w:val="0"/>
                <w:sz w:val="18"/>
                <w:szCs w:val="18"/>
                <w:highlight w:val="none"/>
                <w:lang w:val="en-US" w:eastAsia="zh-CN"/>
              </w:rPr>
            </w:pPr>
            <w:r>
              <w:rPr>
                <w:rFonts w:hint="eastAsia" w:ascii="宋体"/>
                <w:kern w:val="0"/>
                <w:sz w:val="18"/>
                <w:szCs w:val="18"/>
                <w:highlight w:val="none"/>
              </w:rPr>
              <w:t>可再生能源占比</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312" w:type="dxa"/>
            <w:vMerge w:val="continue"/>
            <w:noWrap w:val="0"/>
            <w:vAlign w:val="center"/>
          </w:tcPr>
          <w:p>
            <w:pPr>
              <w:autoSpaceDE w:val="0"/>
              <w:autoSpaceDN w:val="0"/>
              <w:jc w:val="center"/>
              <w:rPr>
                <w:rFonts w:ascii="宋体"/>
                <w:kern w:val="0"/>
                <w:sz w:val="18"/>
                <w:szCs w:val="18"/>
                <w:highlight w:val="none"/>
              </w:rPr>
            </w:pPr>
          </w:p>
        </w:tc>
        <w:tc>
          <w:tcPr>
            <w:tcW w:w="1891" w:type="dxa"/>
            <w:noWrap w:val="0"/>
            <w:vAlign w:val="center"/>
          </w:tcPr>
          <w:p>
            <w:pPr>
              <w:autoSpaceDE w:val="0"/>
              <w:autoSpaceDN w:val="0"/>
              <w:jc w:val="center"/>
              <w:rPr>
                <w:rFonts w:hint="eastAsia" w:ascii="宋体"/>
                <w:kern w:val="0"/>
                <w:sz w:val="18"/>
                <w:szCs w:val="18"/>
                <w:highlight w:val="none"/>
                <w:lang w:val="en-US" w:eastAsia="zh-CN"/>
              </w:rPr>
            </w:pPr>
            <w:r>
              <w:rPr>
                <w:rFonts w:hint="eastAsia" w:ascii="宋体"/>
                <w:kern w:val="0"/>
                <w:sz w:val="18"/>
                <w:szCs w:val="18"/>
                <w:highlight w:val="none"/>
              </w:rPr>
              <w:t>非常规水资源利用率</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rPr>
              <w:t>第三方检测/企业相关自证材料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312" w:type="dxa"/>
            <w:vMerge w:val="continue"/>
            <w:noWrap w:val="0"/>
            <w:vAlign w:val="center"/>
          </w:tcPr>
          <w:p>
            <w:pPr>
              <w:autoSpaceDE w:val="0"/>
              <w:autoSpaceDN w:val="0"/>
              <w:jc w:val="center"/>
              <w:rPr>
                <w:rFonts w:ascii="宋体"/>
                <w:kern w:val="0"/>
                <w:sz w:val="18"/>
                <w:szCs w:val="18"/>
                <w:highlight w:val="none"/>
              </w:rPr>
            </w:pPr>
          </w:p>
        </w:tc>
        <w:tc>
          <w:tcPr>
            <w:tcW w:w="1891" w:type="dxa"/>
            <w:noWrap w:val="0"/>
            <w:vAlign w:val="center"/>
          </w:tcPr>
          <w:p>
            <w:pPr>
              <w:autoSpaceDE w:val="0"/>
              <w:autoSpaceDN w:val="0"/>
              <w:jc w:val="center"/>
              <w:rPr>
                <w:rFonts w:hint="default" w:ascii="宋体"/>
                <w:kern w:val="0"/>
                <w:sz w:val="18"/>
                <w:szCs w:val="18"/>
                <w:highlight w:val="none"/>
                <w:lang w:val="en-US"/>
              </w:rPr>
            </w:pPr>
            <w:r>
              <w:rPr>
                <w:rFonts w:hint="eastAsia" w:ascii="宋体"/>
                <w:kern w:val="0"/>
                <w:sz w:val="18"/>
                <w:szCs w:val="18"/>
                <w:highlight w:val="none"/>
                <w:lang w:eastAsia="zh-CN"/>
              </w:rPr>
              <w:t>废弃物综合利用率</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3203" w:type="dxa"/>
            <w:gridSpan w:val="2"/>
            <w:noWrap w:val="0"/>
            <w:vAlign w:val="center"/>
          </w:tcPr>
          <w:p>
            <w:pPr>
              <w:autoSpaceDE w:val="0"/>
              <w:autoSpaceDN w:val="0"/>
              <w:jc w:val="center"/>
              <w:rPr>
                <w:rFonts w:hint="eastAsia" w:ascii="宋体"/>
                <w:kern w:val="0"/>
                <w:sz w:val="18"/>
                <w:szCs w:val="18"/>
                <w:highlight w:val="none"/>
              </w:rPr>
            </w:pPr>
            <w:r>
              <w:rPr>
                <w:rFonts w:hint="eastAsia" w:ascii="宋体"/>
                <w:kern w:val="0"/>
                <w:sz w:val="18"/>
                <w:szCs w:val="18"/>
                <w:highlight w:val="none"/>
                <w:lang w:val="en-US" w:eastAsia="zh-CN"/>
              </w:rPr>
              <w:t>污染物排放水平</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lang w:val="en-US" w:eastAsia="zh-CN"/>
              </w:rPr>
              <w:t>全国污染源监测数据管理与共享系统平台的自行监测数据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3203" w:type="dxa"/>
            <w:gridSpan w:val="2"/>
            <w:noWrap w:val="0"/>
            <w:vAlign w:val="center"/>
          </w:tcPr>
          <w:p>
            <w:pPr>
              <w:autoSpaceDE w:val="0"/>
              <w:autoSpaceDN w:val="0"/>
              <w:jc w:val="center"/>
              <w:rPr>
                <w:rFonts w:hint="eastAsia" w:ascii="宋体"/>
                <w:kern w:val="0"/>
                <w:sz w:val="18"/>
                <w:szCs w:val="18"/>
                <w:highlight w:val="none"/>
                <w:lang w:val="en-US" w:eastAsia="zh-CN"/>
              </w:rPr>
            </w:pPr>
            <w:r>
              <w:rPr>
                <w:rFonts w:hint="eastAsia" w:ascii="宋体"/>
                <w:kern w:val="0"/>
                <w:sz w:val="18"/>
                <w:szCs w:val="18"/>
                <w:highlight w:val="none"/>
                <w:lang w:val="en-US" w:eastAsia="zh-CN"/>
              </w:rPr>
              <w:t>温室气体排放水平</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第三方检测</w:t>
            </w:r>
            <w:r>
              <w:rPr>
                <w:rFonts w:hint="eastAsia" w:ascii="宋体"/>
                <w:kern w:val="0"/>
                <w:sz w:val="18"/>
                <w:szCs w:val="18"/>
                <w:highlight w:val="none"/>
              </w:rPr>
              <w:t>/核查</w:t>
            </w:r>
            <w:r>
              <w:rPr>
                <w:rFonts w:ascii="宋体"/>
                <w:kern w:val="0"/>
                <w:sz w:val="18"/>
                <w:szCs w:val="18"/>
                <w:highlight w:val="none"/>
              </w:rPr>
              <w:t>机构相关报告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restart"/>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社会表现</w:t>
            </w:r>
          </w:p>
        </w:tc>
        <w:tc>
          <w:tcPr>
            <w:tcW w:w="3203" w:type="dxa"/>
            <w:gridSpan w:val="2"/>
            <w:noWrap w:val="0"/>
            <w:vAlign w:val="center"/>
          </w:tcPr>
          <w:p>
            <w:pPr>
              <w:widowControl/>
              <w:autoSpaceDE w:val="0"/>
              <w:autoSpaceDN w:val="0"/>
              <w:jc w:val="center"/>
              <w:rPr>
                <w:rFonts w:ascii="宋体"/>
                <w:sz w:val="18"/>
                <w:szCs w:val="18"/>
                <w:highlight w:val="none"/>
              </w:rPr>
            </w:pPr>
            <w:r>
              <w:rPr>
                <w:rFonts w:hint="eastAsia" w:ascii="宋体"/>
                <w:kern w:val="0"/>
                <w:sz w:val="18"/>
                <w:szCs w:val="18"/>
                <w:highlight w:val="none"/>
              </w:rPr>
              <w:t>内部行动</w:t>
            </w:r>
          </w:p>
        </w:tc>
        <w:tc>
          <w:tcPr>
            <w:tcW w:w="4055" w:type="dxa"/>
            <w:tcBorders>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9" w:type="dxa"/>
            <w:vMerge w:val="continue"/>
            <w:tcBorders>
              <w:bottom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3203" w:type="dxa"/>
            <w:gridSpan w:val="2"/>
            <w:tcBorders>
              <w:bottom w:val="single" w:color="000000" w:sz="8" w:space="0"/>
            </w:tcBorders>
            <w:noWrap w:val="0"/>
            <w:vAlign w:val="center"/>
          </w:tcPr>
          <w:p>
            <w:pPr>
              <w:autoSpaceDE w:val="0"/>
              <w:autoSpaceDN w:val="0"/>
              <w:jc w:val="center"/>
              <w:rPr>
                <w:rFonts w:ascii="宋体"/>
                <w:sz w:val="18"/>
                <w:szCs w:val="18"/>
                <w:highlight w:val="none"/>
              </w:rPr>
            </w:pPr>
            <w:r>
              <w:rPr>
                <w:rFonts w:ascii="宋体"/>
                <w:kern w:val="0"/>
                <w:sz w:val="18"/>
                <w:szCs w:val="18"/>
                <w:highlight w:val="none"/>
              </w:rPr>
              <w:t>社会责任</w:t>
            </w:r>
          </w:p>
        </w:tc>
        <w:tc>
          <w:tcPr>
            <w:tcW w:w="4055" w:type="dxa"/>
            <w:tcBorders>
              <w:bottom w:val="single" w:color="000000" w:sz="8" w:space="0"/>
              <w:right w:val="single" w:color="000000" w:sz="8" w:space="0"/>
            </w:tcBorders>
            <w:noWrap w:val="0"/>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bl>
    <w:p>
      <w:pPr>
        <w:pStyle w:val="50"/>
        <w:outlineLvl w:val="1"/>
        <w:rPr>
          <w:rFonts w:ascii="Times New Roman"/>
          <w:highlight w:val="none"/>
        </w:rPr>
      </w:pPr>
      <w:bookmarkStart w:id="124" w:name="_Toc14748"/>
      <w:bookmarkStart w:id="125" w:name="_Toc23498"/>
      <w:bookmarkStart w:id="126" w:name="_Toc22958"/>
      <w:bookmarkStart w:id="127" w:name="_Toc23125"/>
      <w:bookmarkStart w:id="128" w:name="_Toc118282048"/>
      <w:bookmarkStart w:id="129" w:name="_Toc118281024"/>
      <w:r>
        <w:rPr>
          <w:rFonts w:hint="eastAsia" w:ascii="Times New Roman"/>
          <w:highlight w:val="none"/>
        </w:rPr>
        <w:t>认定评价</w:t>
      </w:r>
      <w:bookmarkEnd w:id="124"/>
      <w:bookmarkEnd w:id="125"/>
      <w:bookmarkEnd w:id="126"/>
      <w:bookmarkEnd w:id="127"/>
      <w:bookmarkEnd w:id="128"/>
      <w:bookmarkEnd w:id="129"/>
    </w:p>
    <w:p>
      <w:pPr>
        <w:pStyle w:val="54"/>
        <w:spacing w:before="156" w:after="156"/>
        <w:rPr>
          <w:rFonts w:ascii="Times New Roman"/>
          <w:highlight w:val="none"/>
        </w:rPr>
      </w:pPr>
      <w:r>
        <w:rPr>
          <w:rFonts w:ascii="Times New Roman"/>
          <w:highlight w:val="none"/>
        </w:rPr>
        <w:t>评价方式</w:t>
      </w:r>
    </w:p>
    <w:p>
      <w:pPr>
        <w:pStyle w:val="24"/>
        <w:rPr>
          <w:rFonts w:ascii="Times New Roman"/>
          <w:highlight w:val="none"/>
        </w:rPr>
      </w:pPr>
      <w:r>
        <w:rPr>
          <w:rFonts w:ascii="Times New Roman"/>
          <w:highlight w:val="none"/>
        </w:rPr>
        <w:t>对照本文件及</w:t>
      </w:r>
      <w:r>
        <w:rPr>
          <w:rFonts w:hint="eastAsia" w:ascii="Times New Roman"/>
          <w:highlight w:val="none"/>
        </w:rPr>
        <w:t>《深圳市绿色低碳产业认定评价导则》</w:t>
      </w:r>
      <w:r>
        <w:rPr>
          <w:rFonts w:ascii="Times New Roman"/>
          <w:highlight w:val="none"/>
        </w:rPr>
        <w:t>规定的绿色</w:t>
      </w:r>
      <w:r>
        <w:rPr>
          <w:rFonts w:hint="eastAsia"/>
          <w:highlight w:val="none"/>
          <w:lang w:val="en-US" w:eastAsia="zh-CN"/>
        </w:rPr>
        <w:t>低碳</w:t>
      </w:r>
      <w:r>
        <w:rPr>
          <w:rFonts w:ascii="Times New Roman"/>
          <w:highlight w:val="none"/>
        </w:rPr>
        <w:t>产业认定评价指标体系要求</w:t>
      </w:r>
      <w:r>
        <w:rPr>
          <w:rFonts w:hint="eastAsia" w:ascii="Times New Roman"/>
          <w:highlight w:val="none"/>
        </w:rPr>
        <w:t>，</w:t>
      </w:r>
      <w:r>
        <w:rPr>
          <w:rFonts w:ascii="Times New Roman"/>
          <w:highlight w:val="none"/>
        </w:rPr>
        <w:t>查看收集的报告文件、统计报表、原始记录</w:t>
      </w:r>
      <w:r>
        <w:rPr>
          <w:rFonts w:hint="eastAsia" w:ascii="Times New Roman"/>
          <w:highlight w:val="none"/>
        </w:rPr>
        <w:t>。</w:t>
      </w:r>
      <w:r>
        <w:rPr>
          <w:rFonts w:ascii="Times New Roman"/>
          <w:highlight w:val="none"/>
        </w:rPr>
        <w:t>根据实际情况，采用实地调查、抽样调查、人员座谈等方式</w:t>
      </w:r>
      <w:r>
        <w:rPr>
          <w:rFonts w:hint="eastAsia" w:ascii="Times New Roman"/>
          <w:highlight w:val="none"/>
        </w:rPr>
        <w:t>补充</w:t>
      </w:r>
      <w:r>
        <w:rPr>
          <w:rFonts w:ascii="Times New Roman"/>
          <w:highlight w:val="none"/>
        </w:rPr>
        <w:t>验证评价证据，确保证据的完整性和准确性。</w:t>
      </w:r>
    </w:p>
    <w:p>
      <w:pPr>
        <w:pStyle w:val="54"/>
        <w:spacing w:before="156" w:after="156"/>
        <w:rPr>
          <w:rFonts w:ascii="Times New Roman"/>
          <w:highlight w:val="none"/>
        </w:rPr>
      </w:pPr>
      <w:r>
        <w:rPr>
          <w:rFonts w:ascii="Times New Roman"/>
          <w:highlight w:val="none"/>
        </w:rPr>
        <w:t>评价</w:t>
      </w:r>
      <w:r>
        <w:rPr>
          <w:rFonts w:hint="eastAsia" w:ascii="Times New Roman"/>
          <w:highlight w:val="none"/>
        </w:rPr>
        <w:t>打分</w:t>
      </w:r>
    </w:p>
    <w:p>
      <w:pPr>
        <w:pStyle w:val="59"/>
        <w:numPr>
          <w:ilvl w:val="3"/>
          <w:numId w:val="2"/>
        </w:numPr>
        <w:spacing w:before="156" w:after="156"/>
        <w:rPr>
          <w:rFonts w:hint="default" w:ascii="黑体" w:eastAsia="黑体"/>
          <w:highlight w:val="none"/>
          <w:lang w:val="en-US" w:eastAsia="zh-CN"/>
        </w:rPr>
      </w:pPr>
      <w:r>
        <w:rPr>
          <w:rFonts w:hint="eastAsia" w:ascii="黑体" w:eastAsia="黑体"/>
          <w:highlight w:val="none"/>
          <w:lang w:val="en-US" w:eastAsia="zh-CN"/>
        </w:rPr>
        <w:t>企业认定</w:t>
      </w:r>
    </w:p>
    <w:p>
      <w:pPr>
        <w:pStyle w:val="24"/>
        <w:rPr>
          <w:rFonts w:hAnsi="宋体" w:cs="宋体"/>
        </w:rPr>
      </w:pPr>
      <w:r>
        <w:rPr>
          <w:rFonts w:hint="eastAsia" w:hAnsi="宋体" w:cs="宋体"/>
        </w:rPr>
        <w:t>绿色</w:t>
      </w:r>
      <w:r>
        <w:rPr>
          <w:rFonts w:hint="eastAsia" w:hAnsi="宋体" w:cs="宋体"/>
          <w:lang w:val="en-US" w:eastAsia="zh-CN"/>
        </w:rPr>
        <w:t>低碳</w:t>
      </w:r>
      <w:r>
        <w:rPr>
          <w:rFonts w:hint="eastAsia" w:hAnsi="宋体" w:cs="宋体"/>
        </w:rPr>
        <w:t>产业</w:t>
      </w:r>
      <w:r>
        <w:rPr>
          <w:rFonts w:hint="eastAsia" w:hAnsi="宋体" w:cs="宋体"/>
          <w:lang w:val="en-US" w:eastAsia="zh-CN"/>
        </w:rPr>
        <w:t>企业</w:t>
      </w:r>
      <w:r>
        <w:rPr>
          <w:rFonts w:hint="eastAsia" w:hAnsi="宋体" w:cs="宋体"/>
        </w:rPr>
        <w:t>认定评价综合值为各项指标得分的累计叠加值，满分为100分，计算公式如下：</w:t>
      </w:r>
    </w:p>
    <w:p>
      <w:pPr>
        <w:pStyle w:val="24"/>
        <w:rPr>
          <w:rFonts w:hAnsi="宋体" w:cs="宋体"/>
        </w:rPr>
      </w:pPr>
      <m:oMathPara>
        <m:oMath>
          <m:r>
            <m:rPr/>
            <w:rPr>
              <w:rFonts w:ascii="Cambria Math" w:hAnsi="Cambria Math" w:cs="宋体"/>
            </w:rPr>
            <m:t>S=</m:t>
          </m:r>
          <m:nary>
            <m:naryPr>
              <m:chr m:val="∑"/>
              <m:limLoc m:val="undOvr"/>
              <m:ctrlPr>
                <w:rPr>
                  <w:rFonts w:hint="eastAsia" w:ascii="Cambria Math" w:hAnsi="Cambria Math" w:cs="宋体"/>
                  <w:i/>
                  <w:iCs/>
                </w:rPr>
              </m:ctrlPr>
            </m:naryPr>
            <m:sub>
              <m:r>
                <m:rPr/>
                <w:rPr>
                  <w:rFonts w:ascii="Cambria Math" w:hAnsi="Cambria Math" w:cs="宋体"/>
                </w:rPr>
                <m:t>i=1</m:t>
              </m:r>
              <m:ctrlPr>
                <w:rPr>
                  <w:rFonts w:hint="eastAsia" w:ascii="Cambria Math" w:hAnsi="Cambria Math" w:cs="宋体"/>
                  <w:i/>
                  <w:iCs/>
                </w:rPr>
              </m:ctrlPr>
            </m:sub>
            <m:sup>
              <m:r>
                <m:rPr/>
                <w:rPr>
                  <w:rFonts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w:rPr>
                      <w:rFonts w:ascii="Cambria Math" w:hAnsi="Cambria Math" w:cs="宋体"/>
                    </w:rPr>
                    <m:t>X</m:t>
                  </m:r>
                  <m:ctrlPr>
                    <w:rPr>
                      <w:rFonts w:hint="eastAsia" w:ascii="Cambria Math" w:hAnsi="Cambria Math" w:cs="宋体"/>
                      <w:i/>
                      <w:iCs/>
                    </w:rPr>
                  </m:ctrlPr>
                </m:e>
                <m:sub>
                  <m:r>
                    <m:rPr/>
                    <w:rPr>
                      <w:rFonts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24"/>
        <w:rPr>
          <w:rFonts w:hAnsi="宋体" w:cs="宋体"/>
        </w:rPr>
      </w:pPr>
      <w:r>
        <w:rPr>
          <w:rFonts w:hint="eastAsia" w:hAnsi="宋体" w:cs="宋体"/>
        </w:rPr>
        <w:t>式中：</w:t>
      </w:r>
    </w:p>
    <w:p>
      <w:pPr>
        <w:pStyle w:val="24"/>
        <w:rPr>
          <w:rFonts w:hAnsi="宋体" w:cs="宋体"/>
        </w:rPr>
      </w:pPr>
      <m:oMath>
        <m:r>
          <m:rPr/>
          <w:rPr>
            <w:rFonts w:hint="eastAsia" w:ascii="Cambria Math" w:hAnsi="Cambria Math" w:cs="宋体"/>
          </w:rPr>
          <m:t>S</m:t>
        </m:r>
      </m:oMath>
      <w:r>
        <w:rPr>
          <w:rFonts w:hint="eastAsia" w:hAnsi="宋体" w:cs="宋体"/>
        </w:rPr>
        <w:t>——绿色</w:t>
      </w:r>
      <w:r>
        <w:rPr>
          <w:rFonts w:hint="eastAsia" w:hAnsi="宋体" w:cs="宋体"/>
          <w:lang w:val="en-US" w:eastAsia="zh-CN"/>
        </w:rPr>
        <w:t>低碳</w:t>
      </w:r>
      <w:r>
        <w:rPr>
          <w:rFonts w:hint="eastAsia" w:hAnsi="宋体" w:cs="宋体"/>
        </w:rPr>
        <w:t>产业</w:t>
      </w:r>
      <w:r>
        <w:rPr>
          <w:rFonts w:hint="eastAsia" w:hAnsi="宋体" w:cs="宋体"/>
          <w:lang w:val="en-US" w:eastAsia="zh-CN"/>
        </w:rPr>
        <w:t>企业</w:t>
      </w:r>
      <w:r>
        <w:rPr>
          <w:rFonts w:hint="eastAsia" w:hAnsi="宋体" w:cs="宋体"/>
        </w:rPr>
        <w:t>认定评价综合值；</w:t>
      </w:r>
    </w:p>
    <w:p>
      <w:pPr>
        <w:pStyle w:val="24"/>
        <w:rPr>
          <w:rFonts w:hint="eastAsia" w:hAnsi="宋体" w:cs="宋体"/>
        </w:rPr>
      </w:pPr>
      <m:oMath>
        <m:sSub>
          <m:sSubPr>
            <m:ctrlPr>
              <w:rPr>
                <w:rFonts w:hint="eastAsia" w:ascii="Cambria Math" w:hAnsi="Cambria Math" w:cs="宋体"/>
                <w:i/>
                <w:iCs/>
              </w:rPr>
            </m:ctrlPr>
          </m:sSubPr>
          <m:e>
            <m:r>
              <m:rPr/>
              <w:rPr>
                <w:rFonts w:hint="eastAsia" w:ascii="Cambria Math" w:hAnsi="Cambria Math" w:cs="宋体"/>
              </w:rPr>
              <m:t>X</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oMath>
      <w:r>
        <w:rPr>
          <w:rFonts w:hint="eastAsia" w:hAnsi="宋体" w:cs="宋体"/>
        </w:rPr>
        <w:t>——各综合评价指标得分值。</w:t>
      </w:r>
    </w:p>
    <w:p>
      <w:pPr>
        <w:pStyle w:val="24"/>
        <w:rPr>
          <w:rFonts w:hAnsi="宋体" w:cs="宋体"/>
        </w:rPr>
      </w:pPr>
      <w:r>
        <w:rPr>
          <w:rFonts w:hint="eastAsia" w:hAnsi="宋体" w:cs="宋体"/>
          <w:lang w:val="en-US" w:eastAsia="zh-CN"/>
        </w:rPr>
        <w:t>若综合评价指标的部分指标不适用于某行业，经专家评估审定后可不参评该指标，其</w:t>
      </w:r>
      <w:r>
        <w:rPr>
          <w:rFonts w:hint="eastAsia" w:hAnsi="宋体" w:cs="宋体"/>
        </w:rPr>
        <w:t>综合值折算方法为：综合值=参评项得分值/参评项总分值×100%。</w:t>
      </w:r>
    </w:p>
    <w:p>
      <w:pPr>
        <w:pStyle w:val="59"/>
        <w:numPr>
          <w:ilvl w:val="3"/>
          <w:numId w:val="2"/>
        </w:numPr>
        <w:spacing w:before="156" w:after="156"/>
        <w:rPr>
          <w:rFonts w:hint="eastAsia" w:ascii="黑体" w:eastAsia="黑体"/>
          <w:highlight w:val="none"/>
          <w:lang w:val="en-US" w:eastAsia="zh-CN"/>
        </w:rPr>
      </w:pPr>
      <w:r>
        <w:rPr>
          <w:rFonts w:hint="eastAsia" w:ascii="黑体" w:eastAsia="黑体"/>
          <w:highlight w:val="none"/>
          <w:lang w:val="en-US" w:eastAsia="zh-CN"/>
        </w:rPr>
        <w:t>项目认定</w:t>
      </w:r>
    </w:p>
    <w:p>
      <w:pPr>
        <w:pStyle w:val="24"/>
        <w:rPr>
          <w:rFonts w:hAnsi="宋体" w:cs="宋体"/>
          <w:highlight w:val="none"/>
        </w:rPr>
      </w:pPr>
      <w:r>
        <w:rPr>
          <w:rFonts w:hint="eastAsia" w:hAnsi="宋体" w:cs="宋体"/>
          <w:highlight w:val="none"/>
        </w:rPr>
        <w:t>绿色</w:t>
      </w:r>
      <w:r>
        <w:rPr>
          <w:rFonts w:hint="eastAsia" w:hAnsi="宋体" w:cs="宋体"/>
          <w:highlight w:val="none"/>
          <w:lang w:val="en-US" w:eastAsia="zh-CN"/>
        </w:rPr>
        <w:t>低碳</w:t>
      </w:r>
      <w:r>
        <w:rPr>
          <w:rFonts w:hint="eastAsia" w:hAnsi="宋体" w:cs="宋体"/>
          <w:highlight w:val="none"/>
        </w:rPr>
        <w:t>产业</w:t>
      </w:r>
      <w:r>
        <w:rPr>
          <w:rFonts w:hint="eastAsia" w:hAnsi="宋体" w:cs="宋体"/>
          <w:highlight w:val="none"/>
          <w:lang w:val="en-US" w:eastAsia="zh-CN"/>
        </w:rPr>
        <w:t>项目</w:t>
      </w:r>
      <w:r>
        <w:rPr>
          <w:rFonts w:hint="eastAsia" w:hAnsi="宋体" w:cs="宋体"/>
          <w:highlight w:val="none"/>
        </w:rPr>
        <w:t>认定评价综合值为</w:t>
      </w:r>
      <w:r>
        <w:rPr>
          <w:rFonts w:hint="eastAsia" w:hAnsi="宋体" w:cs="宋体"/>
          <w:highlight w:val="none"/>
          <w:lang w:val="en-US" w:eastAsia="zh-CN"/>
        </w:rPr>
        <w:t>基础分值与</w:t>
      </w:r>
      <w:r>
        <w:rPr>
          <w:rFonts w:hint="eastAsia" w:hAnsi="宋体" w:cs="宋体"/>
          <w:highlight w:val="none"/>
        </w:rPr>
        <w:t>各项指标得分的累计叠加值，满分为100分，计算公式如下：</w:t>
      </w:r>
    </w:p>
    <w:p>
      <w:pPr>
        <w:pStyle w:val="24"/>
        <w:rPr>
          <w:rFonts w:hAnsi="宋体" w:cs="宋体"/>
          <w:highlight w:val="none"/>
        </w:rPr>
      </w:pPr>
      <m:oMathPara>
        <m:oMath>
          <m:r>
            <m:rPr/>
            <w:rPr>
              <w:rFonts w:ascii="Cambria Math" w:hAnsi="Cambria Math" w:cs="宋体"/>
              <w:highlight w:val="none"/>
            </w:rPr>
            <m:t>S=</m:t>
          </m:r>
          <m:nary>
            <m:naryPr>
              <m:chr m:val="∑"/>
              <m:limLoc m:val="undOvr"/>
              <m:ctrlPr>
                <w:rPr>
                  <w:rFonts w:hint="eastAsia" w:ascii="Cambria Math" w:hAnsi="Cambria Math" w:cs="宋体"/>
                  <w:i/>
                  <w:iCs/>
                  <w:highlight w:val="none"/>
                </w:rPr>
              </m:ctrlPr>
            </m:naryPr>
            <m:sub>
              <m:r>
                <m:rPr/>
                <w:rPr>
                  <w:rFonts w:ascii="Cambria Math" w:hAnsi="Cambria Math" w:cs="宋体"/>
                  <w:highlight w:val="none"/>
                </w:rPr>
                <m:t>i=1</m:t>
              </m:r>
              <m:ctrlPr>
                <w:rPr>
                  <w:rFonts w:hint="eastAsia" w:ascii="Cambria Math" w:hAnsi="Cambria Math" w:cs="宋体"/>
                  <w:i/>
                  <w:iCs/>
                  <w:highlight w:val="none"/>
                </w:rPr>
              </m:ctrlPr>
            </m:sub>
            <m:sup>
              <m:r>
                <m:rPr/>
                <w:rPr>
                  <w:rFonts w:ascii="Cambria Math" w:hAnsi="Cambria Math" w:cs="宋体"/>
                  <w:highlight w:val="none"/>
                </w:rPr>
                <m:t>n</m:t>
              </m:r>
              <m:ctrlPr>
                <w:rPr>
                  <w:rFonts w:hint="eastAsia" w:ascii="Cambria Math" w:hAnsi="Cambria Math" w:cs="宋体"/>
                  <w:i/>
                  <w:iCs/>
                  <w:highlight w:val="none"/>
                </w:rPr>
              </m:ctrlPr>
            </m:sup>
            <m:e>
              <m:sSub>
                <m:sSubPr>
                  <m:ctrlPr>
                    <w:rPr>
                      <w:rFonts w:hint="eastAsia" w:ascii="Cambria Math" w:hAnsi="Cambria Math" w:cs="宋体"/>
                      <w:i/>
                      <w:iCs/>
                      <w:highlight w:val="none"/>
                    </w:rPr>
                  </m:ctrlPr>
                </m:sSubPr>
                <m:e>
                  <m:r>
                    <m:rPr/>
                    <w:rPr>
                      <w:rFonts w:ascii="Cambria Math" w:hAnsi="Cambria Math" w:cs="宋体"/>
                      <w:highlight w:val="none"/>
                    </w:rPr>
                    <m:t>X</m:t>
                  </m:r>
                  <m:ctrlPr>
                    <w:rPr>
                      <w:rFonts w:hint="eastAsia" w:ascii="Cambria Math" w:hAnsi="Cambria Math" w:cs="宋体"/>
                      <w:i/>
                      <w:iCs/>
                      <w:highlight w:val="none"/>
                    </w:rPr>
                  </m:ctrlPr>
                </m:e>
                <m:sub>
                  <m:r>
                    <m:rPr/>
                    <w:rPr>
                      <w:rFonts w:ascii="Cambria Math" w:hAnsi="Cambria Math" w:cs="宋体"/>
                      <w:highlight w:val="none"/>
                    </w:rPr>
                    <m:t>i</m:t>
                  </m:r>
                  <m:ctrlPr>
                    <w:rPr>
                      <w:rFonts w:hint="eastAsia" w:ascii="Cambria Math" w:hAnsi="Cambria Math" w:cs="宋体"/>
                      <w:i/>
                      <w:iCs/>
                      <w:highlight w:val="none"/>
                    </w:rPr>
                  </m:ctrlPr>
                </m:sub>
              </m:sSub>
              <m:ctrlPr>
                <w:rPr>
                  <w:rFonts w:hint="eastAsia" w:ascii="Cambria Math" w:hAnsi="Cambria Math" w:cs="宋体"/>
                  <w:i/>
                  <w:iCs/>
                  <w:highlight w:val="none"/>
                </w:rPr>
              </m:ctrlPr>
            </m:e>
          </m:nary>
        </m:oMath>
      </m:oMathPara>
    </w:p>
    <w:p>
      <w:pPr>
        <w:pStyle w:val="24"/>
        <w:rPr>
          <w:rFonts w:hAnsi="宋体" w:cs="宋体"/>
          <w:highlight w:val="none"/>
        </w:rPr>
      </w:pPr>
      <w:r>
        <w:rPr>
          <w:rFonts w:hint="eastAsia" w:hAnsi="宋体" w:cs="宋体"/>
          <w:highlight w:val="none"/>
        </w:rPr>
        <w:t>式中：</w:t>
      </w:r>
    </w:p>
    <w:p>
      <w:pPr>
        <w:pStyle w:val="24"/>
        <w:rPr>
          <w:rFonts w:hAnsi="宋体" w:cs="宋体"/>
          <w:highlight w:val="none"/>
        </w:rPr>
      </w:pPr>
      <m:oMath>
        <m:r>
          <m:rPr/>
          <w:rPr>
            <w:rFonts w:hint="eastAsia" w:ascii="Cambria Math" w:hAnsi="Cambria Math" w:cs="宋体"/>
            <w:highlight w:val="none"/>
          </w:rPr>
          <m:t>S</m:t>
        </m:r>
      </m:oMath>
      <w:r>
        <w:rPr>
          <w:rFonts w:hint="eastAsia" w:hAnsi="宋体" w:cs="宋体"/>
          <w:highlight w:val="none"/>
        </w:rPr>
        <w:t>——绿色</w:t>
      </w:r>
      <w:r>
        <w:rPr>
          <w:rFonts w:hint="eastAsia" w:hAnsi="宋体" w:cs="宋体"/>
          <w:highlight w:val="none"/>
          <w:lang w:val="en-US" w:eastAsia="zh-CN"/>
        </w:rPr>
        <w:t>低碳</w:t>
      </w:r>
      <w:r>
        <w:rPr>
          <w:rFonts w:hint="eastAsia" w:hAnsi="宋体" w:cs="宋体"/>
          <w:highlight w:val="none"/>
        </w:rPr>
        <w:t>产业</w:t>
      </w:r>
      <w:r>
        <w:rPr>
          <w:rFonts w:hint="eastAsia" w:hAnsi="宋体" w:cs="宋体"/>
          <w:highlight w:val="none"/>
          <w:lang w:val="en-US" w:eastAsia="zh-CN"/>
        </w:rPr>
        <w:t>项目</w:t>
      </w:r>
      <w:r>
        <w:rPr>
          <w:rFonts w:hint="eastAsia" w:hAnsi="宋体" w:cs="宋体"/>
          <w:highlight w:val="none"/>
        </w:rPr>
        <w:t>认定评价综合值；</w:t>
      </w:r>
    </w:p>
    <w:p>
      <w:pPr>
        <w:pStyle w:val="24"/>
        <w:rPr>
          <w:rFonts w:hAnsi="宋体" w:cs="宋体"/>
          <w:highlight w:val="yellow"/>
        </w:rPr>
      </w:pPr>
      <m:oMath>
        <m:sSub>
          <m:sSubPr>
            <m:ctrlPr>
              <w:rPr>
                <w:rFonts w:hint="eastAsia" w:ascii="Cambria Math" w:hAnsi="Cambria Math" w:cs="宋体"/>
                <w:i/>
                <w:iCs/>
                <w:highlight w:val="none"/>
              </w:rPr>
            </m:ctrlPr>
          </m:sSubPr>
          <m:e>
            <m:r>
              <m:rPr/>
              <w:rPr>
                <w:rFonts w:hint="eastAsia" w:ascii="Cambria Math" w:hAnsi="Cambria Math" w:cs="宋体"/>
                <w:highlight w:val="none"/>
              </w:rPr>
              <m:t>X</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oMath>
      <w:r>
        <w:rPr>
          <w:rFonts w:hint="eastAsia" w:hAnsi="宋体" w:cs="宋体"/>
          <w:highlight w:val="none"/>
        </w:rPr>
        <w:t>——</w:t>
      </w:r>
      <w:r>
        <w:rPr>
          <w:rFonts w:hint="eastAsia" w:hAnsi="宋体" w:cs="宋体"/>
          <w:highlight w:val="none"/>
          <w:lang w:val="en-US" w:eastAsia="zh-CN"/>
        </w:rPr>
        <w:t>基础分值及</w:t>
      </w:r>
      <w:r>
        <w:rPr>
          <w:rFonts w:hint="eastAsia" w:hAnsi="宋体" w:cs="宋体"/>
          <w:highlight w:val="none"/>
        </w:rPr>
        <w:t>各综合评价指标得分值。</w:t>
      </w:r>
    </w:p>
    <w:p>
      <w:pPr>
        <w:pStyle w:val="24"/>
        <w:numPr>
          <w:ilvl w:val="0"/>
          <w:numId w:val="0"/>
        </w:numPr>
        <w:ind w:leftChars="0" w:firstLine="420" w:firstLineChars="200"/>
        <w:rPr>
          <w:rFonts w:hint="default" w:hAnsi="宋体" w:cs="宋体"/>
          <w:highlight w:val="none"/>
          <w:lang w:val="en-US" w:eastAsia="zh-CN"/>
        </w:rPr>
      </w:pPr>
      <w:r>
        <w:rPr>
          <w:rFonts w:hint="eastAsia" w:hAnsi="宋体" w:cs="宋体"/>
          <w:lang w:val="en-US" w:eastAsia="zh-CN"/>
        </w:rPr>
        <w:t>若综合评价指标的部分指标不适用于某类项目，经专家评估审定后可不参评该指标，其</w:t>
      </w:r>
      <w:r>
        <w:rPr>
          <w:rFonts w:hint="eastAsia" w:hAnsi="宋体" w:cs="宋体"/>
        </w:rPr>
        <w:t>综合值折算方法为：综合值=参评项得分值/参评项总分值×100%。</w:t>
      </w:r>
    </w:p>
    <w:p>
      <w:pPr>
        <w:pStyle w:val="50"/>
        <w:outlineLvl w:val="1"/>
        <w:rPr>
          <w:rFonts w:hint="default" w:ascii="Times New Roman"/>
          <w:highlight w:val="none"/>
          <w:lang w:val="en-US" w:eastAsia="zh-CN"/>
        </w:rPr>
      </w:pPr>
      <w:bookmarkStart w:id="130" w:name="_Toc118281025"/>
      <w:bookmarkStart w:id="131" w:name="_Toc118282049"/>
      <w:bookmarkStart w:id="132" w:name="_Toc16937"/>
      <w:bookmarkStart w:id="133" w:name="_Toc17910"/>
      <w:bookmarkStart w:id="134" w:name="_Toc32174"/>
      <w:r>
        <w:rPr>
          <w:rFonts w:hint="eastAsia" w:ascii="Times New Roman"/>
          <w:highlight w:val="none"/>
        </w:rPr>
        <w:t>编制报告</w:t>
      </w:r>
      <w:bookmarkEnd w:id="130"/>
      <w:bookmarkEnd w:id="131"/>
      <w:bookmarkEnd w:id="132"/>
      <w:bookmarkEnd w:id="133"/>
      <w:bookmarkEnd w:id="134"/>
    </w:p>
    <w:p>
      <w:pPr>
        <w:pStyle w:val="24"/>
        <w:rPr>
          <w:rFonts w:hAnsi="宋体" w:cs="宋体"/>
        </w:rPr>
      </w:pPr>
      <w:bookmarkStart w:id="135" w:name="_Toc13974"/>
      <w:bookmarkStart w:id="136" w:name="_Toc5224"/>
      <w:r>
        <w:rPr>
          <w:rFonts w:hint="eastAsia" w:hAnsi="宋体" w:cs="宋体"/>
        </w:rPr>
        <w:t>编制绿色</w:t>
      </w:r>
      <w:r>
        <w:rPr>
          <w:rFonts w:hint="eastAsia" w:hAnsi="宋体" w:cs="宋体"/>
          <w:lang w:val="en-US" w:eastAsia="zh-CN"/>
        </w:rPr>
        <w:t>低碳</w:t>
      </w:r>
      <w:r>
        <w:rPr>
          <w:rFonts w:hint="eastAsia" w:hAnsi="宋体" w:cs="宋体"/>
        </w:rPr>
        <w:t>产业认定评价报告（</w:t>
      </w:r>
      <w:r>
        <w:rPr>
          <w:rFonts w:hint="eastAsia" w:hAnsi="宋体" w:cs="宋体"/>
          <w:lang w:val="en-US" w:eastAsia="zh-CN"/>
        </w:rPr>
        <w:t>绿色低碳产业企业的报告</w:t>
      </w:r>
      <w:r>
        <w:rPr>
          <w:rFonts w:hint="eastAsia" w:hAnsi="宋体" w:cs="宋体"/>
        </w:rPr>
        <w:t>模板格式见附录</w:t>
      </w:r>
      <w:r>
        <w:rPr>
          <w:rFonts w:hint="eastAsia" w:hAnsi="宋体" w:cs="宋体"/>
          <w:lang w:val="en-US" w:eastAsia="zh-CN"/>
        </w:rPr>
        <w:t>B</w:t>
      </w:r>
      <w:r>
        <w:rPr>
          <w:rFonts w:hint="eastAsia" w:hAnsi="宋体" w:cs="宋体"/>
          <w:lang w:eastAsia="zh-CN"/>
        </w:rPr>
        <w:t>，</w:t>
      </w:r>
      <w:r>
        <w:rPr>
          <w:rFonts w:hint="eastAsia" w:hAnsi="宋体" w:cs="宋体"/>
          <w:lang w:val="en-US" w:eastAsia="zh-CN"/>
        </w:rPr>
        <w:t>绿色低碳产业项目的报告模板格式见附录C</w:t>
      </w:r>
      <w:r>
        <w:rPr>
          <w:rFonts w:hint="eastAsia" w:hAnsi="宋体" w:cs="宋体"/>
        </w:rPr>
        <w:t>），给出绿色</w:t>
      </w:r>
      <w:r>
        <w:rPr>
          <w:rFonts w:hint="eastAsia" w:hAnsi="宋体" w:cs="宋体"/>
          <w:lang w:val="en-US" w:eastAsia="zh-CN"/>
        </w:rPr>
        <w:t>低碳</w:t>
      </w:r>
      <w:r>
        <w:rPr>
          <w:rFonts w:hint="eastAsia" w:hAnsi="宋体" w:cs="宋体"/>
        </w:rPr>
        <w:t>产业认定评价结论，内容包括但不限于：</w:t>
      </w:r>
    </w:p>
    <w:p>
      <w:pPr>
        <w:pStyle w:val="24"/>
        <w:rPr>
          <w:rFonts w:hAnsi="宋体" w:cs="宋体"/>
        </w:rPr>
      </w:pPr>
      <w:r>
        <w:rPr>
          <w:rFonts w:hint="eastAsia" w:hAnsi="宋体" w:cs="宋体"/>
        </w:rPr>
        <w:t>——基本信息表，包括申请认定评价的绿色业务相关产品</w:t>
      </w:r>
      <w:r>
        <w:rPr>
          <w:rFonts w:hint="eastAsia" w:hAnsi="宋体" w:cs="宋体"/>
          <w:lang w:eastAsia="zh-CN"/>
        </w:rPr>
        <w:t>、</w:t>
      </w:r>
      <w:r>
        <w:rPr>
          <w:rFonts w:hint="eastAsia" w:hAnsi="宋体" w:cs="宋体"/>
        </w:rPr>
        <w:t>服务</w:t>
      </w:r>
      <w:r>
        <w:rPr>
          <w:rFonts w:hint="eastAsia" w:hAnsi="宋体" w:cs="宋体"/>
          <w:lang w:val="en-US" w:eastAsia="zh-CN"/>
        </w:rPr>
        <w:t>或项目的情况</w:t>
      </w:r>
      <w:r>
        <w:rPr>
          <w:rFonts w:hint="eastAsia" w:hAnsi="宋体" w:cs="宋体"/>
        </w:rPr>
        <w:t>；</w:t>
      </w:r>
    </w:p>
    <w:p>
      <w:pPr>
        <w:pStyle w:val="24"/>
        <w:rPr>
          <w:rFonts w:hAnsi="宋体" w:cs="宋体"/>
        </w:rPr>
      </w:pPr>
      <w:r>
        <w:rPr>
          <w:rFonts w:hint="eastAsia" w:hAnsi="宋体" w:cs="宋体"/>
        </w:rPr>
        <w:t>——基本情况，概述</w:t>
      </w:r>
      <w:r>
        <w:rPr>
          <w:rFonts w:hint="eastAsia" w:hAnsi="宋体" w:cs="宋体"/>
          <w:lang w:val="en-US" w:eastAsia="zh-CN"/>
        </w:rPr>
        <w:t>企事业单位</w:t>
      </w:r>
      <w:r>
        <w:rPr>
          <w:rFonts w:hint="eastAsia" w:hAnsi="宋体" w:cs="宋体"/>
        </w:rPr>
        <w:t>发展现状以及在绿色</w:t>
      </w:r>
      <w:r>
        <w:rPr>
          <w:rFonts w:hint="eastAsia" w:hAnsi="宋体" w:cs="宋体"/>
          <w:lang w:val="en-US" w:eastAsia="zh-CN"/>
        </w:rPr>
        <w:t>低碳</w:t>
      </w:r>
      <w:r>
        <w:rPr>
          <w:rFonts w:hint="eastAsia" w:hAnsi="宋体" w:cs="宋体"/>
        </w:rPr>
        <w:t>方面开展的重点工作及取得的成绩；</w:t>
      </w:r>
    </w:p>
    <w:p>
      <w:pPr>
        <w:pStyle w:val="24"/>
        <w:rPr>
          <w:rFonts w:hAnsi="宋体" w:cs="宋体"/>
        </w:rPr>
      </w:pPr>
      <w:r>
        <w:rPr>
          <w:rFonts w:hint="eastAsia" w:hAnsi="宋体" w:cs="宋体"/>
        </w:rPr>
        <w:t>——认定情况，对基本要求、符合性评价要求及综合评价要求等内容进行具体描述；</w:t>
      </w:r>
    </w:p>
    <w:p>
      <w:pPr>
        <w:pStyle w:val="24"/>
        <w:rPr>
          <w:rFonts w:hAnsi="宋体" w:cs="宋体"/>
        </w:rPr>
      </w:pPr>
      <w:r>
        <w:rPr>
          <w:rFonts w:hint="eastAsia" w:hAnsi="宋体" w:cs="宋体"/>
        </w:rPr>
        <w:t>——评价结论，包括符合性评价及综合评价结果及其佐证材料；</w:t>
      </w:r>
    </w:p>
    <w:p>
      <w:pPr>
        <w:pStyle w:val="24"/>
        <w:rPr>
          <w:rFonts w:hAnsi="宋体" w:cs="宋体"/>
        </w:rPr>
      </w:pPr>
      <w:r>
        <w:rPr>
          <w:rFonts w:hint="eastAsia" w:hAnsi="宋体" w:cs="宋体"/>
        </w:rPr>
        <w:t>——重点关注，值得关注的可能影响环境风险控制和绿色业务发展的重大影响因素；</w:t>
      </w:r>
    </w:p>
    <w:p>
      <w:pPr>
        <w:pStyle w:val="24"/>
        <w:rPr>
          <w:rFonts w:hAnsi="宋体" w:cs="宋体"/>
        </w:rPr>
      </w:pPr>
      <w:r>
        <w:rPr>
          <w:rFonts w:hint="eastAsia" w:hAnsi="宋体" w:cs="宋体"/>
        </w:rPr>
        <w:t>——相关支持材料。</w:t>
      </w:r>
    </w:p>
    <w:p>
      <w:pPr>
        <w:pStyle w:val="50"/>
        <w:outlineLvl w:val="1"/>
        <w:rPr>
          <w:rFonts w:hint="eastAsia" w:ascii="Times New Roman"/>
          <w:highlight w:val="none"/>
          <w:lang w:eastAsia="zh-CN"/>
        </w:rPr>
      </w:pPr>
      <w:bookmarkStart w:id="137" w:name="_Toc27941"/>
      <w:r>
        <w:rPr>
          <w:rFonts w:hint="eastAsia" w:ascii="Times New Roman"/>
          <w:highlight w:val="none"/>
          <w:lang w:eastAsia="zh-CN"/>
        </w:rPr>
        <w:t>专家评审</w:t>
      </w:r>
      <w:bookmarkEnd w:id="135"/>
      <w:bookmarkEnd w:id="136"/>
      <w:bookmarkEnd w:id="137"/>
    </w:p>
    <w:p>
      <w:pPr>
        <w:pStyle w:val="24"/>
        <w:rPr>
          <w:rFonts w:hint="eastAsia" w:hAnsi="宋体" w:cs="宋体"/>
          <w:lang w:eastAsia="zh-CN"/>
        </w:rPr>
      </w:pPr>
      <w:r>
        <w:rPr>
          <w:rFonts w:hint="eastAsia" w:hAnsi="宋体" w:cs="宋体"/>
          <w:lang w:eastAsia="zh-CN"/>
        </w:rPr>
        <w:t>绿色低碳产业认定主管部门组织具备</w:t>
      </w:r>
      <w:r>
        <w:rPr>
          <w:rFonts w:hint="eastAsia" w:hAnsi="宋体" w:cs="宋体"/>
          <w:lang w:val="en-US" w:eastAsia="zh-CN"/>
        </w:rPr>
        <w:t>新能源汽车产品</w:t>
      </w:r>
      <w:r>
        <w:rPr>
          <w:rFonts w:hint="eastAsia" w:hAnsi="宋体" w:cs="宋体"/>
          <w:lang w:eastAsia="zh-CN"/>
        </w:rPr>
        <w:t>产业专业技术能力的专家，依据《</w:t>
      </w:r>
      <w:r>
        <w:rPr>
          <w:rFonts w:hint="eastAsia" w:hAnsi="宋体" w:cs="宋体"/>
          <w:lang w:val="en-US" w:eastAsia="zh-CN"/>
        </w:rPr>
        <w:t>深圳市</w:t>
      </w:r>
      <w:r>
        <w:rPr>
          <w:rFonts w:hint="eastAsia" w:hAnsi="宋体" w:cs="宋体"/>
          <w:lang w:eastAsia="zh-CN"/>
        </w:rPr>
        <w:t>绿色</w:t>
      </w:r>
      <w:r>
        <w:rPr>
          <w:rFonts w:hint="eastAsia" w:hAnsi="宋体" w:cs="宋体"/>
          <w:lang w:val="en-US" w:eastAsia="zh-CN"/>
        </w:rPr>
        <w:t>低碳</w:t>
      </w:r>
      <w:r>
        <w:rPr>
          <w:rFonts w:hint="eastAsia" w:hAnsi="宋体" w:cs="宋体"/>
          <w:lang w:eastAsia="zh-CN"/>
        </w:rPr>
        <w:t>产业认定评价导则》</w:t>
      </w:r>
      <w:r>
        <w:rPr>
          <w:rFonts w:hint="eastAsia" w:hAnsi="宋体" w:cs="宋体"/>
          <w:lang w:val="en-US" w:eastAsia="zh-CN"/>
        </w:rPr>
        <w:t>及</w:t>
      </w:r>
      <w:r>
        <w:rPr>
          <w:rFonts w:hint="eastAsia" w:hAnsi="宋体" w:cs="宋体"/>
          <w:lang w:eastAsia="zh-CN"/>
        </w:rPr>
        <w:t>本文件要求对申报材料进行评审打分</w:t>
      </w:r>
      <w:r>
        <w:rPr>
          <w:rFonts w:hint="eastAsia" w:hAnsi="宋体" w:cs="宋体"/>
          <w:lang w:val="en-US" w:eastAsia="zh-CN"/>
        </w:rPr>
        <w:t>并出具评审结论</w:t>
      </w:r>
      <w:r>
        <w:rPr>
          <w:rFonts w:hint="eastAsia" w:hAnsi="宋体" w:cs="宋体"/>
          <w:lang w:eastAsia="zh-CN"/>
        </w:rPr>
        <w:t>。</w:t>
      </w:r>
    </w:p>
    <w:p>
      <w:pPr>
        <w:pStyle w:val="24"/>
        <w:rPr>
          <w:rFonts w:hAnsi="宋体" w:cs="宋体"/>
          <w:highlight w:val="none"/>
        </w:rPr>
        <w:sectPr>
          <w:headerReference r:id="rId8" w:type="default"/>
          <w:footerReference r:id="rId9" w:type="default"/>
          <w:pgSz w:w="11906" w:h="16838"/>
          <w:pgMar w:top="567" w:right="1134" w:bottom="1134" w:left="1418" w:header="1418" w:footer="1134" w:gutter="0"/>
          <w:pgBorders>
            <w:top w:val="none" w:sz="0" w:space="0"/>
            <w:left w:val="none" w:sz="0" w:space="0"/>
            <w:bottom w:val="none" w:sz="0" w:space="0"/>
            <w:right w:val="none" w:sz="0" w:space="0"/>
          </w:pgBorders>
          <w:pgNumType w:start="1"/>
          <w:cols w:space="720" w:num="1"/>
          <w:formProt w:val="0"/>
          <w:docGrid w:type="lines" w:linePitch="312" w:charSpace="0"/>
        </w:sectPr>
      </w:pPr>
      <w:r>
        <w:rPr>
          <w:rFonts w:hint="eastAsia" w:hAnsi="宋体" w:cs="宋体"/>
          <w:lang w:val="en-US" w:eastAsia="zh-CN"/>
        </w:rPr>
        <w:t>企事业单位根据综合评价得分予以评级，</w:t>
      </w:r>
      <w:r>
        <w:rPr>
          <w:rFonts w:hint="eastAsia" w:hAnsi="宋体" w:cs="宋体"/>
          <w:lang w:eastAsia="zh-CN"/>
        </w:rPr>
        <w:t>综合评价</w:t>
      </w:r>
      <w:r>
        <w:rPr>
          <w:rFonts w:hint="eastAsia" w:hAnsi="宋体" w:cs="宋体"/>
          <w:lang w:val="en-US" w:eastAsia="zh-CN"/>
        </w:rPr>
        <w:t>得分≥85分的，视为通过绿色低碳产业企业“深绿”等级评价；70分≤综合评价得分＜85分的，视为通过绿色低碳产业企业“中绿”等级评价；60分≤综合评价得分＜70分的，视为通过绿色低碳产业企业“浅绿”等级评价</w:t>
      </w:r>
      <w:r>
        <w:rPr>
          <w:rFonts w:hint="eastAsia" w:hAnsi="宋体" w:cs="宋体"/>
          <w:lang w:eastAsia="zh-CN"/>
        </w:rPr>
        <w:t>。</w:t>
      </w:r>
      <w:r>
        <w:rPr>
          <w:rFonts w:hint="eastAsia" w:hAnsi="宋体" w:cs="宋体"/>
          <w:lang w:val="en-US" w:eastAsia="zh-CN"/>
        </w:rPr>
        <w:t>项目根据整体得分予以评级，整体得分≥80分的，视为通过绿色低碳产业项目“深绿”等级评价；60分≤整体得分＜80分的，视为通过绿色低碳产业“中绿”等级评价；30分≤整体得分＜60分的，视为通过绿色低碳产业项目“浅绿”等级评价</w:t>
      </w:r>
      <w:r>
        <w:rPr>
          <w:rFonts w:hint="eastAsia" w:hAnsi="宋体" w:cs="宋体"/>
          <w:highlight w:val="none"/>
        </w:rPr>
        <w:t>。</w:t>
      </w:r>
    </w:p>
    <w:p>
      <w:pPr>
        <w:pStyle w:val="92"/>
        <w:rPr>
          <w:rFonts w:ascii="Times New Roman"/>
          <w:highlight w:val="none"/>
        </w:rPr>
      </w:pPr>
      <w:bookmarkStart w:id="138" w:name="_Toc82684166"/>
      <w:bookmarkEnd w:id="138"/>
      <w:bookmarkStart w:id="139" w:name="_Toc82684159"/>
      <w:bookmarkEnd w:id="139"/>
      <w:bookmarkStart w:id="140" w:name="_Toc82684158"/>
      <w:bookmarkEnd w:id="140"/>
      <w:bookmarkStart w:id="141" w:name="_Toc82684162"/>
      <w:bookmarkEnd w:id="141"/>
      <w:bookmarkStart w:id="142" w:name="_Toc82684168"/>
      <w:bookmarkEnd w:id="142"/>
      <w:bookmarkStart w:id="143" w:name="_Toc82684167"/>
      <w:bookmarkEnd w:id="143"/>
      <w:bookmarkStart w:id="144" w:name="_Toc82684170"/>
      <w:bookmarkEnd w:id="144"/>
      <w:bookmarkStart w:id="145" w:name="_Toc82684169"/>
      <w:bookmarkEnd w:id="145"/>
      <w:bookmarkStart w:id="146" w:name="_Toc82684164"/>
      <w:bookmarkEnd w:id="146"/>
      <w:bookmarkStart w:id="147" w:name="_Toc82684163"/>
      <w:bookmarkEnd w:id="147"/>
      <w:bookmarkStart w:id="148" w:name="_Toc82684160"/>
      <w:bookmarkEnd w:id="148"/>
      <w:bookmarkStart w:id="149" w:name="_Toc82684165"/>
      <w:bookmarkEnd w:id="149"/>
      <w:bookmarkStart w:id="150" w:name="_Toc82684157"/>
      <w:bookmarkEnd w:id="150"/>
      <w:bookmarkStart w:id="151" w:name="_Toc82684161"/>
      <w:bookmarkEnd w:id="151"/>
      <w:bookmarkStart w:id="152" w:name="_Toc14330"/>
      <w:bookmarkStart w:id="153" w:name="_Toc20147"/>
      <w:bookmarkStart w:id="154" w:name="_Toc118282050"/>
      <w:bookmarkStart w:id="155" w:name="_Toc82684171"/>
      <w:bookmarkStart w:id="156" w:name="_Toc18080"/>
      <w:r>
        <w:rPr>
          <w:rFonts w:ascii="Times New Roman"/>
          <w:highlight w:val="none"/>
        </w:rPr>
        <w:br w:type="textWrapping"/>
      </w:r>
      <w:r>
        <w:rPr>
          <w:rFonts w:ascii="Times New Roman"/>
          <w:highlight w:val="none"/>
        </w:rPr>
        <w:t>（资料性）</w:t>
      </w:r>
      <w:r>
        <w:rPr>
          <w:rFonts w:ascii="Times New Roman"/>
          <w:highlight w:val="none"/>
        </w:rPr>
        <w:br w:type="textWrapping"/>
      </w:r>
      <w:r>
        <w:rPr>
          <w:rFonts w:hint="eastAsia" w:ascii="Times New Roman"/>
          <w:highlight w:val="none"/>
        </w:rPr>
        <w:t>新能源汽车</w:t>
      </w:r>
      <w:r>
        <w:rPr>
          <w:rFonts w:hint="eastAsia" w:ascii="Times New Roman"/>
          <w:highlight w:val="none"/>
          <w:lang w:val="en-US" w:eastAsia="zh-CN"/>
        </w:rPr>
        <w:t>产品</w:t>
      </w:r>
      <w:r>
        <w:rPr>
          <w:rFonts w:hint="eastAsia" w:ascii="Times New Roman"/>
          <w:highlight w:val="none"/>
        </w:rPr>
        <w:t>行业</w:t>
      </w:r>
      <w:r>
        <w:rPr>
          <w:rFonts w:hint="eastAsia" w:hAnsi="宋体" w:cs="宋体"/>
          <w:highlight w:val="none"/>
        </w:rPr>
        <w:t>绿色低碳产业</w:t>
      </w:r>
      <w:r>
        <w:rPr>
          <w:rFonts w:ascii="Times New Roman"/>
          <w:highlight w:val="none"/>
        </w:rPr>
        <w:t>认定评价指标表</w:t>
      </w:r>
      <w:bookmarkEnd w:id="152"/>
      <w:bookmarkEnd w:id="153"/>
    </w:p>
    <w:bookmarkEnd w:id="154"/>
    <w:bookmarkEnd w:id="155"/>
    <w:bookmarkEnd w:id="156"/>
    <w:p>
      <w:pPr>
        <w:pStyle w:val="24"/>
        <w:rPr>
          <w:rFonts w:hAnsi="宋体" w:cs="宋体"/>
        </w:rPr>
      </w:pPr>
      <w:bookmarkStart w:id="157" w:name="BKCKWX"/>
      <w:r>
        <w:rPr>
          <w:rFonts w:hint="eastAsia" w:hAnsi="宋体" w:cs="宋体"/>
        </w:rPr>
        <w:t>新能源汽车产品行业绿色</w:t>
      </w:r>
      <w:r>
        <w:rPr>
          <w:rFonts w:hint="eastAsia" w:hAnsi="宋体" w:cs="宋体"/>
          <w:lang w:val="en-US" w:eastAsia="zh-CN"/>
        </w:rPr>
        <w:t>低碳</w:t>
      </w:r>
      <w:r>
        <w:rPr>
          <w:rFonts w:hint="eastAsia" w:hAnsi="宋体" w:cs="宋体"/>
        </w:rPr>
        <w:t>产业</w:t>
      </w:r>
      <w:r>
        <w:rPr>
          <w:rFonts w:hint="eastAsia" w:hAnsi="宋体" w:cs="宋体"/>
          <w:lang w:val="en-US" w:eastAsia="zh-CN"/>
        </w:rPr>
        <w:t>企业</w:t>
      </w:r>
      <w:r>
        <w:rPr>
          <w:rFonts w:hint="eastAsia" w:hAnsi="宋体" w:cs="宋体"/>
        </w:rPr>
        <w:t>认定评价指标表见表</w:t>
      </w:r>
      <w:r>
        <w:rPr>
          <w:rFonts w:hint="eastAsia" w:hAnsi="宋体" w:cs="宋体"/>
          <w:lang w:val="en-US" w:eastAsia="zh-CN"/>
        </w:rPr>
        <w:t>A</w:t>
      </w:r>
      <w:r>
        <w:rPr>
          <w:rFonts w:hint="eastAsia" w:hAnsi="宋体" w:cs="宋体"/>
        </w:rPr>
        <w:t>.1和表</w:t>
      </w:r>
      <w:r>
        <w:rPr>
          <w:rFonts w:hint="eastAsia" w:hAnsi="宋体" w:cs="宋体"/>
          <w:lang w:val="en-US" w:eastAsia="zh-CN"/>
        </w:rPr>
        <w:t>A</w:t>
      </w:r>
      <w:r>
        <w:rPr>
          <w:rFonts w:hint="eastAsia" w:hAnsi="宋体" w:cs="宋体"/>
        </w:rPr>
        <w:t>.2</w:t>
      </w:r>
      <w:r>
        <w:rPr>
          <w:rFonts w:hint="eastAsia" w:hAnsi="宋体" w:cs="宋体"/>
          <w:lang w:eastAsia="zh-CN"/>
        </w:rPr>
        <w:t>，新能源汽车产品行业绿色</w:t>
      </w:r>
      <w:r>
        <w:rPr>
          <w:rFonts w:hint="eastAsia" w:hAnsi="宋体" w:cs="宋体"/>
          <w:lang w:val="en-US" w:eastAsia="zh-CN"/>
        </w:rPr>
        <w:t>低碳</w:t>
      </w:r>
      <w:r>
        <w:rPr>
          <w:rFonts w:hint="eastAsia" w:hAnsi="宋体" w:cs="宋体"/>
          <w:lang w:eastAsia="zh-CN"/>
        </w:rPr>
        <w:t>产业</w:t>
      </w:r>
      <w:r>
        <w:rPr>
          <w:rFonts w:hint="eastAsia" w:hAnsi="宋体" w:cs="宋体"/>
          <w:lang w:val="en-US" w:eastAsia="zh-CN"/>
        </w:rPr>
        <w:t>项目</w:t>
      </w:r>
      <w:r>
        <w:rPr>
          <w:rFonts w:hint="eastAsia" w:hAnsi="宋体" w:cs="宋体"/>
          <w:lang w:eastAsia="zh-CN"/>
        </w:rPr>
        <w:t>认定评价指标表见表</w:t>
      </w:r>
      <w:r>
        <w:rPr>
          <w:rFonts w:hint="eastAsia" w:hAnsi="宋体" w:cs="宋体"/>
          <w:lang w:val="en-US" w:eastAsia="zh-CN"/>
        </w:rPr>
        <w:t>A</w:t>
      </w:r>
      <w:r>
        <w:rPr>
          <w:rFonts w:hint="eastAsia" w:hAnsi="宋体" w:cs="宋体"/>
          <w:lang w:eastAsia="zh-CN"/>
        </w:rPr>
        <w:t>.</w:t>
      </w:r>
      <w:r>
        <w:rPr>
          <w:rFonts w:hint="eastAsia" w:hAnsi="宋体" w:cs="宋体"/>
          <w:lang w:val="en-US" w:eastAsia="zh-CN"/>
        </w:rPr>
        <w:t>3</w:t>
      </w:r>
      <w:r>
        <w:rPr>
          <w:rFonts w:hint="eastAsia" w:hAnsi="宋体" w:cs="宋体"/>
          <w:lang w:eastAsia="zh-CN"/>
        </w:rPr>
        <w:t>和表</w:t>
      </w:r>
      <w:r>
        <w:rPr>
          <w:rFonts w:hint="eastAsia" w:hAnsi="宋体" w:cs="宋体"/>
          <w:lang w:val="en-US" w:eastAsia="zh-CN"/>
        </w:rPr>
        <w:t>A</w:t>
      </w:r>
      <w:r>
        <w:rPr>
          <w:rFonts w:hint="eastAsia" w:hAnsi="宋体" w:cs="宋体"/>
          <w:lang w:eastAsia="zh-CN"/>
        </w:rPr>
        <w:t>.</w:t>
      </w:r>
      <w:r>
        <w:rPr>
          <w:rFonts w:hint="eastAsia" w:hAnsi="宋体" w:cs="宋体"/>
          <w:lang w:val="en-US" w:eastAsia="zh-CN"/>
        </w:rPr>
        <w:t>4</w:t>
      </w:r>
      <w:r>
        <w:rPr>
          <w:rFonts w:hint="eastAsia" w:hAnsi="宋体" w:cs="宋体"/>
        </w:rPr>
        <w:t>。新能源汽车产品行业绿色</w:t>
      </w:r>
      <w:r>
        <w:rPr>
          <w:rFonts w:hint="eastAsia" w:hAnsi="宋体" w:cs="宋体"/>
          <w:lang w:val="en-US" w:eastAsia="zh-CN"/>
        </w:rPr>
        <w:t>低碳</w:t>
      </w:r>
      <w:r>
        <w:rPr>
          <w:rFonts w:hint="eastAsia" w:hAnsi="宋体" w:cs="宋体"/>
        </w:rPr>
        <w:t>产业</w:t>
      </w:r>
      <w:r>
        <w:rPr>
          <w:rFonts w:hint="eastAsia" w:hAnsi="宋体" w:cs="宋体"/>
          <w:lang w:val="en-US" w:eastAsia="zh-CN"/>
        </w:rPr>
        <w:t>企业</w:t>
      </w:r>
      <w:r>
        <w:rPr>
          <w:rFonts w:hint="eastAsia" w:hAnsi="宋体" w:cs="宋体"/>
        </w:rPr>
        <w:t>各评价指标佐证材料索引详见表</w:t>
      </w:r>
      <w:r>
        <w:rPr>
          <w:rFonts w:hint="eastAsia" w:hAnsi="宋体" w:cs="宋体"/>
          <w:lang w:val="en-US" w:eastAsia="zh-CN"/>
        </w:rPr>
        <w:t>B</w:t>
      </w:r>
      <w:r>
        <w:rPr>
          <w:rFonts w:hint="eastAsia" w:hAnsi="宋体" w:cs="宋体"/>
        </w:rPr>
        <w:t>.3、表</w:t>
      </w:r>
      <w:r>
        <w:rPr>
          <w:rFonts w:hint="eastAsia" w:hAnsi="宋体" w:cs="宋体"/>
          <w:lang w:val="en-US" w:eastAsia="zh-CN"/>
        </w:rPr>
        <w:t>B</w:t>
      </w:r>
      <w:r>
        <w:rPr>
          <w:rFonts w:hint="eastAsia" w:hAnsi="宋体" w:cs="宋体"/>
        </w:rPr>
        <w:t>.4、表</w:t>
      </w:r>
      <w:r>
        <w:rPr>
          <w:rFonts w:hint="eastAsia" w:hAnsi="宋体" w:cs="宋体"/>
          <w:lang w:val="en-US" w:eastAsia="zh-CN"/>
        </w:rPr>
        <w:t>B</w:t>
      </w:r>
      <w:r>
        <w:rPr>
          <w:rFonts w:hint="eastAsia" w:hAnsi="宋体" w:cs="宋体"/>
        </w:rPr>
        <w:t>.5</w:t>
      </w:r>
      <w:r>
        <w:rPr>
          <w:rFonts w:hint="eastAsia" w:hAnsi="宋体" w:cs="宋体"/>
          <w:lang w:eastAsia="zh-CN"/>
        </w:rPr>
        <w:t>，新能源汽车产品行业绿色</w:t>
      </w:r>
      <w:r>
        <w:rPr>
          <w:rFonts w:hint="eastAsia" w:hAnsi="宋体" w:cs="宋体"/>
          <w:lang w:val="en-US" w:eastAsia="zh-CN"/>
        </w:rPr>
        <w:t>低碳</w:t>
      </w:r>
      <w:r>
        <w:rPr>
          <w:rFonts w:hint="eastAsia" w:hAnsi="宋体" w:cs="宋体"/>
          <w:lang w:eastAsia="zh-CN"/>
        </w:rPr>
        <w:t>产业</w:t>
      </w:r>
      <w:r>
        <w:rPr>
          <w:rFonts w:hint="eastAsia" w:hAnsi="宋体" w:cs="宋体"/>
          <w:lang w:val="en-US" w:eastAsia="zh-CN"/>
        </w:rPr>
        <w:t>项目</w:t>
      </w:r>
      <w:r>
        <w:rPr>
          <w:rFonts w:hint="eastAsia" w:hAnsi="宋体" w:cs="宋体"/>
          <w:lang w:eastAsia="zh-CN"/>
        </w:rPr>
        <w:t>各评价指标佐证材料索引详见</w:t>
      </w:r>
      <w:r>
        <w:rPr>
          <w:rFonts w:hint="eastAsia" w:hAnsi="宋体" w:cs="宋体"/>
          <w:highlight w:val="none"/>
          <w:lang w:eastAsia="zh-CN"/>
        </w:rPr>
        <w:t>表</w:t>
      </w:r>
      <w:r>
        <w:rPr>
          <w:rFonts w:hint="eastAsia" w:hAnsi="宋体" w:cs="宋体"/>
          <w:highlight w:val="none"/>
          <w:lang w:val="en-US" w:eastAsia="zh-CN"/>
        </w:rPr>
        <w:t>C</w:t>
      </w:r>
      <w:r>
        <w:rPr>
          <w:rFonts w:hint="eastAsia" w:hAnsi="宋体" w:cs="宋体"/>
          <w:highlight w:val="none"/>
          <w:lang w:eastAsia="zh-CN"/>
        </w:rPr>
        <w:t>.3、表</w:t>
      </w:r>
      <w:r>
        <w:rPr>
          <w:rFonts w:hint="eastAsia" w:hAnsi="宋体" w:cs="宋体"/>
          <w:highlight w:val="none"/>
          <w:lang w:val="en-US" w:eastAsia="zh-CN"/>
        </w:rPr>
        <w:t>C</w:t>
      </w:r>
      <w:r>
        <w:rPr>
          <w:rFonts w:hint="eastAsia" w:hAnsi="宋体" w:cs="宋体"/>
          <w:highlight w:val="none"/>
          <w:lang w:eastAsia="zh-CN"/>
        </w:rPr>
        <w:t>.4、表</w:t>
      </w:r>
      <w:r>
        <w:rPr>
          <w:rFonts w:hint="eastAsia" w:hAnsi="宋体" w:cs="宋体"/>
          <w:highlight w:val="none"/>
          <w:lang w:val="en-US" w:eastAsia="zh-CN"/>
        </w:rPr>
        <w:t>C</w:t>
      </w:r>
      <w:r>
        <w:rPr>
          <w:rFonts w:hint="eastAsia" w:hAnsi="宋体" w:cs="宋体"/>
          <w:highlight w:val="none"/>
          <w:lang w:eastAsia="zh-CN"/>
        </w:rPr>
        <w:t>.5</w:t>
      </w:r>
      <w:r>
        <w:rPr>
          <w:rFonts w:hint="eastAsia" w:hAnsi="宋体" w:cs="宋体"/>
        </w:rPr>
        <w:t>。</w:t>
      </w:r>
    </w:p>
    <w:p>
      <w:pPr>
        <w:numPr>
          <w:ilvl w:val="1"/>
          <w:numId w:val="0"/>
        </w:numPr>
        <w:spacing w:before="156" w:beforeLines="50" w:after="156" w:afterLines="50"/>
        <w:jc w:val="center"/>
        <w:rPr>
          <w:rFonts w:eastAsia="黑体"/>
          <w:szCs w:val="21"/>
          <w:highlight w:val="none"/>
        </w:rPr>
      </w:pPr>
      <w:r>
        <w:rPr>
          <w:rFonts w:hint="eastAsia" w:ascii="黑体" w:hAnsi="黑体" w:eastAsia="黑体" w:cs="黑体"/>
          <w:szCs w:val="21"/>
          <w:highlight w:val="none"/>
        </w:rPr>
        <w:t xml:space="preserve">表A.1 </w:t>
      </w:r>
      <w:r>
        <w:rPr>
          <w:rFonts w:hint="eastAsia" w:ascii="黑体" w:hAnsi="黑体" w:eastAsia="黑体" w:cs="黑体"/>
          <w:szCs w:val="21"/>
          <w:highlight w:val="none"/>
          <w:lang w:val="en-US" w:eastAsia="zh-CN"/>
        </w:rPr>
        <w:t>新能源汽车产品</w:t>
      </w:r>
      <w:r>
        <w:rPr>
          <w:rFonts w:hint="eastAsia" w:ascii="黑体" w:hAnsi="黑体" w:eastAsia="黑体" w:cs="黑体"/>
          <w:szCs w:val="21"/>
          <w:highlight w:val="none"/>
        </w:rPr>
        <w:t>行业绿色低碳产业</w:t>
      </w:r>
      <w:r>
        <w:rPr>
          <w:rFonts w:hint="eastAsia" w:ascii="黑体" w:hAnsi="黑体" w:eastAsia="黑体" w:cs="黑体"/>
          <w:szCs w:val="21"/>
          <w:highlight w:val="none"/>
          <w:lang w:val="en-US" w:eastAsia="zh-CN"/>
        </w:rPr>
        <w:t>企业</w:t>
      </w:r>
      <w:r>
        <w:rPr>
          <w:rFonts w:hint="eastAsia" w:ascii="黑体" w:hAnsi="黑体" w:eastAsia="黑体" w:cs="黑体"/>
          <w:szCs w:val="21"/>
          <w:highlight w:val="none"/>
        </w:rPr>
        <w:t>认定符合性评价指标表</w:t>
      </w:r>
    </w:p>
    <w:tbl>
      <w:tblPr>
        <w:tblStyle w:val="35"/>
        <w:tblpPr w:leftFromText="180" w:rightFromText="180" w:vertAnchor="text" w:tblpXSpec="center" w:tblpY="1"/>
        <w:tblOverlap w:val="never"/>
        <w:tblW w:w="4998"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169"/>
        <w:gridCol w:w="1250"/>
        <w:gridCol w:w="4809"/>
        <w:gridCol w:w="1168"/>
        <w:gridCol w:w="117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611" w:type="pct"/>
            <w:tcBorders>
              <w:top w:val="single" w:color="auto" w:sz="12" w:space="0"/>
              <w:bottom w:val="single" w:color="auto" w:sz="12" w:space="0"/>
            </w:tcBorders>
            <w:noWrap w:val="0"/>
            <w:vAlign w:val="center"/>
          </w:tcPr>
          <w:p>
            <w:pPr>
              <w:autoSpaceDE w:val="0"/>
              <w:autoSpaceDN w:val="0"/>
              <w:jc w:val="center"/>
              <w:rPr>
                <w:rFonts w:ascii="宋体"/>
                <w:b/>
                <w:sz w:val="18"/>
                <w:szCs w:val="18"/>
                <w:highlight w:val="none"/>
              </w:rPr>
            </w:pPr>
            <w:r>
              <w:rPr>
                <w:rFonts w:ascii="宋体"/>
                <w:b/>
                <w:sz w:val="18"/>
                <w:szCs w:val="18"/>
                <w:highlight w:val="none"/>
              </w:rPr>
              <w:t>评价类型</w:t>
            </w:r>
          </w:p>
        </w:tc>
        <w:tc>
          <w:tcPr>
            <w:tcW w:w="653" w:type="pct"/>
            <w:tcBorders>
              <w:top w:val="single" w:color="auto" w:sz="12" w:space="0"/>
              <w:bottom w:val="single" w:color="auto" w:sz="12" w:space="0"/>
            </w:tcBorders>
            <w:noWrap w:val="0"/>
            <w:vAlign w:val="center"/>
          </w:tcPr>
          <w:p>
            <w:pPr>
              <w:autoSpaceDE w:val="0"/>
              <w:autoSpaceDN w:val="0"/>
              <w:jc w:val="center"/>
              <w:rPr>
                <w:rFonts w:ascii="宋体"/>
                <w:b/>
                <w:sz w:val="18"/>
                <w:szCs w:val="18"/>
                <w:highlight w:val="none"/>
              </w:rPr>
            </w:pPr>
            <w:r>
              <w:rPr>
                <w:rFonts w:hint="eastAsia" w:ascii="宋体"/>
                <w:b/>
                <w:sz w:val="18"/>
                <w:szCs w:val="18"/>
                <w:highlight w:val="none"/>
              </w:rPr>
              <w:t>指标</w:t>
            </w:r>
          </w:p>
        </w:tc>
        <w:tc>
          <w:tcPr>
            <w:tcW w:w="2512" w:type="pct"/>
            <w:tcBorders>
              <w:top w:val="single" w:color="auto" w:sz="12" w:space="0"/>
              <w:bottom w:val="single" w:color="auto" w:sz="12" w:space="0"/>
            </w:tcBorders>
            <w:noWrap w:val="0"/>
            <w:vAlign w:val="center"/>
          </w:tcPr>
          <w:p>
            <w:pPr>
              <w:autoSpaceDE w:val="0"/>
              <w:autoSpaceDN w:val="0"/>
              <w:jc w:val="center"/>
              <w:rPr>
                <w:rFonts w:ascii="宋体"/>
                <w:b/>
                <w:sz w:val="18"/>
                <w:szCs w:val="18"/>
                <w:highlight w:val="none"/>
              </w:rPr>
            </w:pPr>
            <w:r>
              <w:rPr>
                <w:rFonts w:hint="eastAsia" w:ascii="宋体"/>
                <w:b/>
                <w:sz w:val="18"/>
                <w:szCs w:val="18"/>
                <w:highlight w:val="none"/>
              </w:rPr>
              <w:t>符合性评价内容</w:t>
            </w:r>
          </w:p>
        </w:tc>
        <w:tc>
          <w:tcPr>
            <w:tcW w:w="610" w:type="pct"/>
            <w:tcBorders>
              <w:top w:val="single" w:color="auto" w:sz="12" w:space="0"/>
              <w:bottom w:val="single" w:color="auto" w:sz="12" w:space="0"/>
            </w:tcBorders>
            <w:noWrap w:val="0"/>
            <w:vAlign w:val="center"/>
          </w:tcPr>
          <w:p>
            <w:pPr>
              <w:autoSpaceDE w:val="0"/>
              <w:autoSpaceDN w:val="0"/>
              <w:jc w:val="center"/>
              <w:rPr>
                <w:rFonts w:ascii="宋体"/>
                <w:b/>
                <w:sz w:val="18"/>
                <w:szCs w:val="18"/>
                <w:highlight w:val="none"/>
              </w:rPr>
            </w:pPr>
            <w:r>
              <w:rPr>
                <w:rFonts w:ascii="宋体"/>
                <w:b/>
                <w:sz w:val="18"/>
                <w:szCs w:val="18"/>
                <w:highlight w:val="none"/>
              </w:rPr>
              <w:t>评分标准</w:t>
            </w:r>
          </w:p>
        </w:tc>
        <w:tc>
          <w:tcPr>
            <w:tcW w:w="611" w:type="pct"/>
            <w:tcBorders>
              <w:top w:val="single" w:color="auto" w:sz="12" w:space="0"/>
              <w:bottom w:val="single" w:color="auto" w:sz="12" w:space="0"/>
            </w:tcBorders>
            <w:noWrap w:val="0"/>
            <w:vAlign w:val="center"/>
          </w:tcPr>
          <w:p>
            <w:pPr>
              <w:autoSpaceDE w:val="0"/>
              <w:autoSpaceDN w:val="0"/>
              <w:jc w:val="center"/>
              <w:rPr>
                <w:rFonts w:ascii="宋体"/>
                <w:b/>
                <w:sz w:val="18"/>
                <w:szCs w:val="18"/>
                <w:highlight w:val="none"/>
              </w:rPr>
            </w:pPr>
            <w:r>
              <w:rPr>
                <w:rFonts w:ascii="宋体"/>
                <w:b/>
                <w:sz w:val="18"/>
                <w:szCs w:val="18"/>
                <w:highlight w:val="none"/>
              </w:rPr>
              <w:t>评价</w:t>
            </w:r>
            <w:r>
              <w:rPr>
                <w:rFonts w:hint="eastAsia" w:ascii="宋体"/>
                <w:b/>
                <w:sz w:val="18"/>
                <w:szCs w:val="18"/>
                <w:highlight w:val="none"/>
              </w:rPr>
              <w:t>结果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611" w:type="pct"/>
            <w:vMerge w:val="restart"/>
            <w:tcBorders>
              <w:top w:val="single" w:color="auto" w:sz="12" w:space="0"/>
            </w:tcBorders>
            <w:noWrap w:val="0"/>
            <w:vAlign w:val="center"/>
          </w:tcPr>
          <w:p>
            <w:pPr>
              <w:autoSpaceDE w:val="0"/>
              <w:autoSpaceDN w:val="0"/>
              <w:jc w:val="center"/>
              <w:rPr>
                <w:rFonts w:ascii="宋体"/>
                <w:b/>
                <w:sz w:val="18"/>
                <w:szCs w:val="18"/>
                <w:highlight w:val="none"/>
              </w:rPr>
            </w:pPr>
            <w:r>
              <w:rPr>
                <w:rFonts w:ascii="宋体"/>
                <w:b/>
                <w:sz w:val="18"/>
                <w:szCs w:val="18"/>
                <w:highlight w:val="none"/>
              </w:rPr>
              <w:t>符合性评价</w:t>
            </w:r>
          </w:p>
        </w:tc>
        <w:tc>
          <w:tcPr>
            <w:tcW w:w="653" w:type="pct"/>
            <w:tcBorders>
              <w:top w:val="single" w:color="auto" w:sz="12" w:space="0"/>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目录符合</w:t>
            </w:r>
          </w:p>
        </w:tc>
        <w:tc>
          <w:tcPr>
            <w:tcW w:w="2512" w:type="pct"/>
            <w:tcBorders>
              <w:top w:val="single" w:color="auto" w:sz="12" w:space="0"/>
            </w:tcBorders>
            <w:noWrap w:val="0"/>
            <w:vAlign w:val="center"/>
          </w:tcPr>
          <w:p>
            <w:pPr>
              <w:widowControl/>
              <w:tabs>
                <w:tab w:val="center" w:pos="4201"/>
                <w:tab w:val="right" w:leader="dot" w:pos="9298"/>
              </w:tabs>
              <w:autoSpaceDE w:val="0"/>
              <w:autoSpaceDN w:val="0"/>
              <w:jc w:val="left"/>
              <w:rPr>
                <w:rFonts w:ascii="宋体"/>
                <w:kern w:val="0"/>
                <w:sz w:val="18"/>
                <w:szCs w:val="18"/>
                <w:highlight w:val="none"/>
              </w:rPr>
            </w:pPr>
            <w:r>
              <w:rPr>
                <w:rFonts w:hint="eastAsia" w:ascii="宋体"/>
                <w:sz w:val="18"/>
                <w:szCs w:val="18"/>
                <w:highlight w:val="none"/>
              </w:rPr>
              <w:t>申报认定评价的主营业务应属于新能源汽车整车制造、动力电池系统及核心零部件制造、新能源汽车电机/发动机制造、新能源汽车控制系统制造、新能源汽车电附件制造等新能源汽车产品制造产业</w:t>
            </w:r>
            <w:r>
              <w:rPr>
                <w:rFonts w:hint="eastAsia" w:ascii="宋体" w:hAnsi="Times New Roman" w:cs="Times New Roman"/>
                <w:sz w:val="18"/>
                <w:szCs w:val="18"/>
                <w:highlight w:val="none"/>
              </w:rPr>
              <w:t>，且其绿色业务占比达到50%或以上，或跨界规模达到1亿元、在国内外新兴领域超前领先。</w:t>
            </w:r>
          </w:p>
        </w:tc>
        <w:tc>
          <w:tcPr>
            <w:tcW w:w="610" w:type="pct"/>
            <w:tcBorders>
              <w:top w:val="single" w:color="auto" w:sz="12" w:space="0"/>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是/否</w:t>
            </w:r>
          </w:p>
        </w:tc>
        <w:tc>
          <w:tcPr>
            <w:tcW w:w="611" w:type="pct"/>
            <w:tcBorders>
              <w:top w:val="single" w:color="auto" w:sz="12" w:space="0"/>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611" w:type="pct"/>
            <w:vMerge w:val="continue"/>
            <w:tcBorders>
              <w:bottom w:val="single" w:color="auto" w:sz="12" w:space="0"/>
            </w:tcBorders>
            <w:noWrap w:val="0"/>
            <w:vAlign w:val="center"/>
          </w:tcPr>
          <w:p>
            <w:pPr>
              <w:autoSpaceDE w:val="0"/>
              <w:autoSpaceDN w:val="0"/>
              <w:jc w:val="center"/>
              <w:rPr>
                <w:rFonts w:ascii="宋体"/>
                <w:b/>
                <w:sz w:val="18"/>
                <w:szCs w:val="18"/>
                <w:highlight w:val="none"/>
              </w:rPr>
            </w:pPr>
          </w:p>
        </w:tc>
        <w:tc>
          <w:tcPr>
            <w:tcW w:w="653" w:type="pct"/>
            <w:tcBorders>
              <w:bottom w:val="single" w:color="auto" w:sz="12" w:space="0"/>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技术符合</w:t>
            </w:r>
          </w:p>
        </w:tc>
        <w:tc>
          <w:tcPr>
            <w:tcW w:w="2512" w:type="pct"/>
            <w:tcBorders>
              <w:bottom w:val="single" w:color="auto" w:sz="12" w:space="0"/>
            </w:tcBorders>
            <w:noWrap w:val="0"/>
            <w:vAlign w:val="center"/>
          </w:tcPr>
          <w:p>
            <w:pPr>
              <w:widowControl/>
              <w:tabs>
                <w:tab w:val="center" w:pos="4201"/>
                <w:tab w:val="right" w:leader="dot" w:pos="9298"/>
              </w:tabs>
              <w:autoSpaceDE w:val="0"/>
              <w:autoSpaceDN w:val="0"/>
              <w:jc w:val="left"/>
              <w:rPr>
                <w:rFonts w:ascii="宋体"/>
                <w:kern w:val="0"/>
                <w:sz w:val="18"/>
                <w:szCs w:val="18"/>
                <w:highlight w:val="none"/>
              </w:rPr>
            </w:pPr>
            <w:r>
              <w:rPr>
                <w:rFonts w:hint="eastAsia" w:ascii="宋体"/>
                <w:sz w:val="18"/>
                <w:szCs w:val="18"/>
                <w:highlight w:val="none"/>
              </w:rPr>
              <w:t>提供的产品或服务应符合国家、广东省及深圳市相关主管部门发布文件列明的有关设计、能效、性能、安全、贮存、回收、标识、验收、管理、运维等技术要求。</w:t>
            </w:r>
          </w:p>
        </w:tc>
        <w:tc>
          <w:tcPr>
            <w:tcW w:w="610" w:type="pct"/>
            <w:tcBorders>
              <w:bottom w:val="single" w:color="auto" w:sz="12" w:space="0"/>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是/否</w:t>
            </w:r>
          </w:p>
        </w:tc>
        <w:tc>
          <w:tcPr>
            <w:tcW w:w="611" w:type="pct"/>
            <w:tcBorders>
              <w:bottom w:val="single" w:color="auto" w:sz="12" w:space="0"/>
            </w:tcBorders>
            <w:noWrap w:val="0"/>
            <w:vAlign w:val="center"/>
          </w:tcPr>
          <w:p>
            <w:pPr>
              <w:autoSpaceDE w:val="0"/>
              <w:autoSpaceDN w:val="0"/>
              <w:jc w:val="center"/>
              <w:rPr>
                <w:rFonts w:ascii="宋体"/>
                <w:sz w:val="18"/>
                <w:szCs w:val="18"/>
                <w:highlight w:val="none"/>
              </w:rPr>
            </w:pPr>
          </w:p>
        </w:tc>
      </w:tr>
    </w:tbl>
    <w:p>
      <w:pPr>
        <w:numPr>
          <w:ilvl w:val="1"/>
          <w:numId w:val="0"/>
        </w:numPr>
        <w:spacing w:before="312" w:beforeLines="100" w:after="156" w:afterLines="50"/>
        <w:jc w:val="center"/>
        <w:rPr>
          <w:rFonts w:ascii="黑体" w:hAnsi="黑体" w:eastAsia="黑体" w:cs="黑体"/>
          <w:szCs w:val="21"/>
          <w:highlight w:val="none"/>
        </w:rPr>
      </w:pPr>
      <w:r>
        <w:rPr>
          <w:rFonts w:hint="eastAsia" w:ascii="黑体" w:hAnsi="黑体" w:eastAsia="黑体" w:cs="黑体"/>
          <w:szCs w:val="21"/>
          <w:highlight w:val="none"/>
        </w:rPr>
        <w:t xml:space="preserve">表A.2 </w:t>
      </w:r>
      <w:r>
        <w:rPr>
          <w:rFonts w:hint="eastAsia" w:ascii="黑体" w:hAnsi="黑体" w:eastAsia="黑体" w:cs="黑体"/>
          <w:szCs w:val="21"/>
          <w:highlight w:val="none"/>
          <w:lang w:val="en-US" w:eastAsia="zh-CN"/>
        </w:rPr>
        <w:t>新能源汽车产品</w:t>
      </w:r>
      <w:r>
        <w:rPr>
          <w:rFonts w:hint="eastAsia" w:ascii="黑体" w:hAnsi="黑体" w:eastAsia="黑体" w:cs="黑体"/>
          <w:szCs w:val="21"/>
          <w:highlight w:val="none"/>
        </w:rPr>
        <w:t>行业绿色低碳产业</w:t>
      </w:r>
      <w:r>
        <w:rPr>
          <w:rFonts w:hint="eastAsia" w:ascii="黑体" w:hAnsi="黑体" w:eastAsia="黑体" w:cs="黑体"/>
          <w:szCs w:val="21"/>
          <w:highlight w:val="none"/>
          <w:lang w:val="en-US" w:eastAsia="zh-CN"/>
        </w:rPr>
        <w:t>企业</w:t>
      </w:r>
      <w:r>
        <w:rPr>
          <w:rFonts w:hint="eastAsia" w:ascii="黑体" w:hAnsi="黑体" w:eastAsia="黑体" w:cs="黑体"/>
          <w:szCs w:val="21"/>
          <w:highlight w:val="none"/>
        </w:rPr>
        <w:t>认定综合评价指标表</w:t>
      </w:r>
    </w:p>
    <w:tbl>
      <w:tblPr>
        <w:tblStyle w:val="35"/>
        <w:tblpPr w:leftFromText="180" w:rightFromText="180" w:vertAnchor="text" w:tblpXSpec="center" w:tblpY="1"/>
        <w:tblOverlap w:val="never"/>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606"/>
        <w:gridCol w:w="218"/>
        <w:gridCol w:w="840"/>
        <w:gridCol w:w="1981"/>
        <w:gridCol w:w="3022"/>
        <w:gridCol w:w="1188"/>
        <w:gridCol w:w="11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tcBorders>
              <w:bottom w:val="single" w:color="auto" w:sz="12" w:space="0"/>
            </w:tcBorders>
            <w:noWrap w:val="0"/>
            <w:vAlign w:val="center"/>
          </w:tcPr>
          <w:p>
            <w:pPr>
              <w:autoSpaceDE w:val="0"/>
              <w:autoSpaceDN w:val="0"/>
              <w:jc w:val="center"/>
              <w:rPr>
                <w:rFonts w:ascii="宋体"/>
                <w:b/>
                <w:sz w:val="18"/>
                <w:szCs w:val="18"/>
                <w:highlight w:val="none"/>
              </w:rPr>
            </w:pPr>
            <w:r>
              <w:rPr>
                <w:rFonts w:ascii="宋体"/>
                <w:b/>
                <w:sz w:val="18"/>
                <w:szCs w:val="18"/>
                <w:highlight w:val="none"/>
              </w:rPr>
              <w:t>一级指标</w:t>
            </w:r>
          </w:p>
        </w:tc>
        <w:tc>
          <w:tcPr>
            <w:tcW w:w="317" w:type="pct"/>
            <w:tcBorders>
              <w:bottom w:val="single" w:color="auto" w:sz="12" w:space="0"/>
            </w:tcBorders>
            <w:noWrap w:val="0"/>
            <w:vAlign w:val="center"/>
          </w:tcPr>
          <w:p>
            <w:pPr>
              <w:autoSpaceDE w:val="0"/>
              <w:autoSpaceDN w:val="0"/>
              <w:jc w:val="center"/>
              <w:rPr>
                <w:rFonts w:ascii="宋体"/>
                <w:b/>
                <w:sz w:val="18"/>
                <w:szCs w:val="18"/>
                <w:highlight w:val="none"/>
              </w:rPr>
            </w:pPr>
            <w:r>
              <w:rPr>
                <w:rFonts w:ascii="宋体"/>
                <w:b/>
                <w:sz w:val="18"/>
                <w:szCs w:val="18"/>
                <w:highlight w:val="none"/>
              </w:rPr>
              <w:t>二级指标</w:t>
            </w:r>
          </w:p>
        </w:tc>
        <w:tc>
          <w:tcPr>
            <w:tcW w:w="552" w:type="pct"/>
            <w:gridSpan w:val="2"/>
            <w:tcBorders>
              <w:bottom w:val="single" w:color="auto" w:sz="12" w:space="0"/>
            </w:tcBorders>
            <w:noWrap w:val="0"/>
            <w:vAlign w:val="center"/>
          </w:tcPr>
          <w:p>
            <w:pPr>
              <w:autoSpaceDE w:val="0"/>
              <w:autoSpaceDN w:val="0"/>
              <w:jc w:val="center"/>
              <w:rPr>
                <w:rFonts w:ascii="宋体"/>
                <w:b/>
                <w:sz w:val="18"/>
                <w:szCs w:val="18"/>
                <w:highlight w:val="none"/>
              </w:rPr>
            </w:pPr>
            <w:r>
              <w:rPr>
                <w:rFonts w:ascii="宋体"/>
                <w:b/>
                <w:sz w:val="18"/>
                <w:szCs w:val="18"/>
                <w:highlight w:val="none"/>
              </w:rPr>
              <w:t>三级指标</w:t>
            </w:r>
          </w:p>
        </w:tc>
        <w:tc>
          <w:tcPr>
            <w:tcW w:w="1036" w:type="pct"/>
            <w:tcBorders>
              <w:bottom w:val="single" w:color="auto" w:sz="12" w:space="0"/>
            </w:tcBorders>
            <w:noWrap w:val="0"/>
            <w:vAlign w:val="center"/>
          </w:tcPr>
          <w:p>
            <w:pPr>
              <w:autoSpaceDE w:val="0"/>
              <w:autoSpaceDN w:val="0"/>
              <w:jc w:val="center"/>
              <w:rPr>
                <w:rFonts w:ascii="宋体"/>
                <w:b/>
                <w:sz w:val="18"/>
                <w:szCs w:val="18"/>
                <w:highlight w:val="none"/>
              </w:rPr>
            </w:pPr>
            <w:r>
              <w:rPr>
                <w:rFonts w:ascii="宋体"/>
                <w:b/>
                <w:sz w:val="18"/>
                <w:szCs w:val="18"/>
                <w:highlight w:val="none"/>
              </w:rPr>
              <w:t>分值</w:t>
            </w:r>
            <w:r>
              <w:rPr>
                <w:rFonts w:hint="eastAsia" w:ascii="宋体"/>
                <w:b/>
                <w:sz w:val="18"/>
                <w:szCs w:val="18"/>
                <w:highlight w:val="none"/>
              </w:rPr>
              <w:t>（分）</w:t>
            </w:r>
          </w:p>
        </w:tc>
        <w:tc>
          <w:tcPr>
            <w:tcW w:w="1580" w:type="pct"/>
            <w:tcBorders>
              <w:bottom w:val="single" w:color="auto" w:sz="12" w:space="0"/>
            </w:tcBorders>
            <w:noWrap w:val="0"/>
            <w:vAlign w:val="center"/>
          </w:tcPr>
          <w:p>
            <w:pPr>
              <w:autoSpaceDE w:val="0"/>
              <w:autoSpaceDN w:val="0"/>
              <w:jc w:val="center"/>
              <w:rPr>
                <w:rFonts w:ascii="宋体"/>
                <w:b/>
                <w:sz w:val="18"/>
                <w:szCs w:val="18"/>
                <w:highlight w:val="none"/>
              </w:rPr>
            </w:pPr>
            <w:r>
              <w:rPr>
                <w:rFonts w:ascii="宋体"/>
                <w:b/>
                <w:sz w:val="18"/>
                <w:szCs w:val="18"/>
                <w:highlight w:val="none"/>
              </w:rPr>
              <w:t>评价得分</w:t>
            </w:r>
            <w:r>
              <w:rPr>
                <w:rFonts w:hint="eastAsia" w:ascii="宋体"/>
                <w:b/>
                <w:sz w:val="18"/>
                <w:szCs w:val="18"/>
                <w:highlight w:val="none"/>
              </w:rPr>
              <w:t>（分）</w:t>
            </w:r>
          </w:p>
        </w:tc>
        <w:tc>
          <w:tcPr>
            <w:tcW w:w="620" w:type="pct"/>
            <w:tcBorders>
              <w:bottom w:val="single" w:color="auto" w:sz="12" w:space="0"/>
            </w:tcBorders>
            <w:noWrap w:val="0"/>
            <w:vAlign w:val="center"/>
          </w:tcPr>
          <w:p>
            <w:pPr>
              <w:autoSpaceDE w:val="0"/>
              <w:autoSpaceDN w:val="0"/>
              <w:jc w:val="center"/>
              <w:rPr>
                <w:rFonts w:ascii="宋体"/>
                <w:b/>
                <w:sz w:val="18"/>
                <w:szCs w:val="18"/>
                <w:highlight w:val="none"/>
              </w:rPr>
            </w:pPr>
            <w:r>
              <w:rPr>
                <w:rFonts w:ascii="宋体"/>
                <w:b/>
                <w:sz w:val="18"/>
                <w:szCs w:val="18"/>
                <w:highlight w:val="none"/>
              </w:rPr>
              <w:t>分值</w:t>
            </w:r>
            <w:r>
              <w:rPr>
                <w:rFonts w:hint="eastAsia" w:ascii="宋体"/>
                <w:b/>
                <w:sz w:val="18"/>
                <w:szCs w:val="18"/>
                <w:highlight w:val="none"/>
              </w:rPr>
              <w:t>（分）</w:t>
            </w:r>
          </w:p>
        </w:tc>
        <w:tc>
          <w:tcPr>
            <w:tcW w:w="588" w:type="pct"/>
            <w:tcBorders>
              <w:bottom w:val="single" w:color="auto" w:sz="12" w:space="0"/>
            </w:tcBorders>
            <w:noWrap w:val="0"/>
            <w:vAlign w:val="center"/>
          </w:tcPr>
          <w:p>
            <w:pPr>
              <w:autoSpaceDE w:val="0"/>
              <w:autoSpaceDN w:val="0"/>
              <w:jc w:val="center"/>
              <w:rPr>
                <w:rFonts w:ascii="宋体"/>
                <w:b/>
                <w:sz w:val="18"/>
                <w:szCs w:val="18"/>
                <w:highlight w:val="none"/>
              </w:rPr>
            </w:pPr>
            <w:r>
              <w:rPr>
                <w:rFonts w:ascii="宋体"/>
                <w:b/>
                <w:sz w:val="18"/>
                <w:szCs w:val="18"/>
                <w:highlight w:val="none"/>
              </w:rPr>
              <w:t>得分</w:t>
            </w:r>
            <w:r>
              <w:rPr>
                <w:rFonts w:hint="eastAsia" w:ascii="宋体"/>
                <w:b/>
                <w:sz w:val="18"/>
                <w:szCs w:val="18"/>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restart"/>
            <w:tcBorders>
              <w:top w:val="single" w:color="auto" w:sz="12" w:space="0"/>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技术表现</w:t>
            </w:r>
          </w:p>
        </w:tc>
        <w:tc>
          <w:tcPr>
            <w:tcW w:w="317" w:type="pct"/>
            <w:vMerge w:val="restart"/>
            <w:tcBorders>
              <w:top w:val="single" w:color="auto" w:sz="12" w:space="0"/>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先进性</w:t>
            </w:r>
          </w:p>
        </w:tc>
        <w:tc>
          <w:tcPr>
            <w:tcW w:w="552" w:type="pct"/>
            <w:gridSpan w:val="2"/>
            <w:tcBorders>
              <w:top w:val="single" w:color="auto" w:sz="12" w:space="0"/>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有效知识产权</w:t>
            </w:r>
          </w:p>
        </w:tc>
        <w:tc>
          <w:tcPr>
            <w:tcW w:w="1036" w:type="pct"/>
            <w:tcBorders>
              <w:top w:val="single" w:color="auto" w:sz="12" w:space="0"/>
              <w:tl2br w:val="nil"/>
              <w:tr2bl w:val="nil"/>
            </w:tcBorders>
            <w:noWrap w:val="0"/>
            <w:vAlign w:val="center"/>
          </w:tcPr>
          <w:p>
            <w:pPr>
              <w:autoSpaceDE w:val="0"/>
              <w:autoSpaceDN w:val="0"/>
              <w:jc w:val="left"/>
              <w:rPr>
                <w:rFonts w:ascii="宋体" w:hAnsi="宋体" w:cs="宋体"/>
                <w:sz w:val="18"/>
                <w:szCs w:val="18"/>
                <w:highlight w:val="none"/>
              </w:rPr>
            </w:pPr>
            <w:r>
              <w:rPr>
                <w:rFonts w:hint="eastAsia" w:hAnsi="宋体" w:cs="宋体"/>
                <w:sz w:val="18"/>
                <w:szCs w:val="18"/>
                <w:highlight w:val="none"/>
                <w:lang w:val="en-US" w:eastAsia="zh-CN"/>
              </w:rPr>
              <w:t>获得有效知识产权的数量。</w:t>
            </w:r>
          </w:p>
        </w:tc>
        <w:tc>
          <w:tcPr>
            <w:tcW w:w="1580" w:type="pct"/>
            <w:tcBorders>
              <w:top w:val="single" w:color="auto" w:sz="12" w:space="0"/>
              <w:tl2br w:val="nil"/>
              <w:tr2bl w:val="nil"/>
            </w:tcBorders>
            <w:noWrap w:val="0"/>
            <w:vAlign w:val="center"/>
          </w:tcPr>
          <w:p>
            <w:pPr>
              <w:pStyle w:val="24"/>
              <w:ind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a.≥</w:t>
            </w:r>
            <w:r>
              <w:rPr>
                <w:rFonts w:hint="eastAsia" w:hAnsi="宋体" w:cs="宋体"/>
                <w:sz w:val="18"/>
                <w:szCs w:val="18"/>
                <w:highlight w:val="none"/>
                <w:lang w:val="en-US" w:eastAsia="zh-CN"/>
              </w:rPr>
              <w:t>20</w:t>
            </w:r>
            <w:r>
              <w:rPr>
                <w:rFonts w:hint="eastAsia" w:ascii="宋体" w:hAnsi="宋体" w:eastAsia="宋体" w:cs="宋体"/>
                <w:sz w:val="18"/>
                <w:szCs w:val="18"/>
                <w:highlight w:val="none"/>
                <w:lang w:val="en-US" w:eastAsia="zh-CN"/>
              </w:rPr>
              <w:t>（</w:t>
            </w:r>
            <w:r>
              <w:rPr>
                <w:rFonts w:hint="eastAsia" w:hAnsi="宋体" w:cs="宋体"/>
                <w:sz w:val="18"/>
                <w:szCs w:val="18"/>
                <w:highlight w:val="none"/>
                <w:lang w:val="en-US" w:eastAsia="zh-CN"/>
              </w:rPr>
              <w:t>4</w:t>
            </w:r>
            <w:r>
              <w:rPr>
                <w:rFonts w:hint="eastAsia" w:ascii="宋体" w:hAnsi="宋体" w:eastAsia="宋体" w:cs="宋体"/>
                <w:sz w:val="18"/>
                <w:szCs w:val="18"/>
                <w:highlight w:val="none"/>
                <w:lang w:val="en-US" w:eastAsia="zh-CN"/>
              </w:rPr>
              <w:t>分）；</w:t>
            </w:r>
          </w:p>
          <w:p>
            <w:pPr>
              <w:pStyle w:val="24"/>
              <w:ind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b.[</w:t>
            </w:r>
            <w:r>
              <w:rPr>
                <w:rFonts w:hint="eastAsia" w:hAnsi="宋体" w:cs="宋体"/>
                <w:sz w:val="18"/>
                <w:szCs w:val="18"/>
                <w:highlight w:val="none"/>
                <w:lang w:val="en-US" w:eastAsia="zh-CN"/>
              </w:rPr>
              <w:t>10</w:t>
            </w:r>
            <w:r>
              <w:rPr>
                <w:rFonts w:hint="eastAsia" w:ascii="宋体" w:hAnsi="宋体" w:eastAsia="宋体" w:cs="宋体"/>
                <w:sz w:val="18"/>
                <w:szCs w:val="18"/>
                <w:highlight w:val="none"/>
                <w:lang w:val="en-US" w:eastAsia="zh-CN"/>
              </w:rPr>
              <w:t>,</w:t>
            </w:r>
            <w:r>
              <w:rPr>
                <w:rFonts w:hint="eastAsia" w:hAnsi="宋体" w:cs="宋体"/>
                <w:sz w:val="18"/>
                <w:szCs w:val="18"/>
                <w:highlight w:val="none"/>
                <w:lang w:val="en-US" w:eastAsia="zh-CN"/>
              </w:rPr>
              <w:t>20</w:t>
            </w:r>
            <w:r>
              <w:rPr>
                <w:rFonts w:hint="eastAsia" w:ascii="宋体" w:hAnsi="宋体" w:eastAsia="宋体" w:cs="宋体"/>
                <w:sz w:val="18"/>
                <w:szCs w:val="18"/>
                <w:highlight w:val="none"/>
                <w:lang w:val="en-US" w:eastAsia="zh-CN"/>
              </w:rPr>
              <w:t>)（</w:t>
            </w:r>
            <w:r>
              <w:rPr>
                <w:rFonts w:hint="eastAsia" w:hAnsi="宋体" w:cs="宋体"/>
                <w:sz w:val="18"/>
                <w:szCs w:val="18"/>
                <w:highlight w:val="none"/>
                <w:lang w:val="en-US" w:eastAsia="zh-CN"/>
              </w:rPr>
              <w:t>2</w:t>
            </w:r>
            <w:r>
              <w:rPr>
                <w:rFonts w:hint="eastAsia" w:ascii="宋体" w:hAnsi="宋体" w:eastAsia="宋体" w:cs="宋体"/>
                <w:sz w:val="18"/>
                <w:szCs w:val="18"/>
                <w:highlight w:val="none"/>
                <w:lang w:val="en-US" w:eastAsia="zh-CN"/>
              </w:rPr>
              <w:t>分）；</w:t>
            </w:r>
          </w:p>
          <w:p>
            <w:pPr>
              <w:pStyle w:val="24"/>
              <w:ind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c.[1,</w:t>
            </w:r>
            <w:r>
              <w:rPr>
                <w:rFonts w:hint="eastAsia" w:hAnsi="宋体" w:cs="宋体"/>
                <w:sz w:val="18"/>
                <w:szCs w:val="18"/>
                <w:highlight w:val="none"/>
                <w:lang w:val="en-US" w:eastAsia="zh-CN"/>
              </w:rPr>
              <w:t>10</w:t>
            </w:r>
            <w:r>
              <w:rPr>
                <w:rFonts w:hint="eastAsia" w:ascii="宋体" w:hAnsi="宋体" w:eastAsia="宋体" w:cs="宋体"/>
                <w:sz w:val="18"/>
                <w:szCs w:val="18"/>
                <w:highlight w:val="none"/>
                <w:lang w:val="en-US" w:eastAsia="zh-CN"/>
              </w:rPr>
              <w:t>)（</w:t>
            </w:r>
            <w:r>
              <w:rPr>
                <w:rFonts w:hint="eastAsia" w:hAnsi="宋体" w:cs="宋体"/>
                <w:sz w:val="18"/>
                <w:szCs w:val="18"/>
                <w:highlight w:val="none"/>
                <w:lang w:val="en-US" w:eastAsia="zh-CN"/>
              </w:rPr>
              <w:t>0.5</w:t>
            </w:r>
            <w:r>
              <w:rPr>
                <w:rFonts w:hint="eastAsia" w:ascii="宋体" w:hAnsi="宋体" w:eastAsia="宋体" w:cs="宋体"/>
                <w:sz w:val="18"/>
                <w:szCs w:val="18"/>
                <w:highlight w:val="none"/>
                <w:lang w:val="en-US" w:eastAsia="zh-CN"/>
              </w:rPr>
              <w:t>分）；</w:t>
            </w:r>
          </w:p>
          <w:p>
            <w:pPr>
              <w:autoSpaceDE w:val="0"/>
              <w:autoSpaceDN w:val="0"/>
              <w:jc w:val="both"/>
              <w:rPr>
                <w:rFonts w:ascii="宋体"/>
                <w:sz w:val="18"/>
                <w:szCs w:val="18"/>
                <w:highlight w:val="none"/>
              </w:rPr>
            </w:pPr>
            <w:r>
              <w:rPr>
                <w:rFonts w:hint="eastAsia" w:ascii="宋体" w:hAnsi="宋体" w:eastAsia="宋体" w:cs="宋体"/>
                <w:sz w:val="18"/>
                <w:szCs w:val="18"/>
                <w:highlight w:val="none"/>
                <w:lang w:val="en-US" w:eastAsia="zh-CN"/>
              </w:rPr>
              <w:t>d.（0,1)（0分）。</w:t>
            </w:r>
          </w:p>
        </w:tc>
        <w:tc>
          <w:tcPr>
            <w:tcW w:w="620" w:type="pct"/>
            <w:tcBorders>
              <w:top w:val="single" w:color="auto" w:sz="12" w:space="0"/>
              <w:tl2br w:val="nil"/>
              <w:tr2bl w:val="nil"/>
            </w:tcBorders>
            <w:noWrap w:val="0"/>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4</w:t>
            </w:r>
          </w:p>
        </w:tc>
        <w:tc>
          <w:tcPr>
            <w:tcW w:w="588" w:type="pct"/>
            <w:tcBorders>
              <w:top w:val="single" w:color="auto" w:sz="12" w:space="0"/>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317"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552" w:type="pct"/>
            <w:gridSpan w:val="2"/>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参与制修订标准</w:t>
            </w:r>
          </w:p>
        </w:tc>
        <w:tc>
          <w:tcPr>
            <w:tcW w:w="1036" w:type="pct"/>
            <w:tcBorders>
              <w:tl2br w:val="nil"/>
              <w:tr2bl w:val="nil"/>
            </w:tcBorders>
            <w:noWrap w:val="0"/>
            <w:vAlign w:val="center"/>
          </w:tcPr>
          <w:p>
            <w:pPr>
              <w:autoSpaceDE w:val="0"/>
              <w:autoSpaceDN w:val="0"/>
              <w:jc w:val="left"/>
              <w:rPr>
                <w:rFonts w:ascii="宋体" w:hAnsi="宋体" w:cs="宋体"/>
                <w:sz w:val="18"/>
                <w:szCs w:val="18"/>
                <w:highlight w:val="none"/>
              </w:rPr>
            </w:pPr>
            <w:r>
              <w:rPr>
                <w:rFonts w:hint="eastAsia" w:hAnsi="宋体" w:cs="宋体"/>
                <w:sz w:val="18"/>
                <w:szCs w:val="18"/>
                <w:highlight w:val="none"/>
                <w:lang w:val="en-US" w:eastAsia="zh-CN"/>
              </w:rPr>
              <w:t>参与制修订标准的数量。</w:t>
            </w:r>
          </w:p>
        </w:tc>
        <w:tc>
          <w:tcPr>
            <w:tcW w:w="1580" w:type="pct"/>
            <w:tcBorders>
              <w:tl2br w:val="nil"/>
              <w:tr2bl w:val="nil"/>
            </w:tcBorders>
            <w:noWrap w:val="0"/>
            <w:vAlign w:val="center"/>
          </w:tcPr>
          <w:p>
            <w:pPr>
              <w:pStyle w:val="24"/>
              <w:ind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a.≥</w:t>
            </w:r>
            <w:r>
              <w:rPr>
                <w:rFonts w:hint="eastAsia" w:hAnsi="宋体" w:cs="宋体"/>
                <w:sz w:val="18"/>
                <w:szCs w:val="18"/>
                <w:highlight w:val="none"/>
                <w:lang w:val="en-US" w:eastAsia="zh-CN"/>
              </w:rPr>
              <w:t>4</w:t>
            </w:r>
            <w:r>
              <w:rPr>
                <w:rFonts w:hint="eastAsia" w:ascii="宋体" w:hAnsi="宋体" w:eastAsia="宋体" w:cs="宋体"/>
                <w:sz w:val="18"/>
                <w:szCs w:val="18"/>
                <w:highlight w:val="none"/>
                <w:lang w:val="en-US" w:eastAsia="zh-CN"/>
              </w:rPr>
              <w:t>（</w:t>
            </w:r>
            <w:r>
              <w:rPr>
                <w:rFonts w:hint="eastAsia" w:hAnsi="宋体" w:cs="宋体"/>
                <w:sz w:val="18"/>
                <w:szCs w:val="18"/>
                <w:highlight w:val="none"/>
                <w:lang w:val="en-US" w:eastAsia="zh-CN"/>
              </w:rPr>
              <w:t>4</w:t>
            </w:r>
            <w:r>
              <w:rPr>
                <w:rFonts w:hint="eastAsia" w:ascii="宋体" w:hAnsi="宋体" w:eastAsia="宋体" w:cs="宋体"/>
                <w:sz w:val="18"/>
                <w:szCs w:val="18"/>
                <w:highlight w:val="none"/>
                <w:lang w:val="en-US" w:eastAsia="zh-CN"/>
              </w:rPr>
              <w:t>分）；</w:t>
            </w:r>
          </w:p>
          <w:p>
            <w:pPr>
              <w:pStyle w:val="24"/>
              <w:ind w:firstLine="0" w:firstLineChars="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b.[</w:t>
            </w:r>
            <w:r>
              <w:rPr>
                <w:rFonts w:hint="eastAsia" w:hAnsi="宋体" w:cs="宋体"/>
                <w:sz w:val="18"/>
                <w:szCs w:val="18"/>
                <w:highlight w:val="none"/>
                <w:lang w:val="en-US" w:eastAsia="zh-CN"/>
              </w:rPr>
              <w:t>2</w:t>
            </w:r>
            <w:r>
              <w:rPr>
                <w:rFonts w:hint="eastAsia" w:ascii="宋体" w:hAnsi="宋体" w:eastAsia="宋体" w:cs="宋体"/>
                <w:sz w:val="18"/>
                <w:szCs w:val="18"/>
                <w:highlight w:val="none"/>
                <w:lang w:val="en-US" w:eastAsia="zh-CN"/>
              </w:rPr>
              <w:t>,</w:t>
            </w:r>
            <w:r>
              <w:rPr>
                <w:rFonts w:hint="eastAsia" w:hAnsi="宋体" w:cs="宋体"/>
                <w:sz w:val="18"/>
                <w:szCs w:val="18"/>
                <w:highlight w:val="none"/>
                <w:lang w:val="en-US" w:eastAsia="zh-CN"/>
              </w:rPr>
              <w:t>4</w:t>
            </w:r>
            <w:r>
              <w:rPr>
                <w:rFonts w:hint="eastAsia" w:ascii="宋体" w:hAnsi="宋体" w:eastAsia="宋体" w:cs="宋体"/>
                <w:sz w:val="18"/>
                <w:szCs w:val="18"/>
                <w:highlight w:val="none"/>
                <w:lang w:val="en-US" w:eastAsia="zh-CN"/>
              </w:rPr>
              <w:t>)（2分）；</w:t>
            </w:r>
          </w:p>
          <w:p>
            <w:pPr>
              <w:autoSpaceDE w:val="0"/>
              <w:autoSpaceDN w:val="0"/>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c.（0,</w:t>
            </w:r>
            <w:r>
              <w:rPr>
                <w:rFonts w:hint="eastAsia" w:ascii="宋体" w:hAnsi="宋体" w:cs="宋体"/>
                <w:sz w:val="18"/>
                <w:szCs w:val="18"/>
                <w:highlight w:val="none"/>
                <w:lang w:val="en-US" w:eastAsia="zh-CN"/>
              </w:rPr>
              <w:t>2</w:t>
            </w:r>
            <w:r>
              <w:rPr>
                <w:rFonts w:hint="eastAsia" w:ascii="宋体" w:hAnsi="宋体" w:eastAsia="宋体" w:cs="宋体"/>
                <w:sz w:val="18"/>
                <w:szCs w:val="18"/>
                <w:highlight w:val="none"/>
                <w:lang w:val="en-US" w:eastAsia="zh-CN"/>
              </w:rPr>
              <w:t>)（</w:t>
            </w:r>
            <w:r>
              <w:rPr>
                <w:rFonts w:hint="eastAsia" w:ascii="宋体" w:hAnsi="宋体" w:cs="宋体"/>
                <w:sz w:val="18"/>
                <w:szCs w:val="18"/>
                <w:highlight w:val="none"/>
                <w:lang w:val="en-US" w:eastAsia="zh-CN"/>
              </w:rPr>
              <w:t>0</w:t>
            </w:r>
            <w:r>
              <w:rPr>
                <w:rFonts w:hint="eastAsia" w:ascii="宋体" w:hAnsi="宋体" w:eastAsia="宋体" w:cs="宋体"/>
                <w:sz w:val="18"/>
                <w:szCs w:val="18"/>
                <w:highlight w:val="none"/>
                <w:lang w:val="en-US" w:eastAsia="zh-CN"/>
              </w:rPr>
              <w:t>分）。</w:t>
            </w:r>
          </w:p>
        </w:tc>
        <w:tc>
          <w:tcPr>
            <w:tcW w:w="620" w:type="pct"/>
            <w:tcBorders>
              <w:tl2br w:val="nil"/>
              <w:tr2bl w:val="nil"/>
            </w:tcBorders>
            <w:noWrap w:val="0"/>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4</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317"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552" w:type="pct"/>
            <w:gridSpan w:val="2"/>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sz w:val="18"/>
                <w:szCs w:val="18"/>
                <w:highlight w:val="none"/>
              </w:rPr>
              <w:t>关键技术先进性</w:t>
            </w:r>
          </w:p>
        </w:tc>
        <w:tc>
          <w:tcPr>
            <w:tcW w:w="1036" w:type="pct"/>
            <w:tcBorders>
              <w:tl2br w:val="nil"/>
              <w:tr2bl w:val="nil"/>
            </w:tcBorders>
            <w:noWrap w:val="0"/>
            <w:vAlign w:val="center"/>
          </w:tcPr>
          <w:p>
            <w:pPr>
              <w:autoSpaceDE w:val="0"/>
              <w:autoSpaceDN w:val="0"/>
              <w:jc w:val="left"/>
              <w:rPr>
                <w:rFonts w:ascii="宋体" w:hAnsi="宋体" w:cs="宋体"/>
                <w:sz w:val="18"/>
                <w:szCs w:val="18"/>
                <w:highlight w:val="none"/>
              </w:rPr>
            </w:pPr>
            <w:r>
              <w:rPr>
                <w:rFonts w:hint="eastAsia" w:ascii="宋体"/>
                <w:sz w:val="18"/>
                <w:szCs w:val="18"/>
                <w:highlight w:val="none"/>
              </w:rPr>
              <w:t>行业通用核心技术先进性或其子行业特色核心技术先进性水平。</w:t>
            </w:r>
          </w:p>
        </w:tc>
        <w:tc>
          <w:tcPr>
            <w:tcW w:w="1580" w:type="pct"/>
            <w:tcBorders>
              <w:tl2br w:val="nil"/>
              <w:tr2bl w:val="nil"/>
            </w:tcBorders>
            <w:noWrap w:val="0"/>
            <w:vAlign w:val="center"/>
          </w:tcPr>
          <w:p>
            <w:pPr>
              <w:autoSpaceDE w:val="0"/>
              <w:autoSpaceDN w:val="0"/>
              <w:jc w:val="left"/>
              <w:rPr>
                <w:rFonts w:hint="eastAsia" w:ascii="宋体"/>
                <w:sz w:val="18"/>
                <w:szCs w:val="18"/>
                <w:highlight w:val="none"/>
                <w:lang w:val="en-US" w:eastAsia="zh-CN"/>
              </w:rPr>
            </w:pPr>
            <w:r>
              <w:rPr>
                <w:rFonts w:hint="eastAsia" w:ascii="宋体"/>
                <w:sz w:val="18"/>
                <w:szCs w:val="18"/>
                <w:highlight w:val="none"/>
                <w:lang w:val="en-US" w:eastAsia="zh-CN"/>
              </w:rPr>
              <w:t>a.</w:t>
            </w:r>
            <w:r>
              <w:rPr>
                <w:rFonts w:hint="eastAsia" w:ascii="宋体"/>
                <w:sz w:val="18"/>
                <w:szCs w:val="18"/>
                <w:highlight w:val="none"/>
              </w:rPr>
              <w:t>在全面符合绿色低碳产业认定工作相关要求的基础上</w:t>
            </w:r>
            <w:r>
              <w:rPr>
                <w:rFonts w:hint="eastAsia" w:ascii="宋体"/>
                <w:sz w:val="18"/>
                <w:szCs w:val="18"/>
                <w:highlight w:val="none"/>
                <w:lang w:val="en-US" w:eastAsia="zh-CN"/>
              </w:rPr>
              <w:t>，处于行业领先水平，对产业（行业）具有显著技术引领作用。(8分,12分]；</w:t>
            </w:r>
          </w:p>
          <w:p>
            <w:pPr>
              <w:autoSpaceDE w:val="0"/>
              <w:autoSpaceDN w:val="0"/>
              <w:jc w:val="left"/>
              <w:rPr>
                <w:rFonts w:hint="eastAsia" w:ascii="宋体"/>
                <w:sz w:val="18"/>
                <w:szCs w:val="18"/>
                <w:highlight w:val="none"/>
                <w:lang w:val="en-US" w:eastAsia="zh-CN"/>
              </w:rPr>
            </w:pPr>
            <w:r>
              <w:rPr>
                <w:rFonts w:hint="eastAsia" w:ascii="宋体"/>
                <w:sz w:val="18"/>
                <w:szCs w:val="18"/>
                <w:highlight w:val="none"/>
                <w:lang w:val="en-US" w:eastAsia="zh-CN"/>
              </w:rPr>
              <w:t>b.</w:t>
            </w:r>
            <w:r>
              <w:rPr>
                <w:rFonts w:hint="eastAsia" w:ascii="宋体"/>
                <w:sz w:val="18"/>
                <w:szCs w:val="18"/>
                <w:highlight w:val="none"/>
              </w:rPr>
              <w:t>在全面符合绿色低碳产业认定工作相关要求的基础上</w:t>
            </w:r>
            <w:r>
              <w:rPr>
                <w:rFonts w:hint="eastAsia" w:ascii="宋体"/>
                <w:sz w:val="18"/>
                <w:szCs w:val="18"/>
                <w:highlight w:val="none"/>
                <w:lang w:val="en-US" w:eastAsia="zh-CN"/>
              </w:rPr>
              <w:t>，处于行业较好水平，对产业（行业）具有一定技术推动作用。(4分,8分]；</w:t>
            </w:r>
          </w:p>
          <w:p>
            <w:pPr>
              <w:autoSpaceDE w:val="0"/>
              <w:autoSpaceDN w:val="0"/>
              <w:jc w:val="left"/>
              <w:rPr>
                <w:rFonts w:hint="eastAsia" w:ascii="宋体"/>
                <w:sz w:val="18"/>
                <w:szCs w:val="18"/>
                <w:highlight w:val="none"/>
                <w:lang w:val="en-US" w:eastAsia="zh-CN"/>
              </w:rPr>
            </w:pPr>
            <w:r>
              <w:rPr>
                <w:rFonts w:hint="eastAsia" w:ascii="宋体"/>
                <w:sz w:val="18"/>
                <w:szCs w:val="18"/>
                <w:highlight w:val="none"/>
                <w:lang w:val="en-US" w:eastAsia="zh-CN"/>
              </w:rPr>
              <w:t>c.</w:t>
            </w:r>
            <w:r>
              <w:rPr>
                <w:rFonts w:hint="eastAsia" w:ascii="宋体"/>
                <w:sz w:val="18"/>
                <w:szCs w:val="18"/>
                <w:highlight w:val="none"/>
              </w:rPr>
              <w:t>在全面符合绿色低碳产业认定工作相关要求的基础上</w:t>
            </w:r>
            <w:r>
              <w:rPr>
                <w:rFonts w:hint="eastAsia" w:ascii="宋体"/>
                <w:sz w:val="18"/>
                <w:szCs w:val="18"/>
                <w:highlight w:val="none"/>
                <w:lang w:val="en-US" w:eastAsia="zh-CN"/>
              </w:rPr>
              <w:t>，处于行业平均水平。(0分,4分]；</w:t>
            </w:r>
          </w:p>
          <w:p>
            <w:pPr>
              <w:autoSpaceDE w:val="0"/>
              <w:autoSpaceDN w:val="0"/>
              <w:jc w:val="left"/>
              <w:rPr>
                <w:rFonts w:ascii="宋体"/>
                <w:sz w:val="18"/>
                <w:szCs w:val="18"/>
                <w:highlight w:val="none"/>
              </w:rPr>
            </w:pPr>
            <w:r>
              <w:rPr>
                <w:rFonts w:hint="eastAsia" w:ascii="宋体"/>
                <w:sz w:val="18"/>
                <w:szCs w:val="18"/>
                <w:highlight w:val="none"/>
                <w:lang w:val="en-US" w:eastAsia="zh-CN"/>
              </w:rPr>
              <w:t>d.未满足上述任何一项。（0分）。</w:t>
            </w:r>
          </w:p>
        </w:tc>
        <w:tc>
          <w:tcPr>
            <w:tcW w:w="620" w:type="pct"/>
            <w:tcBorders>
              <w:tl2br w:val="nil"/>
              <w:tr2bl w:val="nil"/>
            </w:tcBorders>
            <w:noWrap w:val="0"/>
            <w:vAlign w:val="center"/>
          </w:tcPr>
          <w:p>
            <w:pPr>
              <w:autoSpaceDE w:val="0"/>
              <w:autoSpaceDN w:val="0"/>
              <w:jc w:val="center"/>
              <w:rPr>
                <w:rFonts w:hint="default" w:ascii="宋体" w:eastAsia="宋体"/>
                <w:sz w:val="18"/>
                <w:szCs w:val="18"/>
                <w:highlight w:val="none"/>
                <w:lang w:val="en-US" w:eastAsia="zh-CN"/>
              </w:rPr>
            </w:pPr>
            <w:r>
              <w:rPr>
                <w:rFonts w:hint="eastAsia" w:ascii="宋体"/>
                <w:sz w:val="18"/>
                <w:szCs w:val="18"/>
                <w:highlight w:val="none"/>
                <w:lang w:val="en-US" w:eastAsia="zh-CN"/>
              </w:rPr>
              <w:t>12</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317" w:type="pct"/>
            <w:vMerge w:val="restart"/>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环境效益</w:t>
            </w:r>
          </w:p>
        </w:tc>
        <w:tc>
          <w:tcPr>
            <w:tcW w:w="552" w:type="pct"/>
            <w:gridSpan w:val="2"/>
            <w:tcBorders>
              <w:tl2br w:val="nil"/>
              <w:tr2bl w:val="nil"/>
            </w:tcBorders>
            <w:noWrap w:val="0"/>
            <w:vAlign w:val="center"/>
          </w:tcPr>
          <w:p>
            <w:pPr>
              <w:autoSpaceDE w:val="0"/>
              <w:autoSpaceDN w:val="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eastAsia="zh-CN"/>
              </w:rPr>
              <w:t>降碳效益</w:t>
            </w:r>
          </w:p>
        </w:tc>
        <w:tc>
          <w:tcPr>
            <w:tcW w:w="1036" w:type="pct"/>
            <w:tcBorders>
              <w:tl2br w:val="nil"/>
              <w:tr2bl w:val="nil"/>
            </w:tcBorders>
            <w:noWrap w:val="0"/>
            <w:vAlign w:val="center"/>
          </w:tcPr>
          <w:p>
            <w:pPr>
              <w:autoSpaceDE w:val="0"/>
              <w:autoSpaceDN w:val="0"/>
              <w:jc w:val="left"/>
              <w:rPr>
                <w:rFonts w:ascii="宋体" w:hAnsi="宋体" w:cs="宋体"/>
                <w:sz w:val="18"/>
                <w:szCs w:val="18"/>
                <w:highlight w:val="none"/>
              </w:rPr>
            </w:pPr>
            <w:r>
              <w:rPr>
                <w:rFonts w:hint="eastAsia" w:hAnsi="宋体" w:cs="宋体"/>
                <w:sz w:val="18"/>
                <w:szCs w:val="18"/>
                <w:highlight w:val="none"/>
              </w:rPr>
              <w:t>评估节能量、替代化石能源量</w:t>
            </w:r>
            <w:r>
              <w:rPr>
                <w:rFonts w:hint="eastAsia" w:hAnsi="宋体" w:cs="宋体"/>
                <w:sz w:val="18"/>
                <w:szCs w:val="18"/>
                <w:highlight w:val="none"/>
                <w:lang w:eastAsia="zh-CN"/>
              </w:rPr>
              <w:t>、</w:t>
            </w:r>
            <w:r>
              <w:rPr>
                <w:rFonts w:hint="eastAsia" w:hAnsi="宋体" w:cs="宋体"/>
                <w:sz w:val="18"/>
                <w:szCs w:val="18"/>
                <w:highlight w:val="none"/>
              </w:rPr>
              <w:t>碳减排量</w:t>
            </w:r>
            <w:r>
              <w:rPr>
                <w:rFonts w:hint="eastAsia" w:hAnsi="宋体" w:cs="宋体"/>
                <w:sz w:val="18"/>
                <w:szCs w:val="18"/>
                <w:highlight w:val="none"/>
                <w:lang w:val="en-US" w:eastAsia="zh-CN"/>
              </w:rPr>
              <w:t>。</w:t>
            </w:r>
          </w:p>
        </w:tc>
        <w:tc>
          <w:tcPr>
            <w:tcW w:w="1580" w:type="pct"/>
            <w:tcBorders>
              <w:tl2br w:val="nil"/>
              <w:tr2bl w:val="nil"/>
            </w:tcBorders>
            <w:noWrap w:val="0"/>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a.涉及环境效益种类较多，产生实际环境效益贡献量较高。(10分,15分]；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b.涉及环境效益种类一般，产生实际环境效益贡献量一般。(5分,10分]；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c.涉及环境效益种类较少，产生实际环境效益贡献量较少。(0分,5分]；</w:t>
            </w:r>
          </w:p>
          <w:p>
            <w:pPr>
              <w:pStyle w:val="24"/>
              <w:ind w:firstLine="0" w:firstLineChars="0"/>
              <w:jc w:val="left"/>
              <w:rPr>
                <w:rFonts w:ascii="宋体"/>
                <w:sz w:val="18"/>
                <w:szCs w:val="18"/>
                <w:highlight w:val="none"/>
              </w:rPr>
            </w:pPr>
            <w:r>
              <w:rPr>
                <w:rFonts w:hint="eastAsia" w:hAnsi="宋体" w:cs="宋体"/>
                <w:sz w:val="18"/>
                <w:szCs w:val="18"/>
                <w:highlight w:val="none"/>
                <w:lang w:val="en-US" w:eastAsia="zh-CN"/>
              </w:rPr>
              <w:t>d.未产生实际环境效益。（0分）。</w:t>
            </w:r>
          </w:p>
        </w:tc>
        <w:tc>
          <w:tcPr>
            <w:tcW w:w="620" w:type="pct"/>
            <w:tcBorders>
              <w:tl2br w:val="nil"/>
              <w:tr2bl w:val="nil"/>
            </w:tcBorders>
            <w:noWrap w:val="0"/>
            <w:vAlign w:val="center"/>
          </w:tcPr>
          <w:p>
            <w:pPr>
              <w:autoSpaceDE w:val="0"/>
              <w:autoSpaceDN w:val="0"/>
              <w:jc w:val="center"/>
              <w:rPr>
                <w:rFonts w:hint="default" w:ascii="宋体" w:eastAsia="宋体"/>
                <w:sz w:val="18"/>
                <w:szCs w:val="18"/>
                <w:highlight w:val="none"/>
                <w:lang w:val="en-US" w:eastAsia="zh-CN"/>
              </w:rPr>
            </w:pPr>
            <w:r>
              <w:rPr>
                <w:rFonts w:hint="eastAsia" w:ascii="宋体"/>
                <w:sz w:val="18"/>
                <w:szCs w:val="18"/>
                <w:highlight w:val="none"/>
                <w:lang w:val="en-US" w:eastAsia="zh-CN"/>
              </w:rPr>
              <w:t>15</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317"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552" w:type="pct"/>
            <w:gridSpan w:val="2"/>
            <w:tcBorders>
              <w:tl2br w:val="nil"/>
              <w:tr2bl w:val="nil"/>
            </w:tcBorders>
            <w:noWrap w:val="0"/>
            <w:vAlign w:val="center"/>
          </w:tcPr>
          <w:p>
            <w:pPr>
              <w:autoSpaceDE w:val="0"/>
              <w:autoSpaceDN w:val="0"/>
              <w:jc w:val="center"/>
              <w:rPr>
                <w:rFonts w:hint="eastAsia" w:ascii="宋体" w:hAnsi="宋体" w:cs="宋体"/>
                <w:sz w:val="18"/>
                <w:szCs w:val="18"/>
                <w:highlight w:val="none"/>
                <w:lang w:eastAsia="zh-CN"/>
              </w:rPr>
            </w:pPr>
            <w:r>
              <w:rPr>
                <w:rFonts w:hint="eastAsia" w:ascii="Times New Roman"/>
                <w:b w:val="0"/>
                <w:bCs w:val="0"/>
                <w:sz w:val="18"/>
                <w:szCs w:val="16"/>
                <w:highlight w:val="none"/>
              </w:rPr>
              <w:t>资源综合利用效益</w:t>
            </w:r>
          </w:p>
        </w:tc>
        <w:tc>
          <w:tcPr>
            <w:tcW w:w="1036" w:type="pct"/>
            <w:tcBorders>
              <w:tl2br w:val="nil"/>
              <w:tr2bl w:val="nil"/>
            </w:tcBorders>
            <w:noWrap w:val="0"/>
            <w:vAlign w:val="center"/>
          </w:tcPr>
          <w:p>
            <w:pPr>
              <w:autoSpaceDE w:val="0"/>
              <w:autoSpaceDN w:val="0"/>
              <w:jc w:val="left"/>
              <w:rPr>
                <w:rFonts w:hint="eastAsia" w:hAnsi="宋体" w:cs="宋体"/>
                <w:sz w:val="18"/>
                <w:szCs w:val="18"/>
                <w:highlight w:val="none"/>
                <w:lang w:val="en-US" w:eastAsia="zh-CN"/>
              </w:rPr>
            </w:pPr>
            <w:r>
              <w:rPr>
                <w:rFonts w:hint="eastAsia" w:hAnsi="宋体" w:cs="宋体"/>
                <w:sz w:val="18"/>
                <w:szCs w:val="18"/>
                <w:highlight w:val="none"/>
              </w:rPr>
              <w:t>评估固体废弃物循环利用量、节水量、水资源循环利用量、年径流污染去除率、年径流总控制率</w:t>
            </w:r>
            <w:r>
              <w:rPr>
                <w:rFonts w:hint="eastAsia" w:hAnsi="宋体" w:cs="宋体"/>
                <w:sz w:val="18"/>
                <w:szCs w:val="18"/>
                <w:highlight w:val="none"/>
                <w:lang w:eastAsia="zh-CN"/>
              </w:rPr>
              <w:t>。</w:t>
            </w:r>
          </w:p>
        </w:tc>
        <w:tc>
          <w:tcPr>
            <w:tcW w:w="1580" w:type="pct"/>
            <w:tcBorders>
              <w:tl2br w:val="nil"/>
              <w:tr2bl w:val="nil"/>
            </w:tcBorders>
            <w:noWrap w:val="0"/>
            <w:vAlign w:val="center"/>
          </w:tcPr>
          <w:p>
            <w:pPr>
              <w:ind w:firstLine="0" w:firstLineChars="0"/>
              <w:jc w:val="left"/>
              <w:rPr>
                <w:rFonts w:hint="eastAsia" w:ascii="宋体" w:hAnsi="宋体" w:cs="宋体"/>
                <w:kern w:val="0"/>
                <w:sz w:val="18"/>
                <w:szCs w:val="18"/>
                <w:highlight w:val="none"/>
                <w:lang w:val="en-US" w:eastAsia="zh-CN"/>
              </w:rPr>
            </w:pPr>
            <w:r>
              <w:rPr>
                <w:rFonts w:hint="eastAsia" w:hAnsi="宋体" w:cs="宋体"/>
                <w:sz w:val="18"/>
                <w:szCs w:val="18"/>
                <w:highlight w:val="none"/>
                <w:lang w:val="en-US" w:eastAsia="zh-CN"/>
              </w:rPr>
              <w:t>a.涉及环境效益种类较多，产生实际环境效益贡献量较高。</w:t>
            </w:r>
            <w:r>
              <w:rPr>
                <w:rFonts w:hint="eastAsia" w:ascii="宋体" w:hAnsi="宋体" w:cs="宋体"/>
                <w:kern w:val="0"/>
                <w:sz w:val="18"/>
                <w:szCs w:val="18"/>
                <w:highlight w:val="none"/>
                <w:lang w:val="en-US" w:eastAsia="zh-CN"/>
              </w:rPr>
              <w:t>(3分,5分]；</w:t>
            </w:r>
          </w:p>
          <w:p>
            <w:pPr>
              <w:ind w:firstLine="0" w:firstLineChars="0"/>
              <w:jc w:val="left"/>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b.涉及环境效益种类一般，产生实际环境效益贡献量一般。(1分,3分]；</w:t>
            </w:r>
          </w:p>
          <w:p>
            <w:pPr>
              <w:ind w:firstLine="0" w:firstLineChars="0"/>
              <w:jc w:val="left"/>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c.涉及环境效益种类较少，产生实际环境效益贡献量较少。(0分,1分]；</w:t>
            </w:r>
          </w:p>
          <w:p>
            <w:pPr>
              <w:jc w:val="left"/>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d.未产生实际环境效益。（0分）</w:t>
            </w:r>
            <w:r>
              <w:rPr>
                <w:rFonts w:hint="eastAsia" w:hAnsi="宋体" w:cs="宋体"/>
                <w:sz w:val="18"/>
                <w:szCs w:val="18"/>
                <w:highlight w:val="none"/>
                <w:lang w:val="en-US" w:eastAsia="zh-CN"/>
              </w:rPr>
              <w:t>。</w:t>
            </w:r>
          </w:p>
        </w:tc>
        <w:tc>
          <w:tcPr>
            <w:tcW w:w="620" w:type="pct"/>
            <w:tcBorders>
              <w:tl2br w:val="nil"/>
              <w:tr2bl w:val="nil"/>
            </w:tcBorders>
            <w:noWrap w:val="0"/>
            <w:vAlign w:val="center"/>
          </w:tcPr>
          <w:p>
            <w:pPr>
              <w:autoSpaceDE w:val="0"/>
              <w:autoSpaceDN w:val="0"/>
              <w:jc w:val="center"/>
              <w:rPr>
                <w:rFonts w:hint="default" w:ascii="宋体"/>
                <w:sz w:val="18"/>
                <w:szCs w:val="18"/>
                <w:highlight w:val="none"/>
                <w:lang w:val="en-US" w:eastAsia="zh-CN"/>
              </w:rPr>
            </w:pPr>
            <w:r>
              <w:rPr>
                <w:rFonts w:hint="eastAsia" w:ascii="宋体"/>
                <w:sz w:val="18"/>
                <w:szCs w:val="18"/>
                <w:highlight w:val="none"/>
                <w:lang w:val="en-US" w:eastAsia="zh-CN"/>
              </w:rPr>
              <w:t>5</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304" w:type="pct"/>
            <w:vMerge w:val="restart"/>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业务表现</w:t>
            </w:r>
          </w:p>
        </w:tc>
        <w:tc>
          <w:tcPr>
            <w:tcW w:w="317" w:type="pct"/>
            <w:vMerge w:val="restart"/>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发展能力</w:t>
            </w:r>
          </w:p>
        </w:tc>
        <w:tc>
          <w:tcPr>
            <w:tcW w:w="552" w:type="pct"/>
            <w:gridSpan w:val="2"/>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团队技术实力</w:t>
            </w:r>
          </w:p>
        </w:tc>
        <w:tc>
          <w:tcPr>
            <w:tcW w:w="1036" w:type="pct"/>
            <w:tcBorders>
              <w:tl2br w:val="nil"/>
              <w:tr2bl w:val="nil"/>
            </w:tcBorders>
            <w:noWrap w:val="0"/>
            <w:vAlign w:val="center"/>
          </w:tcPr>
          <w:p>
            <w:pPr>
              <w:autoSpaceDE w:val="0"/>
              <w:autoSpaceDN w:val="0"/>
              <w:jc w:val="left"/>
              <w:rPr>
                <w:rFonts w:ascii="宋体" w:hAnsi="宋体" w:cs="宋体"/>
                <w:sz w:val="18"/>
                <w:szCs w:val="18"/>
                <w:highlight w:val="none"/>
              </w:rPr>
            </w:pPr>
            <w:r>
              <w:rPr>
                <w:rFonts w:hint="eastAsia" w:hAnsi="宋体" w:cs="宋体"/>
                <w:sz w:val="18"/>
                <w:szCs w:val="18"/>
                <w:highlight w:val="none"/>
                <w:lang w:val="en-US" w:eastAsia="zh-CN"/>
              </w:rPr>
              <w:t>从专业覆盖面、学历职称、相关工作年限等方面进行综合评价。</w:t>
            </w:r>
          </w:p>
        </w:tc>
        <w:tc>
          <w:tcPr>
            <w:tcW w:w="1580" w:type="pct"/>
            <w:tcBorders>
              <w:tl2br w:val="nil"/>
              <w:tr2bl w:val="nil"/>
            </w:tcBorders>
            <w:noWrap w:val="0"/>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a.人员配置合理，涵盖所需专业，研发部门中30%以上科研人员从事相关工作达3年或以上年限，至少配备一名高级职称或博士技术人员。(4分,8分]；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b.人员配置基本合理，涵盖所需专业，研发部门中20%以上科研人员从事相关工作达3年或以上年限，至少配备一名高级职称或博士技术人员。(3分,7分]；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c.人员配置未完全覆盖所需专业，团队实力一般。(0分,3分]。</w:t>
            </w:r>
          </w:p>
          <w:p>
            <w:pPr>
              <w:pStyle w:val="65"/>
              <w:bidi w:val="0"/>
              <w:ind w:left="6" w:leftChars="0" w:hanging="6" w:firstLineChars="0"/>
              <w:rPr>
                <w:rFonts w:ascii="宋体"/>
                <w:szCs w:val="18"/>
                <w:highlight w:val="none"/>
              </w:rPr>
            </w:pPr>
            <w:r>
              <w:rPr>
                <w:rFonts w:hint="eastAsia"/>
                <w:highlight w:val="none"/>
                <w:lang w:val="en-US" w:eastAsia="zh-CN"/>
              </w:rPr>
              <w:t>每增加一名从事相关技术领域的高级职称或博士技术人员，加0.5分。 每增加5%从事相关工作达3年或以上年限的团队人员，加0.5分。</w:t>
            </w:r>
          </w:p>
        </w:tc>
        <w:tc>
          <w:tcPr>
            <w:tcW w:w="620" w:type="pct"/>
            <w:tcBorders>
              <w:tl2br w:val="nil"/>
              <w:tr2bl w:val="nil"/>
            </w:tcBorders>
            <w:noWrap w:val="0"/>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8</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317"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552" w:type="pct"/>
            <w:gridSpan w:val="2"/>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研发投入</w:t>
            </w:r>
          </w:p>
        </w:tc>
        <w:tc>
          <w:tcPr>
            <w:tcW w:w="1036" w:type="pct"/>
            <w:tcBorders>
              <w:tl2br w:val="nil"/>
              <w:tr2bl w:val="nil"/>
            </w:tcBorders>
            <w:noWrap w:val="0"/>
            <w:vAlign w:val="center"/>
          </w:tcPr>
          <w:p>
            <w:pPr>
              <w:autoSpaceDE w:val="0"/>
              <w:autoSpaceDN w:val="0"/>
              <w:jc w:val="left"/>
              <w:rPr>
                <w:rFonts w:ascii="宋体" w:hAnsi="宋体" w:cs="宋体"/>
                <w:sz w:val="18"/>
                <w:szCs w:val="18"/>
                <w:highlight w:val="none"/>
              </w:rPr>
            </w:pPr>
            <w:r>
              <w:rPr>
                <w:rFonts w:hint="eastAsia" w:hAnsi="宋体" w:cs="宋体"/>
                <w:sz w:val="18"/>
                <w:szCs w:val="18"/>
                <w:highlight w:val="none"/>
                <w:lang w:val="en-US" w:eastAsia="zh-CN"/>
              </w:rPr>
              <w:t>从绿色业务领域研发投入占比，以及所处同行业研发投入水平进行综合评价。</w:t>
            </w:r>
          </w:p>
        </w:tc>
        <w:tc>
          <w:tcPr>
            <w:tcW w:w="1580" w:type="pct"/>
            <w:tcBorders>
              <w:tl2br w:val="nil"/>
              <w:tr2bl w:val="nil"/>
            </w:tcBorders>
            <w:noWrap w:val="0"/>
            <w:vAlign w:val="center"/>
          </w:tcPr>
          <w:p>
            <w:pPr>
              <w:tabs>
                <w:tab w:val="center" w:pos="4201"/>
                <w:tab w:val="right" w:leader="dot" w:pos="9298"/>
              </w:tabs>
              <w:ind w:firstLine="0" w:firstLineChars="0"/>
              <w:jc w:val="left"/>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a.最近一年销售收入小于5000万元（含）的企事业单位，比例不低于5%。(3分,6分]；</w:t>
            </w:r>
          </w:p>
          <w:p>
            <w:pPr>
              <w:tabs>
                <w:tab w:val="center" w:pos="4201"/>
                <w:tab w:val="right" w:leader="dot" w:pos="9298"/>
              </w:tabs>
              <w:ind w:firstLine="0" w:firstLineChars="0"/>
              <w:jc w:val="left"/>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b.最近一年销售收入在5000万元至2亿元（含）的企事业单位，比例不低于4%。(3分,6分]；</w:t>
            </w:r>
          </w:p>
          <w:p>
            <w:pPr>
              <w:tabs>
                <w:tab w:val="center" w:pos="4201"/>
                <w:tab w:val="right" w:leader="dot" w:pos="9298"/>
              </w:tabs>
              <w:ind w:firstLine="0" w:firstLineChars="0"/>
              <w:jc w:val="left"/>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c.最近一年销售收入在2亿元以上的企事业单位，比例不低于3%。(3分,6分]；</w:t>
            </w:r>
          </w:p>
          <w:p>
            <w:pPr>
              <w:tabs>
                <w:tab w:val="center" w:pos="4201"/>
                <w:tab w:val="right" w:leader="dot" w:pos="9298"/>
              </w:tabs>
              <w:ind w:firstLine="0" w:firstLineChars="0"/>
              <w:jc w:val="left"/>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d.上述项均不满足。(0分,3分]。</w:t>
            </w:r>
          </w:p>
          <w:p>
            <w:pPr>
              <w:pStyle w:val="65"/>
              <w:tabs>
                <w:tab w:val="center" w:pos="4201"/>
                <w:tab w:val="right" w:leader="dot" w:pos="9298"/>
              </w:tabs>
              <w:autoSpaceDE w:val="0"/>
              <w:autoSpaceDN w:val="0"/>
              <w:ind w:left="6" w:hanging="6"/>
              <w:jc w:val="left"/>
              <w:rPr>
                <w:rFonts w:ascii="宋体"/>
                <w:sz w:val="18"/>
                <w:szCs w:val="18"/>
                <w:highlight w:val="none"/>
              </w:rPr>
            </w:pPr>
            <w:r>
              <w:rPr>
                <w:rFonts w:hint="eastAsia"/>
                <w:highlight w:val="none"/>
                <w:lang w:val="en-US" w:eastAsia="zh-CN"/>
              </w:rPr>
              <w:t>研发投入占比显著高于同行业平均水平，加3分；</w:t>
            </w:r>
            <w:r>
              <w:rPr>
                <w:rFonts w:hint="eastAsia" w:ascii="宋体" w:hAnsi="Times New Roman" w:eastAsia="宋体" w:cs="Times New Roman"/>
                <w:highlight w:val="none"/>
                <w:lang w:val="en-US" w:eastAsia="zh-CN"/>
              </w:rPr>
              <w:t>研发投入占比略高于同行业平均水平，加1分。</w:t>
            </w:r>
          </w:p>
        </w:tc>
        <w:tc>
          <w:tcPr>
            <w:tcW w:w="620" w:type="pct"/>
            <w:tcBorders>
              <w:tl2br w:val="nil"/>
              <w:tr2bl w:val="nil"/>
            </w:tcBorders>
            <w:noWrap w:val="0"/>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6</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317"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552" w:type="pct"/>
            <w:gridSpan w:val="2"/>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val="en-US" w:eastAsia="zh-CN"/>
              </w:rPr>
              <w:t>业务增长率</w:t>
            </w:r>
          </w:p>
        </w:tc>
        <w:tc>
          <w:tcPr>
            <w:tcW w:w="1036" w:type="pct"/>
            <w:tcBorders>
              <w:tl2br w:val="nil"/>
              <w:tr2bl w:val="nil"/>
            </w:tcBorders>
            <w:noWrap w:val="0"/>
            <w:vAlign w:val="center"/>
          </w:tcPr>
          <w:p>
            <w:pPr>
              <w:autoSpaceDE w:val="0"/>
              <w:autoSpaceDN w:val="0"/>
              <w:jc w:val="left"/>
              <w:rPr>
                <w:rFonts w:ascii="宋体" w:hAnsi="宋体" w:cs="宋体"/>
                <w:sz w:val="18"/>
                <w:szCs w:val="18"/>
                <w:highlight w:val="none"/>
              </w:rPr>
            </w:pPr>
            <w:r>
              <w:rPr>
                <w:rFonts w:hint="eastAsia" w:hAnsi="宋体" w:cs="宋体"/>
                <w:sz w:val="18"/>
                <w:szCs w:val="18"/>
                <w:highlight w:val="none"/>
                <w:lang w:val="en-US" w:eastAsia="zh-CN"/>
              </w:rPr>
              <w:t>当年主营业务收入增长额与上年主营业务收入总额比值，采用近三年平均值进行评估。</w:t>
            </w:r>
          </w:p>
        </w:tc>
        <w:tc>
          <w:tcPr>
            <w:tcW w:w="1580" w:type="pct"/>
            <w:tcBorders>
              <w:tl2br w:val="nil"/>
              <w:tr2bl w:val="nil"/>
            </w:tcBorders>
            <w:noWrap w:val="0"/>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a.≥10%（2分）；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b.[5%,10%)（1分）；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c.[0,5%)（0.5分）；</w:t>
            </w:r>
          </w:p>
          <w:p>
            <w:pPr>
              <w:autoSpaceDE w:val="0"/>
              <w:autoSpaceDN w:val="0"/>
              <w:jc w:val="left"/>
              <w:rPr>
                <w:rFonts w:ascii="宋体"/>
                <w:sz w:val="18"/>
                <w:szCs w:val="18"/>
                <w:highlight w:val="none"/>
              </w:rPr>
            </w:pPr>
            <w:r>
              <w:rPr>
                <w:rFonts w:hint="eastAsia" w:hAnsi="宋体" w:cs="宋体"/>
                <w:sz w:val="18"/>
                <w:szCs w:val="18"/>
                <w:highlight w:val="none"/>
                <w:lang w:val="en-US" w:eastAsia="zh-CN"/>
              </w:rPr>
              <w:t>d</w:t>
            </w:r>
            <w:r>
              <w:rPr>
                <w:rFonts w:hint="eastAsia" w:ascii="宋体" w:hAnsi="宋体" w:cs="宋体"/>
                <w:kern w:val="0"/>
                <w:sz w:val="18"/>
                <w:szCs w:val="18"/>
                <w:highlight w:val="none"/>
                <w:lang w:val="en-US" w:eastAsia="zh-CN"/>
              </w:rPr>
              <w:t>.＜0（0分）。</w:t>
            </w:r>
          </w:p>
        </w:tc>
        <w:tc>
          <w:tcPr>
            <w:tcW w:w="620" w:type="pct"/>
            <w:tcBorders>
              <w:tl2br w:val="nil"/>
              <w:tr2bl w:val="nil"/>
            </w:tcBorders>
            <w:noWrap w:val="0"/>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2</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317"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552" w:type="pct"/>
            <w:gridSpan w:val="2"/>
            <w:tcBorders>
              <w:tl2br w:val="nil"/>
              <w:tr2bl w:val="nil"/>
            </w:tcBorders>
            <w:noWrap w:val="0"/>
            <w:vAlign w:val="center"/>
          </w:tcPr>
          <w:p>
            <w:pPr>
              <w:autoSpaceDE w:val="0"/>
              <w:autoSpaceDN w:val="0"/>
              <w:jc w:val="center"/>
              <w:rPr>
                <w:rFonts w:hint="eastAsia" w:ascii="宋体" w:hAnsi="宋体" w:cs="宋体"/>
                <w:sz w:val="18"/>
                <w:szCs w:val="18"/>
                <w:highlight w:val="none"/>
                <w:lang w:val="en-US" w:eastAsia="zh-CN"/>
              </w:rPr>
            </w:pPr>
            <w:r>
              <w:rPr>
                <w:rFonts w:hint="eastAsia" w:ascii="宋体" w:hAnsi="宋体" w:cs="宋体"/>
                <w:sz w:val="18"/>
                <w:szCs w:val="18"/>
                <w:highlight w:val="none"/>
              </w:rPr>
              <w:t>资产负债率</w:t>
            </w:r>
          </w:p>
        </w:tc>
        <w:tc>
          <w:tcPr>
            <w:tcW w:w="1036" w:type="pct"/>
            <w:tcBorders>
              <w:tl2br w:val="nil"/>
              <w:tr2bl w:val="nil"/>
            </w:tcBorders>
            <w:noWrap w:val="0"/>
            <w:vAlign w:val="center"/>
          </w:tcPr>
          <w:p>
            <w:pPr>
              <w:autoSpaceDE w:val="0"/>
              <w:autoSpaceDN w:val="0"/>
              <w:jc w:val="left"/>
              <w:rPr>
                <w:rFonts w:hint="eastAsia" w:hAnsi="宋体" w:eastAsia="宋体" w:cs="宋体"/>
                <w:sz w:val="18"/>
                <w:szCs w:val="18"/>
                <w:highlight w:val="none"/>
                <w:lang w:val="en-US" w:eastAsia="zh-CN"/>
              </w:rPr>
            </w:pPr>
            <w:r>
              <w:rPr>
                <w:rFonts w:hint="eastAsia" w:hAnsi="宋体" w:cs="宋体"/>
                <w:sz w:val="18"/>
                <w:szCs w:val="18"/>
                <w:highlight w:val="none"/>
              </w:rPr>
              <w:t>期末负债总额与资产总额比值，采用近三年平均值进行评估。</w:t>
            </w:r>
          </w:p>
        </w:tc>
        <w:tc>
          <w:tcPr>
            <w:tcW w:w="1580" w:type="pct"/>
            <w:tcBorders>
              <w:tl2br w:val="nil"/>
              <w:tr2bl w:val="nil"/>
            </w:tcBorders>
            <w:noWrap w:val="0"/>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w:t>
            </w:r>
            <w:r>
              <w:rPr>
                <w:rFonts w:hint="eastAsia" w:hAnsi="宋体" w:cs="宋体"/>
                <w:sz w:val="18"/>
                <w:szCs w:val="18"/>
                <w:highlight w:val="none"/>
              </w:rPr>
              <w:t>≤55%</w:t>
            </w:r>
            <w:r>
              <w:rPr>
                <w:rFonts w:hint="eastAsia" w:hAnsi="宋体" w:cs="宋体"/>
                <w:sz w:val="18"/>
                <w:szCs w:val="18"/>
                <w:highlight w:val="none"/>
                <w:lang w:val="en-US" w:eastAsia="zh-CN"/>
              </w:rPr>
              <w:t>（2分）；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w:t>
            </w:r>
            <w:r>
              <w:rPr>
                <w:rFonts w:hint="eastAsia" w:hAnsi="宋体" w:cs="宋体"/>
                <w:sz w:val="18"/>
                <w:szCs w:val="18"/>
                <w:highlight w:val="none"/>
              </w:rPr>
              <w:t>(55%,75%]</w:t>
            </w:r>
            <w:r>
              <w:rPr>
                <w:rFonts w:hint="eastAsia" w:hAnsi="宋体" w:cs="宋体"/>
                <w:sz w:val="18"/>
                <w:szCs w:val="18"/>
                <w:highlight w:val="none"/>
                <w:lang w:val="en-US" w:eastAsia="zh-CN"/>
              </w:rPr>
              <w:t>（1分）；</w:t>
            </w:r>
          </w:p>
          <w:p>
            <w:pPr>
              <w:pStyle w:val="24"/>
              <w:ind w:firstLine="0" w:firstLineChars="0"/>
              <w:rPr>
                <w:rFonts w:hint="eastAsia" w:hAnsi="宋体" w:cs="宋体"/>
                <w:sz w:val="18"/>
                <w:szCs w:val="18"/>
                <w:highlight w:val="none"/>
                <w:lang w:val="en-US" w:eastAsia="zh-CN"/>
              </w:rPr>
            </w:pPr>
            <w:r>
              <w:rPr>
                <w:rFonts w:hint="eastAsia" w:hAnsi="宋体" w:cs="宋体"/>
                <w:sz w:val="18"/>
                <w:szCs w:val="18"/>
                <w:highlight w:val="none"/>
                <w:lang w:val="en-US" w:eastAsia="zh-CN"/>
              </w:rPr>
              <w:t>c.</w:t>
            </w:r>
            <w:r>
              <w:rPr>
                <w:rFonts w:hint="eastAsia" w:hAnsi="宋体" w:cs="宋体"/>
                <w:sz w:val="18"/>
                <w:szCs w:val="18"/>
                <w:highlight w:val="none"/>
              </w:rPr>
              <w:t>＞75%</w:t>
            </w:r>
            <w:r>
              <w:rPr>
                <w:rFonts w:hint="eastAsia" w:ascii="宋体" w:hAnsi="宋体" w:cs="宋体"/>
                <w:kern w:val="0"/>
                <w:sz w:val="18"/>
                <w:szCs w:val="18"/>
                <w:highlight w:val="none"/>
                <w:lang w:val="en-US" w:eastAsia="zh-CN"/>
              </w:rPr>
              <w:t>（0分）。</w:t>
            </w:r>
          </w:p>
        </w:tc>
        <w:tc>
          <w:tcPr>
            <w:tcW w:w="620" w:type="pct"/>
            <w:tcBorders>
              <w:tl2br w:val="nil"/>
              <w:tr2bl w:val="nil"/>
            </w:tcBorders>
            <w:noWrap w:val="0"/>
            <w:vAlign w:val="center"/>
          </w:tcPr>
          <w:p>
            <w:pPr>
              <w:autoSpaceDE w:val="0"/>
              <w:autoSpaceDN w:val="0"/>
              <w:jc w:val="center"/>
              <w:rPr>
                <w:rFonts w:hint="default" w:ascii="宋体"/>
                <w:sz w:val="18"/>
                <w:szCs w:val="18"/>
                <w:highlight w:val="none"/>
                <w:lang w:val="en-US" w:eastAsia="zh-CN"/>
              </w:rPr>
            </w:pPr>
            <w:r>
              <w:rPr>
                <w:rFonts w:hint="eastAsia" w:ascii="宋体"/>
                <w:sz w:val="18"/>
                <w:szCs w:val="18"/>
                <w:highlight w:val="none"/>
                <w:lang w:val="en-US" w:eastAsia="zh-CN"/>
              </w:rPr>
              <w:t>2</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317"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552" w:type="pct"/>
            <w:gridSpan w:val="2"/>
            <w:tcBorders>
              <w:tl2br w:val="nil"/>
              <w:tr2bl w:val="nil"/>
            </w:tcBorders>
            <w:noWrap w:val="0"/>
            <w:vAlign w:val="center"/>
          </w:tcPr>
          <w:p>
            <w:pPr>
              <w:autoSpaceDE w:val="0"/>
              <w:autoSpaceDN w:val="0"/>
              <w:jc w:val="center"/>
              <w:rPr>
                <w:rFonts w:hint="eastAsia" w:ascii="宋体" w:hAnsi="宋体" w:cs="宋体"/>
                <w:sz w:val="18"/>
                <w:szCs w:val="18"/>
                <w:highlight w:val="none"/>
                <w:lang w:val="en-US" w:eastAsia="zh-CN"/>
              </w:rPr>
            </w:pPr>
            <w:r>
              <w:rPr>
                <w:rFonts w:hint="eastAsia" w:ascii="宋体" w:hAnsi="宋体" w:cs="宋体"/>
                <w:sz w:val="18"/>
                <w:szCs w:val="18"/>
                <w:highlight w:val="none"/>
              </w:rPr>
              <w:t>净利润率</w:t>
            </w:r>
          </w:p>
        </w:tc>
        <w:tc>
          <w:tcPr>
            <w:tcW w:w="1036" w:type="pct"/>
            <w:tcBorders>
              <w:tl2br w:val="nil"/>
              <w:tr2bl w:val="nil"/>
            </w:tcBorders>
            <w:noWrap w:val="0"/>
            <w:vAlign w:val="center"/>
          </w:tcPr>
          <w:p>
            <w:pPr>
              <w:autoSpaceDE w:val="0"/>
              <w:autoSpaceDN w:val="0"/>
              <w:jc w:val="both"/>
              <w:rPr>
                <w:rFonts w:hint="eastAsia" w:hAnsi="宋体" w:eastAsia="宋体" w:cs="宋体"/>
                <w:sz w:val="18"/>
                <w:szCs w:val="18"/>
                <w:highlight w:val="none"/>
                <w:lang w:val="en-US" w:eastAsia="zh-CN"/>
              </w:rPr>
            </w:pPr>
            <w:r>
              <w:rPr>
                <w:rFonts w:hint="eastAsia" w:hAnsi="宋体" w:cs="宋体"/>
                <w:sz w:val="18"/>
                <w:szCs w:val="18"/>
                <w:highlight w:val="none"/>
              </w:rPr>
              <w:t>当年经营所得的净利润占销货净额的百分比，或占投入资本额的百分比，采用近三年平均值进行评估。</w:t>
            </w:r>
          </w:p>
        </w:tc>
        <w:tc>
          <w:tcPr>
            <w:tcW w:w="1580" w:type="pct"/>
            <w:tcBorders>
              <w:tl2br w:val="nil"/>
              <w:tr2bl w:val="nil"/>
            </w:tcBorders>
            <w:noWrap w:val="0"/>
            <w:vAlign w:val="center"/>
          </w:tcPr>
          <w:p>
            <w:pPr>
              <w:pStyle w:val="24"/>
              <w:ind w:firstLine="0" w:firstLineChars="0"/>
              <w:jc w:val="both"/>
              <w:rPr>
                <w:rFonts w:hint="eastAsia" w:hAnsi="宋体" w:cs="宋体"/>
                <w:sz w:val="18"/>
                <w:szCs w:val="18"/>
                <w:highlight w:val="none"/>
                <w:lang w:val="en-US" w:eastAsia="zh-CN"/>
              </w:rPr>
            </w:pPr>
            <w:r>
              <w:rPr>
                <w:rFonts w:hint="eastAsia" w:hAnsi="宋体" w:cs="宋体"/>
                <w:sz w:val="18"/>
                <w:szCs w:val="18"/>
                <w:highlight w:val="none"/>
                <w:lang w:val="en-US" w:eastAsia="zh-CN"/>
              </w:rPr>
              <w:t>a.</w:t>
            </w:r>
            <w:r>
              <w:rPr>
                <w:rFonts w:hint="eastAsia" w:hAnsi="宋体" w:cs="宋体"/>
                <w:sz w:val="18"/>
                <w:szCs w:val="18"/>
                <w:highlight w:val="none"/>
              </w:rPr>
              <w:t>≥6%</w:t>
            </w:r>
            <w:r>
              <w:rPr>
                <w:rFonts w:hint="eastAsia" w:hAnsi="宋体" w:cs="宋体"/>
                <w:sz w:val="18"/>
                <w:szCs w:val="18"/>
                <w:highlight w:val="none"/>
                <w:lang w:eastAsia="zh-CN"/>
              </w:rPr>
              <w:t>（</w:t>
            </w:r>
            <w:r>
              <w:rPr>
                <w:rFonts w:hint="eastAsia" w:hAnsi="宋体" w:cs="宋体"/>
                <w:sz w:val="18"/>
                <w:szCs w:val="18"/>
                <w:highlight w:val="none"/>
                <w:lang w:val="en-US" w:eastAsia="zh-CN"/>
              </w:rPr>
              <w:t>2分）；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w:t>
            </w:r>
            <w:r>
              <w:rPr>
                <w:rFonts w:hint="eastAsia" w:hAnsi="宋体" w:cs="宋体"/>
                <w:sz w:val="18"/>
                <w:szCs w:val="18"/>
                <w:highlight w:val="none"/>
              </w:rPr>
              <w:t>[2%,6%)</w:t>
            </w:r>
            <w:r>
              <w:rPr>
                <w:rFonts w:hint="eastAsia" w:hAnsi="宋体" w:cs="宋体"/>
                <w:sz w:val="18"/>
                <w:szCs w:val="18"/>
                <w:highlight w:val="none"/>
                <w:lang w:val="en-US" w:eastAsia="zh-CN"/>
              </w:rPr>
              <w:t>（1分）；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w:t>
            </w:r>
            <w:r>
              <w:rPr>
                <w:rFonts w:hint="eastAsia" w:hAnsi="宋体" w:cs="宋体"/>
                <w:sz w:val="18"/>
                <w:szCs w:val="18"/>
                <w:highlight w:val="none"/>
              </w:rPr>
              <w:t>＜2%</w:t>
            </w:r>
            <w:r>
              <w:rPr>
                <w:rFonts w:hint="eastAsia" w:ascii="宋体" w:hAnsi="宋体" w:cs="宋体"/>
                <w:kern w:val="0"/>
                <w:sz w:val="18"/>
                <w:szCs w:val="18"/>
                <w:highlight w:val="none"/>
                <w:lang w:val="en-US" w:eastAsia="zh-CN"/>
              </w:rPr>
              <w:t>（0分）。</w:t>
            </w:r>
          </w:p>
        </w:tc>
        <w:tc>
          <w:tcPr>
            <w:tcW w:w="620" w:type="pct"/>
            <w:tcBorders>
              <w:tl2br w:val="nil"/>
              <w:tr2bl w:val="nil"/>
            </w:tcBorders>
            <w:noWrap w:val="0"/>
            <w:vAlign w:val="center"/>
          </w:tcPr>
          <w:p>
            <w:pPr>
              <w:autoSpaceDE w:val="0"/>
              <w:autoSpaceDN w:val="0"/>
              <w:jc w:val="center"/>
              <w:rPr>
                <w:rFonts w:hint="default" w:ascii="宋体"/>
                <w:sz w:val="18"/>
                <w:szCs w:val="18"/>
                <w:highlight w:val="none"/>
                <w:lang w:val="en-US" w:eastAsia="zh-CN"/>
              </w:rPr>
            </w:pPr>
            <w:r>
              <w:rPr>
                <w:rFonts w:hint="eastAsia" w:ascii="宋体"/>
                <w:sz w:val="18"/>
                <w:szCs w:val="18"/>
                <w:highlight w:val="none"/>
                <w:lang w:val="en-US" w:eastAsia="zh-CN"/>
              </w:rPr>
              <w:t>2</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317" w:type="pct"/>
            <w:vMerge w:val="restart"/>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市场影响</w:t>
            </w:r>
          </w:p>
        </w:tc>
        <w:tc>
          <w:tcPr>
            <w:tcW w:w="552" w:type="pct"/>
            <w:gridSpan w:val="2"/>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市场竞争力</w:t>
            </w:r>
          </w:p>
        </w:tc>
        <w:tc>
          <w:tcPr>
            <w:tcW w:w="1036" w:type="pct"/>
            <w:tcBorders>
              <w:tl2br w:val="nil"/>
              <w:tr2bl w:val="nil"/>
            </w:tcBorders>
            <w:noWrap w:val="0"/>
            <w:vAlign w:val="center"/>
          </w:tcPr>
          <w:p>
            <w:pPr>
              <w:autoSpaceDE w:val="0"/>
              <w:autoSpaceDN w:val="0"/>
              <w:jc w:val="left"/>
              <w:rPr>
                <w:rFonts w:ascii="宋体" w:hAnsi="宋体" w:cs="宋体"/>
                <w:sz w:val="18"/>
                <w:szCs w:val="18"/>
                <w:highlight w:val="none"/>
              </w:rPr>
            </w:pPr>
            <w:r>
              <w:rPr>
                <w:rFonts w:hint="eastAsia" w:hAnsi="宋体" w:cs="宋体"/>
                <w:sz w:val="18"/>
                <w:szCs w:val="18"/>
                <w:highlight w:val="none"/>
              </w:rPr>
              <w:t>从提供的绿色业务领域相关产品或服务的市场占有率，以及稳定提供相关产品或服务的年限进行综合评价。</w:t>
            </w:r>
          </w:p>
        </w:tc>
        <w:tc>
          <w:tcPr>
            <w:tcW w:w="1580" w:type="pct"/>
            <w:tcBorders>
              <w:tl2br w:val="nil"/>
              <w:tr2bl w:val="nil"/>
            </w:tcBorders>
            <w:noWrap w:val="0"/>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a.行业内市场占有率处于较高水平。（3分，5分]；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b.行业内市场占有率处于中等水平。（1分，3分]；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c.行业内市场占有率处于一般水平。[0分，1分]。</w:t>
            </w:r>
          </w:p>
          <w:p>
            <w:pPr>
              <w:pStyle w:val="65"/>
              <w:numPr>
                <w:ilvl w:val="-1"/>
                <w:numId w:val="0"/>
              </w:numPr>
              <w:tabs>
                <w:tab w:val="center" w:pos="4201"/>
                <w:tab w:val="right" w:leader="dot" w:pos="9298"/>
              </w:tabs>
              <w:autoSpaceDE w:val="0"/>
              <w:autoSpaceDN w:val="0"/>
              <w:ind w:left="0" w:firstLine="0"/>
              <w:jc w:val="left"/>
              <w:rPr>
                <w:rFonts w:ascii="宋体"/>
                <w:sz w:val="18"/>
                <w:szCs w:val="18"/>
                <w:highlight w:val="none"/>
              </w:rPr>
            </w:pPr>
            <w:r>
              <w:rPr>
                <w:rFonts w:hint="eastAsia" w:cs="Times New Roman"/>
                <w:highlight w:val="none"/>
                <w:lang w:val="en-US" w:eastAsia="zh-CN"/>
              </w:rPr>
              <w:t>注：</w:t>
            </w:r>
            <w:r>
              <w:rPr>
                <w:rFonts w:hint="eastAsia" w:ascii="宋体" w:hAnsi="Times New Roman" w:eastAsia="宋体" w:cs="Times New Roman"/>
                <w:highlight w:val="none"/>
                <w:lang w:val="en-US" w:eastAsia="zh-CN"/>
              </w:rPr>
              <w:t>稳定</w:t>
            </w:r>
            <w:r>
              <w:rPr>
                <w:rFonts w:hint="eastAsia"/>
                <w:highlight w:val="none"/>
                <w:lang w:val="en-US" w:eastAsia="zh-CN"/>
              </w:rPr>
              <w:t>提供产品或服务年限大于10年</w:t>
            </w:r>
            <w:r>
              <w:rPr>
                <w:rFonts w:hint="eastAsia" w:ascii="宋体" w:eastAsia="宋体"/>
                <w:highlight w:val="none"/>
                <w:lang w:val="en-US" w:eastAsia="zh-CN"/>
              </w:rPr>
              <w:t>，加3分；</w:t>
            </w:r>
            <w:r>
              <w:rPr>
                <w:rFonts w:hint="eastAsia"/>
                <w:highlight w:val="none"/>
                <w:lang w:val="en-US" w:eastAsia="zh-CN"/>
              </w:rPr>
              <w:t>大于5年不超过10年</w:t>
            </w:r>
            <w:r>
              <w:rPr>
                <w:rFonts w:hint="eastAsia" w:ascii="宋体" w:eastAsia="宋体"/>
                <w:highlight w:val="none"/>
                <w:lang w:val="en-US" w:eastAsia="zh-CN"/>
              </w:rPr>
              <w:t>，加</w:t>
            </w:r>
            <w:r>
              <w:rPr>
                <w:rFonts w:hint="eastAsia"/>
                <w:highlight w:val="none"/>
                <w:lang w:val="en-US" w:eastAsia="zh-CN"/>
              </w:rPr>
              <w:t>2</w:t>
            </w:r>
            <w:r>
              <w:rPr>
                <w:rFonts w:hint="eastAsia" w:ascii="宋体" w:eastAsia="宋体"/>
                <w:highlight w:val="none"/>
                <w:lang w:val="en-US" w:eastAsia="zh-CN"/>
              </w:rPr>
              <w:t>分</w:t>
            </w:r>
            <w:r>
              <w:rPr>
                <w:rFonts w:hint="eastAsia"/>
                <w:highlight w:val="none"/>
                <w:lang w:val="en-US" w:eastAsia="zh-CN"/>
              </w:rPr>
              <w:t>；大于2年不超过5年，加1分</w:t>
            </w:r>
            <w:r>
              <w:rPr>
                <w:rFonts w:hint="eastAsia" w:ascii="宋体" w:eastAsia="宋体"/>
                <w:highlight w:val="none"/>
                <w:lang w:val="en-US" w:eastAsia="zh-CN"/>
              </w:rPr>
              <w:t>。</w:t>
            </w:r>
          </w:p>
        </w:tc>
        <w:tc>
          <w:tcPr>
            <w:tcW w:w="620" w:type="pct"/>
            <w:tcBorders>
              <w:tl2br w:val="nil"/>
              <w:tr2bl w:val="nil"/>
            </w:tcBorders>
            <w:noWrap w:val="0"/>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8</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317"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552" w:type="pct"/>
            <w:gridSpan w:val="2"/>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产业影响力</w:t>
            </w:r>
          </w:p>
        </w:tc>
        <w:tc>
          <w:tcPr>
            <w:tcW w:w="1036" w:type="pct"/>
            <w:tcBorders>
              <w:tl2br w:val="nil"/>
              <w:tr2bl w:val="nil"/>
            </w:tcBorders>
            <w:noWrap w:val="0"/>
            <w:vAlign w:val="center"/>
          </w:tcPr>
          <w:p>
            <w:pPr>
              <w:autoSpaceDE w:val="0"/>
              <w:autoSpaceDN w:val="0"/>
              <w:jc w:val="left"/>
              <w:rPr>
                <w:rFonts w:ascii="宋体" w:hAnsi="宋体" w:cs="宋体"/>
                <w:sz w:val="18"/>
                <w:szCs w:val="18"/>
                <w:highlight w:val="none"/>
              </w:rPr>
            </w:pPr>
            <w:r>
              <w:rPr>
                <w:rFonts w:hint="eastAsia" w:hAnsi="宋体" w:cs="宋体"/>
                <w:sz w:val="18"/>
                <w:szCs w:val="18"/>
                <w:highlight w:val="none"/>
              </w:rPr>
              <w:t>引领绿色</w:t>
            </w:r>
            <w:r>
              <w:rPr>
                <w:rFonts w:hint="eastAsia" w:hAnsi="宋体" w:cs="宋体"/>
                <w:sz w:val="18"/>
                <w:szCs w:val="18"/>
                <w:highlight w:val="none"/>
                <w:lang w:val="en-US" w:eastAsia="zh-CN"/>
              </w:rPr>
              <w:t>低碳</w:t>
            </w:r>
            <w:r>
              <w:rPr>
                <w:rFonts w:hint="eastAsia" w:hAnsi="宋体" w:cs="宋体"/>
                <w:sz w:val="18"/>
                <w:szCs w:val="18"/>
                <w:highlight w:val="none"/>
              </w:rPr>
              <w:t>产业技术创新或市场发展的影响能力。</w:t>
            </w:r>
          </w:p>
        </w:tc>
        <w:tc>
          <w:tcPr>
            <w:tcW w:w="1580" w:type="pct"/>
            <w:tcBorders>
              <w:tl2br w:val="nil"/>
              <w:tr2bl w:val="nil"/>
            </w:tcBorders>
            <w:noWrap w:val="0"/>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a.具有显著的引领</w:t>
            </w:r>
            <w:r>
              <w:rPr>
                <w:rFonts w:hint="eastAsia" w:hAnsi="宋体" w:cs="宋体"/>
                <w:sz w:val="18"/>
                <w:szCs w:val="18"/>
                <w:highlight w:val="none"/>
              </w:rPr>
              <w:t>绿色低碳产业</w:t>
            </w:r>
            <w:r>
              <w:rPr>
                <w:rFonts w:hint="eastAsia" w:hAnsi="宋体" w:cs="宋体"/>
                <w:sz w:val="18"/>
                <w:szCs w:val="18"/>
                <w:highlight w:val="none"/>
                <w:lang w:val="en-US" w:eastAsia="zh-CN"/>
              </w:rPr>
              <w:t>技术或市场发展的影响能力。（5分，7分]；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b.具有较强的引领</w:t>
            </w:r>
            <w:r>
              <w:rPr>
                <w:rFonts w:hint="eastAsia" w:hAnsi="宋体" w:cs="宋体"/>
                <w:sz w:val="18"/>
                <w:szCs w:val="18"/>
                <w:highlight w:val="none"/>
              </w:rPr>
              <w:t>绿色低碳产业</w:t>
            </w:r>
            <w:r>
              <w:rPr>
                <w:rFonts w:hint="eastAsia" w:hAnsi="宋体" w:cs="宋体"/>
                <w:sz w:val="18"/>
                <w:szCs w:val="18"/>
                <w:highlight w:val="none"/>
                <w:lang w:val="en-US" w:eastAsia="zh-CN"/>
              </w:rPr>
              <w:t>技术或市场发展的影响能力。（3分，5分]；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c.具有一定的引领</w:t>
            </w:r>
            <w:r>
              <w:rPr>
                <w:rFonts w:hint="eastAsia" w:hAnsi="宋体" w:cs="宋体"/>
                <w:sz w:val="18"/>
                <w:szCs w:val="18"/>
                <w:highlight w:val="none"/>
              </w:rPr>
              <w:t>绿色低碳产业</w:t>
            </w:r>
            <w:r>
              <w:rPr>
                <w:rFonts w:hint="eastAsia" w:hAnsi="宋体" w:cs="宋体"/>
                <w:sz w:val="18"/>
                <w:szCs w:val="18"/>
                <w:highlight w:val="none"/>
                <w:lang w:val="en-US" w:eastAsia="zh-CN"/>
              </w:rPr>
              <w:t>技术或市场发展的影响能力。（0分，3分]。</w:t>
            </w:r>
          </w:p>
          <w:p>
            <w:pPr>
              <w:autoSpaceDE w:val="0"/>
              <w:autoSpaceDN w:val="0"/>
              <w:jc w:val="left"/>
              <w:rPr>
                <w:rFonts w:ascii="宋体"/>
                <w:sz w:val="18"/>
                <w:szCs w:val="18"/>
                <w:highlight w:val="none"/>
              </w:rPr>
            </w:pPr>
            <w:r>
              <w:rPr>
                <w:rFonts w:hint="eastAsia" w:ascii="宋体" w:hAnsi="宋体" w:cs="宋体"/>
                <w:kern w:val="0"/>
                <w:sz w:val="18"/>
                <w:szCs w:val="18"/>
                <w:highlight w:val="none"/>
                <w:lang w:val="en-US" w:eastAsia="zh-CN"/>
              </w:rPr>
              <w:t>d</w:t>
            </w:r>
            <w:r>
              <w:rPr>
                <w:rFonts w:hint="eastAsia" w:hAnsi="宋体" w:cs="宋体"/>
                <w:sz w:val="18"/>
                <w:szCs w:val="18"/>
                <w:highlight w:val="none"/>
                <w:lang w:val="en-US" w:eastAsia="zh-CN"/>
              </w:rPr>
              <w:t>.未产生明显产业影响</w:t>
            </w:r>
            <w:r>
              <w:rPr>
                <w:rFonts w:hint="default" w:ascii="宋体" w:hAnsi="宋体" w:cs="宋体"/>
                <w:kern w:val="0"/>
                <w:sz w:val="18"/>
                <w:szCs w:val="18"/>
                <w:highlight w:val="none"/>
                <w:lang w:val="en-US" w:eastAsia="zh-CN"/>
              </w:rPr>
              <w:t>力。（0分）</w:t>
            </w:r>
            <w:r>
              <w:rPr>
                <w:rFonts w:hint="eastAsia" w:hAnsi="宋体" w:cs="宋体"/>
                <w:sz w:val="18"/>
                <w:szCs w:val="18"/>
                <w:highlight w:val="none"/>
                <w:lang w:val="en-US" w:eastAsia="zh-CN"/>
              </w:rPr>
              <w:t>。</w:t>
            </w:r>
          </w:p>
        </w:tc>
        <w:tc>
          <w:tcPr>
            <w:tcW w:w="620" w:type="pct"/>
            <w:tcBorders>
              <w:tl2br w:val="nil"/>
              <w:tr2bl w:val="nil"/>
            </w:tcBorders>
            <w:noWrap w:val="0"/>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7</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317"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552" w:type="pct"/>
            <w:gridSpan w:val="2"/>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行业资质荣誉</w:t>
            </w:r>
          </w:p>
        </w:tc>
        <w:tc>
          <w:tcPr>
            <w:tcW w:w="1036" w:type="pct"/>
            <w:tcBorders>
              <w:tl2br w:val="nil"/>
              <w:tr2bl w:val="nil"/>
            </w:tcBorders>
            <w:noWrap w:val="0"/>
            <w:vAlign w:val="center"/>
          </w:tcPr>
          <w:p>
            <w:pPr>
              <w:autoSpaceDE w:val="0"/>
              <w:autoSpaceDN w:val="0"/>
              <w:jc w:val="left"/>
              <w:rPr>
                <w:rFonts w:ascii="宋体" w:hAnsi="宋体" w:cs="宋体"/>
                <w:sz w:val="18"/>
                <w:szCs w:val="18"/>
                <w:highlight w:val="none"/>
              </w:rPr>
            </w:pPr>
            <w:r>
              <w:rPr>
                <w:rFonts w:hint="eastAsia" w:hAnsi="宋体" w:cs="宋体"/>
                <w:sz w:val="18"/>
                <w:szCs w:val="18"/>
                <w:highlight w:val="none"/>
                <w:lang w:val="en-US" w:eastAsia="zh-CN"/>
              </w:rPr>
              <w:t>从提供的绿色业务领域相关产品或服务，获得的国家级、省部级、市级或区级奖项、资质、荣誉、认定或证书的情况进行评价，国家级行业协会颁发的相关资质、荣誉、认定或证书视为省部级。</w:t>
            </w:r>
          </w:p>
        </w:tc>
        <w:tc>
          <w:tcPr>
            <w:tcW w:w="1580" w:type="pct"/>
            <w:tcBorders>
              <w:tl2br w:val="nil"/>
              <w:tr2bl w:val="nil"/>
            </w:tcBorders>
            <w:noWrap w:val="0"/>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a.获得1项国家级奖项、资质、荣誉、认定或证书。（4分，5分]；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b.获得1项省部级奖项、资质、荣誉、认定或证书。（2分，4分]；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c.获得1项市级奖项、资质、荣誉、认定或证书。（1分，3分]；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d.未获得行业资质荣誉奖项。（0分）。</w:t>
            </w:r>
          </w:p>
          <w:p>
            <w:pPr>
              <w:pStyle w:val="65"/>
              <w:tabs>
                <w:tab w:val="center" w:pos="4201"/>
                <w:tab w:val="right" w:leader="dot" w:pos="9298"/>
              </w:tabs>
              <w:autoSpaceDE w:val="0"/>
              <w:autoSpaceDN w:val="0"/>
              <w:ind w:left="6" w:hanging="6"/>
              <w:jc w:val="left"/>
              <w:rPr>
                <w:rFonts w:ascii="宋体"/>
                <w:sz w:val="18"/>
                <w:szCs w:val="18"/>
                <w:highlight w:val="none"/>
              </w:rPr>
            </w:pPr>
            <w:r>
              <w:rPr>
                <w:rFonts w:hint="eastAsia" w:ascii="宋体" w:hAnsi="宋体" w:eastAsia="宋体" w:cs="宋体"/>
                <w:sz w:val="18"/>
                <w:szCs w:val="18"/>
                <w:highlight w:val="none"/>
                <w:lang w:val="en-US" w:eastAsia="zh-CN"/>
              </w:rPr>
              <w:t>优质</w:t>
            </w:r>
            <w:r>
              <w:rPr>
                <w:rFonts w:hint="eastAsia" w:hAnsi="宋体" w:cs="宋体"/>
                <w:sz w:val="18"/>
                <w:szCs w:val="18"/>
                <w:highlight w:val="none"/>
                <w:lang w:val="en-US" w:eastAsia="zh-CN"/>
              </w:rPr>
              <w:t>中小企业相应基础分值加1分。每多一项国家级、省部级、市级、区级资质荣誉，分别加1分、0.5分、0.3分、0.2分。</w:t>
            </w:r>
          </w:p>
        </w:tc>
        <w:tc>
          <w:tcPr>
            <w:tcW w:w="620" w:type="pct"/>
            <w:tcBorders>
              <w:tl2br w:val="nil"/>
              <w:tr2bl w:val="nil"/>
            </w:tcBorders>
            <w:noWrap w:val="0"/>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5</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restart"/>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环境表现</w:t>
            </w:r>
          </w:p>
        </w:tc>
        <w:tc>
          <w:tcPr>
            <w:tcW w:w="870" w:type="pct"/>
            <w:gridSpan w:val="3"/>
            <w:tcBorders>
              <w:tl2br w:val="nil"/>
              <w:tr2bl w:val="nil"/>
            </w:tcBorders>
            <w:noWrap w:val="0"/>
            <w:vAlign w:val="center"/>
          </w:tcPr>
          <w:p>
            <w:pPr>
              <w:autoSpaceDE w:val="0"/>
              <w:autoSpaceDN w:val="0"/>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rPr>
              <w:t>工艺设备</w:t>
            </w:r>
            <w:r>
              <w:rPr>
                <w:rFonts w:hint="eastAsia" w:ascii="宋体" w:hAnsi="宋体" w:cs="宋体"/>
                <w:sz w:val="18"/>
                <w:szCs w:val="18"/>
                <w:highlight w:val="none"/>
                <w:lang w:val="en-US" w:eastAsia="zh-CN"/>
              </w:rPr>
              <w:t>材料</w:t>
            </w:r>
          </w:p>
        </w:tc>
        <w:tc>
          <w:tcPr>
            <w:tcW w:w="1036" w:type="pct"/>
            <w:tcBorders>
              <w:tl2br w:val="nil"/>
              <w:tr2bl w:val="nil"/>
            </w:tcBorders>
            <w:noWrap w:val="0"/>
            <w:vAlign w:val="center"/>
          </w:tcPr>
          <w:p>
            <w:pPr>
              <w:autoSpaceDE w:val="0"/>
              <w:autoSpaceDN w:val="0"/>
              <w:jc w:val="left"/>
              <w:rPr>
                <w:rFonts w:ascii="宋体" w:hAnsi="宋体" w:cs="宋体"/>
                <w:sz w:val="18"/>
                <w:szCs w:val="18"/>
                <w:highlight w:val="none"/>
              </w:rPr>
            </w:pPr>
            <w:r>
              <w:rPr>
                <w:rFonts w:hint="eastAsia" w:hAnsi="宋体" w:cs="宋体"/>
                <w:sz w:val="18"/>
                <w:szCs w:val="18"/>
                <w:highlight w:val="none"/>
                <w:lang w:val="en-US" w:eastAsia="zh-CN"/>
              </w:rPr>
              <w:t>从企事业单位自身生产运营过程中，采用设备及原材料的绿色化水平进行评价。</w:t>
            </w:r>
          </w:p>
        </w:tc>
        <w:tc>
          <w:tcPr>
            <w:tcW w:w="1580" w:type="pct"/>
            <w:tcBorders>
              <w:tl2br w:val="nil"/>
              <w:tr2bl w:val="nil"/>
            </w:tcBorders>
            <w:noWrap w:val="0"/>
            <w:vAlign w:val="center"/>
          </w:tcPr>
          <w:p>
            <w:pPr>
              <w:pStyle w:val="24"/>
              <w:ind w:firstLine="0" w:firstLineChars="0"/>
              <w:jc w:val="left"/>
              <w:rPr>
                <w:rFonts w:hAnsi="宋体" w:cs="宋体"/>
                <w:sz w:val="18"/>
                <w:szCs w:val="18"/>
                <w:highlight w:val="none"/>
              </w:rPr>
            </w:pPr>
            <w:r>
              <w:rPr>
                <w:rFonts w:hint="eastAsia" w:hAnsi="宋体" w:cs="宋体"/>
                <w:sz w:val="18"/>
                <w:szCs w:val="18"/>
                <w:highlight w:val="none"/>
              </w:rPr>
              <w:t>a.全部选用推荐工艺（1分），推荐目录采购比例超过50%（1分），全面实施无毒无害原材料替代（1分）；</w:t>
            </w:r>
          </w:p>
          <w:p>
            <w:pPr>
              <w:pStyle w:val="24"/>
              <w:ind w:firstLine="0" w:firstLineChars="0"/>
              <w:jc w:val="left"/>
              <w:rPr>
                <w:rFonts w:hAnsi="宋体" w:cs="宋体"/>
                <w:sz w:val="18"/>
                <w:szCs w:val="18"/>
                <w:highlight w:val="none"/>
              </w:rPr>
            </w:pPr>
            <w:r>
              <w:rPr>
                <w:rFonts w:hint="eastAsia" w:hAnsi="宋体" w:cs="宋体"/>
                <w:sz w:val="18"/>
                <w:szCs w:val="18"/>
                <w:highlight w:val="none"/>
              </w:rPr>
              <w:t>b.部分选用推荐工艺（0.5分），推荐目录采购比例超过30%（0.5分），部分实施无毒无害原材料替代（1分）；</w:t>
            </w:r>
          </w:p>
          <w:p>
            <w:pPr>
              <w:pStyle w:val="24"/>
              <w:ind w:firstLine="0" w:firstLineChars="0"/>
              <w:jc w:val="left"/>
              <w:rPr>
                <w:rFonts w:hAnsi="宋体" w:cs="宋体"/>
                <w:sz w:val="18"/>
                <w:szCs w:val="18"/>
                <w:highlight w:val="none"/>
              </w:rPr>
            </w:pPr>
            <w:r>
              <w:rPr>
                <w:rFonts w:hint="eastAsia" w:hAnsi="宋体" w:cs="宋体"/>
                <w:sz w:val="18"/>
                <w:szCs w:val="18"/>
                <w:highlight w:val="none"/>
              </w:rPr>
              <w:t>c.未选用推荐工艺（0分），推荐目录采购比例未超过30%（0分），未实施无毒无害原材料替代（0分）；</w:t>
            </w:r>
          </w:p>
          <w:p>
            <w:pPr>
              <w:pStyle w:val="65"/>
              <w:numPr>
                <w:ilvl w:val="-1"/>
                <w:numId w:val="0"/>
              </w:numPr>
              <w:tabs>
                <w:tab w:val="center" w:pos="4201"/>
                <w:tab w:val="right" w:leader="dot" w:pos="9298"/>
              </w:tabs>
              <w:autoSpaceDE w:val="0"/>
              <w:autoSpaceDN w:val="0"/>
              <w:ind w:left="0" w:firstLine="0"/>
              <w:jc w:val="left"/>
              <w:rPr>
                <w:rFonts w:ascii="宋体"/>
                <w:sz w:val="18"/>
                <w:szCs w:val="18"/>
                <w:highlight w:val="none"/>
              </w:rPr>
            </w:pPr>
            <w:r>
              <w:rPr>
                <w:rFonts w:hint="eastAsia" w:hAnsi="宋体" w:cs="宋体"/>
                <w:highlight w:val="none"/>
                <w:lang w:val="en-US" w:eastAsia="zh-CN"/>
              </w:rPr>
              <w:t>注：</w:t>
            </w:r>
            <w:r>
              <w:rPr>
                <w:rFonts w:hint="eastAsia" w:hAnsi="宋体" w:cs="宋体"/>
                <w:highlight w:val="none"/>
              </w:rPr>
              <w:t>该项为工艺、设备、材料累计得分。</w:t>
            </w:r>
          </w:p>
        </w:tc>
        <w:tc>
          <w:tcPr>
            <w:tcW w:w="620" w:type="pct"/>
            <w:tcBorders>
              <w:tl2br w:val="nil"/>
              <w:tr2bl w:val="nil"/>
            </w:tcBorders>
            <w:noWrap w:val="0"/>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3</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431" w:type="pct"/>
            <w:gridSpan w:val="2"/>
            <w:vMerge w:val="restart"/>
            <w:tcBorders>
              <w:tl2br w:val="nil"/>
              <w:tr2bl w:val="nil"/>
            </w:tcBorders>
            <w:noWrap w:val="0"/>
            <w:vAlign w:val="center"/>
          </w:tcPr>
          <w:p>
            <w:pPr>
              <w:autoSpaceDE w:val="0"/>
              <w:autoSpaceDN w:val="0"/>
              <w:jc w:val="center"/>
              <w:rPr>
                <w:rFonts w:hint="eastAsia" w:ascii="宋体" w:hAnsi="宋体" w:cs="宋体"/>
                <w:sz w:val="18"/>
                <w:szCs w:val="18"/>
                <w:highlight w:val="none"/>
              </w:rPr>
            </w:pPr>
            <w:r>
              <w:rPr>
                <w:rFonts w:hint="eastAsia" w:ascii="宋体" w:hAnsi="宋体" w:cs="宋体"/>
                <w:sz w:val="18"/>
                <w:szCs w:val="18"/>
                <w:highlight w:val="none"/>
              </w:rPr>
              <w:t>能源资源利用</w:t>
            </w:r>
          </w:p>
        </w:tc>
        <w:tc>
          <w:tcPr>
            <w:tcW w:w="438" w:type="pct"/>
            <w:tcBorders>
              <w:tl2br w:val="nil"/>
              <w:tr2bl w:val="nil"/>
            </w:tcBorders>
            <w:noWrap w:val="0"/>
            <w:vAlign w:val="center"/>
          </w:tcPr>
          <w:p>
            <w:pPr>
              <w:autoSpaceDE w:val="0"/>
              <w:autoSpaceDN w:val="0"/>
              <w:jc w:val="center"/>
              <w:rPr>
                <w:rFonts w:hint="eastAsia" w:ascii="宋体" w:hAnsi="宋体" w:cs="宋体"/>
                <w:sz w:val="18"/>
                <w:szCs w:val="18"/>
                <w:highlight w:val="none"/>
              </w:rPr>
            </w:pPr>
            <w:r>
              <w:rPr>
                <w:rFonts w:hint="eastAsia" w:ascii="宋体" w:hAnsi="宋体" w:cs="宋体"/>
                <w:sz w:val="18"/>
                <w:szCs w:val="18"/>
                <w:highlight w:val="none"/>
              </w:rPr>
              <w:t>可再生能源占比</w:t>
            </w:r>
          </w:p>
        </w:tc>
        <w:tc>
          <w:tcPr>
            <w:tcW w:w="1036" w:type="pct"/>
            <w:tcBorders>
              <w:tl2br w:val="nil"/>
              <w:tr2bl w:val="nil"/>
            </w:tcBorders>
            <w:noWrap w:val="0"/>
            <w:vAlign w:val="center"/>
          </w:tcPr>
          <w:p>
            <w:pPr>
              <w:autoSpaceDE w:val="0"/>
              <w:autoSpaceDN w:val="0"/>
              <w:jc w:val="left"/>
              <w:rPr>
                <w:rFonts w:hint="eastAsia" w:ascii="宋体" w:hAnsi="宋体" w:eastAsia="宋体" w:cs="宋体"/>
                <w:sz w:val="18"/>
                <w:szCs w:val="18"/>
                <w:highlight w:val="none"/>
                <w:lang w:eastAsia="zh-CN"/>
              </w:rPr>
            </w:pPr>
            <w:r>
              <w:rPr>
                <w:rFonts w:hint="eastAsia" w:hAnsi="宋体" w:cs="宋体"/>
                <w:sz w:val="18"/>
                <w:szCs w:val="18"/>
                <w:highlight w:val="none"/>
              </w:rPr>
              <w:t>可再生能源消费量与终端能源消费总量的比值。</w:t>
            </w:r>
          </w:p>
        </w:tc>
        <w:tc>
          <w:tcPr>
            <w:tcW w:w="1580" w:type="pct"/>
            <w:tcBorders>
              <w:tl2br w:val="nil"/>
              <w:tr2bl w:val="nil"/>
            </w:tcBorders>
            <w:noWrap w:val="0"/>
            <w:vAlign w:val="center"/>
          </w:tcPr>
          <w:p>
            <w:pPr>
              <w:autoSpaceDE w:val="0"/>
              <w:autoSpaceDN w:val="0"/>
              <w:jc w:val="left"/>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a.≥10%（2分）；</w:t>
            </w:r>
          </w:p>
          <w:p>
            <w:pPr>
              <w:autoSpaceDE w:val="0"/>
              <w:autoSpaceDN w:val="0"/>
              <w:jc w:val="left"/>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b.[5%,10%)（1分）；</w:t>
            </w:r>
          </w:p>
          <w:p>
            <w:pPr>
              <w:pStyle w:val="2"/>
              <w:rPr>
                <w:rFonts w:ascii="宋体"/>
                <w:sz w:val="18"/>
                <w:szCs w:val="18"/>
                <w:highlight w:val="none"/>
              </w:rPr>
            </w:pPr>
            <w:r>
              <w:rPr>
                <w:rFonts w:hint="eastAsia" w:ascii="宋体" w:hAnsi="宋体" w:cs="宋体"/>
                <w:sz w:val="18"/>
                <w:szCs w:val="18"/>
                <w:highlight w:val="none"/>
                <w:lang w:val="en-US" w:eastAsia="zh-CN"/>
              </w:rPr>
              <w:t>c.</w:t>
            </w:r>
            <w:r>
              <w:rPr>
                <w:rFonts w:hint="eastAsia"/>
                <w:sz w:val="18"/>
                <w:szCs w:val="18"/>
                <w:highlight w:val="none"/>
                <w:vertAlign w:val="baseline"/>
                <w:lang w:val="en-US" w:eastAsia="zh-CN"/>
              </w:rPr>
              <w:t>[0</w:t>
            </w:r>
            <w:r>
              <w:rPr>
                <w:rFonts w:hint="eastAsia" w:ascii="宋体" w:hAnsi="宋体" w:eastAsia="宋体" w:cs="宋体"/>
                <w:sz w:val="18"/>
                <w:szCs w:val="18"/>
                <w:highlight w:val="none"/>
                <w:lang w:val="en-US" w:eastAsia="zh-CN" w:bidi="ar-SA"/>
              </w:rPr>
              <w:t>%</w:t>
            </w:r>
            <w:r>
              <w:rPr>
                <w:rFonts w:hint="eastAsia"/>
                <w:sz w:val="18"/>
                <w:szCs w:val="18"/>
                <w:highlight w:val="none"/>
                <w:vertAlign w:val="baseline"/>
                <w:lang w:val="en-US" w:eastAsia="zh-CN"/>
              </w:rPr>
              <w:t>，5</w:t>
            </w:r>
            <w:r>
              <w:rPr>
                <w:rFonts w:hint="eastAsia" w:ascii="宋体" w:hAnsi="宋体" w:eastAsia="宋体" w:cs="宋体"/>
                <w:sz w:val="18"/>
                <w:szCs w:val="18"/>
                <w:highlight w:val="none"/>
                <w:lang w:val="en-US" w:eastAsia="zh-CN" w:bidi="ar-SA"/>
              </w:rPr>
              <w:t>%</w:t>
            </w:r>
            <w:r>
              <w:rPr>
                <w:rFonts w:hint="eastAsia"/>
                <w:sz w:val="18"/>
                <w:szCs w:val="18"/>
                <w:highlight w:val="none"/>
                <w:vertAlign w:val="baseline"/>
                <w:lang w:val="en-US" w:eastAsia="zh-CN"/>
              </w:rPr>
              <w:t>)</w:t>
            </w:r>
            <w:r>
              <w:rPr>
                <w:rFonts w:hint="eastAsia" w:ascii="宋体" w:hAnsi="宋体" w:cs="宋体"/>
                <w:sz w:val="18"/>
                <w:szCs w:val="18"/>
                <w:highlight w:val="none"/>
                <w:lang w:val="en-US" w:eastAsia="zh-CN"/>
              </w:rPr>
              <w:t>（0分）。</w:t>
            </w:r>
          </w:p>
        </w:tc>
        <w:tc>
          <w:tcPr>
            <w:tcW w:w="620" w:type="pct"/>
            <w:tcBorders>
              <w:tl2br w:val="nil"/>
              <w:tr2bl w:val="nil"/>
            </w:tcBorders>
            <w:noWrap w:val="0"/>
            <w:vAlign w:val="center"/>
          </w:tcPr>
          <w:p>
            <w:pPr>
              <w:autoSpaceDE w:val="0"/>
              <w:autoSpaceDN w:val="0"/>
              <w:jc w:val="center"/>
              <w:rPr>
                <w:rFonts w:hint="default" w:ascii="宋体" w:eastAsia="宋体"/>
                <w:sz w:val="18"/>
                <w:szCs w:val="18"/>
                <w:highlight w:val="none"/>
                <w:lang w:val="en-US" w:eastAsia="zh-CN"/>
              </w:rPr>
            </w:pPr>
            <w:r>
              <w:rPr>
                <w:rFonts w:hint="eastAsia" w:ascii="宋体"/>
                <w:sz w:val="18"/>
                <w:szCs w:val="18"/>
                <w:highlight w:val="none"/>
                <w:lang w:val="en-US" w:eastAsia="zh-CN"/>
              </w:rPr>
              <w:t>2</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431" w:type="pct"/>
            <w:gridSpan w:val="2"/>
            <w:vMerge w:val="continue"/>
            <w:tcBorders>
              <w:tl2br w:val="nil"/>
              <w:tr2bl w:val="nil"/>
            </w:tcBorders>
            <w:noWrap w:val="0"/>
            <w:vAlign w:val="center"/>
          </w:tcPr>
          <w:p>
            <w:pPr>
              <w:autoSpaceDE w:val="0"/>
              <w:autoSpaceDN w:val="0"/>
              <w:jc w:val="center"/>
              <w:rPr>
                <w:rFonts w:hint="eastAsia" w:ascii="宋体" w:hAnsi="宋体" w:cs="宋体"/>
                <w:sz w:val="18"/>
                <w:szCs w:val="18"/>
                <w:highlight w:val="none"/>
              </w:rPr>
            </w:pPr>
          </w:p>
        </w:tc>
        <w:tc>
          <w:tcPr>
            <w:tcW w:w="438" w:type="pct"/>
            <w:tcBorders>
              <w:tl2br w:val="nil"/>
              <w:tr2bl w:val="nil"/>
            </w:tcBorders>
            <w:noWrap w:val="0"/>
            <w:vAlign w:val="center"/>
          </w:tcPr>
          <w:p>
            <w:pPr>
              <w:autoSpaceDE w:val="0"/>
              <w:autoSpaceDN w:val="0"/>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rPr>
              <w:t>非常规水资源利用率</w:t>
            </w:r>
          </w:p>
        </w:tc>
        <w:tc>
          <w:tcPr>
            <w:tcW w:w="1036" w:type="pct"/>
            <w:tcBorders>
              <w:tl2br w:val="nil"/>
              <w:tr2bl w:val="nil"/>
            </w:tcBorders>
            <w:noWrap w:val="0"/>
            <w:vAlign w:val="center"/>
          </w:tcPr>
          <w:p>
            <w:pPr>
              <w:autoSpaceDE w:val="0"/>
              <w:autoSpaceDN w:val="0"/>
              <w:jc w:val="left"/>
              <w:rPr>
                <w:rFonts w:hint="eastAsia" w:ascii="宋体" w:hAnsi="宋体" w:eastAsia="宋体" w:cs="宋体"/>
                <w:kern w:val="2"/>
                <w:sz w:val="18"/>
                <w:szCs w:val="18"/>
                <w:highlight w:val="none"/>
                <w:lang w:val="en-US" w:eastAsia="zh-CN" w:bidi="ar-SA"/>
              </w:rPr>
            </w:pPr>
            <w:r>
              <w:rPr>
                <w:rFonts w:hint="eastAsia" w:hAnsi="宋体" w:cs="宋体"/>
                <w:sz w:val="18"/>
                <w:szCs w:val="18"/>
                <w:highlight w:val="none"/>
              </w:rPr>
              <w:t>再生水、雨水、海水、矿井水、苦咸水等非常规水资源利用总量与用水总量的比值。</w:t>
            </w:r>
          </w:p>
        </w:tc>
        <w:tc>
          <w:tcPr>
            <w:tcW w:w="1580" w:type="pct"/>
            <w:tcBorders>
              <w:tl2br w:val="nil"/>
              <w:tr2bl w:val="nil"/>
            </w:tcBorders>
            <w:noWrap w:val="0"/>
            <w:vAlign w:val="center"/>
          </w:tcPr>
          <w:p>
            <w:pPr>
              <w:autoSpaceDE w:val="0"/>
              <w:autoSpaceDN w:val="0"/>
              <w:jc w:val="left"/>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a.≥60%（1分）；</w:t>
            </w:r>
          </w:p>
          <w:p>
            <w:pPr>
              <w:autoSpaceDE w:val="0"/>
              <w:autoSpaceDN w:val="0"/>
              <w:jc w:val="left"/>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b.[20%,60%)（0.5分）；</w:t>
            </w:r>
          </w:p>
          <w:p>
            <w:pPr>
              <w:autoSpaceDE w:val="0"/>
              <w:autoSpaceDN w:val="0"/>
              <w:jc w:val="left"/>
              <w:rPr>
                <w:rFonts w:hint="eastAsia" w:ascii="宋体" w:hAnsi="Times New Roman" w:eastAsia="宋体" w:cs="Times New Roman"/>
                <w:kern w:val="2"/>
                <w:sz w:val="18"/>
                <w:szCs w:val="18"/>
                <w:highlight w:val="none"/>
                <w:lang w:val="en-US" w:eastAsia="zh-CN" w:bidi="ar-SA"/>
              </w:rPr>
            </w:pPr>
            <w:r>
              <w:rPr>
                <w:rFonts w:hint="eastAsia" w:ascii="宋体" w:hAnsi="宋体" w:cs="宋体"/>
                <w:kern w:val="0"/>
                <w:sz w:val="18"/>
                <w:szCs w:val="18"/>
                <w:highlight w:val="none"/>
                <w:lang w:val="en-US" w:eastAsia="zh-CN"/>
              </w:rPr>
              <w:t>c.</w:t>
            </w:r>
            <w:r>
              <w:rPr>
                <w:rFonts w:hint="eastAsia" w:ascii="宋体" w:hAnsi="宋体" w:cs="宋体"/>
                <w:kern w:val="0"/>
                <w:sz w:val="18"/>
                <w:szCs w:val="18"/>
                <w:highlight w:val="none"/>
                <w:vertAlign w:val="baseline"/>
                <w:lang w:val="en-US" w:eastAsia="zh-CN"/>
              </w:rPr>
              <w:t>[0</w:t>
            </w:r>
            <w:r>
              <w:rPr>
                <w:rFonts w:hint="eastAsia" w:ascii="宋体" w:hAnsi="宋体" w:eastAsia="宋体" w:cs="宋体"/>
                <w:sz w:val="18"/>
                <w:szCs w:val="18"/>
                <w:highlight w:val="none"/>
                <w:lang w:val="en-US" w:eastAsia="zh-CN" w:bidi="ar-SA"/>
              </w:rPr>
              <w:t>%</w:t>
            </w:r>
            <w:r>
              <w:rPr>
                <w:rFonts w:hint="eastAsia" w:ascii="宋体" w:hAnsi="宋体" w:cs="宋体"/>
                <w:kern w:val="0"/>
                <w:sz w:val="18"/>
                <w:szCs w:val="18"/>
                <w:highlight w:val="none"/>
                <w:vertAlign w:val="baseline"/>
                <w:lang w:val="en-US" w:eastAsia="zh-CN"/>
              </w:rPr>
              <w:t>，20</w:t>
            </w:r>
            <w:r>
              <w:rPr>
                <w:rFonts w:hint="eastAsia" w:ascii="宋体" w:hAnsi="宋体" w:eastAsia="宋体" w:cs="宋体"/>
                <w:sz w:val="18"/>
                <w:szCs w:val="18"/>
                <w:highlight w:val="none"/>
                <w:lang w:val="en-US" w:eastAsia="zh-CN" w:bidi="ar-SA"/>
              </w:rPr>
              <w:t>%</w:t>
            </w:r>
            <w:r>
              <w:rPr>
                <w:rFonts w:hint="eastAsia" w:ascii="宋体" w:hAnsi="宋体" w:cs="宋体"/>
                <w:kern w:val="0"/>
                <w:sz w:val="18"/>
                <w:szCs w:val="18"/>
                <w:highlight w:val="none"/>
                <w:vertAlign w:val="baseline"/>
                <w:lang w:val="en-US" w:eastAsia="zh-CN"/>
              </w:rPr>
              <w:t>)</w:t>
            </w:r>
            <w:r>
              <w:rPr>
                <w:rFonts w:hint="eastAsia" w:ascii="宋体" w:hAnsi="宋体" w:cs="宋体"/>
                <w:kern w:val="0"/>
                <w:sz w:val="18"/>
                <w:szCs w:val="18"/>
                <w:highlight w:val="none"/>
                <w:lang w:val="en-US" w:eastAsia="zh-CN"/>
              </w:rPr>
              <w:t>（0分）。</w:t>
            </w:r>
          </w:p>
        </w:tc>
        <w:tc>
          <w:tcPr>
            <w:tcW w:w="620" w:type="pct"/>
            <w:tcBorders>
              <w:tl2br w:val="nil"/>
              <w:tr2bl w:val="nil"/>
            </w:tcBorders>
            <w:noWrap w:val="0"/>
            <w:vAlign w:val="center"/>
          </w:tcPr>
          <w:p>
            <w:pPr>
              <w:autoSpaceDE w:val="0"/>
              <w:autoSpaceDN w:val="0"/>
              <w:jc w:val="center"/>
              <w:rPr>
                <w:rFonts w:hint="eastAsia" w:ascii="宋体" w:hAnsi="Times New Roman" w:eastAsia="宋体" w:cs="Times New Roman"/>
                <w:kern w:val="2"/>
                <w:sz w:val="18"/>
                <w:szCs w:val="18"/>
                <w:highlight w:val="none"/>
                <w:lang w:val="en-US" w:eastAsia="zh-CN" w:bidi="ar-SA"/>
              </w:rPr>
            </w:pPr>
            <w:r>
              <w:rPr>
                <w:rFonts w:hint="eastAsia" w:ascii="宋体"/>
                <w:sz w:val="18"/>
                <w:szCs w:val="18"/>
                <w:highlight w:val="none"/>
                <w:lang w:val="en-US" w:eastAsia="zh-CN"/>
              </w:rPr>
              <w:t>1</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431" w:type="pct"/>
            <w:gridSpan w:val="2"/>
            <w:vMerge w:val="continue"/>
            <w:tcBorders>
              <w:tl2br w:val="nil"/>
              <w:tr2bl w:val="nil"/>
            </w:tcBorders>
            <w:noWrap w:val="0"/>
            <w:vAlign w:val="center"/>
          </w:tcPr>
          <w:p>
            <w:pPr>
              <w:autoSpaceDE w:val="0"/>
              <w:autoSpaceDN w:val="0"/>
              <w:jc w:val="center"/>
              <w:rPr>
                <w:rFonts w:hint="eastAsia" w:ascii="宋体" w:hAnsi="宋体" w:cs="宋体"/>
                <w:sz w:val="18"/>
                <w:szCs w:val="18"/>
                <w:highlight w:val="none"/>
              </w:rPr>
            </w:pPr>
          </w:p>
        </w:tc>
        <w:tc>
          <w:tcPr>
            <w:tcW w:w="438" w:type="pct"/>
            <w:tcBorders>
              <w:tl2br w:val="nil"/>
              <w:tr2bl w:val="nil"/>
            </w:tcBorders>
            <w:noWrap w:val="0"/>
            <w:vAlign w:val="center"/>
          </w:tcPr>
          <w:p>
            <w:pPr>
              <w:autoSpaceDE w:val="0"/>
              <w:autoSpaceDN w:val="0"/>
              <w:jc w:val="center"/>
              <w:rPr>
                <w:rFonts w:hint="eastAsia" w:ascii="宋体" w:hAnsi="宋体" w:cs="宋体"/>
                <w:sz w:val="18"/>
                <w:szCs w:val="18"/>
                <w:highlight w:val="none"/>
              </w:rPr>
            </w:pPr>
            <w:r>
              <w:rPr>
                <w:rFonts w:hint="eastAsia" w:ascii="宋体" w:hAnsi="宋体" w:cs="宋体"/>
                <w:sz w:val="18"/>
                <w:szCs w:val="18"/>
                <w:highlight w:val="none"/>
              </w:rPr>
              <w:t>废弃物综合利用率</w:t>
            </w:r>
          </w:p>
        </w:tc>
        <w:tc>
          <w:tcPr>
            <w:tcW w:w="1036" w:type="pct"/>
            <w:tcBorders>
              <w:tl2br w:val="nil"/>
              <w:tr2bl w:val="nil"/>
            </w:tcBorders>
            <w:noWrap w:val="0"/>
            <w:vAlign w:val="center"/>
          </w:tcPr>
          <w:p>
            <w:pPr>
              <w:autoSpaceDE w:val="0"/>
              <w:autoSpaceDN w:val="0"/>
              <w:jc w:val="left"/>
              <w:rPr>
                <w:rFonts w:hint="eastAsia" w:ascii="宋体" w:hAnsi="宋体" w:eastAsia="宋体" w:cs="宋体"/>
                <w:sz w:val="18"/>
                <w:szCs w:val="18"/>
                <w:highlight w:val="none"/>
                <w:lang w:eastAsia="zh-CN"/>
              </w:rPr>
            </w:pPr>
            <w:r>
              <w:rPr>
                <w:rFonts w:hint="eastAsia" w:hAnsi="宋体" w:cs="宋体"/>
                <w:sz w:val="18"/>
                <w:szCs w:val="18"/>
                <w:highlight w:val="none"/>
              </w:rPr>
              <w:t>工业固体废物综合利用量与工业固体废物产生量的比值。</w:t>
            </w:r>
          </w:p>
        </w:tc>
        <w:tc>
          <w:tcPr>
            <w:tcW w:w="1580" w:type="pct"/>
            <w:tcBorders>
              <w:tl2br w:val="nil"/>
              <w:tr2bl w:val="nil"/>
            </w:tcBorders>
            <w:noWrap w:val="0"/>
            <w:vAlign w:val="center"/>
          </w:tcPr>
          <w:p>
            <w:pPr>
              <w:autoSpaceDE w:val="0"/>
              <w:autoSpaceDN w:val="0"/>
              <w:jc w:val="left"/>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a.≥92%（2分）；</w:t>
            </w:r>
          </w:p>
          <w:p>
            <w:pPr>
              <w:autoSpaceDE w:val="0"/>
              <w:autoSpaceDN w:val="0"/>
              <w:jc w:val="left"/>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b.[80%,92%)（1分）；</w:t>
            </w:r>
          </w:p>
          <w:p>
            <w:pPr>
              <w:autoSpaceDE w:val="0"/>
              <w:autoSpaceDN w:val="0"/>
              <w:jc w:val="left"/>
              <w:rPr>
                <w:rFonts w:hint="eastAsia" w:ascii="宋体" w:hAnsi="宋体" w:cs="宋体"/>
                <w:sz w:val="18"/>
                <w:szCs w:val="18"/>
                <w:highlight w:val="none"/>
                <w:lang w:val="en-US" w:eastAsia="zh-CN"/>
              </w:rPr>
            </w:pPr>
            <w:r>
              <w:rPr>
                <w:rFonts w:hint="eastAsia" w:ascii="宋体" w:hAnsi="宋体" w:cs="宋体"/>
                <w:kern w:val="0"/>
                <w:sz w:val="18"/>
                <w:szCs w:val="18"/>
                <w:highlight w:val="none"/>
                <w:lang w:val="en-US" w:eastAsia="zh-CN"/>
              </w:rPr>
              <w:t>c.</w:t>
            </w:r>
            <w:r>
              <w:rPr>
                <w:rFonts w:hint="eastAsia" w:ascii="宋体" w:hAnsi="宋体" w:cs="宋体"/>
                <w:kern w:val="0"/>
                <w:sz w:val="18"/>
                <w:szCs w:val="18"/>
                <w:highlight w:val="none"/>
                <w:vertAlign w:val="baseline"/>
                <w:lang w:val="en-US" w:eastAsia="zh-CN"/>
              </w:rPr>
              <w:t>[0</w:t>
            </w:r>
            <w:r>
              <w:rPr>
                <w:rFonts w:hint="eastAsia" w:ascii="宋体" w:hAnsi="宋体" w:eastAsia="宋体" w:cs="宋体"/>
                <w:sz w:val="18"/>
                <w:szCs w:val="18"/>
                <w:highlight w:val="none"/>
                <w:lang w:val="en-US" w:eastAsia="zh-CN" w:bidi="ar-SA"/>
              </w:rPr>
              <w:t>%</w:t>
            </w:r>
            <w:r>
              <w:rPr>
                <w:rFonts w:hint="eastAsia" w:ascii="宋体" w:hAnsi="宋体" w:cs="宋体"/>
                <w:kern w:val="0"/>
                <w:sz w:val="18"/>
                <w:szCs w:val="18"/>
                <w:highlight w:val="none"/>
                <w:vertAlign w:val="baseline"/>
                <w:lang w:val="en-US" w:eastAsia="zh-CN"/>
              </w:rPr>
              <w:t>，80</w:t>
            </w:r>
            <w:r>
              <w:rPr>
                <w:rFonts w:hint="eastAsia" w:ascii="宋体" w:hAnsi="宋体" w:eastAsia="宋体" w:cs="宋体"/>
                <w:sz w:val="18"/>
                <w:szCs w:val="18"/>
                <w:highlight w:val="none"/>
                <w:lang w:val="en-US" w:eastAsia="zh-CN" w:bidi="ar-SA"/>
              </w:rPr>
              <w:t>%</w:t>
            </w:r>
            <w:r>
              <w:rPr>
                <w:rFonts w:hint="eastAsia" w:ascii="宋体" w:hAnsi="宋体" w:cs="宋体"/>
                <w:kern w:val="0"/>
                <w:sz w:val="18"/>
                <w:szCs w:val="18"/>
                <w:highlight w:val="none"/>
                <w:vertAlign w:val="baseline"/>
                <w:lang w:val="en-US" w:eastAsia="zh-CN"/>
              </w:rPr>
              <w:t>)</w:t>
            </w:r>
            <w:r>
              <w:rPr>
                <w:rFonts w:hint="eastAsia" w:ascii="宋体" w:hAnsi="宋体" w:cs="宋体"/>
                <w:kern w:val="0"/>
                <w:sz w:val="18"/>
                <w:szCs w:val="18"/>
                <w:highlight w:val="none"/>
                <w:lang w:val="en-US" w:eastAsia="zh-CN"/>
              </w:rPr>
              <w:t>（0分）。</w:t>
            </w:r>
          </w:p>
        </w:tc>
        <w:tc>
          <w:tcPr>
            <w:tcW w:w="620" w:type="pct"/>
            <w:tcBorders>
              <w:tl2br w:val="nil"/>
              <w:tr2bl w:val="nil"/>
            </w:tcBorders>
            <w:noWrap w:val="0"/>
            <w:vAlign w:val="center"/>
          </w:tcPr>
          <w:p>
            <w:pPr>
              <w:autoSpaceDE w:val="0"/>
              <w:autoSpaceDN w:val="0"/>
              <w:jc w:val="center"/>
              <w:rPr>
                <w:rFonts w:hint="default" w:ascii="宋体"/>
                <w:sz w:val="18"/>
                <w:szCs w:val="18"/>
                <w:highlight w:val="none"/>
                <w:lang w:val="en-US" w:eastAsia="zh-CN"/>
              </w:rPr>
            </w:pPr>
            <w:r>
              <w:rPr>
                <w:rFonts w:hint="eastAsia" w:ascii="宋体"/>
                <w:sz w:val="18"/>
                <w:szCs w:val="18"/>
                <w:highlight w:val="none"/>
                <w:lang w:val="en-US" w:eastAsia="zh-CN"/>
              </w:rPr>
              <w:t>2</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870" w:type="pct"/>
            <w:gridSpan w:val="3"/>
            <w:tcBorders>
              <w:tl2br w:val="nil"/>
              <w:tr2bl w:val="nil"/>
            </w:tcBorders>
            <w:noWrap w:val="0"/>
            <w:vAlign w:val="center"/>
          </w:tcPr>
          <w:p>
            <w:pPr>
              <w:autoSpaceDE w:val="0"/>
              <w:autoSpaceDN w:val="0"/>
              <w:jc w:val="center"/>
              <w:rPr>
                <w:rFonts w:hint="eastAsia" w:ascii="宋体" w:hAnsi="宋体" w:cs="宋体"/>
                <w:sz w:val="18"/>
                <w:szCs w:val="18"/>
                <w:highlight w:val="none"/>
              </w:rPr>
            </w:pPr>
            <w:r>
              <w:rPr>
                <w:rFonts w:hint="eastAsia" w:ascii="宋体" w:hAnsi="宋体" w:cs="宋体"/>
                <w:sz w:val="18"/>
                <w:szCs w:val="18"/>
                <w:highlight w:val="none"/>
                <w:lang w:val="en-US" w:eastAsia="zh-CN"/>
              </w:rPr>
              <w:t>污染物排放水平</w:t>
            </w:r>
          </w:p>
        </w:tc>
        <w:tc>
          <w:tcPr>
            <w:tcW w:w="1036" w:type="pct"/>
            <w:tcBorders>
              <w:tl2br w:val="nil"/>
              <w:tr2bl w:val="nil"/>
            </w:tcBorders>
            <w:noWrap w:val="0"/>
            <w:vAlign w:val="center"/>
          </w:tcPr>
          <w:p>
            <w:pPr>
              <w:autoSpaceDE w:val="0"/>
              <w:autoSpaceDN w:val="0"/>
              <w:jc w:val="left"/>
              <w:rPr>
                <w:rFonts w:ascii="宋体" w:hAnsi="宋体" w:cs="宋体"/>
                <w:sz w:val="18"/>
                <w:szCs w:val="18"/>
                <w:highlight w:val="none"/>
              </w:rPr>
            </w:pPr>
            <w:r>
              <w:rPr>
                <w:rFonts w:hint="eastAsia" w:hAnsi="宋体" w:cs="宋体"/>
                <w:sz w:val="18"/>
                <w:szCs w:val="18"/>
                <w:highlight w:val="none"/>
                <w:lang w:val="en-US" w:eastAsia="zh-CN"/>
              </w:rPr>
              <w:t>企事业单位自身生产运营过程，向环境排放污染物的情况。应报告与企事业单位绿色业务直接关联的深圳市行政区域外分支机构的污染物排放情况，污染物排放水平数据宜以全国污染源监测数据管理与共享系统平台的自行监测数据为准。</w:t>
            </w:r>
          </w:p>
        </w:tc>
        <w:tc>
          <w:tcPr>
            <w:tcW w:w="1580" w:type="pct"/>
            <w:tcBorders>
              <w:tl2br w:val="nil"/>
              <w:tr2bl w:val="nil"/>
            </w:tcBorders>
            <w:noWrap w:val="0"/>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a.不排放污染物，或优于排污许可证限值20%，或优于排放源所在地同类行业污染物排放限值20%。（3分）；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b.优于排污许可证限值10%，或优于排放源所在地同类行业污染物排放限值10%。（1分）；</w:t>
            </w:r>
          </w:p>
          <w:p>
            <w:pPr>
              <w:autoSpaceDE w:val="0"/>
              <w:autoSpaceDN w:val="0"/>
              <w:jc w:val="left"/>
              <w:rPr>
                <w:rFonts w:ascii="宋体"/>
                <w:sz w:val="18"/>
                <w:szCs w:val="18"/>
                <w:highlight w:val="none"/>
              </w:rPr>
            </w:pPr>
            <w:r>
              <w:rPr>
                <w:rFonts w:hint="eastAsia" w:hAnsi="宋体" w:cs="宋体"/>
                <w:sz w:val="18"/>
                <w:szCs w:val="18"/>
                <w:highlight w:val="none"/>
                <w:lang w:val="en-US" w:eastAsia="zh-CN"/>
              </w:rPr>
              <w:t>c.不满足上述任何一项</w:t>
            </w:r>
            <w:r>
              <w:rPr>
                <w:rFonts w:hint="eastAsia" w:ascii="宋体" w:hAnsi="宋体" w:cs="宋体"/>
                <w:kern w:val="0"/>
                <w:sz w:val="18"/>
                <w:szCs w:val="18"/>
                <w:highlight w:val="none"/>
                <w:lang w:val="en-US" w:eastAsia="zh-CN"/>
              </w:rPr>
              <w:t>。（0分</w:t>
            </w:r>
            <w:r>
              <w:rPr>
                <w:rFonts w:hint="eastAsia" w:hAnsi="宋体" w:cs="宋体"/>
                <w:sz w:val="18"/>
                <w:szCs w:val="18"/>
                <w:highlight w:val="none"/>
                <w:lang w:val="en-US" w:eastAsia="zh-CN"/>
              </w:rPr>
              <w:t>）。</w:t>
            </w:r>
          </w:p>
        </w:tc>
        <w:tc>
          <w:tcPr>
            <w:tcW w:w="620" w:type="pct"/>
            <w:tcBorders>
              <w:tl2br w:val="nil"/>
              <w:tr2bl w:val="nil"/>
            </w:tcBorders>
            <w:noWrap w:val="0"/>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3</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3" w:hRule="atLeast"/>
        </w:trPr>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870" w:type="pct"/>
            <w:gridSpan w:val="3"/>
            <w:tcBorders>
              <w:tl2br w:val="nil"/>
              <w:tr2bl w:val="nil"/>
            </w:tcBorders>
            <w:noWrap w:val="0"/>
            <w:vAlign w:val="center"/>
          </w:tcPr>
          <w:p>
            <w:pPr>
              <w:autoSpaceDE w:val="0"/>
              <w:autoSpaceDN w:val="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温室气体排放水平</w:t>
            </w:r>
          </w:p>
        </w:tc>
        <w:tc>
          <w:tcPr>
            <w:tcW w:w="1036" w:type="pct"/>
            <w:tcBorders>
              <w:tl2br w:val="nil"/>
              <w:tr2bl w:val="nil"/>
            </w:tcBorders>
            <w:noWrap w:val="0"/>
            <w:vAlign w:val="center"/>
          </w:tcPr>
          <w:p>
            <w:pPr>
              <w:autoSpaceDE w:val="0"/>
              <w:autoSpaceDN w:val="0"/>
              <w:jc w:val="left"/>
              <w:rPr>
                <w:rFonts w:hint="eastAsia" w:ascii="宋体" w:hAnsi="宋体" w:cs="宋体"/>
                <w:sz w:val="18"/>
                <w:szCs w:val="18"/>
                <w:highlight w:val="none"/>
              </w:rPr>
            </w:pPr>
            <w:r>
              <w:rPr>
                <w:rFonts w:hint="eastAsia" w:hAnsi="宋体" w:cs="宋体"/>
                <w:sz w:val="18"/>
                <w:szCs w:val="18"/>
                <w:highlight w:val="none"/>
                <w:lang w:val="en-US" w:eastAsia="zh-CN"/>
              </w:rPr>
              <w:t>企事业单位自身生产运营过程，向环境排放温室气体的情况。应报告与企事业单位绿色业务直接关联的深圳市行政区域外分支机构的温室气体排放情况，温室气体排放水平数据宜以第三方碳核查机构出具的报告数据为准。</w:t>
            </w:r>
          </w:p>
        </w:tc>
        <w:tc>
          <w:tcPr>
            <w:tcW w:w="1580" w:type="pct"/>
            <w:tcBorders>
              <w:tl2br w:val="nil"/>
              <w:tr2bl w:val="nil"/>
            </w:tcBorders>
            <w:noWrap w:val="0"/>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a.生产制造类企业碳排放总量和碳排放强度相较上一年度的下降比例超过6%。</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建设运营类企业碳排放总量和碳排放强度相较上一年度的下降比例超过3%。</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（3分）；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b.生产制造类企业碳排放总量和碳排放强度相较上一年度的下降比例超过3%、不足6%。建设运营类企业碳排放总量和碳排放强度相较上一年度的下降比例超过1%、不足3%。（1分）；</w:t>
            </w:r>
          </w:p>
          <w:p>
            <w:pPr>
              <w:autoSpaceDE w:val="0"/>
              <w:autoSpaceDN w:val="0"/>
              <w:jc w:val="left"/>
              <w:rPr>
                <w:rFonts w:ascii="宋体"/>
                <w:sz w:val="18"/>
                <w:szCs w:val="18"/>
                <w:highlight w:val="none"/>
              </w:rPr>
            </w:pPr>
            <w:r>
              <w:rPr>
                <w:rFonts w:hint="eastAsia" w:hAnsi="宋体" w:cs="宋体"/>
                <w:sz w:val="18"/>
                <w:szCs w:val="18"/>
                <w:highlight w:val="none"/>
                <w:lang w:val="en-US" w:eastAsia="zh-CN"/>
              </w:rPr>
              <w:t>c.不满足上述任何一项。（0分）。</w:t>
            </w:r>
          </w:p>
        </w:tc>
        <w:tc>
          <w:tcPr>
            <w:tcW w:w="620" w:type="pct"/>
            <w:tcBorders>
              <w:tl2br w:val="nil"/>
              <w:tr2bl w:val="nil"/>
            </w:tcBorders>
            <w:noWrap w:val="0"/>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3</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4" w:type="pct"/>
            <w:vMerge w:val="restart"/>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社会表现</w:t>
            </w:r>
          </w:p>
        </w:tc>
        <w:tc>
          <w:tcPr>
            <w:tcW w:w="870" w:type="pct"/>
            <w:gridSpan w:val="3"/>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内部行动</w:t>
            </w:r>
          </w:p>
        </w:tc>
        <w:tc>
          <w:tcPr>
            <w:tcW w:w="1036" w:type="pct"/>
            <w:tcBorders>
              <w:tl2br w:val="nil"/>
              <w:tr2bl w:val="nil"/>
            </w:tcBorders>
            <w:noWrap w:val="0"/>
            <w:vAlign w:val="center"/>
          </w:tcPr>
          <w:p>
            <w:pPr>
              <w:autoSpaceDE w:val="0"/>
              <w:autoSpaceDN w:val="0"/>
              <w:jc w:val="left"/>
              <w:rPr>
                <w:rFonts w:ascii="宋体" w:hAnsi="宋体" w:cs="宋体"/>
                <w:sz w:val="18"/>
                <w:szCs w:val="18"/>
                <w:highlight w:val="none"/>
              </w:rPr>
            </w:pPr>
            <w:r>
              <w:rPr>
                <w:rFonts w:hint="eastAsia" w:hAnsi="宋体" w:cs="宋体"/>
                <w:sz w:val="18"/>
                <w:szCs w:val="18"/>
                <w:highlight w:val="none"/>
                <w:lang w:val="en-US" w:eastAsia="zh-CN"/>
              </w:rPr>
              <w:t>企事业单位开展绿色发展行动、信息披露以及低碳培训的情况。</w:t>
            </w:r>
          </w:p>
        </w:tc>
        <w:tc>
          <w:tcPr>
            <w:tcW w:w="1580" w:type="pct"/>
            <w:tcBorders>
              <w:tl2br w:val="nil"/>
              <w:tr2bl w:val="nil"/>
            </w:tcBorders>
            <w:noWrap w:val="0"/>
            <w:vAlign w:val="center"/>
          </w:tcPr>
          <w:p>
            <w:pPr>
              <w:pStyle w:val="24"/>
              <w:ind w:firstLine="0" w:firstLineChars="0"/>
              <w:jc w:val="left"/>
              <w:rPr>
                <w:rFonts w:hint="eastAsia" w:hAnsi="宋体" w:cs="宋体"/>
                <w:sz w:val="18"/>
                <w:szCs w:val="18"/>
                <w:highlight w:val="none"/>
              </w:rPr>
            </w:pPr>
            <w:r>
              <w:rPr>
                <w:rFonts w:hint="eastAsia" w:hAnsi="宋体" w:cs="宋体"/>
                <w:sz w:val="18"/>
                <w:szCs w:val="18"/>
                <w:highlight w:val="none"/>
                <w:lang w:val="en-US" w:eastAsia="zh-CN"/>
              </w:rPr>
              <w:t>a.编制发布资源节约、环境友好、生态良好相关</w:t>
            </w:r>
            <w:r>
              <w:rPr>
                <w:rFonts w:hint="eastAsia" w:hAnsi="宋体" w:cs="宋体"/>
                <w:sz w:val="18"/>
                <w:szCs w:val="18"/>
                <w:highlight w:val="none"/>
              </w:rPr>
              <w:t>绿色低碳产业</w:t>
            </w:r>
            <w:r>
              <w:rPr>
                <w:rFonts w:hint="eastAsia" w:hAnsi="宋体" w:cs="宋体"/>
                <w:sz w:val="18"/>
                <w:szCs w:val="18"/>
                <w:highlight w:val="none"/>
                <w:lang w:val="en-US" w:eastAsia="zh-CN"/>
              </w:rPr>
              <w:t>转型蓝皮书等文件，或创建近零碳排放试点、编制发布碳中和规划或行动方案。（1分）</w:t>
            </w:r>
          </w:p>
          <w:p>
            <w:pPr>
              <w:pStyle w:val="24"/>
              <w:ind w:firstLine="0" w:firstLineChars="0"/>
              <w:jc w:val="left"/>
              <w:rPr>
                <w:rFonts w:hint="eastAsia" w:hAnsi="宋体" w:cs="宋体"/>
                <w:sz w:val="18"/>
                <w:szCs w:val="18"/>
                <w:highlight w:val="none"/>
              </w:rPr>
            </w:pPr>
            <w:r>
              <w:rPr>
                <w:rFonts w:hint="eastAsia" w:hAnsi="宋体" w:cs="宋体"/>
                <w:sz w:val="18"/>
                <w:szCs w:val="18"/>
                <w:highlight w:val="none"/>
                <w:lang w:val="en-US" w:eastAsia="zh-CN"/>
              </w:rPr>
              <w:t>b.主动依法依规开展信息披露。（1分）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c.每年实施2次及以上绿色低碳意识培训。（1分）</w:t>
            </w:r>
          </w:p>
          <w:p>
            <w:pPr>
              <w:pStyle w:val="65"/>
              <w:tabs>
                <w:tab w:val="center" w:pos="4201"/>
                <w:tab w:val="right" w:leader="dot" w:pos="9298"/>
              </w:tabs>
              <w:autoSpaceDE w:val="0"/>
              <w:autoSpaceDN w:val="0"/>
              <w:ind w:left="6" w:hanging="6"/>
              <w:jc w:val="left"/>
              <w:rPr>
                <w:rFonts w:ascii="宋体"/>
                <w:sz w:val="18"/>
                <w:szCs w:val="18"/>
                <w:highlight w:val="none"/>
              </w:rPr>
            </w:pPr>
            <w:r>
              <w:rPr>
                <w:rFonts w:hint="eastAsia" w:hAnsi="宋体" w:cs="宋体"/>
                <w:sz w:val="18"/>
                <w:szCs w:val="18"/>
                <w:highlight w:val="none"/>
                <w:lang w:val="en-US" w:eastAsia="zh-CN"/>
              </w:rPr>
              <w:t>该项得分为三项指标累计得分。</w:t>
            </w:r>
          </w:p>
        </w:tc>
        <w:tc>
          <w:tcPr>
            <w:tcW w:w="620" w:type="pct"/>
            <w:tcBorders>
              <w:tl2br w:val="nil"/>
              <w:tr2bl w:val="nil"/>
            </w:tcBorders>
            <w:noWrap w:val="0"/>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3</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vMerge w:val="continue"/>
            <w:tcBorders>
              <w:tl2br w:val="nil"/>
              <w:tr2bl w:val="nil"/>
            </w:tcBorders>
            <w:noWrap w:val="0"/>
            <w:vAlign w:val="center"/>
          </w:tcPr>
          <w:p>
            <w:pPr>
              <w:autoSpaceDE w:val="0"/>
              <w:autoSpaceDN w:val="0"/>
              <w:jc w:val="center"/>
              <w:rPr>
                <w:rFonts w:ascii="宋体" w:hAnsi="宋体" w:cs="宋体"/>
                <w:sz w:val="18"/>
                <w:szCs w:val="18"/>
                <w:highlight w:val="none"/>
              </w:rPr>
            </w:pPr>
          </w:p>
        </w:tc>
        <w:tc>
          <w:tcPr>
            <w:tcW w:w="870" w:type="pct"/>
            <w:gridSpan w:val="3"/>
            <w:tcBorders>
              <w:tl2br w:val="nil"/>
              <w:tr2bl w:val="nil"/>
            </w:tcBorders>
            <w:noWrap w:val="0"/>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社会责任</w:t>
            </w:r>
          </w:p>
        </w:tc>
        <w:tc>
          <w:tcPr>
            <w:tcW w:w="1036" w:type="pct"/>
            <w:tcBorders>
              <w:tl2br w:val="nil"/>
              <w:tr2bl w:val="nil"/>
            </w:tcBorders>
            <w:noWrap w:val="0"/>
            <w:vAlign w:val="center"/>
          </w:tcPr>
          <w:p>
            <w:pPr>
              <w:autoSpaceDE w:val="0"/>
              <w:autoSpaceDN w:val="0"/>
              <w:jc w:val="left"/>
              <w:rPr>
                <w:rFonts w:ascii="宋体" w:hAnsi="宋体" w:cs="宋体"/>
                <w:sz w:val="18"/>
                <w:szCs w:val="18"/>
                <w:highlight w:val="none"/>
              </w:rPr>
            </w:pPr>
            <w:r>
              <w:rPr>
                <w:rFonts w:hint="eastAsia" w:hAnsi="宋体" w:cs="宋体"/>
                <w:sz w:val="18"/>
                <w:szCs w:val="18"/>
                <w:highlight w:val="none"/>
                <w:lang w:val="en-US" w:eastAsia="zh-CN"/>
              </w:rPr>
              <w:t>企事业单位履行公共关系和社会公益责任、实施供应链绿色管理等情况。</w:t>
            </w:r>
          </w:p>
        </w:tc>
        <w:tc>
          <w:tcPr>
            <w:tcW w:w="1580" w:type="pct"/>
            <w:tcBorders>
              <w:tl2br w:val="nil"/>
              <w:tr2bl w:val="nil"/>
            </w:tcBorders>
            <w:noWrap w:val="0"/>
            <w:vAlign w:val="center"/>
          </w:tcPr>
          <w:p>
            <w:pPr>
              <w:pStyle w:val="24"/>
              <w:ind w:firstLine="0" w:firstLineChars="0"/>
              <w:jc w:val="left"/>
              <w:rPr>
                <w:rFonts w:hint="eastAsia" w:hAnsi="宋体" w:cs="宋体"/>
                <w:sz w:val="18"/>
                <w:szCs w:val="18"/>
                <w:highlight w:val="none"/>
              </w:rPr>
            </w:pPr>
            <w:r>
              <w:rPr>
                <w:rFonts w:hint="eastAsia" w:hAnsi="宋体" w:cs="宋体"/>
                <w:sz w:val="18"/>
                <w:szCs w:val="18"/>
                <w:highlight w:val="none"/>
                <w:lang w:val="en-US" w:eastAsia="zh-CN"/>
              </w:rPr>
              <w:t>a.主动举办环保公益活动，或参加环境保护、教育、扶贫济困等公益活动。（1分）</w:t>
            </w:r>
          </w:p>
          <w:p>
            <w:pPr>
              <w:pStyle w:val="24"/>
              <w:ind w:firstLine="0" w:firstLineChars="0"/>
              <w:jc w:val="left"/>
              <w:rPr>
                <w:rFonts w:hint="eastAsia" w:hAnsi="宋体" w:cs="宋体"/>
                <w:sz w:val="18"/>
                <w:szCs w:val="18"/>
                <w:highlight w:val="none"/>
              </w:rPr>
            </w:pPr>
            <w:r>
              <w:rPr>
                <w:rFonts w:hint="eastAsia" w:hAnsi="宋体" w:cs="宋体"/>
                <w:sz w:val="18"/>
                <w:szCs w:val="18"/>
                <w:highlight w:val="none"/>
                <w:lang w:val="en-US" w:eastAsia="zh-CN"/>
              </w:rPr>
              <w:t>b.积极对本地或外地重大自然灾害或突发事件提供援助。（1分）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c.取得绿色供应链管理体系认证证书，或实施供应商绿色管理相关制度。（1分）</w:t>
            </w:r>
          </w:p>
          <w:p>
            <w:pPr>
              <w:pStyle w:val="65"/>
              <w:tabs>
                <w:tab w:val="center" w:pos="4201"/>
                <w:tab w:val="right" w:leader="dot" w:pos="9298"/>
              </w:tabs>
              <w:autoSpaceDE w:val="0"/>
              <w:autoSpaceDN w:val="0"/>
              <w:ind w:left="6" w:hanging="6"/>
              <w:jc w:val="left"/>
              <w:rPr>
                <w:rFonts w:ascii="宋体"/>
                <w:sz w:val="18"/>
                <w:szCs w:val="18"/>
                <w:highlight w:val="none"/>
              </w:rPr>
            </w:pPr>
            <w:r>
              <w:rPr>
                <w:rFonts w:hint="eastAsia" w:ascii="宋体" w:hAnsi="宋体" w:eastAsia="宋体" w:cs="宋体"/>
                <w:sz w:val="18"/>
                <w:szCs w:val="18"/>
                <w:highlight w:val="none"/>
                <w:lang w:val="en-US" w:eastAsia="zh-CN" w:bidi="ar-SA"/>
              </w:rPr>
              <w:t>该项得分为三项指标累计得分。</w:t>
            </w:r>
          </w:p>
        </w:tc>
        <w:tc>
          <w:tcPr>
            <w:tcW w:w="620" w:type="pct"/>
            <w:tcBorders>
              <w:tl2br w:val="nil"/>
              <w:tr2bl w:val="nil"/>
            </w:tcBorders>
            <w:noWrap w:val="0"/>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3</w:t>
            </w:r>
          </w:p>
        </w:tc>
        <w:tc>
          <w:tcPr>
            <w:tcW w:w="588" w:type="pct"/>
            <w:tcBorders>
              <w:tl2br w:val="nil"/>
              <w:tr2bl w:val="nil"/>
            </w:tcBorders>
            <w:noWrap w:val="0"/>
            <w:vAlign w:val="center"/>
          </w:tcPr>
          <w:p>
            <w:pPr>
              <w:autoSpaceDE w:val="0"/>
              <w:autoSpaceDN w:val="0"/>
              <w:jc w:val="center"/>
              <w:rPr>
                <w:rFonts w:asci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411" w:type="pct"/>
            <w:gridSpan w:val="7"/>
            <w:tcBorders>
              <w:tl2br w:val="nil"/>
              <w:tr2bl w:val="nil"/>
            </w:tcBorders>
            <w:noWrap w:val="0"/>
            <w:vAlign w:val="center"/>
          </w:tcPr>
          <w:p>
            <w:pPr>
              <w:autoSpaceDE w:val="0"/>
              <w:autoSpaceDN w:val="0"/>
              <w:spacing w:line="240" w:lineRule="atLeast"/>
              <w:jc w:val="center"/>
              <w:rPr>
                <w:rFonts w:hint="default" w:ascii="宋体" w:eastAsia="宋体"/>
                <w:b/>
                <w:sz w:val="18"/>
                <w:szCs w:val="18"/>
                <w:highlight w:val="none"/>
                <w:lang w:val="en-US" w:eastAsia="zh-CN"/>
              </w:rPr>
            </w:pPr>
            <w:r>
              <w:rPr>
                <w:rFonts w:ascii="宋体"/>
                <w:b/>
                <w:sz w:val="18"/>
                <w:szCs w:val="18"/>
                <w:highlight w:val="none"/>
              </w:rPr>
              <w:t>总得分</w:t>
            </w:r>
          </w:p>
        </w:tc>
        <w:tc>
          <w:tcPr>
            <w:tcW w:w="588" w:type="pct"/>
            <w:tcBorders>
              <w:tl2br w:val="nil"/>
              <w:tr2bl w:val="nil"/>
            </w:tcBorders>
            <w:noWrap w:val="0"/>
            <w:vAlign w:val="center"/>
          </w:tcPr>
          <w:p>
            <w:pPr>
              <w:autoSpaceDE w:val="0"/>
              <w:autoSpaceDN w:val="0"/>
              <w:spacing w:line="240" w:lineRule="atLeast"/>
              <w:jc w:val="center"/>
              <w:rPr>
                <w:rFonts w:ascii="宋体"/>
                <w:b/>
                <w:sz w:val="18"/>
                <w:szCs w:val="18"/>
                <w:highlight w:val="none"/>
              </w:rPr>
            </w:pPr>
          </w:p>
        </w:tc>
      </w:tr>
    </w:tbl>
    <w:p>
      <w:pPr>
        <w:numPr>
          <w:ilvl w:val="1"/>
          <w:numId w:val="0"/>
        </w:numPr>
        <w:spacing w:before="156" w:beforeLines="50" w:after="156" w:afterLines="50"/>
        <w:jc w:val="center"/>
        <w:rPr>
          <w:rFonts w:eastAsia="黑体"/>
          <w:szCs w:val="21"/>
          <w:highlight w:val="none"/>
        </w:rPr>
      </w:pPr>
      <w:r>
        <w:rPr>
          <w:rFonts w:hint="eastAsia" w:ascii="黑体" w:hAnsi="黑体" w:eastAsia="黑体" w:cs="黑体"/>
          <w:szCs w:val="21"/>
          <w:highlight w:val="none"/>
        </w:rPr>
        <w:t>表</w:t>
      </w:r>
      <w:r>
        <w:rPr>
          <w:rFonts w:hint="eastAsia" w:ascii="黑体" w:hAnsi="黑体" w:eastAsia="黑体" w:cs="黑体"/>
          <w:szCs w:val="21"/>
          <w:highlight w:val="none"/>
          <w:lang w:val="en-US" w:eastAsia="zh-CN"/>
        </w:rPr>
        <w:t>A</w:t>
      </w:r>
      <w:r>
        <w:rPr>
          <w:rFonts w:hint="eastAsia" w:ascii="黑体" w:hAnsi="黑体" w:eastAsia="黑体" w:cs="黑体"/>
          <w:szCs w:val="21"/>
          <w:highlight w:val="none"/>
        </w:rPr>
        <w:t>.</w:t>
      </w:r>
      <w:r>
        <w:rPr>
          <w:rFonts w:hint="eastAsia" w:ascii="黑体" w:hAnsi="黑体" w:eastAsia="黑体" w:cs="黑体"/>
          <w:szCs w:val="21"/>
          <w:highlight w:val="none"/>
          <w:lang w:val="en-US" w:eastAsia="zh-CN"/>
        </w:rPr>
        <w:t>3</w:t>
      </w:r>
      <w:r>
        <w:rPr>
          <w:rFonts w:hint="eastAsia" w:ascii="黑体" w:hAnsi="黑体" w:eastAsia="黑体" w:cs="黑体"/>
          <w:szCs w:val="21"/>
          <w:highlight w:val="none"/>
        </w:rPr>
        <w:t xml:space="preserve"> </w:t>
      </w:r>
      <w:r>
        <w:rPr>
          <w:rFonts w:hint="eastAsia" w:ascii="黑体" w:hAnsi="黑体" w:eastAsia="黑体" w:cs="黑体"/>
          <w:szCs w:val="21"/>
          <w:highlight w:val="none"/>
          <w:lang w:val="en-US" w:eastAsia="zh-CN"/>
        </w:rPr>
        <w:t>新能源汽车产品</w:t>
      </w:r>
      <w:r>
        <w:rPr>
          <w:rFonts w:hint="eastAsia" w:ascii="黑体" w:hAnsi="黑体" w:eastAsia="黑体" w:cs="黑体"/>
          <w:szCs w:val="21"/>
          <w:highlight w:val="none"/>
        </w:rPr>
        <w:t>行业绿色</w:t>
      </w:r>
      <w:r>
        <w:rPr>
          <w:rFonts w:hint="eastAsia" w:ascii="黑体" w:hAnsi="黑体" w:eastAsia="黑体" w:cs="黑体"/>
          <w:szCs w:val="21"/>
          <w:highlight w:val="none"/>
          <w:lang w:val="en-US" w:eastAsia="zh-CN"/>
        </w:rPr>
        <w:t>低碳</w:t>
      </w:r>
      <w:r>
        <w:rPr>
          <w:rFonts w:hint="eastAsia" w:ascii="黑体" w:hAnsi="黑体" w:eastAsia="黑体" w:cs="黑体"/>
          <w:szCs w:val="21"/>
          <w:highlight w:val="none"/>
        </w:rPr>
        <w:t>产业</w:t>
      </w:r>
      <w:r>
        <w:rPr>
          <w:rFonts w:hint="eastAsia" w:ascii="黑体" w:hAnsi="黑体" w:eastAsia="黑体" w:cs="黑体"/>
          <w:szCs w:val="21"/>
          <w:highlight w:val="none"/>
          <w:lang w:val="en-US" w:eastAsia="zh-CN"/>
        </w:rPr>
        <w:t>项目</w:t>
      </w:r>
      <w:r>
        <w:rPr>
          <w:rFonts w:hint="eastAsia" w:ascii="黑体" w:hAnsi="黑体" w:eastAsia="黑体" w:cs="黑体"/>
          <w:szCs w:val="21"/>
          <w:highlight w:val="none"/>
        </w:rPr>
        <w:t>认定符合性评价指标表</w:t>
      </w:r>
    </w:p>
    <w:tbl>
      <w:tblPr>
        <w:tblStyle w:val="35"/>
        <w:tblpPr w:leftFromText="180" w:rightFromText="180" w:vertAnchor="text" w:tblpXSpec="center" w:tblpY="1"/>
        <w:tblOverlap w:val="never"/>
        <w:tblW w:w="4998"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461"/>
        <w:gridCol w:w="5218"/>
        <w:gridCol w:w="1279"/>
        <w:gridCol w:w="160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64" w:type="pct"/>
            <w:tcBorders>
              <w:top w:val="single" w:color="auto" w:sz="8" w:space="0"/>
              <w:left w:val="single" w:color="auto" w:sz="8" w:space="0"/>
              <w:bottom w:val="single" w:color="auto" w:sz="8" w:space="0"/>
              <w:right w:val="single" w:color="auto" w:sz="4" w:space="0"/>
            </w:tcBorders>
            <w:noWrap w:val="0"/>
            <w:vAlign w:val="center"/>
          </w:tcPr>
          <w:p>
            <w:pPr>
              <w:pStyle w:val="24"/>
              <w:ind w:firstLine="0" w:firstLineChars="0"/>
              <w:jc w:val="center"/>
              <w:rPr>
                <w:rFonts w:ascii="Times New Roman"/>
                <w:b/>
                <w:sz w:val="18"/>
                <w:szCs w:val="18"/>
                <w:highlight w:val="none"/>
              </w:rPr>
            </w:pPr>
            <w:r>
              <w:rPr>
                <w:rFonts w:hint="eastAsia" w:ascii="Times New Roman"/>
                <w:b/>
                <w:sz w:val="18"/>
                <w:szCs w:val="18"/>
                <w:highlight w:val="none"/>
              </w:rPr>
              <w:t>指标</w:t>
            </w:r>
          </w:p>
        </w:tc>
        <w:tc>
          <w:tcPr>
            <w:tcW w:w="2726" w:type="pct"/>
            <w:tcBorders>
              <w:top w:val="single" w:color="auto" w:sz="8" w:space="0"/>
              <w:left w:val="single" w:color="auto" w:sz="4" w:space="0"/>
              <w:bottom w:val="single" w:color="auto" w:sz="8" w:space="0"/>
              <w:right w:val="single" w:color="auto" w:sz="4" w:space="0"/>
            </w:tcBorders>
            <w:noWrap w:val="0"/>
            <w:vAlign w:val="center"/>
          </w:tcPr>
          <w:p>
            <w:pPr>
              <w:pStyle w:val="24"/>
              <w:ind w:firstLine="0" w:firstLineChars="0"/>
              <w:jc w:val="center"/>
              <w:rPr>
                <w:rFonts w:ascii="Times New Roman"/>
                <w:b/>
                <w:sz w:val="18"/>
                <w:szCs w:val="18"/>
                <w:highlight w:val="none"/>
              </w:rPr>
            </w:pPr>
            <w:r>
              <w:rPr>
                <w:rFonts w:hint="eastAsia" w:ascii="Times New Roman"/>
                <w:b/>
                <w:sz w:val="18"/>
                <w:szCs w:val="18"/>
                <w:highlight w:val="none"/>
              </w:rPr>
              <w:t>符合性评价内容</w:t>
            </w:r>
          </w:p>
        </w:tc>
        <w:tc>
          <w:tcPr>
            <w:tcW w:w="668" w:type="pct"/>
            <w:tcBorders>
              <w:top w:val="single" w:color="auto" w:sz="8" w:space="0"/>
              <w:left w:val="single" w:color="auto" w:sz="4" w:space="0"/>
              <w:bottom w:val="single" w:color="auto" w:sz="8" w:space="0"/>
              <w:right w:val="single" w:color="auto" w:sz="4" w:space="0"/>
            </w:tcBorders>
            <w:noWrap w:val="0"/>
            <w:vAlign w:val="center"/>
          </w:tcPr>
          <w:p>
            <w:pPr>
              <w:pStyle w:val="24"/>
              <w:ind w:firstLine="0" w:firstLineChars="0"/>
              <w:jc w:val="center"/>
              <w:rPr>
                <w:rFonts w:ascii="Times New Roman"/>
                <w:b/>
                <w:sz w:val="18"/>
                <w:szCs w:val="18"/>
                <w:highlight w:val="none"/>
              </w:rPr>
            </w:pPr>
            <w:r>
              <w:rPr>
                <w:rFonts w:ascii="Times New Roman"/>
                <w:b/>
                <w:sz w:val="18"/>
                <w:szCs w:val="18"/>
                <w:highlight w:val="none"/>
              </w:rPr>
              <w:t>评分标准</w:t>
            </w:r>
          </w:p>
        </w:tc>
        <w:tc>
          <w:tcPr>
            <w:tcW w:w="840" w:type="pct"/>
            <w:tcBorders>
              <w:top w:val="single" w:color="auto" w:sz="8" w:space="0"/>
              <w:left w:val="single" w:color="auto" w:sz="4" w:space="0"/>
              <w:bottom w:val="single" w:color="auto" w:sz="8" w:space="0"/>
              <w:right w:val="single" w:color="auto" w:sz="8" w:space="0"/>
            </w:tcBorders>
            <w:noWrap w:val="0"/>
            <w:vAlign w:val="center"/>
          </w:tcPr>
          <w:p>
            <w:pPr>
              <w:pStyle w:val="24"/>
              <w:ind w:firstLine="0" w:firstLineChars="0"/>
              <w:jc w:val="center"/>
              <w:rPr>
                <w:rFonts w:ascii="Times New Roman"/>
                <w:b/>
                <w:sz w:val="18"/>
                <w:szCs w:val="18"/>
                <w:highlight w:val="none"/>
              </w:rPr>
            </w:pPr>
            <w:r>
              <w:rPr>
                <w:rFonts w:ascii="Times New Roman"/>
                <w:b/>
                <w:sz w:val="18"/>
                <w:szCs w:val="18"/>
                <w:highlight w:val="none"/>
              </w:rPr>
              <w:t>符合性结论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64" w:type="pct"/>
            <w:tcBorders>
              <w:top w:val="single" w:color="auto" w:sz="8" w:space="0"/>
              <w:left w:val="single" w:color="auto" w:sz="8" w:space="0"/>
              <w:bottom w:val="single" w:color="auto" w:sz="4" w:space="0"/>
              <w:right w:val="single" w:color="auto" w:sz="4" w:space="0"/>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目录符合</w:t>
            </w:r>
          </w:p>
        </w:tc>
        <w:tc>
          <w:tcPr>
            <w:tcW w:w="5218" w:type="dxa"/>
            <w:tcBorders>
              <w:top w:val="single" w:color="auto" w:sz="8" w:space="0"/>
              <w:left w:val="single" w:color="auto" w:sz="4" w:space="0"/>
              <w:bottom w:val="single" w:color="auto" w:sz="4" w:space="0"/>
              <w:right w:val="single" w:color="auto" w:sz="4" w:space="0"/>
            </w:tcBorders>
            <w:noWrap w:val="0"/>
            <w:vAlign w:val="center"/>
          </w:tcPr>
          <w:p>
            <w:pPr>
              <w:widowControl/>
              <w:tabs>
                <w:tab w:val="center" w:pos="4201"/>
                <w:tab w:val="right" w:leader="dot" w:pos="9298"/>
              </w:tabs>
              <w:autoSpaceDE w:val="0"/>
              <w:autoSpaceDN w:val="0"/>
              <w:jc w:val="left"/>
              <w:rPr>
                <w:rFonts w:hint="eastAsia" w:hAnsi="宋体" w:cs="宋体"/>
                <w:sz w:val="18"/>
                <w:szCs w:val="18"/>
                <w:highlight w:val="none"/>
              </w:rPr>
            </w:pPr>
            <w:r>
              <w:rPr>
                <w:rFonts w:hint="eastAsia" w:ascii="宋体"/>
                <w:sz w:val="18"/>
                <w:szCs w:val="18"/>
                <w:highlight w:val="none"/>
              </w:rPr>
              <w:t>申报认定评价的</w:t>
            </w:r>
            <w:r>
              <w:rPr>
                <w:rFonts w:hint="eastAsia" w:ascii="宋体"/>
                <w:sz w:val="18"/>
                <w:szCs w:val="18"/>
                <w:highlight w:val="none"/>
                <w:lang w:val="en-US" w:eastAsia="zh-CN"/>
              </w:rPr>
              <w:t>项目</w:t>
            </w:r>
            <w:r>
              <w:rPr>
                <w:rFonts w:hint="eastAsia" w:ascii="宋体"/>
                <w:sz w:val="18"/>
                <w:szCs w:val="18"/>
                <w:highlight w:val="none"/>
              </w:rPr>
              <w:t>应属于新能源汽车整车制造、动力电池系统及核心零部件制造、新能源汽车电机/发动机制造、新能源汽车控制系统制造、新能源汽车电附件制造等新能源汽车产品制造产业</w:t>
            </w:r>
            <w:r>
              <w:rPr>
                <w:rFonts w:hint="eastAsia" w:ascii="宋体" w:cs="Times New Roman"/>
                <w:sz w:val="18"/>
                <w:szCs w:val="18"/>
                <w:highlight w:val="none"/>
                <w:lang w:eastAsia="zh-CN"/>
              </w:rPr>
              <w:t>；</w:t>
            </w:r>
            <w:r>
              <w:rPr>
                <w:rFonts w:hint="eastAsia" w:ascii="宋体" w:hAnsi="Times New Roman" w:cs="Times New Roman"/>
                <w:sz w:val="18"/>
                <w:szCs w:val="18"/>
                <w:highlight w:val="none"/>
              </w:rPr>
              <w:t>且其绿色业务占比达到50%或以上，或跨界规模达到1亿元、在国内外新兴领域超前领先。</w:t>
            </w:r>
          </w:p>
        </w:tc>
        <w:tc>
          <w:tcPr>
            <w:tcW w:w="668" w:type="pct"/>
            <w:tcBorders>
              <w:top w:val="single" w:color="auto" w:sz="8" w:space="0"/>
              <w:left w:val="single" w:color="auto" w:sz="4" w:space="0"/>
              <w:bottom w:val="single" w:color="auto" w:sz="4" w:space="0"/>
              <w:right w:val="single" w:color="auto" w:sz="4" w:space="0"/>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是/否</w:t>
            </w:r>
          </w:p>
        </w:tc>
        <w:tc>
          <w:tcPr>
            <w:tcW w:w="840" w:type="pct"/>
            <w:tcBorders>
              <w:top w:val="single" w:color="auto" w:sz="8" w:space="0"/>
              <w:left w:val="single" w:color="auto" w:sz="4" w:space="0"/>
              <w:bottom w:val="single" w:color="auto" w:sz="4" w:space="0"/>
              <w:right w:val="single" w:color="auto" w:sz="8" w:space="0"/>
            </w:tcBorders>
            <w:noWrap w:val="0"/>
            <w:vAlign w:val="center"/>
          </w:tcPr>
          <w:p>
            <w:pPr>
              <w:pStyle w:val="24"/>
              <w:ind w:firstLine="0" w:firstLineChars="0"/>
              <w:jc w:val="center"/>
              <w:rPr>
                <w:rFonts w:ascii="Times New Roman"/>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64" w:type="pct"/>
            <w:tcBorders>
              <w:top w:val="single" w:color="auto" w:sz="4" w:space="0"/>
              <w:left w:val="single" w:color="auto" w:sz="8" w:space="0"/>
              <w:bottom w:val="single" w:color="auto" w:sz="8" w:space="0"/>
              <w:right w:val="single" w:color="auto" w:sz="4" w:space="0"/>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技术符合</w:t>
            </w:r>
          </w:p>
        </w:tc>
        <w:tc>
          <w:tcPr>
            <w:tcW w:w="5218" w:type="dxa"/>
            <w:tcBorders>
              <w:top w:val="single" w:color="auto" w:sz="4" w:space="0"/>
              <w:left w:val="single" w:color="auto" w:sz="4" w:space="0"/>
              <w:bottom w:val="single" w:color="auto" w:sz="8" w:space="0"/>
              <w:right w:val="single" w:color="auto" w:sz="4" w:space="0"/>
            </w:tcBorders>
            <w:noWrap w:val="0"/>
            <w:vAlign w:val="center"/>
          </w:tcPr>
          <w:p>
            <w:pPr>
              <w:widowControl/>
              <w:tabs>
                <w:tab w:val="center" w:pos="4201"/>
                <w:tab w:val="right" w:leader="dot" w:pos="9298"/>
              </w:tabs>
              <w:autoSpaceDE w:val="0"/>
              <w:autoSpaceDN w:val="0"/>
              <w:jc w:val="left"/>
              <w:rPr>
                <w:rFonts w:hint="eastAsia" w:hAnsi="宋体" w:cs="宋体"/>
                <w:sz w:val="18"/>
                <w:szCs w:val="18"/>
                <w:highlight w:val="none"/>
              </w:rPr>
            </w:pPr>
            <w:r>
              <w:rPr>
                <w:rFonts w:hint="eastAsia" w:ascii="宋体"/>
                <w:sz w:val="18"/>
                <w:szCs w:val="18"/>
                <w:highlight w:val="none"/>
              </w:rPr>
              <w:t>提供的产品或服务应符合国家、广东省及深圳市相关主管部门发布文件列明的有关设计、能效、性能、安全、贮存、回收、标识、验收、管理、运维等技术要求。</w:t>
            </w:r>
          </w:p>
        </w:tc>
        <w:tc>
          <w:tcPr>
            <w:tcW w:w="668" w:type="pct"/>
            <w:tcBorders>
              <w:top w:val="single" w:color="auto" w:sz="4" w:space="0"/>
              <w:left w:val="single" w:color="auto" w:sz="4" w:space="0"/>
              <w:bottom w:val="single" w:color="auto" w:sz="8" w:space="0"/>
              <w:right w:val="single" w:color="auto" w:sz="4" w:space="0"/>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是/否</w:t>
            </w:r>
          </w:p>
        </w:tc>
        <w:tc>
          <w:tcPr>
            <w:tcW w:w="840" w:type="pct"/>
            <w:tcBorders>
              <w:top w:val="single" w:color="auto" w:sz="4" w:space="0"/>
              <w:left w:val="single" w:color="auto" w:sz="4" w:space="0"/>
              <w:bottom w:val="single" w:color="auto" w:sz="8" w:space="0"/>
              <w:right w:val="single" w:color="auto" w:sz="8" w:space="0"/>
            </w:tcBorders>
            <w:noWrap w:val="0"/>
            <w:vAlign w:val="center"/>
          </w:tcPr>
          <w:p>
            <w:pPr>
              <w:pStyle w:val="24"/>
              <w:ind w:firstLine="0" w:firstLineChars="0"/>
              <w:jc w:val="center"/>
              <w:rPr>
                <w:rFonts w:ascii="Times New Roman"/>
                <w:sz w:val="18"/>
                <w:szCs w:val="18"/>
                <w:highlight w:val="none"/>
              </w:rPr>
            </w:pPr>
          </w:p>
        </w:tc>
      </w:tr>
    </w:tbl>
    <w:p>
      <w:pPr>
        <w:numPr>
          <w:ilvl w:val="1"/>
          <w:numId w:val="0"/>
        </w:numPr>
        <w:spacing w:before="312" w:beforeLines="100" w:after="156" w:afterLines="50"/>
        <w:jc w:val="center"/>
        <w:rPr>
          <w:rFonts w:ascii="黑体" w:hAnsi="黑体" w:eastAsia="黑体" w:cs="黑体"/>
          <w:szCs w:val="21"/>
          <w:highlight w:val="none"/>
        </w:rPr>
      </w:pPr>
      <w:r>
        <w:rPr>
          <w:rFonts w:hint="eastAsia" w:ascii="黑体" w:hAnsi="黑体" w:eastAsia="黑体" w:cs="黑体"/>
          <w:szCs w:val="21"/>
          <w:highlight w:val="none"/>
        </w:rPr>
        <w:t>表</w:t>
      </w:r>
      <w:r>
        <w:rPr>
          <w:rFonts w:hint="eastAsia" w:ascii="黑体" w:hAnsi="黑体" w:eastAsia="黑体" w:cs="黑体"/>
          <w:szCs w:val="21"/>
          <w:highlight w:val="none"/>
          <w:lang w:val="en-US" w:eastAsia="zh-CN"/>
        </w:rPr>
        <w:t>A</w:t>
      </w:r>
      <w:r>
        <w:rPr>
          <w:rFonts w:hint="eastAsia" w:ascii="黑体" w:hAnsi="黑体" w:eastAsia="黑体" w:cs="黑体"/>
          <w:szCs w:val="21"/>
          <w:highlight w:val="none"/>
        </w:rPr>
        <w:t>.</w:t>
      </w:r>
      <w:r>
        <w:rPr>
          <w:rFonts w:hint="eastAsia" w:ascii="黑体" w:hAnsi="黑体" w:eastAsia="黑体" w:cs="黑体"/>
          <w:szCs w:val="21"/>
          <w:highlight w:val="none"/>
          <w:lang w:val="en-US" w:eastAsia="zh-CN"/>
        </w:rPr>
        <w:t>4</w:t>
      </w:r>
      <w:r>
        <w:rPr>
          <w:rFonts w:hint="eastAsia" w:ascii="黑体" w:hAnsi="黑体" w:eastAsia="黑体" w:cs="黑体"/>
          <w:szCs w:val="21"/>
          <w:highlight w:val="none"/>
        </w:rPr>
        <w:t xml:space="preserve"> </w:t>
      </w:r>
      <w:r>
        <w:rPr>
          <w:rFonts w:hint="eastAsia" w:ascii="黑体" w:hAnsi="黑体" w:eastAsia="黑体" w:cs="黑体"/>
          <w:szCs w:val="21"/>
          <w:highlight w:val="none"/>
          <w:lang w:val="en-US" w:eastAsia="zh-CN"/>
        </w:rPr>
        <w:t>新能源汽车产品</w:t>
      </w:r>
      <w:r>
        <w:rPr>
          <w:rFonts w:hint="eastAsia" w:ascii="黑体" w:hAnsi="黑体" w:eastAsia="黑体" w:cs="黑体"/>
          <w:szCs w:val="21"/>
          <w:highlight w:val="none"/>
        </w:rPr>
        <w:t>行业绿色</w:t>
      </w:r>
      <w:r>
        <w:rPr>
          <w:rFonts w:hint="eastAsia" w:ascii="黑体" w:hAnsi="黑体" w:eastAsia="黑体" w:cs="黑体"/>
          <w:szCs w:val="21"/>
          <w:highlight w:val="none"/>
          <w:lang w:val="en-US" w:eastAsia="zh-CN"/>
        </w:rPr>
        <w:t>低碳</w:t>
      </w:r>
      <w:r>
        <w:rPr>
          <w:rFonts w:hint="eastAsia" w:ascii="黑体" w:hAnsi="黑体" w:eastAsia="黑体" w:cs="黑体"/>
          <w:szCs w:val="21"/>
          <w:highlight w:val="none"/>
        </w:rPr>
        <w:t>产业</w:t>
      </w:r>
      <w:r>
        <w:rPr>
          <w:rFonts w:hint="eastAsia" w:ascii="黑体" w:hAnsi="黑体" w:eastAsia="黑体" w:cs="黑体"/>
          <w:szCs w:val="21"/>
          <w:highlight w:val="none"/>
          <w:lang w:val="en-US" w:eastAsia="zh-CN"/>
        </w:rPr>
        <w:t>项目</w:t>
      </w:r>
      <w:r>
        <w:rPr>
          <w:rFonts w:hint="eastAsia" w:ascii="黑体" w:hAnsi="黑体" w:eastAsia="黑体" w:cs="黑体"/>
          <w:szCs w:val="21"/>
          <w:highlight w:val="none"/>
        </w:rPr>
        <w:t>认定综合评价指标表</w:t>
      </w:r>
    </w:p>
    <w:tbl>
      <w:tblPr>
        <w:tblStyle w:val="35"/>
        <w:tblpPr w:leftFromText="180" w:rightFromText="180" w:vertAnchor="text" w:tblpX="1" w:tblpY="1"/>
        <w:tblOverlap w:val="never"/>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100"/>
        <w:gridCol w:w="2182"/>
        <w:gridCol w:w="2704"/>
        <w:gridCol w:w="1129"/>
        <w:gridCol w:w="13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567" w:type="pct"/>
            <w:tcBorders>
              <w:bottom w:val="single" w:color="auto" w:sz="8" w:space="0"/>
            </w:tcBorders>
            <w:noWrap w:val="0"/>
            <w:vAlign w:val="center"/>
          </w:tcPr>
          <w:p>
            <w:pPr>
              <w:pStyle w:val="24"/>
              <w:ind w:firstLine="0" w:firstLineChars="0"/>
              <w:jc w:val="center"/>
              <w:rPr>
                <w:rFonts w:ascii="Times New Roman"/>
                <w:b/>
                <w:sz w:val="18"/>
                <w:szCs w:val="18"/>
                <w:highlight w:val="none"/>
              </w:rPr>
            </w:pPr>
            <w:r>
              <w:rPr>
                <w:rFonts w:ascii="Times New Roman"/>
                <w:b/>
                <w:sz w:val="18"/>
                <w:szCs w:val="18"/>
                <w:highlight w:val="none"/>
              </w:rPr>
              <w:t>一级指标</w:t>
            </w:r>
          </w:p>
        </w:tc>
        <w:tc>
          <w:tcPr>
            <w:tcW w:w="575" w:type="pct"/>
            <w:tcBorders>
              <w:bottom w:val="single" w:color="auto" w:sz="8" w:space="0"/>
            </w:tcBorders>
            <w:noWrap w:val="0"/>
            <w:vAlign w:val="center"/>
          </w:tcPr>
          <w:p>
            <w:pPr>
              <w:pStyle w:val="24"/>
              <w:ind w:firstLine="0" w:firstLineChars="0"/>
              <w:jc w:val="center"/>
              <w:rPr>
                <w:rFonts w:ascii="Times New Roman"/>
                <w:b/>
                <w:sz w:val="18"/>
                <w:szCs w:val="18"/>
                <w:highlight w:val="none"/>
              </w:rPr>
            </w:pPr>
            <w:r>
              <w:rPr>
                <w:rFonts w:ascii="Times New Roman"/>
                <w:b/>
                <w:sz w:val="18"/>
                <w:szCs w:val="18"/>
                <w:highlight w:val="none"/>
              </w:rPr>
              <w:t>二级指标</w:t>
            </w:r>
          </w:p>
        </w:tc>
        <w:tc>
          <w:tcPr>
            <w:tcW w:w="1140" w:type="pct"/>
            <w:tcBorders>
              <w:bottom w:val="single" w:color="auto" w:sz="8" w:space="0"/>
            </w:tcBorders>
            <w:noWrap w:val="0"/>
            <w:vAlign w:val="center"/>
          </w:tcPr>
          <w:p>
            <w:pPr>
              <w:pStyle w:val="24"/>
              <w:ind w:firstLine="0" w:firstLineChars="0"/>
              <w:jc w:val="center"/>
              <w:rPr>
                <w:rFonts w:ascii="Times New Roman"/>
                <w:b/>
                <w:sz w:val="18"/>
                <w:szCs w:val="18"/>
                <w:highlight w:val="none"/>
              </w:rPr>
            </w:pPr>
            <w:r>
              <w:rPr>
                <w:rFonts w:hint="eastAsia" w:ascii="Times New Roman"/>
                <w:b/>
                <w:sz w:val="18"/>
                <w:szCs w:val="18"/>
                <w:highlight w:val="none"/>
              </w:rPr>
              <w:t>评价要求</w:t>
            </w:r>
          </w:p>
        </w:tc>
        <w:tc>
          <w:tcPr>
            <w:tcW w:w="1413" w:type="pct"/>
            <w:tcBorders>
              <w:bottom w:val="single" w:color="auto" w:sz="8" w:space="0"/>
            </w:tcBorders>
            <w:noWrap w:val="0"/>
            <w:vAlign w:val="center"/>
          </w:tcPr>
          <w:p>
            <w:pPr>
              <w:pStyle w:val="24"/>
              <w:ind w:firstLine="0" w:firstLineChars="0"/>
              <w:jc w:val="center"/>
              <w:rPr>
                <w:rFonts w:ascii="Times New Roman"/>
                <w:b/>
                <w:sz w:val="18"/>
                <w:szCs w:val="18"/>
                <w:highlight w:val="none"/>
              </w:rPr>
            </w:pPr>
            <w:r>
              <w:rPr>
                <w:rFonts w:hint="eastAsia" w:ascii="Times New Roman"/>
                <w:b/>
                <w:sz w:val="18"/>
                <w:szCs w:val="18"/>
                <w:highlight w:val="none"/>
              </w:rPr>
              <w:t>评分标准</w:t>
            </w:r>
          </w:p>
        </w:tc>
        <w:tc>
          <w:tcPr>
            <w:tcW w:w="587" w:type="pct"/>
            <w:tcBorders>
              <w:bottom w:val="single" w:color="auto" w:sz="8" w:space="0"/>
            </w:tcBorders>
            <w:noWrap w:val="0"/>
            <w:vAlign w:val="center"/>
          </w:tcPr>
          <w:p>
            <w:pPr>
              <w:pStyle w:val="24"/>
              <w:ind w:firstLine="0" w:firstLineChars="0"/>
              <w:rPr>
                <w:rFonts w:ascii="Times New Roman"/>
                <w:b/>
                <w:sz w:val="18"/>
                <w:szCs w:val="18"/>
                <w:highlight w:val="none"/>
              </w:rPr>
            </w:pPr>
            <w:r>
              <w:rPr>
                <w:rFonts w:ascii="Times New Roman"/>
                <w:b/>
                <w:sz w:val="18"/>
                <w:szCs w:val="18"/>
                <w:highlight w:val="none"/>
              </w:rPr>
              <w:t>分值</w:t>
            </w:r>
            <w:r>
              <w:rPr>
                <w:rFonts w:hint="eastAsia" w:ascii="Times New Roman"/>
                <w:b/>
                <w:sz w:val="18"/>
                <w:szCs w:val="18"/>
                <w:highlight w:val="none"/>
              </w:rPr>
              <w:t>（分）</w:t>
            </w:r>
          </w:p>
        </w:tc>
        <w:tc>
          <w:tcPr>
            <w:tcW w:w="714" w:type="pct"/>
            <w:tcBorders>
              <w:bottom w:val="single" w:color="auto" w:sz="8" w:space="0"/>
            </w:tcBorders>
            <w:noWrap w:val="0"/>
            <w:vAlign w:val="center"/>
          </w:tcPr>
          <w:p>
            <w:pPr>
              <w:pStyle w:val="24"/>
              <w:ind w:firstLine="0" w:firstLineChars="0"/>
              <w:jc w:val="center"/>
              <w:rPr>
                <w:rFonts w:ascii="Times New Roman"/>
                <w:b/>
                <w:sz w:val="18"/>
                <w:szCs w:val="18"/>
                <w:highlight w:val="none"/>
              </w:rPr>
            </w:pPr>
            <w:r>
              <w:rPr>
                <w:rFonts w:ascii="Times New Roman"/>
                <w:b/>
                <w:sz w:val="18"/>
                <w:szCs w:val="18"/>
                <w:highlight w:val="none"/>
              </w:rPr>
              <w:t>得分</w:t>
            </w:r>
            <w:r>
              <w:rPr>
                <w:rFonts w:hint="eastAsia" w:ascii="Times New Roman"/>
                <w:b/>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42" w:type="pct"/>
            <w:gridSpan w:val="2"/>
            <w:tcBorders>
              <w:top w:val="single" w:color="auto" w:sz="8" w:space="0"/>
              <w:tl2br w:val="nil"/>
              <w:tr2bl w:val="nil"/>
            </w:tcBorders>
            <w:noWrap w:val="0"/>
            <w:vAlign w:val="center"/>
          </w:tcPr>
          <w:p>
            <w:pPr>
              <w:pStyle w:val="24"/>
              <w:ind w:firstLine="0" w:firstLineChars="0"/>
              <w:jc w:val="center"/>
              <w:rPr>
                <w:rFonts w:hint="eastAsia" w:ascii="宋体" w:hAnsi="宋体" w:eastAsia="宋体" w:cs="宋体"/>
                <w:sz w:val="18"/>
                <w:szCs w:val="18"/>
                <w:lang w:val="en-US" w:eastAsia="zh-CN" w:bidi="ar-SA"/>
              </w:rPr>
            </w:pPr>
            <w:r>
              <w:rPr>
                <w:rFonts w:hint="eastAsia" w:hAnsi="宋体" w:cs="宋体"/>
                <w:sz w:val="18"/>
                <w:szCs w:val="18"/>
                <w:lang w:val="en-US" w:eastAsia="zh-CN"/>
              </w:rPr>
              <w:t>基础分值</w:t>
            </w:r>
          </w:p>
        </w:tc>
        <w:tc>
          <w:tcPr>
            <w:tcW w:w="1140" w:type="pct"/>
            <w:tcBorders>
              <w:top w:val="single" w:color="auto" w:sz="8" w:space="0"/>
              <w:bottom w:val="single" w:color="auto" w:sz="8" w:space="0"/>
              <w:tl2br w:val="nil"/>
              <w:tr2bl w:val="nil"/>
            </w:tcBorders>
            <w:noWrap w:val="0"/>
            <w:vAlign w:val="center"/>
          </w:tcPr>
          <w:p>
            <w:pPr>
              <w:pStyle w:val="24"/>
              <w:ind w:firstLine="0" w:firstLineChars="0"/>
              <w:jc w:val="center"/>
              <w:rPr>
                <w:rFonts w:hint="eastAsia" w:ascii="宋体" w:hAnsi="宋体" w:eastAsia="宋体" w:cs="宋体"/>
                <w:sz w:val="18"/>
                <w:szCs w:val="18"/>
                <w:lang w:val="en-US" w:eastAsia="zh-CN" w:bidi="ar-SA"/>
              </w:rPr>
            </w:pPr>
            <w:r>
              <w:rPr>
                <w:rFonts w:hint="eastAsia" w:hAnsi="宋体" w:cs="宋体"/>
                <w:sz w:val="18"/>
                <w:szCs w:val="18"/>
                <w:lang w:val="en-US" w:eastAsia="zh-CN"/>
              </w:rPr>
              <w:t>通过符合性评价</w:t>
            </w:r>
          </w:p>
        </w:tc>
        <w:tc>
          <w:tcPr>
            <w:tcW w:w="1413" w:type="pct"/>
            <w:tcBorders>
              <w:top w:val="single" w:color="auto" w:sz="8" w:space="0"/>
              <w:bottom w:val="single" w:color="auto" w:sz="8" w:space="0"/>
              <w:tl2br w:val="nil"/>
              <w:tr2bl w:val="nil"/>
            </w:tcBorders>
            <w:noWrap w:val="0"/>
            <w:vAlign w:val="center"/>
          </w:tcPr>
          <w:p>
            <w:pPr>
              <w:pStyle w:val="24"/>
              <w:ind w:firstLine="0" w:firstLineChars="0"/>
              <w:jc w:val="center"/>
              <w:rPr>
                <w:rFonts w:hint="eastAsia" w:ascii="宋体" w:hAnsi="宋体" w:eastAsia="宋体" w:cs="宋体"/>
                <w:sz w:val="18"/>
                <w:szCs w:val="18"/>
                <w:lang w:val="en-US" w:eastAsia="zh-CN" w:bidi="ar-SA"/>
              </w:rPr>
            </w:pPr>
            <w:r>
              <w:rPr>
                <w:rFonts w:hint="eastAsia" w:hAnsi="宋体" w:cs="宋体"/>
                <w:sz w:val="18"/>
                <w:szCs w:val="18"/>
                <w:lang w:val="en-US" w:eastAsia="zh-CN"/>
              </w:rPr>
              <w:t>通过符合性评价</w:t>
            </w:r>
          </w:p>
        </w:tc>
        <w:tc>
          <w:tcPr>
            <w:tcW w:w="587" w:type="pct"/>
            <w:tcBorders>
              <w:top w:val="single" w:color="auto" w:sz="8" w:space="0"/>
              <w:bottom w:val="single" w:color="auto" w:sz="8" w:space="0"/>
              <w:tl2br w:val="nil"/>
              <w:tr2bl w:val="nil"/>
            </w:tcBorders>
            <w:noWrap w:val="0"/>
            <w:vAlign w:val="center"/>
          </w:tcPr>
          <w:p>
            <w:pPr>
              <w:pStyle w:val="24"/>
              <w:ind w:firstLine="0" w:firstLineChars="0"/>
              <w:jc w:val="center"/>
              <w:rPr>
                <w:rFonts w:hint="default" w:ascii="宋体" w:hAnsi="宋体" w:eastAsia="宋体" w:cs="宋体"/>
                <w:sz w:val="18"/>
                <w:szCs w:val="18"/>
                <w:lang w:val="en-US" w:eastAsia="zh-CN" w:bidi="ar-SA"/>
              </w:rPr>
            </w:pPr>
            <w:r>
              <w:rPr>
                <w:rFonts w:hint="eastAsia" w:hAnsi="宋体" w:cs="宋体"/>
                <w:sz w:val="18"/>
                <w:szCs w:val="18"/>
                <w:lang w:val="en-US" w:eastAsia="zh-CN"/>
              </w:rPr>
              <w:t>30</w:t>
            </w:r>
          </w:p>
        </w:tc>
        <w:tc>
          <w:tcPr>
            <w:tcW w:w="714" w:type="pct"/>
            <w:tcBorders>
              <w:top w:val="single" w:color="auto" w:sz="8" w:space="0"/>
              <w:bottom w:val="single" w:color="auto" w:sz="8" w:space="0"/>
              <w:tl2br w:val="nil"/>
              <w:tr2bl w:val="nil"/>
            </w:tcBorders>
            <w:noWrap w:val="0"/>
            <w:vAlign w:val="center"/>
          </w:tcPr>
          <w:p>
            <w:pPr>
              <w:pStyle w:val="24"/>
              <w:ind w:firstLine="0" w:firstLineChars="0"/>
              <w:jc w:val="center"/>
              <w:rPr>
                <w:rFonts w:ascii="Times New Roman"/>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67" w:type="pct"/>
            <w:vMerge w:val="restart"/>
            <w:tcBorders>
              <w:top w:val="single" w:color="auto" w:sz="8" w:space="0"/>
              <w:tl2br w:val="nil"/>
              <w:tr2bl w:val="nil"/>
            </w:tcBorders>
            <w:noWrap w:val="0"/>
            <w:vAlign w:val="center"/>
          </w:tcPr>
          <w:p>
            <w:pPr>
              <w:pStyle w:val="24"/>
              <w:ind w:firstLine="0" w:firstLineChars="0"/>
              <w:jc w:val="center"/>
              <w:rPr>
                <w:rFonts w:hAnsi="宋体" w:cs="宋体"/>
                <w:sz w:val="18"/>
                <w:szCs w:val="18"/>
                <w:highlight w:val="none"/>
              </w:rPr>
            </w:pPr>
            <w:r>
              <w:rPr>
                <w:rFonts w:hint="eastAsia" w:hAnsi="宋体" w:cs="宋体"/>
                <w:sz w:val="18"/>
                <w:szCs w:val="18"/>
                <w:highlight w:val="none"/>
              </w:rPr>
              <w:t>技术表现</w:t>
            </w:r>
          </w:p>
        </w:tc>
        <w:tc>
          <w:tcPr>
            <w:tcW w:w="575" w:type="pct"/>
            <w:tcBorders>
              <w:top w:val="single" w:color="auto" w:sz="8" w:space="0"/>
              <w:bottom w:val="single" w:color="auto" w:sz="8" w:space="0"/>
              <w:tl2br w:val="nil"/>
              <w:tr2bl w:val="nil"/>
            </w:tcBorders>
            <w:noWrap w:val="0"/>
            <w:vAlign w:val="center"/>
          </w:tcPr>
          <w:p>
            <w:pPr>
              <w:pStyle w:val="24"/>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有效知识产权</w:t>
            </w:r>
          </w:p>
        </w:tc>
        <w:tc>
          <w:tcPr>
            <w:tcW w:w="1140" w:type="pct"/>
            <w:tcBorders>
              <w:top w:val="single" w:color="auto" w:sz="8" w:space="0"/>
              <w:bottom w:val="single" w:color="auto" w:sz="8" w:space="0"/>
              <w:tl2br w:val="nil"/>
              <w:tr2bl w:val="nil"/>
            </w:tcBorders>
            <w:noWrap w:val="0"/>
            <w:vAlign w:val="center"/>
          </w:tcPr>
          <w:p>
            <w:pPr>
              <w:pStyle w:val="24"/>
              <w:ind w:firstLine="0" w:firstLineChars="0"/>
              <w:rPr>
                <w:rFonts w:hAnsi="宋体" w:cs="宋体"/>
                <w:sz w:val="18"/>
                <w:szCs w:val="18"/>
                <w:highlight w:val="none"/>
              </w:rPr>
            </w:pPr>
            <w:r>
              <w:rPr>
                <w:rFonts w:hint="eastAsia" w:hAnsi="宋体" w:cs="宋体"/>
                <w:sz w:val="18"/>
                <w:szCs w:val="18"/>
                <w:lang w:val="en-US" w:eastAsia="zh-CN"/>
              </w:rPr>
              <w:t>项目拥有并直接应用的有效知识产权数量情况。</w:t>
            </w:r>
          </w:p>
        </w:tc>
        <w:tc>
          <w:tcPr>
            <w:tcW w:w="1413" w:type="pct"/>
            <w:tcBorders>
              <w:top w:val="single" w:color="auto" w:sz="8" w:space="0"/>
              <w:bottom w:val="single" w:color="auto" w:sz="8" w:space="0"/>
              <w:tl2br w:val="nil"/>
              <w:tr2bl w:val="nil"/>
            </w:tcBorders>
            <w:noWrap w:val="0"/>
            <w:vAlign w:val="center"/>
          </w:tcPr>
          <w:p>
            <w:pPr>
              <w:pStyle w:val="24"/>
              <w:ind w:firstLine="0" w:firstLineChars="0"/>
              <w:jc w:val="left"/>
              <w:rPr>
                <w:rFonts w:hAnsi="宋体" w:cs="宋体"/>
                <w:sz w:val="18"/>
                <w:szCs w:val="18"/>
              </w:rPr>
            </w:pPr>
            <w:r>
              <w:rPr>
                <w:rFonts w:hint="eastAsia" w:hAnsi="宋体" w:cs="宋体"/>
                <w:sz w:val="18"/>
                <w:szCs w:val="18"/>
              </w:rPr>
              <w:t>a.</w:t>
            </w:r>
            <w:r>
              <w:rPr>
                <w:rFonts w:hint="eastAsia" w:hAnsi="宋体" w:cs="宋体"/>
                <w:sz w:val="18"/>
                <w:szCs w:val="18"/>
                <w:lang w:val="en-US" w:eastAsia="zh-CN"/>
              </w:rPr>
              <w:t>有效知识产权的应用数量处于行业领先水平</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w:t>
            </w:r>
            <w:r>
              <w:rPr>
                <w:rFonts w:hint="eastAsia" w:hAnsi="宋体" w:cs="宋体"/>
                <w:sz w:val="18"/>
                <w:szCs w:val="18"/>
                <w:lang w:val="en-US" w:eastAsia="zh-CN"/>
              </w:rPr>
              <w:t>5</w:t>
            </w:r>
            <w:r>
              <w:rPr>
                <w:rFonts w:hint="eastAsia" w:hAnsi="宋体" w:cs="宋体"/>
                <w:sz w:val="18"/>
                <w:szCs w:val="18"/>
              </w:rPr>
              <w:t>]；</w:t>
            </w:r>
          </w:p>
          <w:p>
            <w:pPr>
              <w:pStyle w:val="24"/>
              <w:ind w:firstLine="0" w:firstLineChars="0"/>
              <w:jc w:val="left"/>
              <w:rPr>
                <w:rFonts w:hAnsi="宋体" w:cs="宋体"/>
                <w:sz w:val="18"/>
                <w:szCs w:val="18"/>
              </w:rPr>
            </w:pPr>
            <w:r>
              <w:rPr>
                <w:rFonts w:hint="eastAsia" w:hAnsi="宋体" w:cs="宋体"/>
                <w:sz w:val="18"/>
                <w:szCs w:val="18"/>
              </w:rPr>
              <w:t>b.</w:t>
            </w:r>
            <w:r>
              <w:rPr>
                <w:rFonts w:hint="eastAsia" w:hAnsi="宋体" w:cs="宋体"/>
                <w:sz w:val="18"/>
                <w:szCs w:val="18"/>
                <w:lang w:val="en-US" w:eastAsia="zh-CN"/>
              </w:rPr>
              <w:t>有效知识产权的应用数量处于行业良好水平(1,3]</w:t>
            </w:r>
            <w:r>
              <w:rPr>
                <w:rFonts w:hint="eastAsia" w:hAnsi="宋体" w:cs="宋体"/>
                <w:sz w:val="18"/>
                <w:szCs w:val="18"/>
              </w:rPr>
              <w:t>；</w:t>
            </w:r>
          </w:p>
          <w:p>
            <w:pPr>
              <w:pStyle w:val="24"/>
              <w:ind w:firstLine="0" w:firstLineChars="0"/>
              <w:jc w:val="left"/>
              <w:rPr>
                <w:rFonts w:hint="eastAsia" w:hAnsi="宋体" w:eastAsia="宋体" w:cs="宋体"/>
                <w:sz w:val="18"/>
                <w:szCs w:val="18"/>
                <w:highlight w:val="none"/>
                <w:lang w:eastAsia="zh-CN"/>
              </w:rPr>
            </w:pPr>
            <w:r>
              <w:rPr>
                <w:rFonts w:hint="eastAsia" w:hAnsi="宋体" w:cs="宋体"/>
                <w:sz w:val="18"/>
                <w:szCs w:val="18"/>
              </w:rPr>
              <w:t>c.</w:t>
            </w:r>
            <w:r>
              <w:rPr>
                <w:rFonts w:hint="eastAsia" w:hAnsi="宋体" w:cs="宋体"/>
                <w:sz w:val="18"/>
                <w:szCs w:val="18"/>
                <w:lang w:val="en-US" w:eastAsia="zh-CN"/>
              </w:rPr>
              <w:t>有效知识产权的应用数量处于行业一般水平[0,1]</w:t>
            </w:r>
            <w:r>
              <w:rPr>
                <w:rFonts w:hint="eastAsia" w:hAnsi="宋体" w:cs="宋体"/>
                <w:sz w:val="18"/>
                <w:szCs w:val="18"/>
                <w:lang w:eastAsia="zh-CN"/>
              </w:rPr>
              <w:t>。</w:t>
            </w:r>
          </w:p>
        </w:tc>
        <w:tc>
          <w:tcPr>
            <w:tcW w:w="587" w:type="pct"/>
            <w:tcBorders>
              <w:top w:val="single" w:color="auto" w:sz="8" w:space="0"/>
              <w:bottom w:val="single" w:color="auto" w:sz="8" w:space="0"/>
              <w:tl2br w:val="nil"/>
              <w:tr2bl w:val="nil"/>
            </w:tcBorders>
            <w:noWrap w:val="0"/>
            <w:vAlign w:val="center"/>
          </w:tcPr>
          <w:p>
            <w:pPr>
              <w:pStyle w:val="24"/>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5</w:t>
            </w:r>
          </w:p>
        </w:tc>
        <w:tc>
          <w:tcPr>
            <w:tcW w:w="714" w:type="pct"/>
            <w:tcBorders>
              <w:top w:val="single" w:color="auto" w:sz="8" w:space="0"/>
              <w:bottom w:val="single" w:color="auto" w:sz="8" w:space="0"/>
              <w:tl2br w:val="nil"/>
              <w:tr2bl w:val="nil"/>
            </w:tcBorders>
            <w:noWrap w:val="0"/>
            <w:vAlign w:val="center"/>
          </w:tcPr>
          <w:p>
            <w:pPr>
              <w:pStyle w:val="24"/>
              <w:ind w:firstLine="0" w:firstLineChars="0"/>
              <w:jc w:val="center"/>
              <w:rPr>
                <w:rFonts w:ascii="Times New Roman"/>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67" w:type="pct"/>
            <w:vMerge w:val="continue"/>
            <w:tcBorders>
              <w:tl2br w:val="nil"/>
              <w:tr2bl w:val="nil"/>
            </w:tcBorders>
            <w:noWrap w:val="0"/>
            <w:vAlign w:val="center"/>
          </w:tcPr>
          <w:p>
            <w:pPr>
              <w:pStyle w:val="24"/>
              <w:ind w:firstLine="0" w:firstLineChars="0"/>
              <w:jc w:val="center"/>
              <w:rPr>
                <w:rFonts w:hint="eastAsia" w:hAnsi="宋体" w:cs="宋体"/>
                <w:sz w:val="18"/>
                <w:szCs w:val="18"/>
                <w:highlight w:val="none"/>
              </w:rPr>
            </w:pPr>
          </w:p>
        </w:tc>
        <w:tc>
          <w:tcPr>
            <w:tcW w:w="575" w:type="pct"/>
            <w:tcBorders>
              <w:top w:val="single" w:color="auto" w:sz="8" w:space="0"/>
              <w:bottom w:val="single" w:color="auto" w:sz="8" w:space="0"/>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关键技术先进性</w:t>
            </w:r>
          </w:p>
        </w:tc>
        <w:tc>
          <w:tcPr>
            <w:tcW w:w="1140" w:type="pct"/>
            <w:tcBorders>
              <w:top w:val="single" w:color="auto" w:sz="8" w:space="0"/>
              <w:bottom w:val="single" w:color="auto" w:sz="8" w:space="0"/>
              <w:tl2br w:val="nil"/>
              <w:tr2bl w:val="nil"/>
            </w:tcBorders>
            <w:noWrap w:val="0"/>
            <w:vAlign w:val="center"/>
          </w:tcPr>
          <w:p>
            <w:pPr>
              <w:pStyle w:val="24"/>
              <w:ind w:firstLine="0" w:firstLineChars="0"/>
              <w:rPr>
                <w:rFonts w:hint="eastAsia" w:hAnsi="宋体" w:cs="宋体"/>
                <w:sz w:val="18"/>
                <w:szCs w:val="18"/>
                <w:highlight w:val="none"/>
                <w:lang w:val="en-US" w:eastAsia="zh-CN"/>
              </w:rPr>
            </w:pPr>
            <w:r>
              <w:rPr>
                <w:rFonts w:hint="eastAsia" w:hAnsi="宋体" w:cs="宋体"/>
                <w:sz w:val="18"/>
                <w:szCs w:val="18"/>
                <w:lang w:val="en-US" w:eastAsia="zh-CN"/>
              </w:rPr>
              <w:t>应用的关键技术在行业内或地区内的领先水平。</w:t>
            </w:r>
          </w:p>
        </w:tc>
        <w:tc>
          <w:tcPr>
            <w:tcW w:w="1413" w:type="pct"/>
            <w:tcBorders>
              <w:top w:val="single" w:color="auto" w:sz="8" w:space="0"/>
              <w:bottom w:val="single" w:color="auto" w:sz="8" w:space="0"/>
              <w:tl2br w:val="nil"/>
              <w:tr2bl w:val="nil"/>
            </w:tcBorders>
            <w:noWrap w:val="0"/>
            <w:vAlign w:val="center"/>
          </w:tcPr>
          <w:p>
            <w:pPr>
              <w:pStyle w:val="24"/>
              <w:ind w:firstLine="0" w:firstLineChars="0"/>
              <w:jc w:val="left"/>
              <w:rPr>
                <w:rFonts w:hint="eastAsia" w:hAnsi="宋体" w:cs="宋体"/>
                <w:sz w:val="18"/>
                <w:szCs w:val="18"/>
              </w:rPr>
            </w:pPr>
            <w:r>
              <w:rPr>
                <w:rFonts w:hint="eastAsia" w:hAnsi="宋体" w:cs="宋体"/>
                <w:sz w:val="18"/>
                <w:szCs w:val="18"/>
              </w:rPr>
              <w:t>a.</w:t>
            </w:r>
            <w:r>
              <w:rPr>
                <w:rFonts w:hint="eastAsia" w:hAnsi="宋体" w:cs="宋体"/>
                <w:sz w:val="18"/>
                <w:szCs w:val="18"/>
                <w:lang w:val="en-US" w:eastAsia="zh-CN"/>
              </w:rPr>
              <w:t>关键技术处于行业领先水平，具有显著技术引领作用</w:t>
            </w:r>
            <w:r>
              <w:rPr>
                <w:rFonts w:hint="eastAsia" w:hAnsi="宋体" w:cs="宋体"/>
                <w:sz w:val="18"/>
                <w:szCs w:val="18"/>
              </w:rPr>
              <w:t>(</w:t>
            </w:r>
            <w:r>
              <w:rPr>
                <w:rFonts w:hint="eastAsia" w:hAnsi="宋体" w:cs="宋体"/>
                <w:sz w:val="18"/>
                <w:szCs w:val="18"/>
                <w:lang w:val="en-US" w:eastAsia="zh-CN"/>
              </w:rPr>
              <w:t>10</w:t>
            </w:r>
            <w:r>
              <w:rPr>
                <w:rFonts w:hint="eastAsia" w:hAnsi="宋体" w:cs="宋体"/>
                <w:sz w:val="18"/>
                <w:szCs w:val="18"/>
              </w:rPr>
              <w:t>,</w:t>
            </w:r>
            <w:r>
              <w:rPr>
                <w:rFonts w:hint="eastAsia" w:hAnsi="宋体" w:cs="宋体"/>
                <w:sz w:val="18"/>
                <w:szCs w:val="18"/>
                <w:lang w:val="en-US" w:eastAsia="zh-CN"/>
              </w:rPr>
              <w:t>15</w:t>
            </w:r>
            <w:r>
              <w:rPr>
                <w:rFonts w:hint="eastAsia" w:hAnsi="宋体" w:cs="宋体"/>
                <w:sz w:val="18"/>
                <w:szCs w:val="18"/>
              </w:rPr>
              <w:t>]；</w:t>
            </w:r>
          </w:p>
          <w:p>
            <w:pPr>
              <w:pStyle w:val="24"/>
              <w:ind w:firstLine="0" w:firstLineChars="0"/>
              <w:jc w:val="left"/>
              <w:rPr>
                <w:rFonts w:hint="eastAsia" w:hAnsi="宋体" w:cs="宋体"/>
                <w:sz w:val="18"/>
                <w:szCs w:val="18"/>
              </w:rPr>
            </w:pPr>
            <w:r>
              <w:rPr>
                <w:rFonts w:hint="eastAsia" w:hAnsi="宋体" w:cs="宋体"/>
                <w:sz w:val="18"/>
                <w:szCs w:val="18"/>
              </w:rPr>
              <w:t>b.</w:t>
            </w:r>
            <w:r>
              <w:rPr>
                <w:rFonts w:hint="eastAsia" w:hAnsi="宋体" w:cs="宋体"/>
                <w:sz w:val="18"/>
                <w:szCs w:val="18"/>
                <w:lang w:val="en-US" w:eastAsia="zh-CN"/>
              </w:rPr>
              <w:t>关键技术处于行业较好水平，具有一定技术推动作用(5,10]</w:t>
            </w:r>
            <w:r>
              <w:rPr>
                <w:rFonts w:hint="eastAsia" w:hAnsi="宋体" w:cs="宋体"/>
                <w:sz w:val="18"/>
                <w:szCs w:val="18"/>
              </w:rPr>
              <w:t>；</w:t>
            </w:r>
          </w:p>
          <w:p>
            <w:pPr>
              <w:pStyle w:val="24"/>
              <w:ind w:firstLine="0" w:firstLineChars="0"/>
              <w:jc w:val="left"/>
              <w:rPr>
                <w:rFonts w:hint="eastAsia" w:hAnsi="宋体" w:cs="宋体"/>
                <w:sz w:val="18"/>
                <w:szCs w:val="18"/>
                <w:lang w:val="en-US" w:eastAsia="zh-CN"/>
              </w:rPr>
            </w:pPr>
            <w:r>
              <w:rPr>
                <w:rFonts w:hint="eastAsia" w:hAnsi="宋体" w:cs="宋体"/>
                <w:sz w:val="18"/>
                <w:szCs w:val="18"/>
              </w:rPr>
              <w:t>c.</w:t>
            </w:r>
            <w:r>
              <w:rPr>
                <w:rFonts w:hint="eastAsia" w:hAnsi="宋体" w:cs="宋体"/>
                <w:sz w:val="18"/>
                <w:szCs w:val="18"/>
                <w:lang w:val="en-US" w:eastAsia="zh-CN"/>
              </w:rPr>
              <w:t>关键技术处于行业平均水平(0,5]；</w:t>
            </w:r>
          </w:p>
          <w:p>
            <w:pPr>
              <w:pStyle w:val="24"/>
              <w:ind w:firstLine="0" w:firstLineChars="0"/>
              <w:jc w:val="left"/>
              <w:rPr>
                <w:rFonts w:hint="eastAsia" w:hAnsi="宋体" w:cs="宋体"/>
                <w:sz w:val="18"/>
                <w:szCs w:val="18"/>
                <w:highlight w:val="none"/>
              </w:rPr>
            </w:pPr>
            <w:r>
              <w:rPr>
                <w:rFonts w:hint="eastAsia" w:hAnsi="宋体" w:cs="宋体"/>
                <w:sz w:val="18"/>
                <w:szCs w:val="18"/>
                <w:lang w:val="en-US" w:eastAsia="zh-CN"/>
              </w:rPr>
              <w:t>d.未满足上述任何一项0分</w:t>
            </w:r>
            <w:r>
              <w:rPr>
                <w:rFonts w:hint="eastAsia" w:hAnsi="宋体" w:cs="宋体"/>
                <w:sz w:val="18"/>
                <w:szCs w:val="18"/>
                <w:lang w:eastAsia="zh-CN"/>
              </w:rPr>
              <w:t>。</w:t>
            </w:r>
          </w:p>
        </w:tc>
        <w:tc>
          <w:tcPr>
            <w:tcW w:w="587" w:type="pct"/>
            <w:tcBorders>
              <w:top w:val="single" w:color="auto" w:sz="8" w:space="0"/>
              <w:bottom w:val="single" w:color="auto" w:sz="8" w:space="0"/>
              <w:tl2br w:val="nil"/>
              <w:tr2bl w:val="nil"/>
            </w:tcBorders>
            <w:noWrap w:val="0"/>
            <w:vAlign w:val="center"/>
          </w:tcPr>
          <w:p>
            <w:pPr>
              <w:pStyle w:val="24"/>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15</w:t>
            </w:r>
          </w:p>
        </w:tc>
        <w:tc>
          <w:tcPr>
            <w:tcW w:w="714" w:type="pct"/>
            <w:tcBorders>
              <w:top w:val="single" w:color="auto" w:sz="8" w:space="0"/>
              <w:bottom w:val="single" w:color="auto" w:sz="8" w:space="0"/>
              <w:tl2br w:val="nil"/>
              <w:tr2bl w:val="nil"/>
            </w:tcBorders>
            <w:noWrap w:val="0"/>
            <w:vAlign w:val="center"/>
          </w:tcPr>
          <w:p>
            <w:pPr>
              <w:pStyle w:val="24"/>
              <w:ind w:firstLine="0" w:firstLineChars="0"/>
              <w:jc w:val="center"/>
              <w:rPr>
                <w:rFonts w:ascii="Times New Roman"/>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67" w:type="pct"/>
            <w:vMerge w:val="continue"/>
            <w:tcBorders>
              <w:bottom w:val="single" w:color="auto" w:sz="8" w:space="0"/>
              <w:tl2br w:val="nil"/>
              <w:tr2bl w:val="nil"/>
            </w:tcBorders>
            <w:noWrap w:val="0"/>
            <w:vAlign w:val="center"/>
          </w:tcPr>
          <w:p>
            <w:pPr>
              <w:pStyle w:val="24"/>
              <w:ind w:firstLine="0" w:firstLineChars="0"/>
              <w:jc w:val="center"/>
              <w:rPr>
                <w:rFonts w:hint="eastAsia" w:hAnsi="宋体" w:cs="宋体"/>
                <w:sz w:val="18"/>
                <w:szCs w:val="18"/>
                <w:highlight w:val="none"/>
              </w:rPr>
            </w:pPr>
          </w:p>
        </w:tc>
        <w:tc>
          <w:tcPr>
            <w:tcW w:w="575" w:type="pct"/>
            <w:tcBorders>
              <w:top w:val="single" w:color="auto" w:sz="8" w:space="0"/>
              <w:bottom w:val="single" w:color="auto" w:sz="8" w:space="0"/>
              <w:tl2br w:val="nil"/>
              <w:tr2bl w:val="nil"/>
            </w:tcBorders>
            <w:noWrap w:val="0"/>
            <w:vAlign w:val="center"/>
          </w:tcPr>
          <w:p>
            <w:pPr>
              <w:pStyle w:val="24"/>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环境效益</w:t>
            </w:r>
          </w:p>
        </w:tc>
        <w:tc>
          <w:tcPr>
            <w:tcW w:w="1140" w:type="pct"/>
            <w:tcBorders>
              <w:top w:val="single" w:color="auto" w:sz="8" w:space="0"/>
              <w:bottom w:val="single" w:color="auto" w:sz="8" w:space="0"/>
              <w:tl2br w:val="nil"/>
              <w:tr2bl w:val="nil"/>
            </w:tcBorders>
            <w:noWrap w:val="0"/>
            <w:vAlign w:val="center"/>
          </w:tcPr>
          <w:p>
            <w:pPr>
              <w:pStyle w:val="24"/>
              <w:ind w:firstLine="0" w:firstLineChars="0"/>
              <w:rPr>
                <w:rFonts w:hint="eastAsia" w:hAnsi="宋体" w:cs="宋体"/>
                <w:sz w:val="18"/>
                <w:szCs w:val="18"/>
                <w:highlight w:val="none"/>
                <w:lang w:val="en-US" w:eastAsia="zh-CN"/>
              </w:rPr>
            </w:pPr>
            <w:r>
              <w:rPr>
                <w:rFonts w:hint="eastAsia" w:hAnsi="宋体" w:cs="宋体"/>
                <w:sz w:val="18"/>
                <w:szCs w:val="18"/>
                <w:lang w:val="en-US" w:eastAsia="zh-CN"/>
              </w:rPr>
              <w:t>取得的资源节约、环境友好、生态良好相关实际环境效益贡献量及影响广度。</w:t>
            </w:r>
          </w:p>
        </w:tc>
        <w:tc>
          <w:tcPr>
            <w:tcW w:w="1413" w:type="pct"/>
            <w:tcBorders>
              <w:top w:val="single" w:color="auto" w:sz="8" w:space="0"/>
              <w:bottom w:val="single" w:color="auto" w:sz="8" w:space="0"/>
              <w:tl2br w:val="nil"/>
              <w:tr2bl w:val="nil"/>
            </w:tcBorders>
            <w:noWrap w:val="0"/>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a.取得的环境效益效果显著，处于行业领先水平(15,20]；</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b.取得的环境效益效果较好，处于行业良好水平(10,15]；</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lang w:val="en-US" w:eastAsia="zh-CN"/>
              </w:rPr>
              <w:t>c.取得的环境效益效果一般，处于行业一般水平[0,10]。</w:t>
            </w:r>
          </w:p>
        </w:tc>
        <w:tc>
          <w:tcPr>
            <w:tcW w:w="587" w:type="pct"/>
            <w:tcBorders>
              <w:top w:val="single" w:color="auto" w:sz="8" w:space="0"/>
              <w:bottom w:val="single" w:color="auto" w:sz="8" w:space="0"/>
              <w:tl2br w:val="nil"/>
              <w:tr2bl w:val="nil"/>
            </w:tcBorders>
            <w:noWrap w:val="0"/>
            <w:vAlign w:val="center"/>
          </w:tcPr>
          <w:p>
            <w:pPr>
              <w:pStyle w:val="24"/>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20</w:t>
            </w:r>
          </w:p>
        </w:tc>
        <w:tc>
          <w:tcPr>
            <w:tcW w:w="714" w:type="pct"/>
            <w:tcBorders>
              <w:top w:val="single" w:color="auto" w:sz="8" w:space="0"/>
              <w:bottom w:val="single" w:color="auto" w:sz="8" w:space="0"/>
              <w:tl2br w:val="nil"/>
              <w:tr2bl w:val="nil"/>
            </w:tcBorders>
            <w:noWrap w:val="0"/>
            <w:vAlign w:val="center"/>
          </w:tcPr>
          <w:p>
            <w:pPr>
              <w:pStyle w:val="24"/>
              <w:ind w:firstLine="0" w:firstLineChars="0"/>
              <w:jc w:val="center"/>
              <w:rPr>
                <w:rFonts w:ascii="Times New Roman"/>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67" w:type="pct"/>
            <w:vMerge w:val="restart"/>
            <w:tcBorders>
              <w:top w:val="single" w:color="auto" w:sz="8" w:space="0"/>
              <w:tl2br w:val="nil"/>
              <w:tr2bl w:val="nil"/>
            </w:tcBorders>
            <w:noWrap w:val="0"/>
            <w:vAlign w:val="center"/>
          </w:tcPr>
          <w:p>
            <w:pPr>
              <w:pStyle w:val="24"/>
              <w:ind w:firstLine="0" w:firstLineChars="0"/>
              <w:jc w:val="center"/>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环境表现</w:t>
            </w:r>
          </w:p>
        </w:tc>
        <w:tc>
          <w:tcPr>
            <w:tcW w:w="575" w:type="pct"/>
            <w:tcBorders>
              <w:top w:val="single" w:color="auto" w:sz="8" w:space="0"/>
              <w:bottom w:val="single" w:color="auto" w:sz="8" w:space="0"/>
              <w:tl2br w:val="nil"/>
              <w:tr2bl w:val="nil"/>
            </w:tcBorders>
            <w:noWrap w:val="0"/>
            <w:vAlign w:val="center"/>
          </w:tcPr>
          <w:p>
            <w:pPr>
              <w:pStyle w:val="24"/>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工艺设备材料</w:t>
            </w:r>
          </w:p>
        </w:tc>
        <w:tc>
          <w:tcPr>
            <w:tcW w:w="1140" w:type="pct"/>
            <w:tcBorders>
              <w:top w:val="single" w:color="auto" w:sz="8" w:space="0"/>
              <w:bottom w:val="single" w:color="auto" w:sz="8" w:space="0"/>
              <w:tl2br w:val="nil"/>
              <w:tr2bl w:val="nil"/>
            </w:tcBorders>
            <w:noWrap w:val="0"/>
            <w:vAlign w:val="center"/>
          </w:tcPr>
          <w:p>
            <w:pPr>
              <w:pStyle w:val="24"/>
              <w:ind w:firstLine="0" w:firstLineChars="0"/>
              <w:rPr>
                <w:rFonts w:hint="eastAsia" w:hAnsi="宋体" w:cs="宋体"/>
                <w:sz w:val="18"/>
                <w:szCs w:val="18"/>
                <w:highlight w:val="none"/>
                <w:lang w:val="en-US" w:eastAsia="zh-CN"/>
              </w:rPr>
            </w:pPr>
            <w:r>
              <w:rPr>
                <w:rFonts w:hint="eastAsia" w:hAnsi="宋体" w:cs="宋体"/>
                <w:sz w:val="18"/>
                <w:szCs w:val="18"/>
                <w:lang w:val="en-US" w:eastAsia="zh-CN"/>
              </w:rPr>
              <w:t>从工艺绿色化水平、设备绿色化水平、设备绿色化水平三个方面综合评估。</w:t>
            </w:r>
          </w:p>
        </w:tc>
        <w:tc>
          <w:tcPr>
            <w:tcW w:w="1413" w:type="pct"/>
            <w:tcBorders>
              <w:top w:val="single" w:color="auto" w:sz="8" w:space="0"/>
              <w:bottom w:val="single" w:color="auto" w:sz="8" w:space="0"/>
              <w:tl2br w:val="nil"/>
              <w:tr2bl w:val="nil"/>
            </w:tcBorders>
            <w:noWrap w:val="0"/>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a.工艺设备材料绿色化程度较高得(7,10]分；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b.工艺设备材料绿色化程度中等得(4,7]分；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lang w:val="en-US" w:eastAsia="zh-CN"/>
              </w:rPr>
              <w:t>c.工艺设备材料绿色化程度一般得(0,4]分。</w:t>
            </w:r>
          </w:p>
        </w:tc>
        <w:tc>
          <w:tcPr>
            <w:tcW w:w="587" w:type="pct"/>
            <w:tcBorders>
              <w:top w:val="single" w:color="auto" w:sz="8" w:space="0"/>
              <w:bottom w:val="single" w:color="auto" w:sz="8" w:space="0"/>
              <w:tl2br w:val="nil"/>
              <w:tr2bl w:val="nil"/>
            </w:tcBorders>
            <w:noWrap w:val="0"/>
            <w:vAlign w:val="center"/>
          </w:tcPr>
          <w:p>
            <w:pPr>
              <w:pStyle w:val="24"/>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10</w:t>
            </w:r>
          </w:p>
        </w:tc>
        <w:tc>
          <w:tcPr>
            <w:tcW w:w="714" w:type="pct"/>
            <w:tcBorders>
              <w:top w:val="single" w:color="auto" w:sz="8" w:space="0"/>
              <w:bottom w:val="single" w:color="auto" w:sz="8" w:space="0"/>
              <w:tl2br w:val="nil"/>
              <w:tr2bl w:val="nil"/>
            </w:tcBorders>
            <w:noWrap w:val="0"/>
            <w:vAlign w:val="center"/>
          </w:tcPr>
          <w:p>
            <w:pPr>
              <w:pStyle w:val="24"/>
              <w:ind w:firstLine="0" w:firstLineChars="0"/>
              <w:jc w:val="center"/>
              <w:rPr>
                <w:rFonts w:ascii="Times New Roman"/>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67" w:type="pct"/>
            <w:vMerge w:val="continue"/>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p>
        </w:tc>
        <w:tc>
          <w:tcPr>
            <w:tcW w:w="575" w:type="pct"/>
            <w:tcBorders>
              <w:top w:val="single" w:color="auto" w:sz="8" w:space="0"/>
              <w:bottom w:val="single" w:color="auto" w:sz="8" w:space="0"/>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绿色低碳运营</w:t>
            </w:r>
          </w:p>
        </w:tc>
        <w:tc>
          <w:tcPr>
            <w:tcW w:w="1140" w:type="pct"/>
            <w:tcBorders>
              <w:top w:val="single" w:color="auto" w:sz="8" w:space="0"/>
              <w:bottom w:val="single" w:color="auto" w:sz="8" w:space="0"/>
              <w:tl2br w:val="nil"/>
              <w:tr2bl w:val="nil"/>
            </w:tcBorders>
            <w:noWrap w:val="0"/>
            <w:vAlign w:val="center"/>
          </w:tcPr>
          <w:p>
            <w:pPr>
              <w:pStyle w:val="24"/>
              <w:ind w:firstLine="0" w:firstLineChars="0"/>
              <w:rPr>
                <w:rFonts w:hint="eastAsia" w:hAnsi="宋体" w:cs="宋体"/>
                <w:sz w:val="18"/>
                <w:szCs w:val="18"/>
                <w:highlight w:val="none"/>
                <w:lang w:val="en-US" w:eastAsia="zh-CN"/>
              </w:rPr>
            </w:pPr>
            <w:r>
              <w:rPr>
                <w:rFonts w:hint="eastAsia" w:hAnsi="宋体" w:cs="宋体"/>
                <w:sz w:val="18"/>
                <w:szCs w:val="18"/>
                <w:lang w:val="en-US" w:eastAsia="zh-CN"/>
              </w:rPr>
              <w:t>从单位总投资综合能耗、单位总投资用水量、单位总投资用地面积、单位总投资碳排放量、废弃物综合利用率等方面进行综合评估。</w:t>
            </w:r>
          </w:p>
        </w:tc>
        <w:tc>
          <w:tcPr>
            <w:tcW w:w="1413" w:type="pct"/>
            <w:tcBorders>
              <w:top w:val="single" w:color="auto" w:sz="8" w:space="0"/>
              <w:bottom w:val="single" w:color="auto" w:sz="8" w:space="0"/>
              <w:tl2br w:val="nil"/>
              <w:tr2bl w:val="nil"/>
            </w:tcBorders>
            <w:noWrap w:val="0"/>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a.五项指标达到业内领先水平得(12,15]分；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b.四项指标达到业内领先水平得(9,12]分；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c.三项指标达到业内领先水平得(6,9]分；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d.两项指标达到业内领先水平得(3,6]分；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lang w:val="en-US" w:eastAsia="zh-CN"/>
              </w:rPr>
              <w:t>e.一项指标达到业内领先水平得(0,3]分。</w:t>
            </w:r>
          </w:p>
        </w:tc>
        <w:tc>
          <w:tcPr>
            <w:tcW w:w="587" w:type="pct"/>
            <w:tcBorders>
              <w:top w:val="single" w:color="auto" w:sz="8" w:space="0"/>
              <w:bottom w:val="single" w:color="auto" w:sz="8" w:space="0"/>
              <w:tl2br w:val="nil"/>
              <w:tr2bl w:val="nil"/>
            </w:tcBorders>
            <w:noWrap w:val="0"/>
            <w:vAlign w:val="center"/>
          </w:tcPr>
          <w:p>
            <w:pPr>
              <w:pStyle w:val="24"/>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15</w:t>
            </w:r>
          </w:p>
        </w:tc>
        <w:tc>
          <w:tcPr>
            <w:tcW w:w="714" w:type="pct"/>
            <w:tcBorders>
              <w:top w:val="single" w:color="auto" w:sz="8" w:space="0"/>
              <w:bottom w:val="single" w:color="auto" w:sz="8" w:space="0"/>
              <w:tl2br w:val="nil"/>
              <w:tr2bl w:val="nil"/>
            </w:tcBorders>
            <w:noWrap w:val="0"/>
            <w:vAlign w:val="center"/>
          </w:tcPr>
          <w:p>
            <w:pPr>
              <w:pStyle w:val="24"/>
              <w:ind w:firstLine="0" w:firstLineChars="0"/>
              <w:jc w:val="center"/>
              <w:rPr>
                <w:rFonts w:ascii="Times New Roman"/>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67" w:type="pct"/>
            <w:vMerge w:val="continue"/>
            <w:tcBorders>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p>
        </w:tc>
        <w:tc>
          <w:tcPr>
            <w:tcW w:w="575" w:type="pct"/>
            <w:tcBorders>
              <w:top w:val="single" w:color="auto" w:sz="8" w:space="0"/>
              <w:bottom w:val="single" w:color="auto" w:sz="8" w:space="0"/>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污染物排放水平</w:t>
            </w:r>
          </w:p>
        </w:tc>
        <w:tc>
          <w:tcPr>
            <w:tcW w:w="1140" w:type="pct"/>
            <w:tcBorders>
              <w:top w:val="single" w:color="auto" w:sz="8" w:space="0"/>
              <w:bottom w:val="single" w:color="auto" w:sz="8" w:space="0"/>
              <w:tl2br w:val="nil"/>
              <w:tr2bl w:val="nil"/>
            </w:tcBorders>
            <w:noWrap w:val="0"/>
            <w:vAlign w:val="center"/>
          </w:tcPr>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lang w:val="en-US" w:eastAsia="zh-CN"/>
              </w:rPr>
              <w:t>项目自身生产运营过程向环境排放污染物的情况。</w:t>
            </w:r>
          </w:p>
        </w:tc>
        <w:tc>
          <w:tcPr>
            <w:tcW w:w="1413" w:type="pct"/>
            <w:tcBorders>
              <w:top w:val="single" w:color="auto" w:sz="8" w:space="0"/>
              <w:bottom w:val="single" w:color="auto" w:sz="8" w:space="0"/>
              <w:tl2br w:val="nil"/>
              <w:tr2bl w:val="nil"/>
            </w:tcBorders>
            <w:noWrap w:val="0"/>
            <w:vAlign w:val="center"/>
          </w:tcPr>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a.不排放污染物，或优于排污许可证限值20%，或优于排放源所在地同类行业污染物排放限值20%得</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w:t>
            </w:r>
            <w:r>
              <w:rPr>
                <w:rFonts w:hint="eastAsia" w:hAnsi="宋体" w:cs="宋体"/>
                <w:sz w:val="18"/>
                <w:szCs w:val="18"/>
                <w:lang w:val="en-US" w:eastAsia="zh-CN"/>
              </w:rPr>
              <w:t>5</w:t>
            </w:r>
            <w:r>
              <w:rPr>
                <w:rFonts w:hint="eastAsia" w:hAnsi="宋体" w:cs="宋体"/>
                <w:sz w:val="18"/>
                <w:szCs w:val="18"/>
              </w:rPr>
              <w:t>]</w:t>
            </w:r>
            <w:r>
              <w:rPr>
                <w:rFonts w:hint="eastAsia" w:hAnsi="宋体" w:cs="宋体"/>
                <w:sz w:val="18"/>
                <w:szCs w:val="18"/>
                <w:lang w:val="en-US" w:eastAsia="zh-CN"/>
              </w:rPr>
              <w:t>分；</w:t>
            </w:r>
          </w:p>
          <w:p>
            <w:pPr>
              <w:pStyle w:val="24"/>
              <w:ind w:firstLine="0" w:firstLineChars="0"/>
              <w:jc w:val="left"/>
              <w:rPr>
                <w:rFonts w:hint="eastAsia" w:hAnsi="宋体" w:cs="宋体"/>
                <w:sz w:val="18"/>
                <w:szCs w:val="18"/>
                <w:lang w:val="en-US" w:eastAsia="zh-CN"/>
              </w:rPr>
            </w:pPr>
            <w:r>
              <w:rPr>
                <w:rFonts w:hint="eastAsia" w:hAnsi="宋体" w:cs="宋体"/>
                <w:sz w:val="18"/>
                <w:szCs w:val="18"/>
                <w:lang w:val="en-US" w:eastAsia="zh-CN"/>
              </w:rPr>
              <w:t>b.优于排污许可证限值10%，或优于排放源所在地同类行业污染物排放限值10%得(0,2]分；</w:t>
            </w:r>
          </w:p>
          <w:p>
            <w:pPr>
              <w:pStyle w:val="24"/>
              <w:ind w:firstLine="0" w:firstLineChars="0"/>
              <w:jc w:val="left"/>
              <w:rPr>
                <w:rFonts w:hint="eastAsia" w:hAnsi="宋体" w:cs="宋体"/>
                <w:sz w:val="18"/>
                <w:szCs w:val="18"/>
                <w:highlight w:val="none"/>
                <w:lang w:val="en-US" w:eastAsia="zh-CN"/>
              </w:rPr>
            </w:pPr>
            <w:r>
              <w:rPr>
                <w:rFonts w:hint="eastAsia" w:hAnsi="宋体" w:cs="宋体"/>
                <w:sz w:val="18"/>
                <w:szCs w:val="18"/>
                <w:lang w:val="en-US" w:eastAsia="zh-CN"/>
              </w:rPr>
              <w:t>c.不满足上述任何一项得0分。</w:t>
            </w:r>
          </w:p>
        </w:tc>
        <w:tc>
          <w:tcPr>
            <w:tcW w:w="587" w:type="pct"/>
            <w:tcBorders>
              <w:top w:val="single" w:color="auto" w:sz="8" w:space="0"/>
              <w:bottom w:val="single" w:color="auto" w:sz="8" w:space="0"/>
              <w:tl2br w:val="nil"/>
              <w:tr2bl w:val="nil"/>
            </w:tcBorders>
            <w:noWrap w:val="0"/>
            <w:vAlign w:val="center"/>
          </w:tcPr>
          <w:p>
            <w:pPr>
              <w:pStyle w:val="24"/>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5</w:t>
            </w:r>
          </w:p>
        </w:tc>
        <w:tc>
          <w:tcPr>
            <w:tcW w:w="714" w:type="pct"/>
            <w:tcBorders>
              <w:top w:val="single" w:color="auto" w:sz="8" w:space="0"/>
              <w:bottom w:val="single" w:color="auto" w:sz="8" w:space="0"/>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285" w:type="pct"/>
            <w:gridSpan w:val="5"/>
            <w:tcBorders>
              <w:bottom w:val="single" w:color="auto" w:sz="8" w:space="0"/>
              <w:tl2br w:val="nil"/>
              <w:tr2bl w:val="nil"/>
            </w:tcBorders>
            <w:noWrap w:val="0"/>
            <w:vAlign w:val="center"/>
          </w:tcPr>
          <w:p>
            <w:pPr>
              <w:autoSpaceDE w:val="0"/>
              <w:autoSpaceDN w:val="0"/>
              <w:spacing w:line="240" w:lineRule="auto"/>
              <w:jc w:val="center"/>
              <w:rPr>
                <w:rFonts w:hint="eastAsia" w:ascii="宋体" w:hAnsi="Times New Roman" w:eastAsia="宋体" w:cs="Times New Roman"/>
                <w:b/>
                <w:kern w:val="2"/>
                <w:sz w:val="18"/>
                <w:szCs w:val="18"/>
                <w:highlight w:val="none"/>
                <w:lang w:val="en-US" w:eastAsia="zh-CN" w:bidi="ar-SA"/>
              </w:rPr>
            </w:pPr>
            <w:r>
              <w:rPr>
                <w:rFonts w:ascii="宋体"/>
                <w:b/>
                <w:sz w:val="18"/>
                <w:szCs w:val="18"/>
                <w:highlight w:val="none"/>
              </w:rPr>
              <w:t>总得分</w:t>
            </w:r>
          </w:p>
        </w:tc>
        <w:tc>
          <w:tcPr>
            <w:tcW w:w="714" w:type="pct"/>
            <w:tcBorders>
              <w:top w:val="single" w:color="auto" w:sz="8" w:space="0"/>
              <w:bottom w:val="single" w:color="auto" w:sz="8" w:space="0"/>
              <w:tl2br w:val="nil"/>
              <w:tr2bl w:val="nil"/>
            </w:tcBorders>
            <w:noWrap w:val="0"/>
            <w:vAlign w:val="center"/>
          </w:tcPr>
          <w:p>
            <w:pPr>
              <w:pStyle w:val="24"/>
              <w:ind w:firstLine="0" w:firstLineChars="0"/>
              <w:jc w:val="center"/>
              <w:rPr>
                <w:rFonts w:hint="eastAsia" w:hAnsi="宋体" w:cs="宋体"/>
                <w:sz w:val="18"/>
                <w:szCs w:val="18"/>
                <w:highlight w:val="none"/>
                <w:lang w:val="en-US" w:eastAsia="zh-CN"/>
              </w:rPr>
            </w:pPr>
          </w:p>
        </w:tc>
      </w:tr>
    </w:tbl>
    <w:p>
      <w:pPr>
        <w:pStyle w:val="92"/>
        <w:rPr>
          <w:rFonts w:ascii="Times New Roman"/>
          <w:highlight w:val="none"/>
        </w:rPr>
      </w:pPr>
      <w:r>
        <w:rPr>
          <w:highlight w:val="none"/>
        </w:rPr>
        <w:br w:type="page"/>
      </w:r>
      <w:bookmarkStart w:id="158" w:name="_Toc1592"/>
      <w:bookmarkStart w:id="159" w:name="_Toc9393"/>
      <w:bookmarkStart w:id="160" w:name="_Toc18413"/>
      <w:r>
        <w:rPr>
          <w:rFonts w:ascii="Times New Roman"/>
          <w:highlight w:val="none"/>
        </w:rPr>
        <w:br w:type="textWrapping"/>
      </w:r>
      <w:r>
        <w:rPr>
          <w:rFonts w:ascii="Times New Roman"/>
          <w:highlight w:val="none"/>
        </w:rPr>
        <w:t>（资料性）</w:t>
      </w:r>
      <w:r>
        <w:rPr>
          <w:rFonts w:ascii="Times New Roman"/>
          <w:highlight w:val="none"/>
        </w:rPr>
        <w:br w:type="textWrapping"/>
      </w:r>
      <w:r>
        <w:rPr>
          <w:rFonts w:hint="eastAsia" w:ascii="Times New Roman"/>
          <w:highlight w:val="none"/>
        </w:rPr>
        <w:t>新能源汽车</w:t>
      </w:r>
      <w:r>
        <w:rPr>
          <w:rFonts w:hint="eastAsia" w:ascii="Times New Roman"/>
          <w:highlight w:val="none"/>
          <w:lang w:val="en-US" w:eastAsia="zh-CN"/>
        </w:rPr>
        <w:t>产品</w:t>
      </w:r>
      <w:r>
        <w:rPr>
          <w:rFonts w:hint="eastAsia" w:ascii="Times New Roman"/>
          <w:highlight w:val="none"/>
        </w:rPr>
        <w:t>行业绿色低碳产业</w:t>
      </w:r>
      <w:r>
        <w:rPr>
          <w:rFonts w:hint="eastAsia" w:ascii="Times New Roman"/>
          <w:highlight w:val="none"/>
          <w:lang w:val="en-US" w:eastAsia="zh-CN"/>
        </w:rPr>
        <w:t>企业</w:t>
      </w:r>
      <w:r>
        <w:rPr>
          <w:rFonts w:hint="eastAsia" w:ascii="Times New Roman"/>
          <w:highlight w:val="none"/>
        </w:rPr>
        <w:t>认定评价报告模板</w:t>
      </w:r>
      <w:bookmarkEnd w:id="158"/>
      <w:bookmarkEnd w:id="159"/>
    </w:p>
    <w:bookmarkEnd w:id="160"/>
    <w:p>
      <w:pPr>
        <w:pStyle w:val="95"/>
        <w:numPr>
          <w:ilvl w:val="0"/>
          <w:numId w:val="0"/>
        </w:numPr>
        <w:spacing w:before="156" w:after="156"/>
        <w:jc w:val="both"/>
        <w:rPr>
          <w:rFonts w:ascii="Times New Roman" w:eastAsia="Times New Roman"/>
          <w:highlight w:val="none"/>
        </w:rPr>
      </w:pPr>
      <w:r>
        <w:rPr>
          <w:rFonts w:hint="eastAsia" w:hAnsi="黑体" w:cs="黑体"/>
          <w:highlight w:val="none"/>
        </w:rPr>
        <w:t>B.1 封面</w:t>
      </w:r>
    </w:p>
    <w:p>
      <w:pPr>
        <w:pStyle w:val="24"/>
        <w:rPr>
          <w:rFonts w:ascii="Times New Roman" w:eastAsia="Times New Roman"/>
          <w:szCs w:val="24"/>
          <w:highlight w:val="none"/>
        </w:rPr>
      </w:pPr>
      <w:r>
        <w:rPr>
          <w:rFonts w:hint="default" w:ascii="Times New Roman"/>
          <w:szCs w:val="24"/>
          <w:highlight w:val="none"/>
          <w:lang w:val="en-US"/>
        </w:rPr>
        <mc:AlternateContent>
          <mc:Choice Requires="wps">
            <w:drawing>
              <wp:anchor distT="45720" distB="45720" distL="114300" distR="114300" simplePos="0" relativeHeight="251665408" behindDoc="0" locked="0" layoutInCell="1" allowOverlap="1">
                <wp:simplePos x="0" y="0"/>
                <wp:positionH relativeFrom="column">
                  <wp:posOffset>321945</wp:posOffset>
                </wp:positionH>
                <wp:positionV relativeFrom="paragraph">
                  <wp:posOffset>669925</wp:posOffset>
                </wp:positionV>
                <wp:extent cx="5294630" cy="3877310"/>
                <wp:effectExtent l="4445" t="4445" r="15875" b="23495"/>
                <wp:wrapSquare wrapText="bothSides"/>
                <wp:docPr id="2" name="文本框 2"/>
                <wp:cNvGraphicFramePr/>
                <a:graphic xmlns:a="http://schemas.openxmlformats.org/drawingml/2006/main">
                  <a:graphicData uri="http://schemas.microsoft.com/office/word/2010/wordprocessingShape">
                    <wps:wsp>
                      <wps:cNvSpPr txBox="1"/>
                      <wps:spPr>
                        <a:xfrm>
                          <a:off x="0" y="0"/>
                          <a:ext cx="5294630" cy="3877310"/>
                        </a:xfrm>
                        <a:prstGeom prst="rect">
                          <a:avLst/>
                        </a:prstGeom>
                        <a:noFill/>
                        <a:ln w="6350" cap="flat" cmpd="sng">
                          <a:solidFill>
                            <a:srgbClr val="000000"/>
                          </a:solidFill>
                          <a:prstDash val="solid"/>
                          <a:miter/>
                          <a:headEnd type="none" w="med" len="med"/>
                          <a:tailEnd type="none" w="med" len="med"/>
                        </a:ln>
                        <a:effectLst/>
                      </wps:spPr>
                      <wps:txbx>
                        <w:txbxContent>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XXX公司</w:t>
                            </w:r>
                          </w:p>
                          <w:p>
                            <w:pPr>
                              <w:pStyle w:val="24"/>
                              <w:spacing w:line="360" w:lineRule="auto"/>
                              <w:ind w:firstLine="422"/>
                              <w:jc w:val="center"/>
                              <w:rPr>
                                <w:b/>
                                <w:szCs w:val="24"/>
                              </w:rPr>
                            </w:pPr>
                            <w:r>
                              <w:rPr>
                                <w:rFonts w:hint="eastAsia"/>
                                <w:b/>
                                <w:szCs w:val="24"/>
                              </w:rPr>
                              <w:t>新能源</w:t>
                            </w:r>
                            <w:r>
                              <w:rPr>
                                <w:rFonts w:hint="eastAsia"/>
                                <w:b/>
                                <w:bCs w:val="0"/>
                                <w:szCs w:val="24"/>
                              </w:rPr>
                              <w:t>汽车</w:t>
                            </w:r>
                            <w:r>
                              <w:rPr>
                                <w:rFonts w:hint="eastAsia" w:ascii="Times New Roman"/>
                                <w:b/>
                                <w:bCs w:val="0"/>
                                <w:highlight w:val="none"/>
                                <w:lang w:val="en-US" w:eastAsia="zh-CN"/>
                              </w:rPr>
                              <w:t>产品</w:t>
                            </w:r>
                            <w:r>
                              <w:rPr>
                                <w:rFonts w:hint="eastAsia"/>
                                <w:b/>
                                <w:szCs w:val="24"/>
                              </w:rPr>
                              <w:t>行业绿色低碳产业</w:t>
                            </w:r>
                            <w:r>
                              <w:rPr>
                                <w:rFonts w:hint="eastAsia"/>
                                <w:b/>
                                <w:szCs w:val="24"/>
                                <w:lang w:val="en-US" w:eastAsia="zh-CN"/>
                              </w:rPr>
                              <w:t>企业</w:t>
                            </w:r>
                            <w:r>
                              <w:rPr>
                                <w:rFonts w:hint="eastAsia"/>
                                <w:b/>
                                <w:szCs w:val="24"/>
                              </w:rPr>
                              <w:t>认定评价报告</w:t>
                            </w:r>
                          </w:p>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报告覆盖期间</w:t>
                            </w:r>
                          </w:p>
                          <w:p>
                            <w:pPr>
                              <w:pStyle w:val="24"/>
                              <w:spacing w:line="360" w:lineRule="auto"/>
                              <w:ind w:firstLine="422"/>
                              <w:jc w:val="center"/>
                              <w:rPr>
                                <w:b/>
                                <w:szCs w:val="24"/>
                              </w:rPr>
                            </w:pPr>
                            <w:r>
                              <w:rPr>
                                <w:rFonts w:hint="eastAsia"/>
                                <w:b/>
                                <w:szCs w:val="24"/>
                              </w:rPr>
                              <w:t>XXXX年X月X日——XXXX年X月X日</w:t>
                            </w:r>
                          </w:p>
                          <w:p>
                            <w:pPr>
                              <w:pStyle w:val="24"/>
                              <w:spacing w:line="360" w:lineRule="auto"/>
                              <w:ind w:firstLine="422"/>
                              <w:rPr>
                                <w:b/>
                                <w:szCs w:val="24"/>
                              </w:rPr>
                            </w:pPr>
                          </w:p>
                          <w:p>
                            <w:pPr>
                              <w:pStyle w:val="24"/>
                              <w:spacing w:line="360" w:lineRule="auto"/>
                              <w:ind w:firstLine="2635" w:firstLineChars="1250"/>
                              <w:rPr>
                                <w:b/>
                                <w:szCs w:val="24"/>
                              </w:rPr>
                            </w:pPr>
                            <w:r>
                              <w:rPr>
                                <w:rFonts w:hint="eastAsia"/>
                                <w:b/>
                                <w:szCs w:val="24"/>
                              </w:rPr>
                              <w:t>申报单位：</w:t>
                            </w:r>
                            <w:r>
                              <w:rPr>
                                <w:rFonts w:hint="eastAsia"/>
                                <w:b/>
                                <w:szCs w:val="24"/>
                                <w:u w:val="single"/>
                              </w:rPr>
                              <w:t xml:space="preserve">               （盖章）  </w:t>
                            </w:r>
                            <w:r>
                              <w:rPr>
                                <w:rFonts w:hint="eastAsia"/>
                                <w:b/>
                                <w:szCs w:val="24"/>
                              </w:rPr>
                              <w:t xml:space="preserve">         </w:t>
                            </w:r>
                          </w:p>
                          <w:p>
                            <w:pPr>
                              <w:pStyle w:val="24"/>
                              <w:spacing w:line="360" w:lineRule="auto"/>
                              <w:ind w:firstLine="2635" w:firstLineChars="1250"/>
                              <w:rPr>
                                <w:b/>
                                <w:szCs w:val="24"/>
                                <w:u w:val="single"/>
                              </w:rPr>
                            </w:pPr>
                            <w:r>
                              <w:rPr>
                                <w:rFonts w:hint="eastAsia"/>
                                <w:b/>
                                <w:szCs w:val="24"/>
                              </w:rPr>
                              <w:t>编写人：</w:t>
                            </w:r>
                            <w:r>
                              <w:rPr>
                                <w:rFonts w:hint="eastAsia"/>
                                <w:b/>
                                <w:szCs w:val="24"/>
                                <w:u w:val="single"/>
                              </w:rPr>
                              <w:t xml:space="preserve">                           </w:t>
                            </w:r>
                          </w:p>
                          <w:p>
                            <w:pPr>
                              <w:pStyle w:val="24"/>
                              <w:spacing w:line="360" w:lineRule="auto"/>
                              <w:ind w:firstLine="2635" w:firstLineChars="1250"/>
                              <w:rPr>
                                <w:b/>
                                <w:szCs w:val="24"/>
                                <w:u w:val="single"/>
                              </w:rPr>
                            </w:pPr>
                            <w:r>
                              <w:rPr>
                                <w:rFonts w:hint="eastAsia"/>
                                <w:b/>
                                <w:szCs w:val="24"/>
                              </w:rPr>
                              <w:t>责任人：</w:t>
                            </w:r>
                            <w:r>
                              <w:rPr>
                                <w:rFonts w:hint="eastAsia"/>
                                <w:b/>
                                <w:szCs w:val="24"/>
                                <w:u w:val="single"/>
                              </w:rPr>
                              <w:t xml:space="preserve">                           </w:t>
                            </w:r>
                          </w:p>
                          <w:p>
                            <w:pPr>
                              <w:pStyle w:val="24"/>
                              <w:spacing w:line="360" w:lineRule="auto"/>
                              <w:ind w:firstLine="2635" w:firstLineChars="1250"/>
                              <w:rPr>
                                <w:szCs w:val="24"/>
                              </w:rPr>
                            </w:pPr>
                            <w:r>
                              <w:rPr>
                                <w:rFonts w:hint="eastAsia"/>
                                <w:b/>
                                <w:szCs w:val="24"/>
                              </w:rPr>
                              <w:t>报告日期：</w:t>
                            </w:r>
                            <w:r>
                              <w:rPr>
                                <w:rFonts w:hint="eastAsia"/>
                                <w:b/>
                                <w:szCs w:val="24"/>
                                <w:u w:val="single"/>
                              </w:rPr>
                              <w:t xml:space="preserve">         </w:t>
                            </w:r>
                            <w:r>
                              <w:rPr>
                                <w:rFonts w:hint="eastAsia"/>
                                <w:szCs w:val="24"/>
                                <w:u w:val="single"/>
                              </w:rPr>
                              <w:t xml:space="preserve">                </w:t>
                            </w:r>
                            <w:r>
                              <w:rPr>
                                <w:rFonts w:hint="eastAsia"/>
                                <w:szCs w:val="24"/>
                              </w:rPr>
                              <w:t xml:space="preserve">           </w:t>
                            </w:r>
                          </w:p>
                        </w:txbxContent>
                      </wps:txbx>
                      <wps:bodyPr vert="horz" wrap="square" anchor="t" anchorCtr="0" upright="1"/>
                    </wps:wsp>
                  </a:graphicData>
                </a:graphic>
              </wp:anchor>
            </w:drawing>
          </mc:Choice>
          <mc:Fallback>
            <w:pict>
              <v:shape id="_x0000_s1026" o:spid="_x0000_s1026" o:spt="202" type="#_x0000_t202" style="position:absolute;left:0pt;margin-left:25.35pt;margin-top:52.75pt;height:305.3pt;width:416.9pt;mso-wrap-distance-bottom:3.6pt;mso-wrap-distance-left:9pt;mso-wrap-distance-right:9pt;mso-wrap-distance-top:3.6pt;z-index:251665408;mso-width-relative:page;mso-height-relative:page;" filled="f" stroked="t" coordsize="21600,21600" o:gfxdata="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3ZgvbZAAAACgEAAA8AAAAAAAAAAQAgAAAAIgAAAGRycy9kb3ducmV2LnhtbFBLAQIU&#10;ABQAAAAIAIdO4kA96QPkKwIAAE8EAAAOAAAAAAAAAAEAIAAAACgBAABkcnMvZTJvRG9jLnhtbFBL&#10;BQYAAAAABgAGAFkBAADFBQAAAAA=&#10;">
                <v:fill on="f" focussize="0,0"/>
                <v:stroke weight="0.5pt" color="#000000" joinstyle="miter"/>
                <v:imagedata o:title=""/>
                <o:lock v:ext="edit" aspectratio="f"/>
                <v:textbox>
                  <w:txbxContent>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XXX公司</w:t>
                      </w:r>
                    </w:p>
                    <w:p>
                      <w:pPr>
                        <w:pStyle w:val="24"/>
                        <w:spacing w:line="360" w:lineRule="auto"/>
                        <w:ind w:firstLine="422"/>
                        <w:jc w:val="center"/>
                        <w:rPr>
                          <w:b/>
                          <w:szCs w:val="24"/>
                        </w:rPr>
                      </w:pPr>
                      <w:r>
                        <w:rPr>
                          <w:rFonts w:hint="eastAsia"/>
                          <w:b/>
                          <w:szCs w:val="24"/>
                        </w:rPr>
                        <w:t>新能源</w:t>
                      </w:r>
                      <w:r>
                        <w:rPr>
                          <w:rFonts w:hint="eastAsia"/>
                          <w:b/>
                          <w:bCs w:val="0"/>
                          <w:szCs w:val="24"/>
                        </w:rPr>
                        <w:t>汽车</w:t>
                      </w:r>
                      <w:r>
                        <w:rPr>
                          <w:rFonts w:hint="eastAsia" w:ascii="Times New Roman"/>
                          <w:b/>
                          <w:bCs w:val="0"/>
                          <w:highlight w:val="none"/>
                          <w:lang w:val="en-US" w:eastAsia="zh-CN"/>
                        </w:rPr>
                        <w:t>产品</w:t>
                      </w:r>
                      <w:r>
                        <w:rPr>
                          <w:rFonts w:hint="eastAsia"/>
                          <w:b/>
                          <w:szCs w:val="24"/>
                        </w:rPr>
                        <w:t>行业绿色低碳产业</w:t>
                      </w:r>
                      <w:r>
                        <w:rPr>
                          <w:rFonts w:hint="eastAsia"/>
                          <w:b/>
                          <w:szCs w:val="24"/>
                          <w:lang w:val="en-US" w:eastAsia="zh-CN"/>
                        </w:rPr>
                        <w:t>企业</w:t>
                      </w:r>
                      <w:r>
                        <w:rPr>
                          <w:rFonts w:hint="eastAsia"/>
                          <w:b/>
                          <w:szCs w:val="24"/>
                        </w:rPr>
                        <w:t>认定评价报告</w:t>
                      </w:r>
                    </w:p>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报告覆盖期间</w:t>
                      </w:r>
                    </w:p>
                    <w:p>
                      <w:pPr>
                        <w:pStyle w:val="24"/>
                        <w:spacing w:line="360" w:lineRule="auto"/>
                        <w:ind w:firstLine="422"/>
                        <w:jc w:val="center"/>
                        <w:rPr>
                          <w:b/>
                          <w:szCs w:val="24"/>
                        </w:rPr>
                      </w:pPr>
                      <w:r>
                        <w:rPr>
                          <w:rFonts w:hint="eastAsia"/>
                          <w:b/>
                          <w:szCs w:val="24"/>
                        </w:rPr>
                        <w:t>XXXX年X月X日——XXXX年X月X日</w:t>
                      </w:r>
                    </w:p>
                    <w:p>
                      <w:pPr>
                        <w:pStyle w:val="24"/>
                        <w:spacing w:line="360" w:lineRule="auto"/>
                        <w:ind w:firstLine="422"/>
                        <w:rPr>
                          <w:b/>
                          <w:szCs w:val="24"/>
                        </w:rPr>
                      </w:pPr>
                    </w:p>
                    <w:p>
                      <w:pPr>
                        <w:pStyle w:val="24"/>
                        <w:spacing w:line="360" w:lineRule="auto"/>
                        <w:ind w:firstLine="2635" w:firstLineChars="1250"/>
                        <w:rPr>
                          <w:b/>
                          <w:szCs w:val="24"/>
                        </w:rPr>
                      </w:pPr>
                      <w:r>
                        <w:rPr>
                          <w:rFonts w:hint="eastAsia"/>
                          <w:b/>
                          <w:szCs w:val="24"/>
                        </w:rPr>
                        <w:t>申报单位：</w:t>
                      </w:r>
                      <w:r>
                        <w:rPr>
                          <w:rFonts w:hint="eastAsia"/>
                          <w:b/>
                          <w:szCs w:val="24"/>
                          <w:u w:val="single"/>
                        </w:rPr>
                        <w:t xml:space="preserve">               （盖章）  </w:t>
                      </w:r>
                      <w:r>
                        <w:rPr>
                          <w:rFonts w:hint="eastAsia"/>
                          <w:b/>
                          <w:szCs w:val="24"/>
                        </w:rPr>
                        <w:t xml:space="preserve">         </w:t>
                      </w:r>
                    </w:p>
                    <w:p>
                      <w:pPr>
                        <w:pStyle w:val="24"/>
                        <w:spacing w:line="360" w:lineRule="auto"/>
                        <w:ind w:firstLine="2635" w:firstLineChars="1250"/>
                        <w:rPr>
                          <w:b/>
                          <w:szCs w:val="24"/>
                          <w:u w:val="single"/>
                        </w:rPr>
                      </w:pPr>
                      <w:r>
                        <w:rPr>
                          <w:rFonts w:hint="eastAsia"/>
                          <w:b/>
                          <w:szCs w:val="24"/>
                        </w:rPr>
                        <w:t>编写人：</w:t>
                      </w:r>
                      <w:r>
                        <w:rPr>
                          <w:rFonts w:hint="eastAsia"/>
                          <w:b/>
                          <w:szCs w:val="24"/>
                          <w:u w:val="single"/>
                        </w:rPr>
                        <w:t xml:space="preserve">                           </w:t>
                      </w:r>
                    </w:p>
                    <w:p>
                      <w:pPr>
                        <w:pStyle w:val="24"/>
                        <w:spacing w:line="360" w:lineRule="auto"/>
                        <w:ind w:firstLine="2635" w:firstLineChars="1250"/>
                        <w:rPr>
                          <w:b/>
                          <w:szCs w:val="24"/>
                          <w:u w:val="single"/>
                        </w:rPr>
                      </w:pPr>
                      <w:r>
                        <w:rPr>
                          <w:rFonts w:hint="eastAsia"/>
                          <w:b/>
                          <w:szCs w:val="24"/>
                        </w:rPr>
                        <w:t>责任人：</w:t>
                      </w:r>
                      <w:r>
                        <w:rPr>
                          <w:rFonts w:hint="eastAsia"/>
                          <w:b/>
                          <w:szCs w:val="24"/>
                          <w:u w:val="single"/>
                        </w:rPr>
                        <w:t xml:space="preserve">                           </w:t>
                      </w:r>
                    </w:p>
                    <w:p>
                      <w:pPr>
                        <w:pStyle w:val="24"/>
                        <w:spacing w:line="360" w:lineRule="auto"/>
                        <w:ind w:firstLine="2635" w:firstLineChars="1250"/>
                        <w:rPr>
                          <w:szCs w:val="24"/>
                        </w:rPr>
                      </w:pPr>
                      <w:r>
                        <w:rPr>
                          <w:rFonts w:hint="eastAsia"/>
                          <w:b/>
                          <w:szCs w:val="24"/>
                        </w:rPr>
                        <w:t>报告日期：</w:t>
                      </w:r>
                      <w:r>
                        <w:rPr>
                          <w:rFonts w:hint="eastAsia"/>
                          <w:b/>
                          <w:szCs w:val="24"/>
                          <w:u w:val="single"/>
                        </w:rPr>
                        <w:t xml:space="preserve">         </w:t>
                      </w:r>
                      <w:r>
                        <w:rPr>
                          <w:rFonts w:hint="eastAsia"/>
                          <w:szCs w:val="24"/>
                          <w:u w:val="single"/>
                        </w:rPr>
                        <w:t xml:space="preserve">                </w:t>
                      </w:r>
                      <w:r>
                        <w:rPr>
                          <w:rFonts w:hint="eastAsia"/>
                          <w:szCs w:val="24"/>
                        </w:rPr>
                        <w:t xml:space="preserve">           </w:t>
                      </w:r>
                    </w:p>
                  </w:txbxContent>
                </v:textbox>
                <w10:wrap type="square"/>
              </v:shape>
            </w:pict>
          </mc:Fallback>
        </mc:AlternateContent>
      </w:r>
      <w:r>
        <w:rPr>
          <w:rFonts w:hint="eastAsia" w:ascii="Times New Roman"/>
          <w:szCs w:val="24"/>
          <w:highlight w:val="none"/>
          <w:lang w:val="en-US" w:eastAsia="zh-CN"/>
        </w:rPr>
        <w:t>新能源汽车</w:t>
      </w:r>
      <w:r>
        <w:rPr>
          <w:rFonts w:hint="eastAsia" w:ascii="Times New Roman"/>
          <w:highlight w:val="none"/>
          <w:lang w:val="en-US" w:eastAsia="zh-CN"/>
        </w:rPr>
        <w:t>产品</w:t>
      </w:r>
      <w:r>
        <w:rPr>
          <w:rFonts w:hint="eastAsia" w:ascii="Times New Roman"/>
          <w:szCs w:val="24"/>
          <w:highlight w:val="none"/>
        </w:rPr>
        <w:t>行业绿色低碳产业</w:t>
      </w:r>
      <w:r>
        <w:rPr>
          <w:rFonts w:hint="eastAsia" w:ascii="Times New Roman"/>
          <w:szCs w:val="24"/>
          <w:highlight w:val="none"/>
          <w:lang w:val="en-US" w:eastAsia="zh-CN"/>
        </w:rPr>
        <w:t>企业</w:t>
      </w:r>
      <w:r>
        <w:rPr>
          <w:rFonts w:hint="eastAsia" w:ascii="Times New Roman"/>
          <w:szCs w:val="24"/>
          <w:highlight w:val="none"/>
        </w:rPr>
        <w:t>认定评价报告的封面</w:t>
      </w:r>
      <w:r>
        <w:rPr>
          <w:rFonts w:hint="eastAsia" w:hAnsi="宋体" w:cs="宋体"/>
          <w:szCs w:val="24"/>
          <w:highlight w:val="none"/>
        </w:rPr>
        <w:t>要求见表B.1。</w:t>
      </w:r>
    </w:p>
    <w:p>
      <w:pPr>
        <w:pStyle w:val="95"/>
        <w:numPr>
          <w:ilvl w:val="1"/>
          <w:numId w:val="0"/>
        </w:numPr>
        <w:tabs>
          <w:tab w:val="clear" w:pos="0"/>
        </w:tabs>
        <w:spacing w:before="156" w:after="156"/>
        <w:rPr>
          <w:rFonts w:ascii="Times New Roman" w:eastAsia="Times New Roman"/>
          <w:highlight w:val="none"/>
        </w:rPr>
      </w:pPr>
      <w:r>
        <w:rPr>
          <w:rFonts w:hint="eastAsia" w:ascii="Times New Roman"/>
          <w:highlight w:val="none"/>
        </w:rPr>
        <w:t xml:space="preserve">表B.1 </w:t>
      </w:r>
      <w:r>
        <w:rPr>
          <w:rFonts w:hint="eastAsia" w:ascii="Times New Roman"/>
          <w:highlight w:val="none"/>
          <w:lang w:val="en-US" w:eastAsia="zh-CN"/>
        </w:rPr>
        <w:t>新能源汽车产品</w:t>
      </w:r>
      <w:r>
        <w:rPr>
          <w:rFonts w:hint="eastAsia" w:ascii="Times New Roman"/>
          <w:highlight w:val="none"/>
        </w:rPr>
        <w:t>行业绿色低碳产业</w:t>
      </w:r>
      <w:r>
        <w:rPr>
          <w:rFonts w:hint="eastAsia" w:ascii="Times New Roman"/>
          <w:highlight w:val="none"/>
          <w:lang w:val="en-US" w:eastAsia="zh-CN"/>
        </w:rPr>
        <w:t>企业</w:t>
      </w:r>
      <w:r>
        <w:rPr>
          <w:rFonts w:hint="eastAsia" w:ascii="Times New Roman"/>
          <w:highlight w:val="none"/>
        </w:rPr>
        <w:t>认定评价报告封面</w:t>
      </w:r>
    </w:p>
    <w:p>
      <w:pPr>
        <w:pStyle w:val="95"/>
        <w:numPr>
          <w:ilvl w:val="1"/>
          <w:numId w:val="0"/>
        </w:numPr>
        <w:spacing w:before="156" w:after="156"/>
        <w:jc w:val="both"/>
        <w:rPr>
          <w:rFonts w:hint="eastAsia" w:ascii="黑体" w:hAnsi="黑体" w:eastAsia="黑体" w:cs="黑体"/>
          <w:highlight w:val="none"/>
        </w:rPr>
      </w:pPr>
      <w:r>
        <w:rPr>
          <w:rFonts w:hint="eastAsia" w:ascii="黑体" w:hAnsi="黑体" w:eastAsia="黑体" w:cs="黑体"/>
          <w:highlight w:val="none"/>
        </w:rPr>
        <w:t>B</w:t>
      </w:r>
      <w:r>
        <w:rPr>
          <w:rFonts w:hint="eastAsia" w:hAnsi="黑体" w:cs="黑体"/>
          <w:highlight w:val="none"/>
        </w:rPr>
        <w:t>.2</w:t>
      </w:r>
      <w:r>
        <w:rPr>
          <w:rFonts w:hint="eastAsia" w:ascii="黑体" w:hAnsi="黑体" w:eastAsia="黑体" w:cs="黑体"/>
          <w:highlight w:val="none"/>
        </w:rPr>
        <w:t xml:space="preserve"> </w:t>
      </w:r>
      <w:r>
        <w:rPr>
          <w:rFonts w:hint="eastAsia" w:ascii="黑体" w:hAnsi="黑体" w:cs="黑体"/>
          <w:highlight w:val="none"/>
        </w:rPr>
        <w:t>基本信息</w:t>
      </w:r>
    </w:p>
    <w:p>
      <w:pPr>
        <w:pStyle w:val="24"/>
        <w:rPr>
          <w:rFonts w:ascii="Times New Roman" w:eastAsia="Times New Roman"/>
          <w:szCs w:val="24"/>
          <w:highlight w:val="none"/>
        </w:rPr>
      </w:pPr>
      <w:r>
        <w:rPr>
          <w:rFonts w:hint="eastAsia" w:ascii="Times New Roman"/>
          <w:szCs w:val="24"/>
          <w:highlight w:val="none"/>
        </w:rPr>
        <w:t>基本信息的填报要求</w:t>
      </w:r>
      <w:r>
        <w:rPr>
          <w:rFonts w:hint="eastAsia" w:ascii="宋体" w:hAnsi="宋体" w:eastAsia="宋体"/>
          <w:szCs w:val="24"/>
          <w:highlight w:val="none"/>
        </w:rPr>
        <w:t>见表B.2。</w:t>
      </w:r>
    </w:p>
    <w:p>
      <w:pPr>
        <w:pStyle w:val="95"/>
        <w:numPr>
          <w:ilvl w:val="1"/>
          <w:numId w:val="0"/>
        </w:numPr>
        <w:spacing w:before="156" w:after="156"/>
        <w:jc w:val="center"/>
        <w:rPr>
          <w:rFonts w:hint="eastAsia" w:ascii="黑体" w:hAnsi="黑体" w:eastAsia="黑体" w:cs="黑体"/>
          <w:highlight w:val="none"/>
        </w:rPr>
      </w:pPr>
      <w:r>
        <w:rPr>
          <w:rFonts w:hint="eastAsia" w:ascii="黑体" w:hAnsi="黑体" w:cs="黑体"/>
          <w:highlight w:val="none"/>
        </w:rPr>
        <w:t>表B.2 基本信息表</w:t>
      </w:r>
    </w:p>
    <w:tbl>
      <w:tblPr>
        <w:tblStyle w:val="34"/>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65"/>
        <w:gridCol w:w="3536"/>
        <w:gridCol w:w="1586"/>
        <w:gridCol w:w="2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27" w:type="pct"/>
            <w:tcBorders>
              <w:tl2br w:val="nil"/>
              <w:tr2bl w:val="nil"/>
            </w:tcBorders>
            <w:noWrap w:val="0"/>
            <w:vAlign w:val="center"/>
          </w:tcPr>
          <w:p>
            <w:pPr>
              <w:widowControl/>
              <w:jc w:val="center"/>
              <w:rPr>
                <w:rFonts w:eastAsia="宋体"/>
                <w:color w:val="000000"/>
                <w:kern w:val="0"/>
                <w:sz w:val="18"/>
                <w:szCs w:val="18"/>
              </w:rPr>
            </w:pPr>
            <w:r>
              <w:rPr>
                <w:rFonts w:eastAsia="宋体"/>
                <w:color w:val="000000"/>
                <w:kern w:val="0"/>
                <w:sz w:val="18"/>
                <w:szCs w:val="18"/>
              </w:rPr>
              <w:t>企事业单位名称</w:t>
            </w:r>
          </w:p>
        </w:tc>
        <w:tc>
          <w:tcPr>
            <w:tcW w:w="3972" w:type="pct"/>
            <w:gridSpan w:val="3"/>
            <w:tcBorders>
              <w:tl2br w:val="nil"/>
              <w:tr2bl w:val="nil"/>
            </w:tcBorders>
            <w:noWrap w:val="0"/>
            <w:vAlign w:val="center"/>
          </w:tcPr>
          <w:p>
            <w:pPr>
              <w:widowControl/>
              <w:rPr>
                <w:rFonts w:eastAsia="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27" w:type="pct"/>
            <w:tcBorders>
              <w:tl2br w:val="nil"/>
              <w:tr2bl w:val="nil"/>
            </w:tcBorders>
            <w:noWrap w:val="0"/>
            <w:vAlign w:val="center"/>
          </w:tcPr>
          <w:p>
            <w:pPr>
              <w:widowControl/>
              <w:jc w:val="center"/>
              <w:rPr>
                <w:rFonts w:eastAsia="宋体"/>
                <w:color w:val="000000"/>
                <w:kern w:val="0"/>
                <w:sz w:val="18"/>
                <w:szCs w:val="18"/>
              </w:rPr>
            </w:pPr>
            <w:r>
              <w:rPr>
                <w:rFonts w:eastAsia="宋体"/>
                <w:color w:val="000000"/>
                <w:kern w:val="0"/>
                <w:sz w:val="18"/>
                <w:szCs w:val="18"/>
              </w:rPr>
              <w:t>通讯地址</w:t>
            </w:r>
          </w:p>
        </w:tc>
        <w:tc>
          <w:tcPr>
            <w:tcW w:w="3972" w:type="pct"/>
            <w:gridSpan w:val="3"/>
            <w:tcBorders>
              <w:tl2br w:val="nil"/>
              <w:tr2bl w:val="nil"/>
            </w:tcBorders>
            <w:noWrap w:val="0"/>
            <w:vAlign w:val="center"/>
          </w:tcPr>
          <w:p>
            <w:pPr>
              <w:widowControl/>
              <w:rPr>
                <w:rFonts w:eastAsia="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27" w:type="pct"/>
            <w:tcBorders>
              <w:tl2br w:val="nil"/>
              <w:tr2bl w:val="nil"/>
            </w:tcBorders>
            <w:noWrap w:val="0"/>
            <w:vAlign w:val="center"/>
          </w:tcPr>
          <w:p>
            <w:pPr>
              <w:widowControl/>
              <w:jc w:val="center"/>
              <w:rPr>
                <w:rFonts w:eastAsia="宋体"/>
                <w:color w:val="000000"/>
                <w:kern w:val="0"/>
                <w:sz w:val="18"/>
                <w:szCs w:val="18"/>
              </w:rPr>
            </w:pPr>
            <w:r>
              <w:rPr>
                <w:rFonts w:eastAsia="宋体"/>
                <w:color w:val="000000"/>
                <w:kern w:val="0"/>
                <w:sz w:val="18"/>
                <w:szCs w:val="18"/>
              </w:rPr>
              <w:t>所属行业</w:t>
            </w:r>
          </w:p>
        </w:tc>
        <w:tc>
          <w:tcPr>
            <w:tcW w:w="3972" w:type="pct"/>
            <w:gridSpan w:val="3"/>
            <w:tcBorders>
              <w:tl2br w:val="nil"/>
              <w:tr2bl w:val="nil"/>
            </w:tcBorders>
            <w:noWrap w:val="0"/>
            <w:vAlign w:val="center"/>
          </w:tcPr>
          <w:p>
            <w:pPr>
              <w:widowControl/>
              <w:rPr>
                <w:rFonts w:eastAsia="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27" w:type="pct"/>
            <w:tcBorders>
              <w:tl2br w:val="nil"/>
              <w:tr2bl w:val="nil"/>
            </w:tcBorders>
            <w:noWrap w:val="0"/>
            <w:vAlign w:val="center"/>
          </w:tcPr>
          <w:p>
            <w:pPr>
              <w:widowControl/>
              <w:jc w:val="center"/>
              <w:rPr>
                <w:rFonts w:eastAsia="宋体"/>
                <w:color w:val="000000"/>
                <w:kern w:val="0"/>
                <w:sz w:val="18"/>
                <w:szCs w:val="18"/>
              </w:rPr>
            </w:pPr>
            <w:r>
              <w:rPr>
                <w:rFonts w:eastAsia="宋体"/>
                <w:color w:val="000000"/>
                <w:kern w:val="0"/>
                <w:sz w:val="18"/>
                <w:szCs w:val="18"/>
              </w:rPr>
              <w:t>申请认定评价的绿色业务相关产品或服务</w:t>
            </w:r>
          </w:p>
        </w:tc>
        <w:tc>
          <w:tcPr>
            <w:tcW w:w="3972" w:type="pct"/>
            <w:gridSpan w:val="3"/>
            <w:tcBorders>
              <w:tl2br w:val="nil"/>
              <w:tr2bl w:val="nil"/>
            </w:tcBorders>
            <w:noWrap w:val="0"/>
            <w:vAlign w:val="center"/>
          </w:tcPr>
          <w:p>
            <w:pPr>
              <w:widowControl/>
              <w:rPr>
                <w:rFonts w:eastAsia="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000" w:type="pct"/>
            <w:gridSpan w:val="4"/>
            <w:tcBorders>
              <w:tl2br w:val="nil"/>
              <w:tr2bl w:val="nil"/>
            </w:tcBorders>
            <w:noWrap w:val="0"/>
            <w:vAlign w:val="center"/>
          </w:tcPr>
          <w:p>
            <w:pPr>
              <w:widowControl/>
              <w:jc w:val="center"/>
              <w:rPr>
                <w:rFonts w:eastAsia="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000000"/>
                <w:kern w:val="0"/>
                <w:sz w:val="18"/>
                <w:szCs w:val="18"/>
                <w:lang w:val="en-US" w:eastAsia="zh-CN"/>
              </w:rPr>
              <w:t>B</w:t>
            </w:r>
            <w:r>
              <w:rPr>
                <w:rFonts w:hint="eastAsia" w:ascii="宋体" w:hAnsi="宋体" w:cs="宋体"/>
                <w:color w:val="000000"/>
                <w:kern w:val="0"/>
                <w:sz w:val="18"/>
                <w:szCs w:val="18"/>
              </w:rPr>
              <w:t>.2 （第2页/共2页）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27" w:type="pct"/>
            <w:tcBorders>
              <w:tl2br w:val="nil"/>
              <w:tr2bl w:val="nil"/>
            </w:tcBorders>
            <w:noWrap w:val="0"/>
            <w:vAlign w:val="center"/>
          </w:tcPr>
          <w:p>
            <w:pPr>
              <w:widowControl/>
              <w:jc w:val="center"/>
              <w:rPr>
                <w:rFonts w:eastAsia="宋体"/>
                <w:color w:val="000000"/>
                <w:kern w:val="0"/>
                <w:sz w:val="18"/>
                <w:szCs w:val="18"/>
              </w:rPr>
            </w:pPr>
            <w:r>
              <w:rPr>
                <w:rFonts w:eastAsia="宋体"/>
                <w:color w:val="000000"/>
                <w:kern w:val="0"/>
                <w:sz w:val="18"/>
                <w:szCs w:val="18"/>
              </w:rPr>
              <w:t>单位性质</w:t>
            </w:r>
          </w:p>
        </w:tc>
        <w:tc>
          <w:tcPr>
            <w:tcW w:w="3972" w:type="pct"/>
            <w:gridSpan w:val="3"/>
            <w:tcBorders>
              <w:tl2br w:val="nil"/>
              <w:tr2bl w:val="nil"/>
            </w:tcBorders>
            <w:noWrap w:val="0"/>
            <w:vAlign w:val="center"/>
          </w:tcPr>
          <w:p>
            <w:pPr>
              <w:widowControl/>
              <w:rPr>
                <w:rFonts w:eastAsia="宋体"/>
                <w:color w:val="000000"/>
                <w:kern w:val="0"/>
                <w:sz w:val="18"/>
                <w:szCs w:val="18"/>
              </w:rPr>
            </w:pPr>
            <w:r>
              <w:rPr>
                <w:rFonts w:eastAsia="宋体"/>
                <w:color w:val="000000"/>
                <w:kern w:val="0"/>
                <w:sz w:val="18"/>
                <w:szCs w:val="18"/>
              </w:rPr>
              <w:t>内资（□国有□集体□民营）□中外合资 □港澳台 □外商独资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27" w:type="pct"/>
            <w:tcBorders>
              <w:tl2br w:val="nil"/>
              <w:tr2bl w:val="nil"/>
            </w:tcBorders>
            <w:noWrap w:val="0"/>
            <w:vAlign w:val="center"/>
          </w:tcPr>
          <w:p>
            <w:pPr>
              <w:widowControl/>
              <w:jc w:val="center"/>
              <w:rPr>
                <w:rFonts w:eastAsia="宋体"/>
                <w:color w:val="000000"/>
                <w:kern w:val="0"/>
                <w:sz w:val="18"/>
                <w:szCs w:val="18"/>
              </w:rPr>
            </w:pPr>
            <w:r>
              <w:rPr>
                <w:rFonts w:eastAsia="宋体"/>
                <w:color w:val="000000"/>
                <w:kern w:val="0"/>
                <w:sz w:val="18"/>
                <w:szCs w:val="18"/>
              </w:rPr>
              <w:t>统一社会</w:t>
            </w:r>
          </w:p>
          <w:p>
            <w:pPr>
              <w:widowControl/>
              <w:jc w:val="center"/>
              <w:rPr>
                <w:rFonts w:eastAsia="宋体"/>
                <w:color w:val="000000"/>
                <w:kern w:val="0"/>
                <w:sz w:val="18"/>
                <w:szCs w:val="18"/>
              </w:rPr>
            </w:pPr>
            <w:r>
              <w:rPr>
                <w:rFonts w:eastAsia="宋体"/>
                <w:color w:val="000000"/>
                <w:kern w:val="0"/>
                <w:sz w:val="18"/>
                <w:szCs w:val="18"/>
              </w:rPr>
              <w:t>信用代码</w:t>
            </w:r>
          </w:p>
        </w:tc>
        <w:tc>
          <w:tcPr>
            <w:tcW w:w="1848" w:type="pct"/>
            <w:tcBorders>
              <w:tl2br w:val="nil"/>
              <w:tr2bl w:val="nil"/>
            </w:tcBorders>
            <w:noWrap w:val="0"/>
            <w:vAlign w:val="center"/>
          </w:tcPr>
          <w:p>
            <w:pPr>
              <w:widowControl/>
              <w:jc w:val="center"/>
              <w:rPr>
                <w:rFonts w:eastAsia="宋体"/>
                <w:color w:val="000000"/>
                <w:kern w:val="0"/>
                <w:sz w:val="18"/>
                <w:szCs w:val="18"/>
              </w:rPr>
            </w:pPr>
          </w:p>
        </w:tc>
        <w:tc>
          <w:tcPr>
            <w:tcW w:w="829" w:type="pct"/>
            <w:tcBorders>
              <w:tl2br w:val="nil"/>
              <w:tr2bl w:val="nil"/>
            </w:tcBorders>
            <w:noWrap w:val="0"/>
            <w:vAlign w:val="center"/>
          </w:tcPr>
          <w:p>
            <w:pPr>
              <w:widowControl/>
              <w:jc w:val="center"/>
              <w:rPr>
                <w:rFonts w:eastAsia="宋体"/>
                <w:color w:val="000000"/>
                <w:kern w:val="0"/>
                <w:sz w:val="18"/>
                <w:szCs w:val="18"/>
              </w:rPr>
            </w:pPr>
            <w:r>
              <w:rPr>
                <w:rFonts w:eastAsia="宋体"/>
                <w:color w:val="000000"/>
                <w:kern w:val="0"/>
                <w:sz w:val="18"/>
                <w:szCs w:val="18"/>
              </w:rPr>
              <w:t>法定代表人</w:t>
            </w:r>
          </w:p>
        </w:tc>
        <w:tc>
          <w:tcPr>
            <w:tcW w:w="1295" w:type="pct"/>
            <w:tcBorders>
              <w:tl2br w:val="nil"/>
              <w:tr2bl w:val="nil"/>
            </w:tcBorders>
            <w:noWrap w:val="0"/>
            <w:vAlign w:val="center"/>
          </w:tcPr>
          <w:p>
            <w:pPr>
              <w:widowControl/>
              <w:jc w:val="center"/>
              <w:rPr>
                <w:rFonts w:eastAsia="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27" w:type="pct"/>
            <w:tcBorders>
              <w:tl2br w:val="nil"/>
              <w:tr2bl w:val="nil"/>
            </w:tcBorders>
            <w:noWrap w:val="0"/>
            <w:vAlign w:val="center"/>
          </w:tcPr>
          <w:p>
            <w:pPr>
              <w:widowControl/>
              <w:jc w:val="center"/>
              <w:rPr>
                <w:rFonts w:eastAsia="宋体"/>
                <w:color w:val="000000"/>
                <w:kern w:val="0"/>
                <w:sz w:val="18"/>
                <w:szCs w:val="18"/>
              </w:rPr>
            </w:pPr>
            <w:r>
              <w:rPr>
                <w:rFonts w:eastAsia="宋体"/>
                <w:color w:val="000000"/>
                <w:kern w:val="0"/>
                <w:sz w:val="18"/>
                <w:szCs w:val="18"/>
              </w:rPr>
              <w:t>成立日期</w:t>
            </w:r>
          </w:p>
        </w:tc>
        <w:tc>
          <w:tcPr>
            <w:tcW w:w="1848" w:type="pct"/>
            <w:tcBorders>
              <w:tl2br w:val="nil"/>
              <w:tr2bl w:val="nil"/>
            </w:tcBorders>
            <w:noWrap w:val="0"/>
            <w:vAlign w:val="center"/>
          </w:tcPr>
          <w:p>
            <w:pPr>
              <w:jc w:val="left"/>
              <w:rPr>
                <w:rFonts w:eastAsia="宋体"/>
                <w:sz w:val="18"/>
                <w:szCs w:val="18"/>
              </w:rPr>
            </w:pPr>
          </w:p>
        </w:tc>
        <w:tc>
          <w:tcPr>
            <w:tcW w:w="829" w:type="pct"/>
            <w:tcBorders>
              <w:tl2br w:val="nil"/>
              <w:tr2bl w:val="nil"/>
            </w:tcBorders>
            <w:noWrap w:val="0"/>
            <w:vAlign w:val="center"/>
          </w:tcPr>
          <w:p>
            <w:pPr>
              <w:widowControl/>
              <w:jc w:val="center"/>
              <w:rPr>
                <w:rFonts w:eastAsia="宋体"/>
                <w:color w:val="000000"/>
                <w:kern w:val="0"/>
                <w:sz w:val="18"/>
                <w:szCs w:val="18"/>
              </w:rPr>
            </w:pPr>
            <w:r>
              <w:rPr>
                <w:rFonts w:eastAsia="宋体"/>
                <w:color w:val="000000"/>
                <w:kern w:val="0"/>
                <w:sz w:val="18"/>
                <w:szCs w:val="18"/>
              </w:rPr>
              <w:t>注册资本</w:t>
            </w:r>
          </w:p>
        </w:tc>
        <w:tc>
          <w:tcPr>
            <w:tcW w:w="1295" w:type="pct"/>
            <w:tcBorders>
              <w:tl2br w:val="nil"/>
              <w:tr2bl w:val="nil"/>
            </w:tcBorders>
            <w:noWrap w:val="0"/>
            <w:vAlign w:val="center"/>
          </w:tcPr>
          <w:p>
            <w:pPr>
              <w:widowControl/>
              <w:rPr>
                <w:rFonts w:eastAsia="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27" w:type="pct"/>
            <w:tcBorders>
              <w:tl2br w:val="nil"/>
              <w:tr2bl w:val="nil"/>
            </w:tcBorders>
            <w:noWrap w:val="0"/>
            <w:vAlign w:val="center"/>
          </w:tcPr>
          <w:p>
            <w:pPr>
              <w:widowControl/>
              <w:jc w:val="center"/>
              <w:rPr>
                <w:rFonts w:eastAsia="宋体"/>
                <w:color w:val="000000"/>
                <w:kern w:val="0"/>
                <w:sz w:val="18"/>
                <w:szCs w:val="18"/>
              </w:rPr>
            </w:pPr>
            <w:r>
              <w:rPr>
                <w:rFonts w:eastAsia="宋体"/>
                <w:color w:val="000000"/>
                <w:kern w:val="0"/>
                <w:sz w:val="18"/>
                <w:szCs w:val="18"/>
              </w:rPr>
              <w:t>联系人</w:t>
            </w:r>
          </w:p>
        </w:tc>
        <w:tc>
          <w:tcPr>
            <w:tcW w:w="1848" w:type="pct"/>
            <w:tcBorders>
              <w:tl2br w:val="nil"/>
              <w:tr2bl w:val="nil"/>
            </w:tcBorders>
            <w:noWrap w:val="0"/>
            <w:vAlign w:val="center"/>
          </w:tcPr>
          <w:p>
            <w:pPr>
              <w:widowControl/>
              <w:jc w:val="left"/>
              <w:rPr>
                <w:rFonts w:eastAsia="宋体"/>
                <w:color w:val="000000"/>
                <w:kern w:val="0"/>
                <w:sz w:val="18"/>
                <w:szCs w:val="18"/>
              </w:rPr>
            </w:pPr>
          </w:p>
        </w:tc>
        <w:tc>
          <w:tcPr>
            <w:tcW w:w="829" w:type="pct"/>
            <w:tcBorders>
              <w:tl2br w:val="nil"/>
              <w:tr2bl w:val="nil"/>
            </w:tcBorders>
            <w:noWrap w:val="0"/>
            <w:vAlign w:val="center"/>
          </w:tcPr>
          <w:p>
            <w:pPr>
              <w:widowControl/>
              <w:jc w:val="center"/>
              <w:rPr>
                <w:rFonts w:eastAsia="宋体"/>
                <w:color w:val="000000"/>
                <w:kern w:val="0"/>
                <w:sz w:val="18"/>
                <w:szCs w:val="18"/>
              </w:rPr>
            </w:pPr>
            <w:r>
              <w:rPr>
                <w:rFonts w:eastAsia="宋体"/>
                <w:color w:val="000000"/>
                <w:kern w:val="0"/>
                <w:sz w:val="18"/>
                <w:szCs w:val="18"/>
              </w:rPr>
              <w:t>联系电话</w:t>
            </w:r>
          </w:p>
        </w:tc>
        <w:tc>
          <w:tcPr>
            <w:tcW w:w="1295" w:type="pct"/>
            <w:tcBorders>
              <w:tl2br w:val="nil"/>
              <w:tr2bl w:val="nil"/>
            </w:tcBorders>
            <w:noWrap w:val="0"/>
            <w:vAlign w:val="center"/>
          </w:tcPr>
          <w:p>
            <w:pPr>
              <w:widowControl/>
              <w:rPr>
                <w:rFonts w:eastAsia="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027" w:type="pct"/>
            <w:tcBorders>
              <w:tl2br w:val="nil"/>
              <w:tr2bl w:val="nil"/>
            </w:tcBorders>
            <w:noWrap w:val="0"/>
            <w:vAlign w:val="center"/>
          </w:tcPr>
          <w:p>
            <w:pPr>
              <w:widowControl/>
              <w:jc w:val="center"/>
              <w:rPr>
                <w:rFonts w:eastAsia="宋体"/>
                <w:color w:val="000000"/>
                <w:kern w:val="0"/>
                <w:sz w:val="18"/>
                <w:szCs w:val="18"/>
              </w:rPr>
            </w:pPr>
            <w:r>
              <w:rPr>
                <w:rFonts w:eastAsia="宋体"/>
                <w:color w:val="000000"/>
                <w:kern w:val="0"/>
                <w:sz w:val="18"/>
                <w:szCs w:val="18"/>
              </w:rPr>
              <w:t>单位简介</w:t>
            </w:r>
          </w:p>
        </w:tc>
        <w:tc>
          <w:tcPr>
            <w:tcW w:w="3972" w:type="pct"/>
            <w:gridSpan w:val="3"/>
            <w:tcBorders>
              <w:tl2br w:val="nil"/>
              <w:tr2bl w:val="nil"/>
            </w:tcBorders>
            <w:noWrap w:val="0"/>
            <w:vAlign w:val="center"/>
          </w:tcPr>
          <w:p>
            <w:pPr>
              <w:widowControl/>
              <w:rPr>
                <w:rFonts w:eastAsia="宋体"/>
                <w:color w:val="000000"/>
                <w:kern w:val="0"/>
                <w:sz w:val="18"/>
                <w:szCs w:val="18"/>
              </w:rPr>
            </w:pPr>
            <w:r>
              <w:rPr>
                <w:rFonts w:eastAsia="宋体"/>
                <w:color w:val="000000"/>
                <w:kern w:val="0"/>
                <w:sz w:val="18"/>
                <w:szCs w:val="18"/>
              </w:rPr>
              <w:t>（经营范围、绿色业务生产或服务情况介绍）</w:t>
            </w:r>
          </w:p>
          <w:p>
            <w:pPr>
              <w:widowControl/>
              <w:rPr>
                <w:rFonts w:eastAsia="宋体"/>
                <w:color w:val="000000"/>
                <w:kern w:val="0"/>
                <w:sz w:val="18"/>
                <w:szCs w:val="18"/>
              </w:rPr>
            </w:pPr>
          </w:p>
          <w:p>
            <w:pPr>
              <w:widowControl/>
              <w:rPr>
                <w:rFonts w:eastAsia="宋体"/>
                <w:color w:val="000000"/>
                <w:kern w:val="0"/>
                <w:sz w:val="18"/>
                <w:szCs w:val="18"/>
              </w:rPr>
            </w:pPr>
          </w:p>
          <w:p>
            <w:pPr>
              <w:pStyle w:val="2"/>
            </w:pPr>
          </w:p>
          <w:p>
            <w:pPr>
              <w:widowControl/>
              <w:rPr>
                <w:rFonts w:eastAsia="宋体"/>
                <w:color w:val="000000"/>
                <w:kern w:val="0"/>
                <w:sz w:val="18"/>
                <w:szCs w:val="18"/>
              </w:rPr>
            </w:pPr>
          </w:p>
          <w:p>
            <w:pPr>
              <w:widowControl/>
              <w:rPr>
                <w:rFonts w:eastAsia="宋体"/>
                <w:color w:val="000000"/>
                <w:kern w:val="0"/>
                <w:sz w:val="18"/>
                <w:szCs w:val="18"/>
              </w:rPr>
            </w:pPr>
          </w:p>
          <w:p>
            <w:pPr>
              <w:widowControl/>
              <w:rPr>
                <w:rFonts w:eastAsia="宋体"/>
                <w:color w:val="000000"/>
                <w:kern w:val="0"/>
                <w:sz w:val="18"/>
                <w:szCs w:val="18"/>
              </w:rPr>
            </w:pPr>
          </w:p>
          <w:p>
            <w:pPr>
              <w:pStyle w:val="2"/>
            </w:pPr>
          </w:p>
          <w:p>
            <w:pPr>
              <w:pStyle w:val="2"/>
            </w:pPr>
          </w:p>
          <w:p>
            <w:pPr>
              <w:widowControl/>
              <w:rPr>
                <w:rFonts w:eastAsia="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5000" w:type="pct"/>
            <w:gridSpan w:val="4"/>
            <w:tcBorders>
              <w:tl2br w:val="nil"/>
              <w:tr2bl w:val="nil"/>
            </w:tcBorders>
            <w:noWrap w:val="0"/>
            <w:vAlign w:val="center"/>
          </w:tcPr>
          <w:p>
            <w:pPr>
              <w:widowControl/>
              <w:rPr>
                <w:rFonts w:eastAsia="宋体"/>
                <w:b/>
                <w:kern w:val="0"/>
                <w:sz w:val="18"/>
                <w:szCs w:val="18"/>
              </w:rPr>
            </w:pPr>
            <w:r>
              <w:rPr>
                <w:rFonts w:eastAsia="宋体"/>
                <w:b/>
                <w:kern w:val="0"/>
                <w:sz w:val="18"/>
                <w:szCs w:val="18"/>
              </w:rPr>
              <w:t>材料真实性承诺:</w:t>
            </w:r>
          </w:p>
          <w:p>
            <w:pPr>
              <w:widowControl/>
              <w:ind w:firstLine="372" w:firstLineChars="207"/>
              <w:rPr>
                <w:rFonts w:eastAsia="宋体"/>
                <w:kern w:val="0"/>
                <w:sz w:val="18"/>
                <w:szCs w:val="18"/>
              </w:rPr>
            </w:pPr>
          </w:p>
          <w:p>
            <w:pPr>
              <w:pStyle w:val="2"/>
            </w:pPr>
          </w:p>
          <w:p>
            <w:pPr>
              <w:widowControl/>
              <w:ind w:firstLine="372" w:firstLineChars="207"/>
              <w:rPr>
                <w:rFonts w:eastAsia="宋体"/>
                <w:kern w:val="0"/>
                <w:sz w:val="18"/>
                <w:szCs w:val="18"/>
              </w:rPr>
            </w:pPr>
            <w:r>
              <w:rPr>
                <w:rFonts w:eastAsia="宋体"/>
                <w:kern w:val="0"/>
                <w:sz w:val="18"/>
                <w:szCs w:val="18"/>
              </w:rPr>
              <w:t>我单位郑重承诺：本次申报绿色</w:t>
            </w:r>
            <w:r>
              <w:rPr>
                <w:rFonts w:hint="eastAsia" w:eastAsia="宋体"/>
                <w:kern w:val="0"/>
                <w:sz w:val="18"/>
                <w:szCs w:val="18"/>
                <w:lang w:val="en-US" w:eastAsia="zh-CN"/>
              </w:rPr>
              <w:t>低碳</w:t>
            </w:r>
            <w:r>
              <w:rPr>
                <w:rFonts w:eastAsia="宋体"/>
                <w:kern w:val="0"/>
                <w:sz w:val="18"/>
                <w:szCs w:val="18"/>
              </w:rPr>
              <w:t>产业</w:t>
            </w:r>
            <w:r>
              <w:rPr>
                <w:rFonts w:hint="eastAsia" w:eastAsia="宋体"/>
                <w:kern w:val="0"/>
                <w:sz w:val="18"/>
                <w:szCs w:val="18"/>
                <w:lang w:val="en-US" w:eastAsia="zh-CN"/>
              </w:rPr>
              <w:t>企业</w:t>
            </w:r>
            <w:r>
              <w:rPr>
                <w:rFonts w:eastAsia="宋体"/>
                <w:kern w:val="0"/>
                <w:sz w:val="18"/>
                <w:szCs w:val="18"/>
              </w:rPr>
              <w:t>认定所提交的相关数据和信息均真实、有效，愿接受并积极配合主管部门的跟踪抽查。如有违反，愿承担由此产生的相应责任。</w:t>
            </w:r>
          </w:p>
          <w:p>
            <w:pPr>
              <w:widowControl/>
              <w:ind w:firstLine="372" w:firstLineChars="207"/>
              <w:rPr>
                <w:rFonts w:eastAsia="宋体"/>
                <w:kern w:val="0"/>
                <w:sz w:val="18"/>
                <w:szCs w:val="18"/>
              </w:rPr>
            </w:pPr>
          </w:p>
          <w:p>
            <w:pPr>
              <w:pStyle w:val="2"/>
              <w:rPr>
                <w:rFonts w:eastAsia="宋体"/>
                <w:sz w:val="18"/>
                <w:szCs w:val="18"/>
              </w:rPr>
            </w:pPr>
          </w:p>
          <w:p>
            <w:pPr>
              <w:pStyle w:val="2"/>
            </w:pPr>
          </w:p>
          <w:p>
            <w:pPr>
              <w:widowControl/>
              <w:wordWrap w:val="0"/>
              <w:jc w:val="center"/>
              <w:rPr>
                <w:rFonts w:eastAsia="宋体"/>
                <w:b/>
                <w:kern w:val="0"/>
                <w:sz w:val="18"/>
                <w:szCs w:val="18"/>
              </w:rPr>
            </w:pPr>
            <w:r>
              <w:rPr>
                <w:rFonts w:eastAsia="宋体"/>
                <w:b/>
                <w:kern w:val="0"/>
                <w:sz w:val="18"/>
                <w:szCs w:val="18"/>
              </w:rPr>
              <w:t xml:space="preserve">                           法人或单位负责人签字：          </w:t>
            </w:r>
          </w:p>
          <w:p>
            <w:pPr>
              <w:widowControl/>
              <w:rPr>
                <w:rFonts w:eastAsia="宋体"/>
                <w:b/>
                <w:kern w:val="0"/>
                <w:sz w:val="18"/>
                <w:szCs w:val="18"/>
              </w:rPr>
            </w:pPr>
            <w:r>
              <w:rPr>
                <w:rFonts w:eastAsia="宋体"/>
                <w:b/>
                <w:kern w:val="0"/>
                <w:sz w:val="18"/>
                <w:szCs w:val="18"/>
              </w:rPr>
              <w:t xml:space="preserve">                                            （公章）</w:t>
            </w:r>
          </w:p>
          <w:p>
            <w:pPr>
              <w:widowControl/>
              <w:wordWrap w:val="0"/>
              <w:jc w:val="center"/>
              <w:rPr>
                <w:rFonts w:eastAsia="宋体"/>
                <w:b/>
                <w:kern w:val="0"/>
                <w:sz w:val="18"/>
                <w:szCs w:val="18"/>
              </w:rPr>
            </w:pPr>
            <w:r>
              <w:rPr>
                <w:rFonts w:eastAsia="宋体"/>
                <w:b/>
                <w:kern w:val="0"/>
                <w:sz w:val="18"/>
                <w:szCs w:val="18"/>
              </w:rPr>
              <w:t xml:space="preserve">                                            日期：           </w:t>
            </w:r>
          </w:p>
        </w:tc>
      </w:tr>
    </w:tbl>
    <w:p>
      <w:pPr>
        <w:pStyle w:val="95"/>
        <w:numPr>
          <w:ilvl w:val="1"/>
          <w:numId w:val="0"/>
        </w:numPr>
        <w:spacing w:before="156" w:after="156"/>
        <w:jc w:val="both"/>
        <w:rPr>
          <w:rFonts w:hAnsi="黑体" w:cs="黑体"/>
          <w:highlight w:val="none"/>
        </w:rPr>
      </w:pPr>
      <w:r>
        <w:rPr>
          <w:rFonts w:hint="eastAsia" w:hAnsi="黑体" w:cs="黑体"/>
          <w:highlight w:val="none"/>
        </w:rPr>
        <w:t>B.</w:t>
      </w:r>
      <w:r>
        <w:rPr>
          <w:rFonts w:hint="eastAsia" w:hAnsi="黑体" w:cs="黑体"/>
          <w:highlight w:val="none"/>
          <w:lang w:val="en-US" w:eastAsia="zh-CN"/>
        </w:rPr>
        <w:t>3</w:t>
      </w:r>
      <w:r>
        <w:rPr>
          <w:rFonts w:hint="eastAsia" w:hAnsi="黑体" w:cs="黑体"/>
          <w:highlight w:val="none"/>
        </w:rPr>
        <w:t xml:space="preserve"> 评价工作概述</w:t>
      </w:r>
    </w:p>
    <w:p>
      <w:pPr>
        <w:pStyle w:val="24"/>
        <w:rPr>
          <w:rFonts w:hint="eastAsia" w:hAnsi="黑体" w:cs="黑体"/>
          <w:highlight w:val="none"/>
        </w:rPr>
      </w:pPr>
      <w:r>
        <w:rPr>
          <w:rFonts w:ascii="Times New Roman"/>
          <w:highlight w:val="none"/>
        </w:rPr>
        <w:t>概述</w:t>
      </w:r>
      <w:r>
        <w:rPr>
          <w:rFonts w:hint="eastAsia" w:ascii="Times New Roman"/>
          <w:highlight w:val="none"/>
        </w:rPr>
        <w:t>新能源汽车产品行业</w:t>
      </w:r>
      <w:r>
        <w:rPr>
          <w:rFonts w:ascii="Times New Roman"/>
          <w:highlight w:val="none"/>
        </w:rPr>
        <w:t>绿色</w:t>
      </w:r>
      <w:r>
        <w:rPr>
          <w:rFonts w:hint="eastAsia" w:ascii="Times New Roman"/>
          <w:highlight w:val="none"/>
          <w:lang w:val="en-US" w:eastAsia="zh-CN"/>
        </w:rPr>
        <w:t>低碳</w:t>
      </w:r>
      <w:r>
        <w:rPr>
          <w:rFonts w:ascii="Times New Roman"/>
          <w:highlight w:val="none"/>
        </w:rPr>
        <w:t>产业</w:t>
      </w:r>
      <w:r>
        <w:rPr>
          <w:rFonts w:hint="eastAsia" w:ascii="Times New Roman"/>
          <w:highlight w:val="none"/>
          <w:lang w:val="en-US" w:eastAsia="zh-CN"/>
        </w:rPr>
        <w:t>企业</w:t>
      </w:r>
      <w:r>
        <w:rPr>
          <w:rFonts w:ascii="Times New Roman"/>
          <w:highlight w:val="none"/>
        </w:rPr>
        <w:t>认定评价工作具体开展情况，包括但不限于工作组设立情况、工作组成员专业背景、评价方式、查看资料类型等等。</w:t>
      </w:r>
    </w:p>
    <w:p>
      <w:pPr>
        <w:pStyle w:val="95"/>
        <w:numPr>
          <w:ilvl w:val="1"/>
          <w:numId w:val="0"/>
        </w:numPr>
        <w:spacing w:before="156" w:after="156"/>
        <w:jc w:val="both"/>
        <w:rPr>
          <w:rFonts w:hAnsi="黑体" w:cs="黑体"/>
          <w:highlight w:val="none"/>
        </w:rPr>
      </w:pPr>
      <w:r>
        <w:rPr>
          <w:rFonts w:hint="eastAsia" w:ascii="黑体" w:hAnsi="黑体" w:eastAsia="黑体" w:cs="黑体"/>
          <w:highlight w:val="none"/>
        </w:rPr>
        <w:t>B</w:t>
      </w:r>
      <w:r>
        <w:rPr>
          <w:rFonts w:hint="eastAsia" w:hAnsi="黑体" w:cs="黑体"/>
          <w:highlight w:val="none"/>
        </w:rPr>
        <w:t>.</w:t>
      </w:r>
      <w:r>
        <w:rPr>
          <w:rFonts w:hint="eastAsia" w:hAnsi="黑体" w:cs="黑体"/>
          <w:highlight w:val="none"/>
          <w:lang w:val="en-US" w:eastAsia="zh-CN"/>
        </w:rPr>
        <w:t>4</w:t>
      </w:r>
      <w:r>
        <w:rPr>
          <w:rFonts w:hint="eastAsia" w:ascii="黑体" w:hAnsi="黑体" w:eastAsia="黑体" w:cs="黑体"/>
          <w:highlight w:val="none"/>
        </w:rPr>
        <w:t xml:space="preserve"> </w:t>
      </w:r>
      <w:r>
        <w:rPr>
          <w:rFonts w:hint="eastAsia" w:hAnsi="黑体" w:cs="黑体"/>
          <w:highlight w:val="none"/>
        </w:rPr>
        <w:t>基本情况概述</w:t>
      </w:r>
    </w:p>
    <w:p>
      <w:pPr>
        <w:pStyle w:val="24"/>
        <w:rPr>
          <w:rFonts w:ascii="Times New Roman" w:eastAsia="Times New Roman"/>
          <w:szCs w:val="24"/>
          <w:highlight w:val="none"/>
        </w:rPr>
      </w:pPr>
      <w:r>
        <w:rPr>
          <w:rFonts w:ascii="Times New Roman"/>
        </w:rPr>
        <w:t>概述基本信息、发展现状、工艺产品、生产经营状况以及在绿色发展方面开展的重点工作及取得的成绩等。</w:t>
      </w:r>
    </w:p>
    <w:p>
      <w:pPr>
        <w:pStyle w:val="95"/>
        <w:numPr>
          <w:ilvl w:val="1"/>
          <w:numId w:val="0"/>
        </w:numPr>
        <w:spacing w:before="156" w:after="156"/>
        <w:jc w:val="both"/>
        <w:rPr>
          <w:rFonts w:hAnsi="黑体" w:cs="黑体"/>
          <w:highlight w:val="none"/>
        </w:rPr>
      </w:pPr>
      <w:r>
        <w:rPr>
          <w:rFonts w:hint="eastAsia" w:hAnsi="黑体" w:cs="黑体"/>
          <w:highlight w:val="none"/>
        </w:rPr>
        <w:t>B.</w:t>
      </w:r>
      <w:r>
        <w:rPr>
          <w:rFonts w:hint="eastAsia" w:hAnsi="黑体" w:cs="黑体"/>
          <w:highlight w:val="none"/>
          <w:lang w:val="en-US" w:eastAsia="zh-CN"/>
        </w:rPr>
        <w:t>5</w:t>
      </w:r>
      <w:r>
        <w:rPr>
          <w:rFonts w:hint="eastAsia" w:hAnsi="黑体" w:cs="黑体"/>
          <w:highlight w:val="none"/>
        </w:rPr>
        <w:t>绿色低碳产业</w:t>
      </w:r>
      <w:r>
        <w:rPr>
          <w:rFonts w:hint="eastAsia" w:hAnsi="黑体" w:cs="黑体"/>
          <w:lang w:val="en-US" w:eastAsia="zh-CN"/>
        </w:rPr>
        <w:t>企业</w:t>
      </w:r>
      <w:r>
        <w:rPr>
          <w:rFonts w:hint="eastAsia" w:hAnsi="黑体" w:cs="黑体"/>
          <w:highlight w:val="none"/>
        </w:rPr>
        <w:t>认定情况</w:t>
      </w:r>
    </w:p>
    <w:p>
      <w:pPr>
        <w:pStyle w:val="95"/>
        <w:numPr>
          <w:ilvl w:val="1"/>
          <w:numId w:val="0"/>
        </w:numPr>
        <w:spacing w:before="156" w:after="156"/>
        <w:jc w:val="both"/>
        <w:rPr>
          <w:rFonts w:ascii="Times New Roman" w:eastAsia="Times New Roman"/>
          <w:highlight w:val="none"/>
        </w:rPr>
      </w:pPr>
      <w:r>
        <w:rPr>
          <w:rFonts w:hint="eastAsia" w:hAnsi="黑体" w:cs="黑体"/>
          <w:highlight w:val="none"/>
        </w:rPr>
        <w:t>B.</w:t>
      </w:r>
      <w:r>
        <w:rPr>
          <w:rFonts w:hint="eastAsia" w:hAnsi="黑体" w:cs="黑体"/>
          <w:highlight w:val="none"/>
          <w:lang w:val="en-US" w:eastAsia="zh-CN"/>
        </w:rPr>
        <w:t>5</w:t>
      </w:r>
      <w:r>
        <w:rPr>
          <w:rFonts w:hint="eastAsia" w:hAnsi="黑体" w:cs="黑体"/>
          <w:highlight w:val="none"/>
        </w:rPr>
        <w:t>.1 基本要求</w:t>
      </w:r>
    </w:p>
    <w:p>
      <w:pPr>
        <w:pStyle w:val="24"/>
        <w:rPr>
          <w:rFonts w:hAnsi="宋体" w:cs="宋体"/>
        </w:rPr>
      </w:pPr>
      <w:r>
        <w:rPr>
          <w:rFonts w:hint="eastAsia" w:hAnsi="宋体" w:cs="宋体"/>
        </w:rPr>
        <w:t>依据本文件及相关行业绿色</w:t>
      </w:r>
      <w:r>
        <w:rPr>
          <w:rFonts w:hint="eastAsia" w:hAnsi="宋体" w:cs="宋体"/>
          <w:lang w:val="en-US" w:eastAsia="zh-CN"/>
        </w:rPr>
        <w:t>低碳</w:t>
      </w:r>
      <w:r>
        <w:rPr>
          <w:rFonts w:hint="eastAsia" w:hAnsi="宋体" w:cs="宋体"/>
        </w:rPr>
        <w:t>产业认定技术规范对基本要求符合情况进行具体描述，包括但不限于：</w:t>
      </w:r>
    </w:p>
    <w:p>
      <w:pPr>
        <w:pStyle w:val="24"/>
        <w:rPr>
          <w:rFonts w:hAnsi="宋体" w:cs="宋体"/>
        </w:rPr>
      </w:pPr>
      <w:r>
        <w:rPr>
          <w:rFonts w:hint="eastAsia" w:hAnsi="宋体" w:cs="宋体"/>
        </w:rPr>
        <w:t>——经营范围；</w:t>
      </w:r>
    </w:p>
    <w:p>
      <w:pPr>
        <w:pStyle w:val="24"/>
        <w:rPr>
          <w:rFonts w:hAnsi="宋体" w:cs="宋体"/>
        </w:rPr>
      </w:pPr>
      <w:r>
        <w:rPr>
          <w:rFonts w:hint="eastAsia" w:hAnsi="宋体" w:cs="宋体"/>
        </w:rPr>
        <w:t>——使用工艺和设备的先进性；</w:t>
      </w:r>
    </w:p>
    <w:p>
      <w:pPr>
        <w:pStyle w:val="24"/>
        <w:rPr>
          <w:rFonts w:hAnsi="宋体" w:cs="宋体"/>
        </w:rPr>
      </w:pPr>
      <w:r>
        <w:rPr>
          <w:rFonts w:hint="eastAsia" w:hAnsi="宋体" w:cs="宋体"/>
        </w:rPr>
        <w:t>——安全生产情况；</w:t>
      </w:r>
    </w:p>
    <w:p>
      <w:pPr>
        <w:pStyle w:val="24"/>
        <w:rPr>
          <w:rFonts w:hAnsi="宋体" w:cs="宋体"/>
        </w:rPr>
      </w:pPr>
      <w:r>
        <w:rPr>
          <w:rFonts w:hint="eastAsia" w:hAnsi="宋体" w:cs="宋体"/>
        </w:rPr>
        <w:t>——是否属于环境信用评价红牌名单。</w:t>
      </w:r>
    </w:p>
    <w:p>
      <w:pPr>
        <w:pStyle w:val="95"/>
        <w:numPr>
          <w:ilvl w:val="1"/>
          <w:numId w:val="0"/>
        </w:numPr>
        <w:spacing w:before="156" w:after="156"/>
        <w:jc w:val="both"/>
        <w:rPr>
          <w:rFonts w:hAnsi="黑体" w:cs="黑体"/>
          <w:highlight w:val="none"/>
        </w:rPr>
      </w:pPr>
      <w:r>
        <w:rPr>
          <w:rFonts w:hint="eastAsia" w:hAnsi="黑体" w:cs="黑体"/>
          <w:highlight w:val="none"/>
        </w:rPr>
        <w:t>B.</w:t>
      </w:r>
      <w:r>
        <w:rPr>
          <w:rFonts w:hint="eastAsia" w:hAnsi="黑体" w:cs="黑体"/>
          <w:highlight w:val="none"/>
          <w:lang w:val="en-US" w:eastAsia="zh-CN"/>
        </w:rPr>
        <w:t>5</w:t>
      </w:r>
      <w:r>
        <w:rPr>
          <w:rFonts w:hint="eastAsia" w:hAnsi="黑体" w:cs="黑体"/>
          <w:highlight w:val="none"/>
        </w:rPr>
        <w:t>.2 符合性评价</w:t>
      </w:r>
    </w:p>
    <w:p>
      <w:pPr>
        <w:pStyle w:val="24"/>
        <w:rPr>
          <w:rFonts w:hAnsi="宋体" w:cs="宋体"/>
          <w:highlight w:val="none"/>
        </w:rPr>
      </w:pPr>
      <w:r>
        <w:rPr>
          <w:rFonts w:hint="eastAsia" w:hAnsi="宋体" w:cs="宋体"/>
          <w:highlight w:val="none"/>
        </w:rPr>
        <w:t>依据本文件及相关行业绿色</w:t>
      </w:r>
      <w:r>
        <w:rPr>
          <w:rFonts w:hint="eastAsia" w:hAnsi="宋体" w:cs="宋体"/>
          <w:highlight w:val="none"/>
          <w:lang w:val="en-US" w:eastAsia="zh-CN"/>
        </w:rPr>
        <w:t>低碳</w:t>
      </w:r>
      <w:r>
        <w:rPr>
          <w:rFonts w:hint="eastAsia" w:hAnsi="宋体" w:cs="宋体"/>
          <w:highlight w:val="none"/>
        </w:rPr>
        <w:t>产业认定技术规范对目录符合和技术符合进行具体描述。</w:t>
      </w:r>
    </w:p>
    <w:p>
      <w:pPr>
        <w:pStyle w:val="24"/>
        <w:ind w:left="420" w:leftChars="200" w:firstLine="0" w:firstLineChars="0"/>
        <w:rPr>
          <w:rFonts w:hint="eastAsia" w:ascii="Times New Roman" w:eastAsia="宋体"/>
          <w:szCs w:val="24"/>
          <w:highlight w:val="none"/>
          <w:lang w:eastAsia="zh-CN"/>
        </w:rPr>
      </w:pPr>
      <w:r>
        <w:rPr>
          <w:rFonts w:hint="eastAsia" w:hAnsi="宋体" w:cs="宋体"/>
          <w:highlight w:val="none"/>
        </w:rPr>
        <w:t>——目录符合：</w:t>
      </w:r>
      <w:r>
        <w:rPr>
          <w:rFonts w:hint="eastAsia" w:ascii="Times New Roman"/>
          <w:szCs w:val="24"/>
          <w:highlight w:val="none"/>
        </w:rPr>
        <w:t>主要描述经营范围，明确申报认定评价的主营业务属于新能源汽车整车制造、动力电池系统及核心零部件制造、新能源汽车电机/发动机制造、新能源汽车控制系统制造、新能源汽车电附件制造等新能源汽车产品制造产业领域</w:t>
      </w:r>
      <w:r>
        <w:rPr>
          <w:rFonts w:hint="eastAsia" w:ascii="Times New Roman"/>
          <w:szCs w:val="24"/>
          <w:highlight w:val="none"/>
          <w:lang w:eastAsia="zh-CN"/>
        </w:rPr>
        <w:t>，</w:t>
      </w:r>
      <w:r>
        <w:rPr>
          <w:rFonts w:hint="eastAsia" w:ascii="Times New Roman" w:hAnsi="Times New Roman" w:cs="Times New Roman"/>
          <w:szCs w:val="24"/>
          <w:highlight w:val="none"/>
        </w:rPr>
        <w:t>确认其绿色业务占比达到50%或以上，或跨界规模达到1亿元、在国内外新兴领域超前领先</w:t>
      </w:r>
      <w:r>
        <w:rPr>
          <w:rFonts w:hint="eastAsia" w:ascii="Times New Roman" w:cs="Times New Roman"/>
          <w:szCs w:val="24"/>
          <w:highlight w:val="none"/>
          <w:lang w:eastAsia="zh-CN"/>
        </w:rPr>
        <w:t>。</w:t>
      </w:r>
    </w:p>
    <w:p>
      <w:pPr>
        <w:pStyle w:val="24"/>
        <w:ind w:left="420" w:leftChars="200" w:firstLine="0" w:firstLineChars="0"/>
        <w:rPr>
          <w:rFonts w:ascii="Times New Roman" w:eastAsia="Times New Roman"/>
          <w:szCs w:val="24"/>
          <w:highlight w:val="none"/>
        </w:rPr>
      </w:pPr>
      <w:r>
        <w:rPr>
          <w:rFonts w:hint="eastAsia" w:hAnsi="宋体" w:cs="宋体"/>
          <w:highlight w:val="none"/>
        </w:rPr>
        <w:t>——技术符合：</w:t>
      </w:r>
      <w:r>
        <w:rPr>
          <w:rFonts w:hint="eastAsia" w:ascii="Times New Roman"/>
          <w:szCs w:val="24"/>
          <w:highlight w:val="none"/>
        </w:rPr>
        <w:t>提供的产品或服务应符合国家、广东省及深圳市相关主管部门发布文件列明的有关设计、能效、性能、安全、贮存、回收、标识、验收、管理、运维等技术要求。</w:t>
      </w:r>
    </w:p>
    <w:p>
      <w:pPr>
        <w:pStyle w:val="95"/>
        <w:numPr>
          <w:ilvl w:val="1"/>
          <w:numId w:val="0"/>
        </w:numPr>
        <w:spacing w:before="156" w:after="156"/>
        <w:jc w:val="both"/>
        <w:rPr>
          <w:rFonts w:hAnsi="黑体" w:cs="黑体"/>
          <w:highlight w:val="none"/>
        </w:rPr>
      </w:pPr>
      <w:r>
        <w:rPr>
          <w:rFonts w:hint="eastAsia" w:hAnsi="黑体" w:cs="黑体"/>
          <w:highlight w:val="none"/>
        </w:rPr>
        <w:t>B.</w:t>
      </w:r>
      <w:r>
        <w:rPr>
          <w:rFonts w:hint="eastAsia" w:hAnsi="黑体" w:cs="黑体"/>
          <w:highlight w:val="none"/>
          <w:lang w:val="en-US" w:eastAsia="zh-CN"/>
        </w:rPr>
        <w:t>5</w:t>
      </w:r>
      <w:r>
        <w:rPr>
          <w:rFonts w:hint="eastAsia" w:hAnsi="黑体" w:cs="黑体"/>
          <w:highlight w:val="none"/>
        </w:rPr>
        <w:t>.3 综合评价</w:t>
      </w:r>
    </w:p>
    <w:p>
      <w:pPr>
        <w:pStyle w:val="95"/>
        <w:numPr>
          <w:ilvl w:val="1"/>
          <w:numId w:val="0"/>
        </w:numPr>
        <w:spacing w:before="156" w:after="156"/>
        <w:jc w:val="both"/>
        <w:rPr>
          <w:rFonts w:ascii="Times New Roman" w:eastAsia="Times New Roman"/>
          <w:highlight w:val="none"/>
        </w:rPr>
      </w:pPr>
      <w:r>
        <w:rPr>
          <w:rFonts w:hint="eastAsia" w:hAnsi="黑体" w:cs="黑体"/>
          <w:highlight w:val="none"/>
        </w:rPr>
        <w:t>B.</w:t>
      </w:r>
      <w:r>
        <w:rPr>
          <w:rFonts w:hint="eastAsia" w:hAnsi="黑体" w:cs="黑体"/>
          <w:highlight w:val="none"/>
          <w:lang w:val="en-US" w:eastAsia="zh-CN"/>
        </w:rPr>
        <w:t>5</w:t>
      </w:r>
      <w:r>
        <w:rPr>
          <w:rFonts w:hint="eastAsia" w:hAnsi="黑体" w:cs="黑体"/>
          <w:highlight w:val="none"/>
        </w:rPr>
        <w:t>.3.1 技术表现</w:t>
      </w:r>
    </w:p>
    <w:p>
      <w:pPr>
        <w:pStyle w:val="24"/>
        <w:rPr>
          <w:rFonts w:hAnsi="宋体" w:cs="宋体"/>
          <w:highlight w:val="none"/>
        </w:rPr>
      </w:pPr>
      <w:r>
        <w:rPr>
          <w:rFonts w:hint="eastAsia" w:hAnsi="宋体" w:cs="宋体"/>
          <w:highlight w:val="none"/>
        </w:rPr>
        <w:t>依据本文件及相关行业绿色</w:t>
      </w:r>
      <w:r>
        <w:rPr>
          <w:rFonts w:hint="eastAsia" w:hAnsi="宋体" w:cs="宋体"/>
          <w:highlight w:val="none"/>
          <w:lang w:val="en-US" w:eastAsia="zh-CN"/>
        </w:rPr>
        <w:t>低碳</w:t>
      </w:r>
      <w:r>
        <w:rPr>
          <w:rFonts w:hint="eastAsia" w:hAnsi="宋体" w:cs="宋体"/>
          <w:highlight w:val="none"/>
        </w:rPr>
        <w:t>产业认定技术规范对先进性和环境效益进行具体描述。</w:t>
      </w:r>
    </w:p>
    <w:p>
      <w:pPr>
        <w:pStyle w:val="24"/>
        <w:ind w:left="840" w:leftChars="200" w:hanging="420" w:hangingChars="200"/>
        <w:rPr>
          <w:rFonts w:hAnsi="宋体" w:cs="宋体"/>
        </w:rPr>
      </w:pPr>
      <w:r>
        <w:rPr>
          <w:rFonts w:hint="eastAsia" w:hAnsi="宋体" w:cs="宋体"/>
        </w:rPr>
        <w:t>——先进性：主要描述绿色业务领域的有效知识产权、参与制修订标准情况，以及关键技术先进性情况。</w:t>
      </w:r>
    </w:p>
    <w:p>
      <w:pPr>
        <w:pStyle w:val="24"/>
        <w:ind w:left="840" w:leftChars="200" w:hanging="420" w:hangingChars="200"/>
        <w:rPr>
          <w:rFonts w:ascii="Times New Roman" w:eastAsia="Times New Roman"/>
          <w:szCs w:val="24"/>
          <w:highlight w:val="none"/>
        </w:rPr>
      </w:pPr>
      <w:r>
        <w:rPr>
          <w:rFonts w:hint="eastAsia" w:hAnsi="宋体" w:cs="宋体"/>
        </w:rPr>
        <w:t>——环境效益：主要描述在</w:t>
      </w:r>
      <w:r>
        <w:rPr>
          <w:rFonts w:ascii="Times New Roman"/>
        </w:rPr>
        <w:t>资源节约、环境友好、生态良好</w:t>
      </w:r>
      <w:r>
        <w:rPr>
          <w:rFonts w:hint="eastAsia" w:hAnsi="宋体" w:cs="宋体"/>
        </w:rPr>
        <w:t>等领域实际产生的环境效益贡献量以及影响的范围广度。从降碳效益</w:t>
      </w:r>
      <w:r>
        <w:rPr>
          <w:rFonts w:hint="eastAsia" w:hAnsi="宋体" w:cs="宋体"/>
          <w:lang w:val="en-US" w:eastAsia="zh-CN"/>
        </w:rPr>
        <w:t>和</w:t>
      </w:r>
      <w:r>
        <w:rPr>
          <w:rFonts w:hint="eastAsia" w:hAnsi="宋体" w:cs="宋体"/>
        </w:rPr>
        <w:t>资源综合利用效益进行评估，各产业结合实际情况选取适宜环境效益指标进行量化评估。</w:t>
      </w:r>
    </w:p>
    <w:p>
      <w:pPr>
        <w:pStyle w:val="95"/>
        <w:numPr>
          <w:ilvl w:val="1"/>
          <w:numId w:val="0"/>
        </w:numPr>
        <w:spacing w:before="156" w:after="156"/>
        <w:jc w:val="both"/>
        <w:rPr>
          <w:rFonts w:hAnsi="黑体" w:cs="黑体"/>
          <w:highlight w:val="none"/>
        </w:rPr>
      </w:pPr>
      <w:r>
        <w:rPr>
          <w:rFonts w:hint="eastAsia" w:hAnsi="黑体" w:cs="黑体"/>
          <w:highlight w:val="none"/>
        </w:rPr>
        <w:t>B.</w:t>
      </w:r>
      <w:r>
        <w:rPr>
          <w:rFonts w:hint="eastAsia" w:hAnsi="黑体" w:cs="黑体"/>
          <w:highlight w:val="none"/>
          <w:lang w:val="en-US" w:eastAsia="zh-CN"/>
        </w:rPr>
        <w:t>5</w:t>
      </w:r>
      <w:r>
        <w:rPr>
          <w:rFonts w:hint="eastAsia" w:hAnsi="黑体" w:cs="黑体"/>
          <w:highlight w:val="none"/>
        </w:rPr>
        <w:t>.3.2 业务表现</w:t>
      </w:r>
    </w:p>
    <w:p>
      <w:pPr>
        <w:pStyle w:val="24"/>
        <w:rPr>
          <w:rFonts w:hAnsi="宋体" w:cs="宋体"/>
          <w:highlight w:val="none"/>
        </w:rPr>
      </w:pPr>
      <w:r>
        <w:rPr>
          <w:rFonts w:hint="eastAsia" w:hAnsi="宋体" w:cs="宋体"/>
          <w:highlight w:val="none"/>
        </w:rPr>
        <w:t>依据本文件及相关行业绿色</w:t>
      </w:r>
      <w:r>
        <w:rPr>
          <w:rFonts w:hint="eastAsia" w:hAnsi="宋体" w:cs="宋体"/>
          <w:highlight w:val="none"/>
          <w:lang w:val="en-US" w:eastAsia="zh-CN"/>
        </w:rPr>
        <w:t>低碳</w:t>
      </w:r>
      <w:r>
        <w:rPr>
          <w:rFonts w:hint="eastAsia" w:hAnsi="宋体" w:cs="宋体"/>
          <w:highlight w:val="none"/>
        </w:rPr>
        <w:t>产业认定技术规范对发展能力和市场影响进行具体描述。</w:t>
      </w:r>
    </w:p>
    <w:p>
      <w:pPr>
        <w:pStyle w:val="24"/>
        <w:ind w:left="420" w:leftChars="200" w:firstLine="0" w:firstLineChars="0"/>
        <w:rPr>
          <w:rFonts w:ascii="Times New Roman" w:eastAsia="Times New Roman"/>
          <w:szCs w:val="24"/>
          <w:highlight w:val="none"/>
        </w:rPr>
      </w:pPr>
      <w:r>
        <w:rPr>
          <w:rFonts w:hint="eastAsia" w:hAnsi="宋体" w:cs="宋体"/>
          <w:highlight w:val="none"/>
        </w:rPr>
        <w:t>——</w:t>
      </w:r>
      <w:r>
        <w:rPr>
          <w:rFonts w:hint="eastAsia" w:ascii="Times New Roman"/>
          <w:szCs w:val="24"/>
          <w:highlight w:val="none"/>
        </w:rPr>
        <w:t>发展能力</w:t>
      </w:r>
      <w:r>
        <w:rPr>
          <w:rFonts w:hint="eastAsia" w:ascii="Times New Roman"/>
          <w:szCs w:val="24"/>
          <w:highlight w:val="none"/>
          <w:lang w:eastAsia="zh-CN"/>
        </w:rPr>
        <w:t>：</w:t>
      </w:r>
      <w:r>
        <w:rPr>
          <w:rFonts w:hint="eastAsia" w:ascii="Times New Roman"/>
          <w:szCs w:val="24"/>
          <w:highlight w:val="none"/>
        </w:rPr>
        <w:t>主要描述团队技术实力、研发投入、业务增长率、资产负债率、净利润率等情况。</w:t>
      </w:r>
    </w:p>
    <w:p>
      <w:pPr>
        <w:pStyle w:val="24"/>
        <w:ind w:left="420" w:leftChars="200" w:firstLine="0" w:firstLineChars="0"/>
        <w:rPr>
          <w:rFonts w:ascii="Times New Roman" w:eastAsia="Times New Roman"/>
          <w:szCs w:val="24"/>
          <w:highlight w:val="none"/>
        </w:rPr>
      </w:pPr>
      <w:r>
        <w:rPr>
          <w:rFonts w:hint="eastAsia" w:hAnsi="宋体" w:cs="宋体"/>
          <w:highlight w:val="none"/>
        </w:rPr>
        <w:t>——</w:t>
      </w:r>
      <w:r>
        <w:rPr>
          <w:rFonts w:hint="eastAsia" w:ascii="Times New Roman"/>
          <w:szCs w:val="24"/>
          <w:highlight w:val="none"/>
        </w:rPr>
        <w:t>市场影响</w:t>
      </w:r>
      <w:r>
        <w:rPr>
          <w:rFonts w:hint="eastAsia" w:ascii="Times New Roman"/>
          <w:szCs w:val="24"/>
          <w:highlight w:val="none"/>
          <w:lang w:eastAsia="zh-CN"/>
        </w:rPr>
        <w:t>：</w:t>
      </w:r>
      <w:r>
        <w:rPr>
          <w:rFonts w:hint="eastAsia" w:ascii="Times New Roman"/>
          <w:szCs w:val="24"/>
          <w:highlight w:val="none"/>
        </w:rPr>
        <w:t>主要描述市场占有情况，提供产品或服务年限，引领绿色低碳产业技术创新或市场发展的情况，以及获得的国家级、省部级、市级或区级奖项、资质、荣誉、认定或证书的情况。</w:t>
      </w:r>
    </w:p>
    <w:p>
      <w:pPr>
        <w:pStyle w:val="95"/>
        <w:numPr>
          <w:ilvl w:val="1"/>
          <w:numId w:val="0"/>
        </w:numPr>
        <w:spacing w:before="156" w:after="156"/>
        <w:jc w:val="both"/>
        <w:rPr>
          <w:rFonts w:ascii="Times New Roman" w:eastAsia="Times New Roman"/>
          <w:highlight w:val="none"/>
        </w:rPr>
      </w:pPr>
      <w:r>
        <w:rPr>
          <w:rFonts w:hint="eastAsia" w:hAnsi="黑体" w:cs="黑体"/>
          <w:highlight w:val="none"/>
        </w:rPr>
        <w:t>B.</w:t>
      </w:r>
      <w:r>
        <w:rPr>
          <w:rFonts w:hint="eastAsia" w:hAnsi="黑体" w:cs="黑体"/>
          <w:highlight w:val="none"/>
          <w:lang w:val="en-US" w:eastAsia="zh-CN"/>
        </w:rPr>
        <w:t>5</w:t>
      </w:r>
      <w:r>
        <w:rPr>
          <w:rFonts w:hint="eastAsia" w:hAnsi="黑体" w:cs="黑体"/>
          <w:highlight w:val="none"/>
        </w:rPr>
        <w:t>.3.3 环境表现</w:t>
      </w:r>
    </w:p>
    <w:p>
      <w:pPr>
        <w:pStyle w:val="24"/>
        <w:ind w:firstLine="420" w:firstLineChars="200"/>
        <w:rPr>
          <w:rFonts w:hint="eastAsia" w:ascii="Times New Roman"/>
          <w:szCs w:val="24"/>
          <w:highlight w:val="none"/>
        </w:rPr>
      </w:pPr>
      <w:r>
        <w:rPr>
          <w:rFonts w:hint="eastAsia" w:hAnsi="宋体" w:cs="宋体"/>
          <w:highlight w:val="none"/>
        </w:rPr>
        <w:t>依据本文件及相关行业绿色</w:t>
      </w:r>
      <w:r>
        <w:rPr>
          <w:rFonts w:hint="eastAsia" w:hAnsi="宋体" w:cs="宋体"/>
          <w:highlight w:val="none"/>
          <w:lang w:val="en-US" w:eastAsia="zh-CN"/>
        </w:rPr>
        <w:t>低碳</w:t>
      </w:r>
      <w:r>
        <w:rPr>
          <w:rFonts w:hint="eastAsia" w:hAnsi="宋体" w:cs="宋体"/>
          <w:highlight w:val="none"/>
        </w:rPr>
        <w:t>产业认定技术规范对工艺设备材料、能源资源利用和环境排放进行具体描述。</w:t>
      </w:r>
    </w:p>
    <w:p>
      <w:pPr>
        <w:pStyle w:val="24"/>
        <w:rPr>
          <w:rFonts w:ascii="Times New Roman" w:eastAsia="Times New Roman"/>
          <w:szCs w:val="24"/>
          <w:highlight w:val="none"/>
        </w:rPr>
      </w:pPr>
      <w:r>
        <w:rPr>
          <w:rFonts w:hint="eastAsia" w:hAnsi="宋体" w:cs="宋体"/>
          <w:highlight w:val="none"/>
        </w:rPr>
        <w:t>——</w:t>
      </w:r>
      <w:r>
        <w:rPr>
          <w:rFonts w:hint="eastAsia" w:ascii="Times New Roman"/>
          <w:szCs w:val="24"/>
          <w:highlight w:val="none"/>
        </w:rPr>
        <w:t>工艺设备材料</w:t>
      </w:r>
      <w:r>
        <w:rPr>
          <w:rFonts w:hint="eastAsia" w:ascii="Times New Roman"/>
          <w:szCs w:val="24"/>
          <w:highlight w:val="none"/>
          <w:lang w:eastAsia="zh-CN"/>
        </w:rPr>
        <w:t>：</w:t>
      </w:r>
      <w:r>
        <w:rPr>
          <w:rFonts w:hint="eastAsia" w:ascii="Times New Roman"/>
          <w:szCs w:val="24"/>
          <w:highlight w:val="none"/>
        </w:rPr>
        <w:t>主要描述采购的工艺、设备和原材料与优先推荐目录的匹配情况。</w:t>
      </w:r>
    </w:p>
    <w:p>
      <w:pPr>
        <w:pStyle w:val="24"/>
        <w:rPr>
          <w:rFonts w:hAnsi="宋体" w:cs="宋体"/>
          <w:highlight w:val="none"/>
        </w:rPr>
      </w:pPr>
      <w:r>
        <w:rPr>
          <w:rFonts w:hint="eastAsia" w:hAnsi="宋体" w:cs="宋体"/>
          <w:highlight w:val="none"/>
        </w:rPr>
        <w:t>——</w:t>
      </w:r>
      <w:r>
        <w:rPr>
          <w:rFonts w:hint="eastAsia" w:ascii="Times New Roman"/>
          <w:szCs w:val="24"/>
          <w:highlight w:val="none"/>
        </w:rPr>
        <w:t>能源资源利用</w:t>
      </w:r>
      <w:r>
        <w:rPr>
          <w:rFonts w:hint="eastAsia" w:ascii="Times New Roman"/>
          <w:szCs w:val="24"/>
          <w:highlight w:val="none"/>
          <w:lang w:eastAsia="zh-CN"/>
        </w:rPr>
        <w:t>：</w:t>
      </w:r>
      <w:r>
        <w:rPr>
          <w:rFonts w:hint="eastAsia" w:hAnsi="宋体" w:cs="宋体"/>
          <w:highlight w:val="none"/>
        </w:rPr>
        <w:t>主要描述可再生能源利用、非常规水资源利用率和废弃物综合利用率等情况。</w:t>
      </w:r>
    </w:p>
    <w:p>
      <w:pPr>
        <w:pStyle w:val="24"/>
        <w:rPr>
          <w:rFonts w:hint="eastAsia" w:ascii="Times New Roman"/>
          <w:szCs w:val="24"/>
          <w:highlight w:val="none"/>
        </w:rPr>
      </w:pPr>
      <w:r>
        <w:rPr>
          <w:rFonts w:hint="eastAsia" w:hAnsi="宋体" w:cs="宋体"/>
          <w:highlight w:val="none"/>
        </w:rPr>
        <w:t>——</w:t>
      </w:r>
      <w:r>
        <w:rPr>
          <w:rFonts w:hint="eastAsia" w:ascii="Times New Roman"/>
          <w:szCs w:val="24"/>
          <w:highlight w:val="none"/>
          <w:lang w:eastAsia="zh-CN"/>
        </w:rPr>
        <w:t>污染物排放水平：</w:t>
      </w:r>
      <w:r>
        <w:rPr>
          <w:rFonts w:hint="eastAsia" w:ascii="Times New Roman"/>
          <w:szCs w:val="24"/>
          <w:highlight w:val="none"/>
        </w:rPr>
        <w:t>主要描述污染物排放情况。</w:t>
      </w:r>
    </w:p>
    <w:p>
      <w:pPr>
        <w:pStyle w:val="24"/>
        <w:rPr>
          <w:rFonts w:hint="eastAsia" w:ascii="Times New Roman"/>
          <w:szCs w:val="24"/>
          <w:highlight w:val="none"/>
        </w:rPr>
      </w:pPr>
      <w:r>
        <w:rPr>
          <w:rFonts w:hint="eastAsia" w:hAnsi="宋体" w:cs="宋体"/>
          <w:highlight w:val="none"/>
        </w:rPr>
        <w:t>——</w:t>
      </w:r>
      <w:r>
        <w:rPr>
          <w:rFonts w:hint="eastAsia" w:ascii="Times New Roman"/>
          <w:szCs w:val="24"/>
          <w:highlight w:val="none"/>
          <w:lang w:val="en-US" w:eastAsia="zh-CN"/>
        </w:rPr>
        <w:t>温室气体排放水平</w:t>
      </w:r>
      <w:r>
        <w:rPr>
          <w:rFonts w:hint="eastAsia" w:ascii="Times New Roman"/>
          <w:szCs w:val="24"/>
          <w:highlight w:val="none"/>
          <w:lang w:eastAsia="zh-CN"/>
        </w:rPr>
        <w:t>：</w:t>
      </w:r>
      <w:r>
        <w:rPr>
          <w:rFonts w:hint="eastAsia" w:ascii="Times New Roman"/>
          <w:szCs w:val="24"/>
          <w:highlight w:val="none"/>
        </w:rPr>
        <w:t>主要描述温室气体排放及下降情况。</w:t>
      </w:r>
    </w:p>
    <w:p>
      <w:pPr>
        <w:pStyle w:val="95"/>
        <w:numPr>
          <w:ilvl w:val="1"/>
          <w:numId w:val="0"/>
        </w:numPr>
        <w:spacing w:before="156" w:after="156"/>
        <w:jc w:val="both"/>
        <w:rPr>
          <w:rFonts w:ascii="Times New Roman" w:eastAsia="Times New Roman"/>
          <w:highlight w:val="none"/>
        </w:rPr>
      </w:pPr>
      <w:r>
        <w:rPr>
          <w:rFonts w:hint="eastAsia" w:hAnsi="黑体" w:cs="黑体"/>
          <w:highlight w:val="none"/>
        </w:rPr>
        <w:t>B.</w:t>
      </w:r>
      <w:r>
        <w:rPr>
          <w:rFonts w:hint="eastAsia" w:hAnsi="黑体" w:cs="黑体"/>
          <w:highlight w:val="none"/>
          <w:lang w:val="en-US" w:eastAsia="zh-CN"/>
        </w:rPr>
        <w:t>5</w:t>
      </w:r>
      <w:r>
        <w:rPr>
          <w:rFonts w:hint="eastAsia" w:hAnsi="黑体" w:cs="黑体"/>
          <w:highlight w:val="none"/>
        </w:rPr>
        <w:t>.3.4 社会表现</w:t>
      </w:r>
    </w:p>
    <w:p>
      <w:pPr>
        <w:pStyle w:val="24"/>
        <w:ind w:firstLine="420" w:firstLineChars="200"/>
        <w:rPr>
          <w:rFonts w:hint="eastAsia" w:ascii="Times New Roman"/>
          <w:szCs w:val="24"/>
          <w:highlight w:val="none"/>
        </w:rPr>
      </w:pPr>
      <w:r>
        <w:rPr>
          <w:rFonts w:hint="eastAsia" w:hAnsi="宋体" w:cs="宋体"/>
          <w:highlight w:val="none"/>
        </w:rPr>
        <w:t>依据本文件及相关行业绿色</w:t>
      </w:r>
      <w:r>
        <w:rPr>
          <w:rFonts w:hint="eastAsia" w:hAnsi="宋体" w:cs="宋体"/>
          <w:highlight w:val="none"/>
          <w:lang w:val="en-US" w:eastAsia="zh-CN"/>
        </w:rPr>
        <w:t>低碳</w:t>
      </w:r>
      <w:r>
        <w:rPr>
          <w:rFonts w:hint="eastAsia" w:hAnsi="宋体" w:cs="宋体"/>
          <w:highlight w:val="none"/>
        </w:rPr>
        <w:t>产业认定技术规范对内部行动和社会责任进行具体描述。</w:t>
      </w:r>
    </w:p>
    <w:p>
      <w:pPr>
        <w:pStyle w:val="24"/>
        <w:rPr>
          <w:rFonts w:ascii="Times New Roman" w:eastAsia="Times New Roman"/>
          <w:szCs w:val="24"/>
          <w:highlight w:val="none"/>
        </w:rPr>
      </w:pPr>
      <w:r>
        <w:rPr>
          <w:rFonts w:hint="eastAsia" w:hAnsi="宋体" w:cs="宋体"/>
          <w:highlight w:val="none"/>
        </w:rPr>
        <w:t>——</w:t>
      </w:r>
      <w:r>
        <w:rPr>
          <w:rFonts w:hint="eastAsia" w:ascii="Times New Roman"/>
          <w:szCs w:val="24"/>
          <w:highlight w:val="none"/>
        </w:rPr>
        <w:t>内部行动</w:t>
      </w:r>
      <w:r>
        <w:rPr>
          <w:rFonts w:hint="eastAsia" w:ascii="Times New Roman"/>
          <w:szCs w:val="24"/>
          <w:highlight w:val="none"/>
          <w:lang w:eastAsia="zh-CN"/>
        </w:rPr>
        <w:t>：</w:t>
      </w:r>
      <w:r>
        <w:rPr>
          <w:rFonts w:hint="eastAsia" w:ascii="Times New Roman"/>
          <w:szCs w:val="24"/>
          <w:highlight w:val="none"/>
        </w:rPr>
        <w:t>主要描述</w:t>
      </w:r>
      <w:r>
        <w:rPr>
          <w:rFonts w:hint="eastAsia" w:ascii="Times New Roman"/>
          <w:szCs w:val="24"/>
          <w:highlight w:val="none"/>
          <w:lang w:eastAsia="zh-CN"/>
        </w:rPr>
        <w:t>绿色发展行动</w:t>
      </w:r>
      <w:r>
        <w:rPr>
          <w:rFonts w:hint="eastAsia" w:ascii="Times New Roman"/>
          <w:szCs w:val="24"/>
          <w:highlight w:val="none"/>
        </w:rPr>
        <w:t>、信息披露</w:t>
      </w:r>
      <w:r>
        <w:rPr>
          <w:rFonts w:hint="eastAsia" w:ascii="Times New Roman"/>
          <w:szCs w:val="24"/>
          <w:highlight w:val="none"/>
          <w:lang w:eastAsia="zh-CN"/>
        </w:rPr>
        <w:t>及绿色低碳意识培训情况</w:t>
      </w:r>
      <w:r>
        <w:rPr>
          <w:rFonts w:hint="eastAsia" w:ascii="Times New Roman"/>
          <w:szCs w:val="24"/>
          <w:highlight w:val="none"/>
        </w:rPr>
        <w:t>等信息。</w:t>
      </w:r>
    </w:p>
    <w:p>
      <w:pPr>
        <w:pStyle w:val="24"/>
        <w:rPr>
          <w:rFonts w:ascii="Times New Roman" w:eastAsia="Times New Roman"/>
          <w:szCs w:val="24"/>
          <w:highlight w:val="none"/>
        </w:rPr>
      </w:pPr>
      <w:r>
        <w:rPr>
          <w:rFonts w:hint="eastAsia" w:hAnsi="宋体" w:cs="宋体"/>
          <w:highlight w:val="none"/>
        </w:rPr>
        <w:t>——</w:t>
      </w:r>
      <w:r>
        <w:rPr>
          <w:rFonts w:hint="eastAsia" w:ascii="Times New Roman"/>
          <w:szCs w:val="24"/>
          <w:highlight w:val="none"/>
        </w:rPr>
        <w:t>社会责任</w:t>
      </w:r>
      <w:r>
        <w:rPr>
          <w:rFonts w:hint="eastAsia" w:ascii="Times New Roman"/>
          <w:szCs w:val="24"/>
          <w:highlight w:val="none"/>
          <w:lang w:eastAsia="zh-CN"/>
        </w:rPr>
        <w:t>：</w:t>
      </w:r>
      <w:r>
        <w:rPr>
          <w:rFonts w:hint="eastAsia" w:ascii="Times New Roman"/>
          <w:szCs w:val="24"/>
          <w:highlight w:val="none"/>
        </w:rPr>
        <w:t>主要描述履行公共关系和社会公益责任、实施供应链绿色管理等情况。</w:t>
      </w:r>
    </w:p>
    <w:p>
      <w:pPr>
        <w:pStyle w:val="95"/>
        <w:numPr>
          <w:ilvl w:val="1"/>
          <w:numId w:val="0"/>
        </w:numPr>
        <w:spacing w:before="156" w:after="156"/>
        <w:jc w:val="both"/>
        <w:rPr>
          <w:rFonts w:hAnsi="黑体" w:cs="黑体"/>
          <w:highlight w:val="none"/>
        </w:rPr>
      </w:pPr>
      <w:r>
        <w:rPr>
          <w:rFonts w:hint="eastAsia" w:hAnsi="黑体" w:cs="黑体"/>
          <w:highlight w:val="none"/>
        </w:rPr>
        <w:t>B.</w:t>
      </w:r>
      <w:r>
        <w:rPr>
          <w:rFonts w:hint="eastAsia" w:hAnsi="黑体" w:cs="黑体"/>
          <w:highlight w:val="none"/>
          <w:lang w:val="en-US" w:eastAsia="zh-CN"/>
        </w:rPr>
        <w:t>6</w:t>
      </w:r>
      <w:r>
        <w:rPr>
          <w:rFonts w:hint="eastAsia" w:hAnsi="黑体" w:cs="黑体"/>
          <w:highlight w:val="none"/>
        </w:rPr>
        <w:t xml:space="preserve"> 评</w:t>
      </w:r>
      <w:r>
        <w:rPr>
          <w:rFonts w:hint="eastAsia" w:hAnsi="黑体" w:cs="黑体"/>
        </w:rPr>
        <w:t>价</w:t>
      </w:r>
      <w:r>
        <w:rPr>
          <w:rFonts w:hint="eastAsia" w:hAnsi="黑体" w:cs="黑体"/>
          <w:highlight w:val="none"/>
        </w:rPr>
        <w:t>表</w:t>
      </w:r>
    </w:p>
    <w:p>
      <w:pPr>
        <w:pStyle w:val="24"/>
        <w:rPr>
          <w:rFonts w:hAnsi="宋体"/>
          <w:szCs w:val="24"/>
          <w:highlight w:val="none"/>
        </w:rPr>
      </w:pPr>
      <w:r>
        <w:rPr>
          <w:rFonts w:hint="eastAsia" w:hAnsi="宋体"/>
          <w:szCs w:val="24"/>
          <w:highlight w:val="none"/>
        </w:rPr>
        <w:t>新能源汽车产品行业绿色低碳产业企业认定评价表见表B.3、表B.4和表B.5。</w:t>
      </w:r>
    </w:p>
    <w:p>
      <w:pPr>
        <w:pStyle w:val="95"/>
        <w:numPr>
          <w:ilvl w:val="1"/>
          <w:numId w:val="0"/>
        </w:numPr>
        <w:spacing w:before="156" w:after="156"/>
        <w:rPr>
          <w:rFonts w:hAnsi="黑体" w:cs="黑体"/>
          <w:highlight w:val="none"/>
        </w:rPr>
      </w:pPr>
      <w:r>
        <w:rPr>
          <w:rFonts w:hint="eastAsia" w:hAnsi="黑体" w:cs="黑体"/>
          <w:highlight w:val="none"/>
        </w:rPr>
        <w:t>表B.3 基本要求评</w:t>
      </w:r>
      <w:r>
        <w:rPr>
          <w:rFonts w:hint="eastAsia" w:hAnsi="黑体" w:cs="黑体"/>
          <w:highlight w:val="none"/>
          <w:lang w:val="en-US" w:eastAsia="zh-CN"/>
        </w:rPr>
        <w:t>价</w:t>
      </w:r>
      <w:r>
        <w:rPr>
          <w:rFonts w:hint="eastAsia" w:hAnsi="黑体" w:cs="黑体"/>
          <w:highlight w:val="none"/>
        </w:rPr>
        <w:t>表</w:t>
      </w:r>
    </w:p>
    <w:tbl>
      <w:tblPr>
        <w:tblStyle w:val="3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999"/>
        <w:gridCol w:w="4014"/>
        <w:gridCol w:w="1170"/>
        <w:gridCol w:w="9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tblHeader/>
          <w:jc w:val="center"/>
        </w:trPr>
        <w:tc>
          <w:tcPr>
            <w:tcW w:w="238" w:type="pct"/>
            <w:tcBorders>
              <w:bottom w:val="single" w:color="auto" w:sz="8" w:space="0"/>
            </w:tcBorders>
            <w:noWrap w:val="0"/>
            <w:vAlign w:val="center"/>
          </w:tcPr>
          <w:p>
            <w:pPr>
              <w:spacing w:line="280" w:lineRule="exact"/>
              <w:jc w:val="center"/>
              <w:rPr>
                <w:rFonts w:ascii="宋体" w:hAnsi="宋体" w:eastAsia="宋体"/>
                <w:b/>
                <w:sz w:val="18"/>
                <w:szCs w:val="18"/>
                <w:highlight w:val="none"/>
              </w:rPr>
            </w:pPr>
            <w:r>
              <w:rPr>
                <w:rFonts w:ascii="宋体" w:hAnsi="宋体" w:eastAsia="宋体"/>
                <w:b/>
                <w:sz w:val="18"/>
                <w:szCs w:val="18"/>
                <w:highlight w:val="none"/>
              </w:rPr>
              <w:t>序号</w:t>
            </w:r>
          </w:p>
        </w:tc>
        <w:tc>
          <w:tcPr>
            <w:tcW w:w="1566" w:type="pct"/>
            <w:tcBorders>
              <w:bottom w:val="single" w:color="auto" w:sz="8" w:space="0"/>
            </w:tcBorders>
            <w:noWrap w:val="0"/>
            <w:vAlign w:val="center"/>
          </w:tcPr>
          <w:p>
            <w:pPr>
              <w:spacing w:line="360" w:lineRule="exact"/>
              <w:jc w:val="center"/>
              <w:rPr>
                <w:rFonts w:ascii="宋体" w:hAnsi="宋体" w:eastAsia="宋体"/>
                <w:b/>
                <w:sz w:val="18"/>
                <w:szCs w:val="18"/>
                <w:highlight w:val="none"/>
              </w:rPr>
            </w:pPr>
            <w:r>
              <w:rPr>
                <w:rFonts w:ascii="宋体" w:hAnsi="宋体" w:eastAsia="宋体"/>
                <w:b/>
                <w:sz w:val="18"/>
                <w:szCs w:val="18"/>
                <w:highlight w:val="none"/>
              </w:rPr>
              <w:t>基本要求内容</w:t>
            </w:r>
          </w:p>
        </w:tc>
        <w:tc>
          <w:tcPr>
            <w:tcW w:w="2096" w:type="pct"/>
            <w:tcBorders>
              <w:bottom w:val="single" w:color="auto" w:sz="8" w:space="0"/>
            </w:tcBorders>
            <w:noWrap w:val="0"/>
            <w:vAlign w:val="center"/>
          </w:tcPr>
          <w:p>
            <w:pPr>
              <w:spacing w:line="280" w:lineRule="exact"/>
              <w:jc w:val="center"/>
              <w:rPr>
                <w:rFonts w:ascii="宋体" w:hAnsi="宋体" w:eastAsia="宋体"/>
                <w:b/>
                <w:sz w:val="18"/>
                <w:szCs w:val="18"/>
                <w:highlight w:val="none"/>
              </w:rPr>
            </w:pPr>
            <w:r>
              <w:rPr>
                <w:rFonts w:ascii="宋体" w:hAnsi="宋体" w:eastAsia="宋体"/>
                <w:b/>
                <w:sz w:val="18"/>
                <w:szCs w:val="18"/>
                <w:highlight w:val="none"/>
              </w:rPr>
              <w:t>评分依据</w:t>
            </w:r>
          </w:p>
        </w:tc>
        <w:tc>
          <w:tcPr>
            <w:tcW w:w="611" w:type="pct"/>
            <w:tcBorders>
              <w:bottom w:val="single" w:color="auto" w:sz="8" w:space="0"/>
            </w:tcBorders>
            <w:noWrap w:val="0"/>
            <w:vAlign w:val="center"/>
          </w:tcPr>
          <w:p>
            <w:pPr>
              <w:spacing w:line="280" w:lineRule="exact"/>
              <w:jc w:val="center"/>
              <w:rPr>
                <w:rFonts w:ascii="宋体" w:hAnsi="宋体" w:eastAsia="宋体"/>
                <w:b/>
                <w:sz w:val="18"/>
                <w:szCs w:val="18"/>
                <w:highlight w:val="none"/>
              </w:rPr>
            </w:pPr>
            <w:r>
              <w:rPr>
                <w:rFonts w:hint="eastAsia" w:ascii="宋体" w:hAnsi="宋体" w:eastAsia="宋体" w:cs="宋体"/>
                <w:b/>
                <w:sz w:val="18"/>
                <w:szCs w:val="18"/>
                <w:highlight w:val="none"/>
              </w:rPr>
              <w:t>评价结果（是/否）</w:t>
            </w:r>
          </w:p>
        </w:tc>
        <w:tc>
          <w:tcPr>
            <w:tcW w:w="486" w:type="pct"/>
            <w:tcBorders>
              <w:bottom w:val="single" w:color="auto" w:sz="8" w:space="0"/>
            </w:tcBorders>
            <w:noWrap w:val="0"/>
            <w:vAlign w:val="center"/>
          </w:tcPr>
          <w:p>
            <w:pPr>
              <w:spacing w:line="280" w:lineRule="exact"/>
              <w:jc w:val="center"/>
              <w:rPr>
                <w:rFonts w:ascii="宋体" w:hAnsi="宋体" w:eastAsia="宋体"/>
                <w:b/>
                <w:sz w:val="18"/>
                <w:szCs w:val="18"/>
                <w:highlight w:val="none"/>
              </w:rPr>
            </w:pPr>
            <w:r>
              <w:rPr>
                <w:rFonts w:ascii="宋体" w:hAnsi="宋体" w:eastAsia="宋体"/>
                <w:b/>
                <w:sz w:val="18"/>
                <w:szCs w:val="18"/>
                <w:highlight w:val="none"/>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38" w:type="pct"/>
            <w:tcBorders>
              <w:top w:val="single" w:color="auto" w:sz="8" w:space="0"/>
              <w:tl2br w:val="nil"/>
              <w:tr2bl w:val="nil"/>
            </w:tcBorders>
            <w:noWrap w:val="0"/>
            <w:vAlign w:val="center"/>
          </w:tcPr>
          <w:p>
            <w:pPr>
              <w:widowControl/>
              <w:jc w:val="center"/>
              <w:rPr>
                <w:rFonts w:ascii="宋体" w:hAnsi="宋体" w:eastAsia="宋体"/>
                <w:color w:val="000000"/>
                <w:kern w:val="0"/>
                <w:sz w:val="18"/>
                <w:szCs w:val="18"/>
                <w:highlight w:val="none"/>
              </w:rPr>
            </w:pPr>
            <w:r>
              <w:rPr>
                <w:rFonts w:ascii="宋体" w:hAnsi="宋体" w:eastAsia="宋体"/>
                <w:color w:val="000000"/>
                <w:kern w:val="0"/>
                <w:sz w:val="18"/>
                <w:szCs w:val="18"/>
                <w:highlight w:val="none"/>
              </w:rPr>
              <w:t>1</w:t>
            </w:r>
          </w:p>
        </w:tc>
        <w:tc>
          <w:tcPr>
            <w:tcW w:w="1566" w:type="pct"/>
            <w:tcBorders>
              <w:top w:val="single" w:color="auto" w:sz="8" w:space="0"/>
              <w:tl2br w:val="nil"/>
              <w:tr2bl w:val="nil"/>
            </w:tcBorders>
            <w:noWrap w:val="0"/>
            <w:vAlign w:val="center"/>
          </w:tcPr>
          <w:p>
            <w:pPr>
              <w:widowControl/>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在深圳市（含深汕特别合作区）行政辖区内注册满一年的法人企业或事业单位法人，总部设立在深圳的集团公司可联合深圳市行政辖区外的控股子公司共同申报。</w:t>
            </w:r>
          </w:p>
        </w:tc>
        <w:tc>
          <w:tcPr>
            <w:tcW w:w="2096" w:type="pct"/>
            <w:tcBorders>
              <w:top w:val="single" w:color="auto" w:sz="8" w:space="0"/>
              <w:tl2br w:val="nil"/>
              <w:tr2bl w:val="nil"/>
            </w:tcBorders>
            <w:noWrap w:val="0"/>
            <w:vAlign w:val="center"/>
          </w:tcPr>
          <w:p>
            <w:pPr>
              <w:widowControl/>
              <w:rPr>
                <w:rFonts w:ascii="宋体" w:hAnsi="宋体" w:eastAsia="宋体" w:cs="宋体"/>
                <w:sz w:val="18"/>
                <w:szCs w:val="18"/>
                <w:highlight w:val="none"/>
              </w:rPr>
            </w:pPr>
            <w:r>
              <w:rPr>
                <w:rFonts w:hint="eastAsia" w:ascii="宋体" w:hAnsi="宋体" w:eastAsia="宋体" w:cs="宋体"/>
                <w:sz w:val="18"/>
                <w:szCs w:val="18"/>
                <w:highlight w:val="none"/>
              </w:rPr>
              <w:t>营业执照或事业单位法人证书。</w:t>
            </w:r>
          </w:p>
        </w:tc>
        <w:tc>
          <w:tcPr>
            <w:tcW w:w="611" w:type="pct"/>
            <w:tcBorders>
              <w:top w:val="single" w:color="auto" w:sz="8" w:space="0"/>
              <w:tl2br w:val="nil"/>
              <w:tr2bl w:val="nil"/>
            </w:tcBorders>
            <w:noWrap w:val="0"/>
            <w:vAlign w:val="center"/>
          </w:tcPr>
          <w:p>
            <w:pPr>
              <w:spacing w:line="280" w:lineRule="exact"/>
              <w:jc w:val="center"/>
              <w:rPr>
                <w:rFonts w:ascii="宋体" w:hAnsi="宋体" w:eastAsia="宋体"/>
                <w:sz w:val="18"/>
                <w:szCs w:val="18"/>
                <w:highlight w:val="none"/>
              </w:rPr>
            </w:pPr>
          </w:p>
        </w:tc>
        <w:tc>
          <w:tcPr>
            <w:tcW w:w="486" w:type="pct"/>
            <w:tcBorders>
              <w:top w:val="single" w:color="auto" w:sz="8" w:space="0"/>
              <w:tl2br w:val="nil"/>
              <w:tr2bl w:val="nil"/>
            </w:tcBorders>
            <w:noWrap w:val="0"/>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38" w:type="pct"/>
            <w:tcBorders>
              <w:tl2br w:val="nil"/>
              <w:tr2bl w:val="nil"/>
            </w:tcBorders>
            <w:noWrap w:val="0"/>
            <w:vAlign w:val="center"/>
          </w:tcPr>
          <w:p>
            <w:pPr>
              <w:widowControl/>
              <w:jc w:val="center"/>
              <w:rPr>
                <w:rFonts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2</w:t>
            </w:r>
          </w:p>
        </w:tc>
        <w:tc>
          <w:tcPr>
            <w:tcW w:w="2999" w:type="dxa"/>
            <w:tcBorders>
              <w:tl2br w:val="nil"/>
              <w:tr2bl w:val="nil"/>
            </w:tcBorders>
            <w:noWrap w:val="0"/>
            <w:vAlign w:val="center"/>
          </w:tcPr>
          <w:p>
            <w:pPr>
              <w:widowControl/>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lang w:val="en-US" w:eastAsia="zh-CN"/>
              </w:rPr>
              <w:t>在申报、认定及结果公示期结束之前均未被列入失信联合惩戒黑名单及失信被执行人名单。</w:t>
            </w:r>
          </w:p>
        </w:tc>
        <w:tc>
          <w:tcPr>
            <w:tcW w:w="4014" w:type="dxa"/>
            <w:tcBorders>
              <w:tl2br w:val="nil"/>
              <w:tr2bl w:val="nil"/>
            </w:tcBorders>
            <w:noWrap w:val="0"/>
            <w:vAlign w:val="center"/>
          </w:tcPr>
          <w:p>
            <w:pPr>
              <w:widowControl/>
              <w:rPr>
                <w:rFonts w:ascii="宋体" w:hAnsi="宋体" w:eastAsia="宋体" w:cs="宋体"/>
                <w:sz w:val="18"/>
                <w:szCs w:val="18"/>
                <w:highlight w:val="none"/>
              </w:rPr>
            </w:pPr>
            <w:r>
              <w:rPr>
                <w:rFonts w:hint="eastAsia" w:ascii="宋体" w:hAnsi="宋体" w:eastAsia="宋体" w:cs="宋体"/>
                <w:sz w:val="18"/>
                <w:szCs w:val="18"/>
              </w:rPr>
              <w:t>中国执行信息公开网</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中国信用信息共享平台发布结果。</w:t>
            </w:r>
          </w:p>
        </w:tc>
        <w:tc>
          <w:tcPr>
            <w:tcW w:w="611" w:type="pct"/>
            <w:tcBorders>
              <w:tl2br w:val="nil"/>
              <w:tr2bl w:val="nil"/>
            </w:tcBorders>
            <w:noWrap w:val="0"/>
            <w:vAlign w:val="center"/>
          </w:tcPr>
          <w:p>
            <w:pPr>
              <w:spacing w:line="280" w:lineRule="exact"/>
              <w:jc w:val="center"/>
              <w:rPr>
                <w:rFonts w:ascii="宋体" w:hAnsi="宋体" w:eastAsia="宋体"/>
                <w:sz w:val="18"/>
                <w:szCs w:val="18"/>
                <w:highlight w:val="none"/>
              </w:rPr>
            </w:pPr>
          </w:p>
        </w:tc>
        <w:tc>
          <w:tcPr>
            <w:tcW w:w="486" w:type="pct"/>
            <w:tcBorders>
              <w:tl2br w:val="nil"/>
              <w:tr2bl w:val="nil"/>
            </w:tcBorders>
            <w:noWrap w:val="0"/>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38" w:type="pct"/>
            <w:tcBorders>
              <w:tl2br w:val="nil"/>
              <w:tr2bl w:val="nil"/>
            </w:tcBorders>
            <w:noWrap w:val="0"/>
            <w:vAlign w:val="center"/>
          </w:tcPr>
          <w:p>
            <w:pPr>
              <w:widowControl/>
              <w:jc w:val="center"/>
              <w:rPr>
                <w:rFonts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3</w:t>
            </w:r>
          </w:p>
        </w:tc>
        <w:tc>
          <w:tcPr>
            <w:tcW w:w="2999" w:type="dxa"/>
            <w:tcBorders>
              <w:tl2br w:val="nil"/>
              <w:tr2bl w:val="nil"/>
            </w:tcBorders>
            <w:noWrap w:val="0"/>
            <w:vAlign w:val="center"/>
          </w:tcPr>
          <w:p>
            <w:pPr>
              <w:widowControl/>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lang w:val="en-US" w:eastAsia="zh-CN"/>
              </w:rPr>
              <w:t>申报前三年内未发生重大安全、重大质量事故或严重环境违法行为。</w:t>
            </w:r>
          </w:p>
        </w:tc>
        <w:tc>
          <w:tcPr>
            <w:tcW w:w="4014" w:type="dxa"/>
            <w:tcBorders>
              <w:tl2br w:val="nil"/>
              <w:tr2bl w:val="nil"/>
            </w:tcBorders>
            <w:noWrap w:val="0"/>
            <w:vAlign w:val="center"/>
          </w:tcPr>
          <w:p>
            <w:pPr>
              <w:widowControl/>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lang w:val="en-US" w:eastAsia="zh-CN"/>
              </w:rPr>
              <w:t>国家、省、市政府的市场监督管理部门、安全生产监督管理部门、环境监督管理部门等相关部门网站发布结果，自我申明</w:t>
            </w:r>
            <w:r>
              <w:rPr>
                <w:rFonts w:hint="eastAsia" w:ascii="宋体" w:hAnsi="宋体" w:eastAsia="宋体" w:cs="宋体"/>
                <w:color w:val="000000"/>
                <w:kern w:val="0"/>
                <w:sz w:val="18"/>
                <w:szCs w:val="18"/>
              </w:rPr>
              <w:t>。</w:t>
            </w:r>
          </w:p>
        </w:tc>
        <w:tc>
          <w:tcPr>
            <w:tcW w:w="611" w:type="pct"/>
            <w:tcBorders>
              <w:tl2br w:val="nil"/>
              <w:tr2bl w:val="nil"/>
            </w:tcBorders>
            <w:noWrap w:val="0"/>
            <w:vAlign w:val="center"/>
          </w:tcPr>
          <w:p>
            <w:pPr>
              <w:spacing w:line="440" w:lineRule="exact"/>
              <w:jc w:val="center"/>
              <w:rPr>
                <w:rFonts w:ascii="宋体" w:hAnsi="宋体" w:eastAsia="宋体"/>
                <w:sz w:val="18"/>
                <w:szCs w:val="18"/>
                <w:highlight w:val="none"/>
              </w:rPr>
            </w:pPr>
          </w:p>
        </w:tc>
        <w:tc>
          <w:tcPr>
            <w:tcW w:w="486" w:type="pct"/>
            <w:tcBorders>
              <w:tl2br w:val="nil"/>
              <w:tr2bl w:val="nil"/>
            </w:tcBorders>
            <w:noWrap w:val="0"/>
            <w:vAlign w:val="center"/>
          </w:tcPr>
          <w:p>
            <w:pPr>
              <w:spacing w:line="4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38" w:type="pct"/>
            <w:tcBorders>
              <w:tl2br w:val="nil"/>
              <w:tr2bl w:val="nil"/>
            </w:tcBorders>
            <w:noWrap w:val="0"/>
            <w:vAlign w:val="center"/>
          </w:tcPr>
          <w:p>
            <w:pPr>
              <w:widowControl/>
              <w:jc w:val="center"/>
              <w:rPr>
                <w:rFonts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4</w:t>
            </w:r>
          </w:p>
        </w:tc>
        <w:tc>
          <w:tcPr>
            <w:tcW w:w="2999" w:type="dxa"/>
            <w:tcBorders>
              <w:tl2br w:val="nil"/>
              <w:tr2bl w:val="nil"/>
            </w:tcBorders>
            <w:noWrap w:val="0"/>
            <w:vAlign w:val="center"/>
          </w:tcPr>
          <w:p>
            <w:pPr>
              <w:widowControl/>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rPr>
              <w:t>《深圳市绿色</w:t>
            </w:r>
            <w:r>
              <w:rPr>
                <w:rFonts w:hint="eastAsia" w:ascii="宋体" w:hAnsi="宋体" w:eastAsia="宋体" w:cs="宋体"/>
                <w:color w:val="000000"/>
                <w:kern w:val="0"/>
                <w:sz w:val="18"/>
                <w:szCs w:val="18"/>
                <w:lang w:val="en-US" w:eastAsia="zh-CN"/>
              </w:rPr>
              <w:t>低碳</w:t>
            </w:r>
            <w:r>
              <w:rPr>
                <w:rFonts w:hint="eastAsia" w:ascii="宋体" w:hAnsi="宋体" w:eastAsia="宋体" w:cs="宋体"/>
                <w:color w:val="000000"/>
                <w:kern w:val="0"/>
                <w:sz w:val="18"/>
                <w:szCs w:val="18"/>
              </w:rPr>
              <w:t>产业认定管理办法》所规定的其他要求</w:t>
            </w:r>
            <w:r>
              <w:rPr>
                <w:rFonts w:hint="eastAsia" w:ascii="宋体" w:hAnsi="宋体" w:eastAsia="宋体" w:cs="宋体"/>
                <w:color w:val="000000"/>
                <w:kern w:val="0"/>
                <w:sz w:val="18"/>
                <w:szCs w:val="18"/>
                <w:lang w:eastAsia="zh-CN"/>
              </w:rPr>
              <w:t>。</w:t>
            </w:r>
          </w:p>
        </w:tc>
        <w:tc>
          <w:tcPr>
            <w:tcW w:w="4014" w:type="dxa"/>
            <w:tcBorders>
              <w:tl2br w:val="nil"/>
              <w:tr2bl w:val="nil"/>
            </w:tcBorders>
            <w:noWrap w:val="0"/>
            <w:vAlign w:val="center"/>
          </w:tcPr>
          <w:p>
            <w:pPr>
              <w:widowControl/>
              <w:rPr>
                <w:rFonts w:ascii="宋体" w:hAnsi="宋体" w:eastAsia="宋体" w:cs="宋体"/>
                <w:color w:val="000000"/>
                <w:kern w:val="0"/>
                <w:sz w:val="18"/>
                <w:szCs w:val="18"/>
                <w:highlight w:val="none"/>
              </w:rPr>
            </w:pPr>
            <w:r>
              <w:rPr>
                <w:rFonts w:hint="default" w:ascii="宋体" w:hAnsi="宋体" w:eastAsia="宋体" w:cs="宋体"/>
                <w:color w:val="000000"/>
                <w:kern w:val="0"/>
                <w:sz w:val="18"/>
                <w:szCs w:val="18"/>
                <w:lang w:val="en-US"/>
              </w:rPr>
              <w:t>《深圳市绿色</w:t>
            </w:r>
            <w:r>
              <w:rPr>
                <w:rFonts w:hint="default" w:ascii="宋体" w:hAnsi="宋体" w:eastAsia="宋体" w:cs="宋体"/>
                <w:color w:val="000000"/>
                <w:kern w:val="0"/>
                <w:sz w:val="18"/>
                <w:szCs w:val="18"/>
                <w:lang w:val="en-US" w:eastAsia="zh-CN"/>
              </w:rPr>
              <w:t>低碳</w:t>
            </w:r>
            <w:r>
              <w:rPr>
                <w:rFonts w:hint="default" w:ascii="宋体" w:hAnsi="宋体" w:eastAsia="宋体" w:cs="宋体"/>
                <w:color w:val="000000"/>
                <w:kern w:val="0"/>
                <w:sz w:val="18"/>
                <w:szCs w:val="18"/>
                <w:lang w:val="en-US"/>
              </w:rPr>
              <w:t>产业认定管理办法》</w:t>
            </w:r>
            <w:r>
              <w:rPr>
                <w:rFonts w:hint="eastAsia" w:ascii="宋体" w:hAnsi="宋体" w:eastAsia="宋体" w:cs="宋体"/>
                <w:color w:val="000000"/>
                <w:kern w:val="0"/>
                <w:sz w:val="18"/>
                <w:szCs w:val="18"/>
              </w:rPr>
              <w:t>。</w:t>
            </w:r>
          </w:p>
        </w:tc>
        <w:tc>
          <w:tcPr>
            <w:tcW w:w="611" w:type="pct"/>
            <w:tcBorders>
              <w:tl2br w:val="nil"/>
              <w:tr2bl w:val="nil"/>
            </w:tcBorders>
            <w:noWrap w:val="0"/>
            <w:vAlign w:val="center"/>
          </w:tcPr>
          <w:p>
            <w:pPr>
              <w:spacing w:line="440" w:lineRule="exact"/>
              <w:jc w:val="center"/>
              <w:rPr>
                <w:rFonts w:ascii="宋体" w:hAnsi="宋体" w:eastAsia="宋体"/>
                <w:sz w:val="18"/>
                <w:szCs w:val="18"/>
                <w:highlight w:val="none"/>
              </w:rPr>
            </w:pPr>
          </w:p>
        </w:tc>
        <w:tc>
          <w:tcPr>
            <w:tcW w:w="486" w:type="pct"/>
            <w:tcBorders>
              <w:tl2br w:val="nil"/>
              <w:tr2bl w:val="nil"/>
            </w:tcBorders>
            <w:noWrap w:val="0"/>
            <w:vAlign w:val="center"/>
          </w:tcPr>
          <w:p>
            <w:pPr>
              <w:spacing w:line="4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见第X页</w:t>
            </w:r>
          </w:p>
        </w:tc>
      </w:tr>
    </w:tbl>
    <w:p>
      <w:pPr>
        <w:pStyle w:val="95"/>
        <w:numPr>
          <w:ilvl w:val="1"/>
          <w:numId w:val="0"/>
        </w:numPr>
        <w:spacing w:before="156" w:after="156"/>
        <w:rPr>
          <w:rFonts w:ascii="Times New Roman" w:eastAsia="Times New Roman"/>
          <w:highlight w:val="none"/>
        </w:rPr>
      </w:pPr>
      <w:r>
        <w:rPr>
          <w:rFonts w:hint="eastAsia" w:hAnsi="黑体" w:cs="黑体"/>
          <w:highlight w:val="none"/>
        </w:rPr>
        <w:t>表B.4 符合性指标评</w:t>
      </w:r>
      <w:r>
        <w:rPr>
          <w:rFonts w:hint="eastAsia" w:hAnsi="黑体" w:cs="黑体"/>
          <w:highlight w:val="none"/>
          <w:lang w:val="en-US" w:eastAsia="zh-CN"/>
        </w:rPr>
        <w:t>价</w:t>
      </w:r>
      <w:r>
        <w:rPr>
          <w:rFonts w:hint="eastAsia" w:hAnsi="黑体" w:cs="黑体"/>
          <w:highlight w:val="none"/>
        </w:rPr>
        <w:t>表</w:t>
      </w:r>
    </w:p>
    <w:tbl>
      <w:tblPr>
        <w:tblStyle w:val="34"/>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131"/>
        <w:gridCol w:w="5021"/>
        <w:gridCol w:w="1084"/>
        <w:gridCol w:w="15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90" w:type="pct"/>
            <w:tcBorders>
              <w:bottom w:val="single" w:color="auto" w:sz="8" w:space="0"/>
            </w:tcBorders>
            <w:noWrap w:val="0"/>
            <w:vAlign w:val="center"/>
          </w:tcPr>
          <w:p>
            <w:pPr>
              <w:spacing w:line="280" w:lineRule="exact"/>
              <w:jc w:val="center"/>
              <w:rPr>
                <w:b/>
                <w:sz w:val="18"/>
                <w:szCs w:val="18"/>
                <w:highlight w:val="none"/>
              </w:rPr>
            </w:pPr>
            <w:r>
              <w:rPr>
                <w:rFonts w:hint="eastAsia"/>
                <w:b/>
                <w:sz w:val="18"/>
                <w:szCs w:val="18"/>
                <w:highlight w:val="none"/>
              </w:rPr>
              <w:t>序号</w:t>
            </w:r>
          </w:p>
        </w:tc>
        <w:tc>
          <w:tcPr>
            <w:tcW w:w="591" w:type="pct"/>
            <w:tcBorders>
              <w:bottom w:val="single" w:color="auto" w:sz="8" w:space="0"/>
            </w:tcBorders>
            <w:noWrap w:val="0"/>
            <w:vAlign w:val="center"/>
          </w:tcPr>
          <w:p>
            <w:pPr>
              <w:spacing w:line="360" w:lineRule="exact"/>
              <w:jc w:val="center"/>
              <w:rPr>
                <w:b/>
                <w:sz w:val="18"/>
                <w:szCs w:val="18"/>
                <w:highlight w:val="none"/>
              </w:rPr>
            </w:pPr>
            <w:r>
              <w:rPr>
                <w:rFonts w:hint="eastAsia"/>
                <w:b/>
                <w:sz w:val="18"/>
                <w:szCs w:val="18"/>
                <w:highlight w:val="none"/>
              </w:rPr>
              <w:t>指标</w:t>
            </w:r>
          </w:p>
        </w:tc>
        <w:tc>
          <w:tcPr>
            <w:tcW w:w="2623" w:type="pct"/>
            <w:tcBorders>
              <w:bottom w:val="single" w:color="auto" w:sz="8" w:space="0"/>
            </w:tcBorders>
            <w:noWrap w:val="0"/>
            <w:vAlign w:val="center"/>
          </w:tcPr>
          <w:p>
            <w:pPr>
              <w:spacing w:line="360" w:lineRule="exact"/>
              <w:jc w:val="center"/>
              <w:rPr>
                <w:b/>
                <w:sz w:val="18"/>
                <w:szCs w:val="18"/>
                <w:highlight w:val="none"/>
              </w:rPr>
            </w:pPr>
            <w:r>
              <w:rPr>
                <w:rFonts w:hint="eastAsia"/>
                <w:b/>
                <w:sz w:val="18"/>
                <w:szCs w:val="18"/>
                <w:highlight w:val="none"/>
              </w:rPr>
              <w:t>符合性评价内容</w:t>
            </w:r>
          </w:p>
        </w:tc>
        <w:tc>
          <w:tcPr>
            <w:tcW w:w="566" w:type="pct"/>
            <w:tcBorders>
              <w:bottom w:val="single" w:color="auto" w:sz="8" w:space="0"/>
            </w:tcBorders>
            <w:noWrap w:val="0"/>
            <w:vAlign w:val="center"/>
          </w:tcPr>
          <w:p>
            <w:pPr>
              <w:spacing w:line="280" w:lineRule="exact"/>
              <w:jc w:val="center"/>
              <w:rPr>
                <w:b/>
                <w:sz w:val="18"/>
                <w:szCs w:val="18"/>
                <w:highlight w:val="none"/>
              </w:rPr>
            </w:pPr>
            <w:r>
              <w:rPr>
                <w:rFonts w:hint="eastAsia"/>
                <w:b/>
                <w:sz w:val="18"/>
                <w:szCs w:val="18"/>
                <w:highlight w:val="none"/>
              </w:rPr>
              <w:t>评价结果（是/否）</w:t>
            </w:r>
          </w:p>
        </w:tc>
        <w:tc>
          <w:tcPr>
            <w:tcW w:w="827" w:type="pct"/>
            <w:tcBorders>
              <w:bottom w:val="single" w:color="auto" w:sz="8" w:space="0"/>
            </w:tcBorders>
            <w:noWrap w:val="0"/>
            <w:vAlign w:val="center"/>
          </w:tcPr>
          <w:p>
            <w:pPr>
              <w:spacing w:line="280" w:lineRule="exact"/>
              <w:jc w:val="center"/>
              <w:rPr>
                <w:b/>
                <w:sz w:val="18"/>
                <w:szCs w:val="18"/>
                <w:highlight w:val="none"/>
              </w:rPr>
            </w:pPr>
            <w:r>
              <w:rPr>
                <w:rFonts w:hint="eastAsia"/>
                <w:b/>
                <w:sz w:val="18"/>
                <w:szCs w:val="18"/>
                <w:highlight w:val="none"/>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42" w:hRule="atLeast"/>
          <w:jc w:val="center"/>
        </w:trPr>
        <w:tc>
          <w:tcPr>
            <w:tcW w:w="390" w:type="pct"/>
            <w:tcBorders>
              <w:top w:val="single" w:color="auto" w:sz="8" w:space="0"/>
              <w:tl2br w:val="nil"/>
              <w:tr2bl w:val="nil"/>
            </w:tcBorders>
            <w:noWrap w:val="0"/>
            <w:vAlign w:val="center"/>
          </w:tcPr>
          <w:p>
            <w:pPr>
              <w:widowControl/>
              <w:jc w:val="center"/>
              <w:rPr>
                <w:rFonts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1</w:t>
            </w:r>
          </w:p>
        </w:tc>
        <w:tc>
          <w:tcPr>
            <w:tcW w:w="591" w:type="pct"/>
            <w:tcBorders>
              <w:top w:val="single" w:color="auto" w:sz="8" w:space="0"/>
              <w:tl2br w:val="nil"/>
              <w:tr2bl w:val="nil"/>
            </w:tcBorders>
            <w:noWrap w:val="0"/>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目录符合</w:t>
            </w:r>
          </w:p>
        </w:tc>
        <w:tc>
          <w:tcPr>
            <w:tcW w:w="2623" w:type="pct"/>
            <w:tcBorders>
              <w:top w:val="single" w:color="auto" w:sz="8" w:space="0"/>
              <w:tl2br w:val="nil"/>
              <w:tr2bl w:val="nil"/>
            </w:tcBorders>
            <w:noWrap w:val="0"/>
            <w:vAlign w:val="center"/>
          </w:tcPr>
          <w:p>
            <w:pPr>
              <w:widowControl/>
              <w:tabs>
                <w:tab w:val="center" w:pos="4201"/>
                <w:tab w:val="right" w:leader="dot" w:pos="9298"/>
              </w:tabs>
              <w:autoSpaceDE w:val="0"/>
              <w:autoSpaceDN w:val="0"/>
              <w:jc w:val="left"/>
              <w:rPr>
                <w:rFonts w:hint="eastAsia" w:eastAsia="宋体"/>
                <w:kern w:val="0"/>
                <w:sz w:val="18"/>
                <w:szCs w:val="18"/>
                <w:highlight w:val="none"/>
                <w:lang w:eastAsia="zh-CN"/>
              </w:rPr>
            </w:pPr>
            <w:r>
              <w:rPr>
                <w:rFonts w:hint="eastAsia"/>
                <w:sz w:val="18"/>
                <w:szCs w:val="18"/>
                <w:highlight w:val="none"/>
              </w:rPr>
              <w:t>申报认定评价的主营业务应属于新能源汽车整车制造、动力电池系统及核心零部件制造、新能源汽车电机/发动机制造、新能源汽车控制系统制造、新能源汽车电附件制造等新能源汽车产品制造产业</w:t>
            </w:r>
            <w:r>
              <w:rPr>
                <w:rFonts w:hint="eastAsia"/>
                <w:sz w:val="18"/>
                <w:szCs w:val="18"/>
                <w:highlight w:val="none"/>
                <w:lang w:eastAsia="zh-CN"/>
              </w:rPr>
              <w:t>；</w:t>
            </w:r>
            <w:r>
              <w:rPr>
                <w:rFonts w:hint="eastAsia" w:ascii="Times New Roman" w:hAnsi="Times New Roman" w:eastAsia="宋体"/>
                <w:color w:val="auto"/>
                <w:kern w:val="2"/>
                <w:sz w:val="18"/>
                <w:szCs w:val="18"/>
                <w:highlight w:val="none"/>
              </w:rPr>
              <w:t>且其绿色业务占比达到50%或以上，或跨界规模达到1亿元、</w:t>
            </w:r>
            <w:r>
              <w:rPr>
                <w:rFonts w:hint="eastAsia"/>
                <w:color w:val="auto"/>
                <w:kern w:val="2"/>
                <w:sz w:val="18"/>
                <w:szCs w:val="18"/>
                <w:highlight w:val="none"/>
              </w:rPr>
              <w:t>在国内外新兴领域超前领先。</w:t>
            </w:r>
          </w:p>
        </w:tc>
        <w:tc>
          <w:tcPr>
            <w:tcW w:w="566" w:type="pct"/>
            <w:tcBorders>
              <w:top w:val="single" w:color="auto" w:sz="8" w:space="0"/>
              <w:tl2br w:val="nil"/>
              <w:tr2bl w:val="nil"/>
            </w:tcBorders>
            <w:noWrap w:val="0"/>
            <w:vAlign w:val="center"/>
          </w:tcPr>
          <w:p>
            <w:pPr>
              <w:spacing w:line="440" w:lineRule="exact"/>
              <w:jc w:val="center"/>
              <w:rPr>
                <w:rFonts w:ascii="宋体" w:hAnsi="宋体" w:cs="宋体"/>
                <w:sz w:val="18"/>
                <w:szCs w:val="18"/>
                <w:highlight w:val="none"/>
              </w:rPr>
            </w:pPr>
          </w:p>
        </w:tc>
        <w:tc>
          <w:tcPr>
            <w:tcW w:w="827" w:type="pct"/>
            <w:tcBorders>
              <w:top w:val="single" w:color="auto" w:sz="8" w:space="0"/>
              <w:tl2br w:val="nil"/>
              <w:tr2bl w:val="nil"/>
            </w:tcBorders>
            <w:noWrap w:val="0"/>
            <w:vAlign w:val="center"/>
          </w:tcPr>
          <w:p>
            <w:pPr>
              <w:spacing w:line="440" w:lineRule="exact"/>
              <w:jc w:val="center"/>
              <w:rPr>
                <w:rFonts w:ascii="宋体" w:hAnsi="宋体" w:cs="宋体"/>
                <w:sz w:val="18"/>
                <w:szCs w:val="18"/>
                <w:highlight w:val="none"/>
              </w:rPr>
            </w:pPr>
            <w:r>
              <w:rPr>
                <w:rFonts w:hint="eastAsia" w:ascii="宋体" w:hAnsi="宋体" w:cs="宋体"/>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90" w:type="pct"/>
            <w:tcBorders>
              <w:tl2br w:val="nil"/>
              <w:tr2bl w:val="nil"/>
            </w:tcBorders>
            <w:noWrap w:val="0"/>
            <w:vAlign w:val="center"/>
          </w:tcPr>
          <w:p>
            <w:pPr>
              <w:widowControl/>
              <w:jc w:val="center"/>
              <w:rPr>
                <w:rFonts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2</w:t>
            </w:r>
          </w:p>
        </w:tc>
        <w:tc>
          <w:tcPr>
            <w:tcW w:w="591" w:type="pct"/>
            <w:tcBorders>
              <w:tl2br w:val="nil"/>
              <w:tr2bl w:val="nil"/>
            </w:tcBorders>
            <w:noWrap w:val="0"/>
            <w:vAlign w:val="center"/>
          </w:tcPr>
          <w:p>
            <w:pPr>
              <w:widowControl/>
              <w:jc w:val="center"/>
              <w:rPr>
                <w:rFonts w:ascii="宋体" w:hAnsi="宋体" w:cs="宋体"/>
                <w:color w:val="000000"/>
                <w:kern w:val="0"/>
                <w:sz w:val="18"/>
                <w:szCs w:val="18"/>
                <w:highlight w:val="none"/>
              </w:rPr>
            </w:pPr>
            <w:r>
              <w:rPr>
                <w:rFonts w:hint="eastAsia" w:ascii="宋体" w:hAnsi="宋体" w:cs="宋体"/>
                <w:kern w:val="0"/>
                <w:sz w:val="18"/>
                <w:szCs w:val="18"/>
                <w:highlight w:val="none"/>
              </w:rPr>
              <w:t>技术符合</w:t>
            </w:r>
          </w:p>
        </w:tc>
        <w:tc>
          <w:tcPr>
            <w:tcW w:w="2623" w:type="pct"/>
            <w:tcBorders>
              <w:tl2br w:val="nil"/>
              <w:tr2bl w:val="nil"/>
            </w:tcBorders>
            <w:noWrap w:val="0"/>
            <w:vAlign w:val="center"/>
          </w:tcPr>
          <w:p>
            <w:pPr>
              <w:widowControl/>
              <w:tabs>
                <w:tab w:val="center" w:pos="4201"/>
                <w:tab w:val="right" w:leader="dot" w:pos="9298"/>
              </w:tabs>
              <w:autoSpaceDE w:val="0"/>
              <w:autoSpaceDN w:val="0"/>
              <w:jc w:val="left"/>
              <w:rPr>
                <w:kern w:val="0"/>
                <w:sz w:val="18"/>
                <w:szCs w:val="18"/>
                <w:highlight w:val="none"/>
              </w:rPr>
            </w:pPr>
            <w:r>
              <w:rPr>
                <w:rFonts w:hint="eastAsia"/>
                <w:sz w:val="18"/>
                <w:szCs w:val="18"/>
                <w:highlight w:val="none"/>
              </w:rPr>
              <w:t>提供的产品或服务应符合国家、广东省及深圳市相关主管部门发布文件列明的有关设计、能效、性能、安全、贮存、回收、标识、验收、管理、运维等技术要求。</w:t>
            </w:r>
          </w:p>
        </w:tc>
        <w:tc>
          <w:tcPr>
            <w:tcW w:w="566" w:type="pct"/>
            <w:tcBorders>
              <w:tl2br w:val="nil"/>
              <w:tr2bl w:val="nil"/>
            </w:tcBorders>
            <w:noWrap w:val="0"/>
            <w:vAlign w:val="center"/>
          </w:tcPr>
          <w:p>
            <w:pPr>
              <w:spacing w:line="440" w:lineRule="exact"/>
              <w:jc w:val="center"/>
              <w:rPr>
                <w:rFonts w:ascii="宋体" w:hAnsi="宋体" w:cs="宋体"/>
                <w:sz w:val="18"/>
                <w:szCs w:val="18"/>
                <w:highlight w:val="none"/>
              </w:rPr>
            </w:pPr>
          </w:p>
        </w:tc>
        <w:tc>
          <w:tcPr>
            <w:tcW w:w="827" w:type="pct"/>
            <w:tcBorders>
              <w:tl2br w:val="nil"/>
              <w:tr2bl w:val="nil"/>
            </w:tcBorders>
            <w:noWrap w:val="0"/>
            <w:vAlign w:val="center"/>
          </w:tcPr>
          <w:p>
            <w:pPr>
              <w:spacing w:line="440" w:lineRule="exact"/>
              <w:jc w:val="center"/>
              <w:rPr>
                <w:rFonts w:ascii="宋体" w:hAnsi="宋体" w:cs="宋体"/>
                <w:sz w:val="18"/>
                <w:szCs w:val="18"/>
                <w:highlight w:val="none"/>
              </w:rPr>
            </w:pPr>
            <w:r>
              <w:rPr>
                <w:rFonts w:hint="eastAsia" w:ascii="宋体" w:hAnsi="宋体" w:cs="宋体"/>
                <w:sz w:val="18"/>
                <w:szCs w:val="18"/>
                <w:highlight w:val="none"/>
              </w:rPr>
              <w:t>见 P     页</w:t>
            </w:r>
          </w:p>
        </w:tc>
      </w:tr>
    </w:tbl>
    <w:p>
      <w:pPr>
        <w:pStyle w:val="95"/>
        <w:numPr>
          <w:ilvl w:val="1"/>
          <w:numId w:val="0"/>
        </w:numPr>
        <w:spacing w:before="156" w:after="156"/>
        <w:rPr>
          <w:rFonts w:hint="eastAsia" w:ascii="Times New Roman"/>
          <w:color w:val="auto"/>
          <w:highlight w:val="none"/>
        </w:rPr>
      </w:pPr>
      <w:r>
        <w:rPr>
          <w:rFonts w:hint="eastAsia" w:hAnsi="黑体"/>
          <w:highlight w:val="none"/>
        </w:rPr>
        <w:t xml:space="preserve">表B.5 </w:t>
      </w:r>
      <w:r>
        <w:rPr>
          <w:rFonts w:hint="eastAsia" w:hAnsi="黑体"/>
          <w:color w:val="auto"/>
          <w:highlight w:val="none"/>
        </w:rPr>
        <w:t>综合评价</w:t>
      </w:r>
      <w:r>
        <w:rPr>
          <w:rFonts w:hint="eastAsia" w:ascii="Times New Roman"/>
          <w:color w:val="auto"/>
          <w:highlight w:val="none"/>
        </w:rPr>
        <w:t>指标</w:t>
      </w:r>
      <w:r>
        <w:rPr>
          <w:rFonts w:hint="eastAsia" w:hAnsi="黑体" w:cs="黑体"/>
          <w:highlight w:val="none"/>
        </w:rPr>
        <w:t>评</w:t>
      </w:r>
      <w:r>
        <w:rPr>
          <w:rFonts w:hint="eastAsia" w:hAnsi="黑体" w:cs="黑体"/>
          <w:highlight w:val="none"/>
          <w:lang w:val="en-US" w:eastAsia="zh-CN"/>
        </w:rPr>
        <w:t>分</w:t>
      </w:r>
      <w:r>
        <w:rPr>
          <w:rFonts w:hint="eastAsia" w:ascii="Times New Roman"/>
          <w:color w:val="auto"/>
          <w:highlight w:val="none"/>
        </w:rPr>
        <w:t>表</w:t>
      </w:r>
    </w:p>
    <w:tbl>
      <w:tblPr>
        <w:tblStyle w:val="35"/>
        <w:tblW w:w="49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342"/>
        <w:gridCol w:w="2708"/>
        <w:gridCol w:w="1513"/>
        <w:gridCol w:w="1532"/>
        <w:gridCol w:w="15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tcBorders>
              <w:bottom w:val="single" w:color="auto" w:sz="8" w:space="0"/>
            </w:tcBorders>
            <w:noWrap w:val="0"/>
            <w:vAlign w:val="center"/>
          </w:tcPr>
          <w:p>
            <w:pPr>
              <w:autoSpaceDE w:val="0"/>
              <w:autoSpaceDN w:val="0"/>
              <w:jc w:val="center"/>
              <w:rPr>
                <w:rFonts w:ascii="宋体"/>
                <w:b/>
                <w:color w:val="auto"/>
                <w:sz w:val="18"/>
                <w:szCs w:val="18"/>
                <w:highlight w:val="none"/>
              </w:rPr>
            </w:pPr>
            <w:r>
              <w:rPr>
                <w:rFonts w:ascii="宋体"/>
                <w:b/>
                <w:color w:val="auto"/>
                <w:sz w:val="18"/>
                <w:szCs w:val="18"/>
                <w:highlight w:val="none"/>
              </w:rPr>
              <w:t>一级指标</w:t>
            </w:r>
          </w:p>
        </w:tc>
        <w:tc>
          <w:tcPr>
            <w:tcW w:w="702" w:type="pct"/>
            <w:tcBorders>
              <w:bottom w:val="single" w:color="auto" w:sz="8" w:space="0"/>
            </w:tcBorders>
            <w:noWrap w:val="0"/>
            <w:vAlign w:val="center"/>
          </w:tcPr>
          <w:p>
            <w:pPr>
              <w:autoSpaceDE w:val="0"/>
              <w:autoSpaceDN w:val="0"/>
              <w:jc w:val="center"/>
              <w:rPr>
                <w:rFonts w:ascii="宋体"/>
                <w:b/>
                <w:color w:val="auto"/>
                <w:sz w:val="18"/>
                <w:szCs w:val="18"/>
                <w:highlight w:val="none"/>
              </w:rPr>
            </w:pPr>
            <w:r>
              <w:rPr>
                <w:rFonts w:ascii="宋体"/>
                <w:b/>
                <w:color w:val="auto"/>
                <w:sz w:val="18"/>
                <w:szCs w:val="18"/>
                <w:highlight w:val="none"/>
              </w:rPr>
              <w:t>二级指标</w:t>
            </w:r>
          </w:p>
        </w:tc>
        <w:tc>
          <w:tcPr>
            <w:tcW w:w="1416" w:type="pct"/>
            <w:tcBorders>
              <w:bottom w:val="single" w:color="auto" w:sz="8" w:space="0"/>
            </w:tcBorders>
            <w:noWrap w:val="0"/>
            <w:vAlign w:val="center"/>
          </w:tcPr>
          <w:p>
            <w:pPr>
              <w:autoSpaceDE w:val="0"/>
              <w:autoSpaceDN w:val="0"/>
              <w:jc w:val="center"/>
              <w:rPr>
                <w:rFonts w:ascii="宋体"/>
                <w:b/>
                <w:color w:val="auto"/>
                <w:sz w:val="18"/>
                <w:szCs w:val="18"/>
                <w:highlight w:val="none"/>
              </w:rPr>
            </w:pPr>
            <w:r>
              <w:rPr>
                <w:rFonts w:ascii="宋体"/>
                <w:b/>
                <w:color w:val="auto"/>
                <w:sz w:val="18"/>
                <w:szCs w:val="18"/>
                <w:highlight w:val="none"/>
              </w:rPr>
              <w:t>三级指标</w:t>
            </w:r>
          </w:p>
        </w:tc>
        <w:tc>
          <w:tcPr>
            <w:tcW w:w="790" w:type="pct"/>
            <w:tcBorders>
              <w:bottom w:val="single" w:color="auto" w:sz="8" w:space="0"/>
            </w:tcBorders>
            <w:noWrap w:val="0"/>
            <w:vAlign w:val="center"/>
          </w:tcPr>
          <w:p>
            <w:pPr>
              <w:autoSpaceDE w:val="0"/>
              <w:autoSpaceDN w:val="0"/>
              <w:jc w:val="center"/>
              <w:rPr>
                <w:rFonts w:ascii="宋体"/>
                <w:b/>
                <w:color w:val="auto"/>
                <w:sz w:val="18"/>
                <w:szCs w:val="18"/>
                <w:highlight w:val="none"/>
              </w:rPr>
            </w:pPr>
            <w:r>
              <w:rPr>
                <w:rFonts w:ascii="宋体"/>
                <w:b/>
                <w:color w:val="auto"/>
                <w:sz w:val="18"/>
                <w:szCs w:val="18"/>
                <w:highlight w:val="none"/>
              </w:rPr>
              <w:t>分值</w:t>
            </w:r>
            <w:r>
              <w:rPr>
                <w:rFonts w:hint="eastAsia" w:ascii="宋体"/>
                <w:b/>
                <w:color w:val="auto"/>
                <w:sz w:val="18"/>
                <w:szCs w:val="18"/>
                <w:highlight w:val="none"/>
              </w:rPr>
              <w:t>（分）</w:t>
            </w:r>
          </w:p>
        </w:tc>
        <w:tc>
          <w:tcPr>
            <w:tcW w:w="801" w:type="pct"/>
            <w:tcBorders>
              <w:bottom w:val="single" w:color="auto" w:sz="8" w:space="0"/>
            </w:tcBorders>
            <w:noWrap w:val="0"/>
            <w:vAlign w:val="center"/>
          </w:tcPr>
          <w:p>
            <w:pPr>
              <w:widowControl/>
              <w:tabs>
                <w:tab w:val="center" w:pos="4201"/>
                <w:tab w:val="right" w:leader="dot" w:pos="9298"/>
              </w:tabs>
              <w:autoSpaceDE w:val="0"/>
              <w:autoSpaceDN w:val="0"/>
              <w:jc w:val="center"/>
              <w:rPr>
                <w:rFonts w:ascii="宋体"/>
                <w:b/>
                <w:color w:val="auto"/>
                <w:sz w:val="18"/>
                <w:szCs w:val="18"/>
                <w:highlight w:val="none"/>
              </w:rPr>
            </w:pPr>
            <w:r>
              <w:rPr>
                <w:rFonts w:ascii="Times New Roman"/>
                <w:b/>
                <w:sz w:val="18"/>
                <w:szCs w:val="18"/>
              </w:rPr>
              <w:t>评价得分</w:t>
            </w:r>
            <w:r>
              <w:rPr>
                <w:rFonts w:hint="eastAsia" w:ascii="Times New Roman"/>
                <w:b/>
                <w:sz w:val="18"/>
                <w:szCs w:val="18"/>
              </w:rPr>
              <w:t>（分）</w:t>
            </w:r>
          </w:p>
        </w:tc>
        <w:tc>
          <w:tcPr>
            <w:tcW w:w="791" w:type="pct"/>
            <w:tcBorders>
              <w:bottom w:val="single" w:color="auto" w:sz="8" w:space="0"/>
            </w:tcBorders>
            <w:noWrap w:val="0"/>
            <w:vAlign w:val="center"/>
          </w:tcPr>
          <w:p>
            <w:pPr>
              <w:widowControl/>
              <w:tabs>
                <w:tab w:val="center" w:pos="4201"/>
                <w:tab w:val="right" w:leader="dot" w:pos="9298"/>
              </w:tabs>
              <w:autoSpaceDE w:val="0"/>
              <w:autoSpaceDN w:val="0"/>
              <w:jc w:val="center"/>
              <w:rPr>
                <w:rFonts w:ascii="宋体"/>
                <w:b/>
                <w:color w:val="auto"/>
                <w:sz w:val="18"/>
                <w:szCs w:val="18"/>
                <w:highlight w:val="none"/>
              </w:rPr>
            </w:pPr>
            <w:r>
              <w:rPr>
                <w:rFonts w:hint="eastAsia"/>
                <w:b/>
                <w:color w:val="auto"/>
                <w:kern w:val="0"/>
                <w:sz w:val="18"/>
                <w:szCs w:val="18"/>
                <w:highlight w:val="none"/>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98" w:type="pct"/>
            <w:vMerge w:val="restart"/>
            <w:tcBorders>
              <w:top w:val="single" w:color="auto" w:sz="8" w:space="0"/>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技术表现</w:t>
            </w:r>
          </w:p>
        </w:tc>
        <w:tc>
          <w:tcPr>
            <w:tcW w:w="702" w:type="pct"/>
            <w:vMerge w:val="restart"/>
            <w:tcBorders>
              <w:top w:val="single" w:color="auto" w:sz="8" w:space="0"/>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先进性</w:t>
            </w:r>
          </w:p>
        </w:tc>
        <w:tc>
          <w:tcPr>
            <w:tcW w:w="1416" w:type="pct"/>
            <w:tcBorders>
              <w:top w:val="single" w:color="auto" w:sz="8" w:space="0"/>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有效知识产权</w:t>
            </w:r>
          </w:p>
        </w:tc>
        <w:tc>
          <w:tcPr>
            <w:tcW w:w="790" w:type="pct"/>
            <w:tcBorders>
              <w:top w:val="single" w:color="auto" w:sz="8" w:space="0"/>
              <w:tl2br w:val="nil"/>
              <w:tr2bl w:val="nil"/>
            </w:tcBorders>
            <w:noWrap w:val="0"/>
            <w:vAlign w:val="center"/>
          </w:tcPr>
          <w:p>
            <w:pPr>
              <w:keepNext w:val="0"/>
              <w:keepLines w:val="0"/>
              <w:widowControl/>
              <w:suppressLineNumbers w:val="0"/>
              <w:jc w:val="center"/>
              <w:textAlignment w:val="center"/>
              <w:rPr>
                <w:rFonts w:ascii="宋体" w:hAnsi="宋体" w:cs="宋体"/>
                <w:color w:val="auto"/>
                <w:sz w:val="18"/>
                <w:szCs w:val="18"/>
                <w:highlight w:val="none"/>
              </w:rPr>
            </w:pPr>
            <w:r>
              <w:rPr>
                <w:rFonts w:hint="eastAsia" w:ascii="宋体" w:hAnsi="宋体" w:cs="宋体"/>
                <w:i w:val="0"/>
                <w:iCs w:val="0"/>
                <w:color w:val="auto"/>
                <w:kern w:val="0"/>
                <w:sz w:val="18"/>
                <w:szCs w:val="18"/>
                <w:highlight w:val="none"/>
                <w:u w:val="none"/>
                <w:lang w:val="en-US" w:eastAsia="zh-CN" w:bidi="ar"/>
              </w:rPr>
              <w:t>4</w:t>
            </w:r>
          </w:p>
        </w:tc>
        <w:tc>
          <w:tcPr>
            <w:tcW w:w="801" w:type="pct"/>
            <w:tcBorders>
              <w:top w:val="single" w:color="auto" w:sz="8"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op w:val="single" w:color="auto" w:sz="8" w:space="0"/>
              <w:tl2br w:val="nil"/>
              <w:tr2bl w:val="nil"/>
            </w:tcBorders>
            <w:noWrap w:val="0"/>
            <w:vAlign w:val="center"/>
          </w:tcPr>
          <w:p>
            <w:pPr>
              <w:autoSpaceDE w:val="0"/>
              <w:autoSpaceDN w:val="0"/>
              <w:jc w:val="center"/>
              <w:rPr>
                <w:rFonts w:ascii="宋体"/>
                <w:color w:val="auto"/>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702"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1416" w:type="pct"/>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参与制修订标准</w:t>
            </w:r>
          </w:p>
        </w:tc>
        <w:tc>
          <w:tcPr>
            <w:tcW w:w="790" w:type="pct"/>
            <w:tcBorders>
              <w:tl2br w:val="nil"/>
              <w:tr2bl w:val="nil"/>
            </w:tcBorders>
            <w:noWrap w:val="0"/>
            <w:vAlign w:val="center"/>
          </w:tcPr>
          <w:p>
            <w:pPr>
              <w:keepNext w:val="0"/>
              <w:keepLines w:val="0"/>
              <w:widowControl/>
              <w:suppressLineNumbers w:val="0"/>
              <w:jc w:val="center"/>
              <w:textAlignment w:val="center"/>
              <w:rPr>
                <w:rFonts w:ascii="宋体" w:hAnsi="宋体" w:cs="宋体"/>
                <w:color w:val="auto"/>
                <w:sz w:val="18"/>
                <w:szCs w:val="18"/>
                <w:highlight w:val="none"/>
              </w:rPr>
            </w:pPr>
            <w:r>
              <w:rPr>
                <w:rFonts w:hint="eastAsia" w:ascii="宋体" w:hAnsi="宋体" w:cs="宋体"/>
                <w:i w:val="0"/>
                <w:iCs w:val="0"/>
                <w:color w:val="auto"/>
                <w:kern w:val="0"/>
                <w:sz w:val="18"/>
                <w:szCs w:val="18"/>
                <w:highlight w:val="none"/>
                <w:u w:val="none"/>
                <w:lang w:val="en-US" w:eastAsia="zh-CN" w:bidi="ar"/>
              </w:rPr>
              <w:t>4</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ascii="宋体"/>
                <w:color w:val="auto"/>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702"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1416" w:type="pct"/>
            <w:tcBorders>
              <w:tl2br w:val="nil"/>
              <w:tr2bl w:val="nil"/>
            </w:tcBorders>
            <w:noWrap w:val="0"/>
            <w:vAlign w:val="center"/>
          </w:tcPr>
          <w:p>
            <w:pPr>
              <w:autoSpaceDE w:val="0"/>
              <w:autoSpaceDN w:val="0"/>
              <w:jc w:val="center"/>
              <w:rPr>
                <w:rFonts w:hint="eastAsia" w:ascii="宋体"/>
                <w:color w:val="auto"/>
                <w:sz w:val="18"/>
                <w:szCs w:val="18"/>
                <w:highlight w:val="none"/>
                <w:lang w:val="en-US" w:eastAsia="zh-CN"/>
              </w:rPr>
            </w:pPr>
            <w:r>
              <w:rPr>
                <w:rFonts w:hint="eastAsia" w:ascii="宋体"/>
                <w:color w:val="auto"/>
                <w:sz w:val="18"/>
                <w:szCs w:val="18"/>
                <w:highlight w:val="none"/>
                <w:lang w:val="en-US" w:eastAsia="zh-CN"/>
              </w:rPr>
              <w:t>关键</w:t>
            </w:r>
            <w:r>
              <w:rPr>
                <w:rFonts w:hint="eastAsia" w:ascii="宋体"/>
                <w:color w:val="auto"/>
                <w:sz w:val="18"/>
                <w:szCs w:val="18"/>
                <w:highlight w:val="none"/>
              </w:rPr>
              <w:t>技术先进</w:t>
            </w:r>
            <w:r>
              <w:rPr>
                <w:rFonts w:hint="eastAsia" w:ascii="宋体"/>
                <w:color w:val="auto"/>
                <w:sz w:val="18"/>
                <w:szCs w:val="18"/>
                <w:highlight w:val="none"/>
                <w:lang w:val="en-US" w:eastAsia="zh-CN"/>
              </w:rPr>
              <w:t>性</w:t>
            </w:r>
          </w:p>
        </w:tc>
        <w:tc>
          <w:tcPr>
            <w:tcW w:w="790" w:type="pct"/>
            <w:tcBorders>
              <w:tl2br w:val="nil"/>
              <w:tr2bl w:val="nil"/>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702" w:type="pct"/>
            <w:vMerge w:val="restart"/>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环境效益</w:t>
            </w:r>
          </w:p>
        </w:tc>
        <w:tc>
          <w:tcPr>
            <w:tcW w:w="1416" w:type="pct"/>
            <w:tcBorders>
              <w:tl2br w:val="nil"/>
              <w:tr2bl w:val="nil"/>
            </w:tcBorders>
            <w:noWrap w:val="0"/>
            <w:vAlign w:val="center"/>
          </w:tcPr>
          <w:p>
            <w:pPr>
              <w:autoSpaceDE w:val="0"/>
              <w:autoSpaceDN w:val="0"/>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降碳效益</w:t>
            </w:r>
          </w:p>
        </w:tc>
        <w:tc>
          <w:tcPr>
            <w:tcW w:w="790" w:type="pct"/>
            <w:tcBorders>
              <w:tl2br w:val="nil"/>
              <w:tr2bl w:val="nil"/>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702"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1416" w:type="pct"/>
            <w:tcBorders>
              <w:tl2br w:val="nil"/>
              <w:tr2bl w:val="nil"/>
            </w:tcBorders>
            <w:noWrap w:val="0"/>
            <w:vAlign w:val="center"/>
          </w:tcPr>
          <w:p>
            <w:pPr>
              <w:autoSpaceDE w:val="0"/>
              <w:autoSpaceDN w:val="0"/>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rPr>
              <w:t>资源综合利用效益</w:t>
            </w:r>
          </w:p>
        </w:tc>
        <w:tc>
          <w:tcPr>
            <w:tcW w:w="790" w:type="pct"/>
            <w:tcBorders>
              <w:tl2br w:val="nil"/>
              <w:tr2bl w:val="nil"/>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restart"/>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业务表现</w:t>
            </w:r>
          </w:p>
        </w:tc>
        <w:tc>
          <w:tcPr>
            <w:tcW w:w="702" w:type="pct"/>
            <w:vMerge w:val="restart"/>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发展能力</w:t>
            </w:r>
          </w:p>
        </w:tc>
        <w:tc>
          <w:tcPr>
            <w:tcW w:w="1416" w:type="pct"/>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团队技术实力</w:t>
            </w:r>
          </w:p>
        </w:tc>
        <w:tc>
          <w:tcPr>
            <w:tcW w:w="7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8</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ascii="宋体"/>
                <w:color w:val="auto"/>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702"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1416" w:type="pct"/>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研发投入</w:t>
            </w:r>
          </w:p>
        </w:tc>
        <w:tc>
          <w:tcPr>
            <w:tcW w:w="790" w:type="pct"/>
            <w:tcBorders>
              <w:tl2br w:val="nil"/>
              <w:tr2bl w:val="nil"/>
            </w:tcBorders>
            <w:noWrap w:val="0"/>
            <w:vAlign w:val="center"/>
          </w:tcPr>
          <w:p>
            <w:pPr>
              <w:keepNext w:val="0"/>
              <w:keepLines w:val="0"/>
              <w:widowControl/>
              <w:suppressLineNumbers w:val="0"/>
              <w:jc w:val="center"/>
              <w:textAlignment w:val="center"/>
              <w:rPr>
                <w:rFonts w:ascii="宋体" w:hAnsi="宋体" w:cs="宋体"/>
                <w:color w:val="auto"/>
                <w:sz w:val="18"/>
                <w:szCs w:val="18"/>
                <w:highlight w:val="none"/>
              </w:rPr>
            </w:pPr>
            <w:r>
              <w:rPr>
                <w:rFonts w:hint="eastAsia" w:ascii="宋体" w:hAnsi="宋体" w:cs="宋体"/>
                <w:i w:val="0"/>
                <w:iCs w:val="0"/>
                <w:color w:val="auto"/>
                <w:kern w:val="0"/>
                <w:sz w:val="18"/>
                <w:szCs w:val="18"/>
                <w:highlight w:val="none"/>
                <w:u w:val="none"/>
                <w:lang w:val="en-US" w:eastAsia="zh-CN" w:bidi="ar"/>
              </w:rPr>
              <w:t>6</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ascii="宋体"/>
                <w:color w:val="auto"/>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702"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1416" w:type="pct"/>
            <w:tcBorders>
              <w:tl2br w:val="nil"/>
              <w:tr2bl w:val="nil"/>
            </w:tcBorders>
            <w:noWrap w:val="0"/>
            <w:vAlign w:val="center"/>
          </w:tcPr>
          <w:p>
            <w:pPr>
              <w:autoSpaceDE w:val="0"/>
              <w:autoSpaceDN w:val="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业务增长率</w:t>
            </w:r>
          </w:p>
        </w:tc>
        <w:tc>
          <w:tcPr>
            <w:tcW w:w="7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cs="宋体"/>
                <w:i w:val="0"/>
                <w:iCs w:val="0"/>
                <w:color w:val="auto"/>
                <w:kern w:val="0"/>
                <w:sz w:val="18"/>
                <w:szCs w:val="18"/>
                <w:highlight w:val="none"/>
                <w:u w:val="none"/>
                <w:lang w:val="en-US" w:eastAsia="zh-CN" w:bidi="ar"/>
              </w:rPr>
              <w:t>2</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ascii="宋体"/>
                <w:color w:val="auto"/>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702"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1416" w:type="pct"/>
            <w:tcBorders>
              <w:tl2br w:val="nil"/>
              <w:tr2bl w:val="nil"/>
            </w:tcBorders>
            <w:noWrap w:val="0"/>
            <w:vAlign w:val="center"/>
          </w:tcPr>
          <w:p>
            <w:pPr>
              <w:autoSpaceDE w:val="0"/>
              <w:autoSpaceDN w:val="0"/>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rPr>
              <w:t>资产负债率</w:t>
            </w:r>
          </w:p>
        </w:tc>
        <w:tc>
          <w:tcPr>
            <w:tcW w:w="790" w:type="pct"/>
            <w:tcBorders>
              <w:tl2br w:val="nil"/>
              <w:tr2bl w:val="nil"/>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702"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1416" w:type="pct"/>
            <w:tcBorders>
              <w:tl2br w:val="nil"/>
              <w:tr2bl w:val="nil"/>
            </w:tcBorders>
            <w:noWrap w:val="0"/>
            <w:vAlign w:val="center"/>
          </w:tcPr>
          <w:p>
            <w:pPr>
              <w:autoSpaceDE w:val="0"/>
              <w:autoSpaceDN w:val="0"/>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rPr>
              <w:t>净利润率</w:t>
            </w:r>
          </w:p>
        </w:tc>
        <w:tc>
          <w:tcPr>
            <w:tcW w:w="790" w:type="pct"/>
            <w:tcBorders>
              <w:tl2br w:val="nil"/>
              <w:tr2bl w:val="nil"/>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702" w:type="pct"/>
            <w:vMerge w:val="restart"/>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市场影响</w:t>
            </w:r>
          </w:p>
        </w:tc>
        <w:tc>
          <w:tcPr>
            <w:tcW w:w="1416" w:type="pct"/>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市场竞争力</w:t>
            </w:r>
          </w:p>
        </w:tc>
        <w:tc>
          <w:tcPr>
            <w:tcW w:w="7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8</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ascii="宋体"/>
                <w:color w:val="auto"/>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702"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1416" w:type="pct"/>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产业影响力</w:t>
            </w:r>
          </w:p>
        </w:tc>
        <w:tc>
          <w:tcPr>
            <w:tcW w:w="790" w:type="pct"/>
            <w:tcBorders>
              <w:tl2br w:val="nil"/>
              <w:tr2bl w:val="nil"/>
            </w:tcBorders>
            <w:noWrap w:val="0"/>
            <w:vAlign w:val="center"/>
          </w:tcPr>
          <w:p>
            <w:pPr>
              <w:keepNext w:val="0"/>
              <w:keepLines w:val="0"/>
              <w:widowControl/>
              <w:suppressLineNumbers w:val="0"/>
              <w:jc w:val="center"/>
              <w:textAlignment w:val="center"/>
              <w:rPr>
                <w:rFonts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ascii="宋体"/>
                <w:color w:val="auto"/>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702"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1416" w:type="pct"/>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行业资质荣誉</w:t>
            </w:r>
          </w:p>
        </w:tc>
        <w:tc>
          <w:tcPr>
            <w:tcW w:w="790" w:type="pct"/>
            <w:tcBorders>
              <w:tl2br w:val="nil"/>
              <w:tr2bl w:val="nil"/>
            </w:tcBorders>
            <w:noWrap w:val="0"/>
            <w:vAlign w:val="center"/>
          </w:tcPr>
          <w:p>
            <w:pPr>
              <w:keepNext w:val="0"/>
              <w:keepLines w:val="0"/>
              <w:widowControl/>
              <w:suppressLineNumbers w:val="0"/>
              <w:jc w:val="center"/>
              <w:textAlignment w:val="center"/>
              <w:rPr>
                <w:rFonts w:ascii="宋体" w:hAnsi="宋体" w:cs="宋体"/>
                <w:color w:val="auto"/>
                <w:sz w:val="18"/>
                <w:szCs w:val="18"/>
                <w:highlight w:val="none"/>
              </w:rPr>
            </w:pPr>
            <w:r>
              <w:rPr>
                <w:rFonts w:hint="eastAsia" w:ascii="宋体" w:hAnsi="宋体" w:cs="宋体"/>
                <w:i w:val="0"/>
                <w:iCs w:val="0"/>
                <w:color w:val="auto"/>
                <w:kern w:val="0"/>
                <w:sz w:val="18"/>
                <w:szCs w:val="18"/>
                <w:highlight w:val="none"/>
                <w:u w:val="none"/>
                <w:lang w:val="en-US" w:eastAsia="zh-CN" w:bidi="ar"/>
              </w:rPr>
              <w:t>5</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ascii="宋体"/>
                <w:color w:val="auto"/>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restart"/>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环境表现</w:t>
            </w:r>
          </w:p>
        </w:tc>
        <w:tc>
          <w:tcPr>
            <w:tcW w:w="2118" w:type="pct"/>
            <w:gridSpan w:val="2"/>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工艺</w:t>
            </w:r>
            <w:r>
              <w:rPr>
                <w:rFonts w:hint="eastAsia" w:ascii="宋体" w:hAnsi="宋体" w:cs="宋体"/>
                <w:color w:val="auto"/>
                <w:sz w:val="18"/>
                <w:szCs w:val="18"/>
                <w:highlight w:val="none"/>
              </w:rPr>
              <w:t>设备材料</w:t>
            </w:r>
          </w:p>
        </w:tc>
        <w:tc>
          <w:tcPr>
            <w:tcW w:w="790" w:type="pct"/>
            <w:tcBorders>
              <w:tl2br w:val="nil"/>
              <w:tr2bl w:val="nil"/>
            </w:tcBorders>
            <w:noWrap w:val="0"/>
            <w:vAlign w:val="center"/>
          </w:tcPr>
          <w:p>
            <w:pPr>
              <w:keepNext w:val="0"/>
              <w:keepLines w:val="0"/>
              <w:widowControl/>
              <w:suppressLineNumbers w:val="0"/>
              <w:jc w:val="center"/>
              <w:textAlignment w:val="center"/>
              <w:rPr>
                <w:rFonts w:ascii="宋体" w:hAnsi="宋体" w:cs="宋体"/>
                <w:color w:val="auto"/>
                <w:sz w:val="18"/>
                <w:szCs w:val="18"/>
                <w:highlight w:val="none"/>
              </w:rPr>
            </w:pPr>
            <w:r>
              <w:rPr>
                <w:rFonts w:hint="eastAsia" w:ascii="宋体" w:hAnsi="宋体" w:cs="宋体"/>
                <w:i w:val="0"/>
                <w:iCs w:val="0"/>
                <w:color w:val="auto"/>
                <w:kern w:val="0"/>
                <w:sz w:val="18"/>
                <w:szCs w:val="18"/>
                <w:highlight w:val="none"/>
                <w:u w:val="none"/>
                <w:lang w:val="en-US" w:eastAsia="zh-CN" w:bidi="ar"/>
              </w:rPr>
              <w:t>3</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ascii="宋体"/>
                <w:color w:val="auto"/>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702" w:type="pct"/>
            <w:vMerge w:val="restart"/>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能源资源利用</w:t>
            </w:r>
          </w:p>
        </w:tc>
        <w:tc>
          <w:tcPr>
            <w:tcW w:w="1416" w:type="pct"/>
            <w:tcBorders>
              <w:tl2br w:val="nil"/>
              <w:tr2bl w:val="nil"/>
            </w:tcBorders>
            <w:noWrap w:val="0"/>
            <w:vAlign w:val="center"/>
          </w:tcPr>
          <w:p>
            <w:pPr>
              <w:autoSpaceDE w:val="0"/>
              <w:autoSpaceDN w:val="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rPr>
              <w:t>可再生能源占比</w:t>
            </w:r>
          </w:p>
        </w:tc>
        <w:tc>
          <w:tcPr>
            <w:tcW w:w="790" w:type="pct"/>
            <w:tcBorders>
              <w:tl2br w:val="nil"/>
              <w:tr2bl w:val="nil"/>
            </w:tcBorders>
            <w:noWrap w:val="0"/>
            <w:vAlign w:val="center"/>
          </w:tcPr>
          <w:p>
            <w:pPr>
              <w:keepNext w:val="0"/>
              <w:keepLines w:val="0"/>
              <w:widowControl/>
              <w:suppressLineNumbers w:val="0"/>
              <w:jc w:val="center"/>
              <w:textAlignment w:val="center"/>
              <w:rPr>
                <w:rFonts w:ascii="宋体" w:hAnsi="宋体" w:cs="宋体"/>
                <w:color w:val="auto"/>
                <w:sz w:val="18"/>
                <w:szCs w:val="18"/>
                <w:highlight w:val="none"/>
              </w:rPr>
            </w:pPr>
            <w:r>
              <w:rPr>
                <w:rFonts w:hint="eastAsia" w:ascii="宋体" w:hAnsi="宋体" w:cs="宋体"/>
                <w:i w:val="0"/>
                <w:iCs w:val="0"/>
                <w:color w:val="auto"/>
                <w:kern w:val="0"/>
                <w:sz w:val="18"/>
                <w:szCs w:val="18"/>
                <w:highlight w:val="none"/>
                <w:u w:val="none"/>
                <w:lang w:val="en-US" w:eastAsia="zh-CN" w:bidi="ar"/>
              </w:rPr>
              <w:t>2</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ascii="宋体"/>
                <w:color w:val="auto"/>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702" w:type="pct"/>
            <w:vMerge w:val="continue"/>
            <w:tcBorders>
              <w:tl2br w:val="nil"/>
              <w:tr2bl w:val="nil"/>
            </w:tcBorders>
            <w:noWrap w:val="0"/>
            <w:vAlign w:val="center"/>
          </w:tcPr>
          <w:p>
            <w:pPr>
              <w:autoSpaceDE w:val="0"/>
              <w:autoSpaceDN w:val="0"/>
              <w:jc w:val="center"/>
              <w:rPr>
                <w:rFonts w:hint="eastAsia" w:ascii="宋体" w:hAnsi="宋体" w:cs="宋体"/>
                <w:color w:val="auto"/>
                <w:sz w:val="18"/>
                <w:szCs w:val="18"/>
                <w:highlight w:val="none"/>
              </w:rPr>
            </w:pPr>
          </w:p>
        </w:tc>
        <w:tc>
          <w:tcPr>
            <w:tcW w:w="1416" w:type="pct"/>
            <w:tcBorders>
              <w:tl2br w:val="nil"/>
              <w:tr2bl w:val="nil"/>
            </w:tcBorders>
            <w:noWrap w:val="0"/>
            <w:vAlign w:val="center"/>
          </w:tcPr>
          <w:p>
            <w:pPr>
              <w:autoSpaceDE w:val="0"/>
              <w:autoSpaceDN w:val="0"/>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rPr>
              <w:t>非常规水资源利用率</w:t>
            </w:r>
          </w:p>
        </w:tc>
        <w:tc>
          <w:tcPr>
            <w:tcW w:w="790" w:type="pct"/>
            <w:tcBorders>
              <w:tl2br w:val="nil"/>
              <w:tr2bl w:val="nil"/>
            </w:tcBorders>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702" w:type="pct"/>
            <w:vMerge w:val="continue"/>
            <w:tcBorders>
              <w:tl2br w:val="nil"/>
              <w:tr2bl w:val="nil"/>
            </w:tcBorders>
            <w:noWrap w:val="0"/>
            <w:vAlign w:val="center"/>
          </w:tcPr>
          <w:p>
            <w:pPr>
              <w:autoSpaceDE w:val="0"/>
              <w:autoSpaceDN w:val="0"/>
              <w:jc w:val="center"/>
              <w:rPr>
                <w:rFonts w:hint="eastAsia" w:ascii="宋体" w:hAnsi="宋体" w:cs="宋体"/>
                <w:color w:val="auto"/>
                <w:sz w:val="18"/>
                <w:szCs w:val="18"/>
                <w:highlight w:val="none"/>
              </w:rPr>
            </w:pPr>
          </w:p>
        </w:tc>
        <w:tc>
          <w:tcPr>
            <w:tcW w:w="1416" w:type="pct"/>
            <w:tcBorders>
              <w:tl2br w:val="nil"/>
              <w:tr2bl w:val="nil"/>
            </w:tcBorders>
            <w:noWrap w:val="0"/>
            <w:vAlign w:val="center"/>
          </w:tcPr>
          <w:p>
            <w:pPr>
              <w:autoSpaceDE w:val="0"/>
              <w:autoSpaceDN w:val="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rPr>
              <w:t>废弃物综合利用率</w:t>
            </w:r>
          </w:p>
        </w:tc>
        <w:tc>
          <w:tcPr>
            <w:tcW w:w="7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rPr>
            </w:pPr>
            <w:r>
              <w:rPr>
                <w:rFonts w:hint="eastAsia" w:ascii="宋体" w:hAnsi="宋体" w:cs="宋体"/>
                <w:i w:val="0"/>
                <w:iCs w:val="0"/>
                <w:color w:val="auto"/>
                <w:kern w:val="0"/>
                <w:sz w:val="18"/>
                <w:szCs w:val="18"/>
                <w:highlight w:val="none"/>
                <w:u w:val="none"/>
                <w:lang w:val="en-US" w:eastAsia="zh-CN" w:bidi="ar"/>
              </w:rPr>
              <w:t>2</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ascii="宋体"/>
                <w:color w:val="auto"/>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2118" w:type="pct"/>
            <w:gridSpan w:val="2"/>
            <w:tcBorders>
              <w:tl2br w:val="nil"/>
              <w:tr2bl w:val="nil"/>
            </w:tcBorders>
            <w:noWrap w:val="0"/>
            <w:vAlign w:val="center"/>
          </w:tcPr>
          <w:p>
            <w:pPr>
              <w:autoSpaceDE w:val="0"/>
              <w:autoSpaceDN w:val="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污染物排放水平</w:t>
            </w:r>
          </w:p>
        </w:tc>
        <w:tc>
          <w:tcPr>
            <w:tcW w:w="7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cs="宋体"/>
                <w:i w:val="0"/>
                <w:iCs w:val="0"/>
                <w:color w:val="auto"/>
                <w:kern w:val="0"/>
                <w:sz w:val="18"/>
                <w:szCs w:val="18"/>
                <w:highlight w:val="none"/>
                <w:u w:val="none"/>
                <w:lang w:val="en-US" w:eastAsia="zh-CN" w:bidi="ar"/>
              </w:rPr>
              <w:t>3</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ascii="宋体" w:hAnsi="Times New Roman" w:eastAsia="宋体" w:cs="Times New Roman"/>
                <w:color w:val="auto"/>
                <w:kern w:val="2"/>
                <w:sz w:val="18"/>
                <w:szCs w:val="18"/>
                <w:highlight w:val="none"/>
                <w:lang w:val="en-US" w:eastAsia="zh-CN" w:bidi="ar-SA"/>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2118" w:type="pct"/>
            <w:gridSpan w:val="2"/>
            <w:tcBorders>
              <w:tl2br w:val="nil"/>
              <w:tr2bl w:val="nil"/>
            </w:tcBorders>
            <w:noWrap w:val="0"/>
            <w:vAlign w:val="center"/>
          </w:tcPr>
          <w:p>
            <w:pPr>
              <w:autoSpaceDE w:val="0"/>
              <w:autoSpaceDN w:val="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温室气体排放水平</w:t>
            </w:r>
          </w:p>
        </w:tc>
        <w:tc>
          <w:tcPr>
            <w:tcW w:w="7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cs="宋体"/>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3</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ascii="宋体" w:hAnsi="Times New Roman" w:eastAsia="宋体" w:cs="Times New Roman"/>
                <w:color w:val="auto"/>
                <w:kern w:val="2"/>
                <w:sz w:val="18"/>
                <w:szCs w:val="18"/>
                <w:highlight w:val="none"/>
                <w:lang w:val="en-US" w:eastAsia="zh-CN" w:bidi="ar-SA"/>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8" w:type="pct"/>
            <w:vMerge w:val="restart"/>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社会表现</w:t>
            </w:r>
          </w:p>
        </w:tc>
        <w:tc>
          <w:tcPr>
            <w:tcW w:w="2118" w:type="pct"/>
            <w:gridSpan w:val="2"/>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内部行动</w:t>
            </w:r>
          </w:p>
        </w:tc>
        <w:tc>
          <w:tcPr>
            <w:tcW w:w="7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3</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ascii="宋体" w:hAnsi="Times New Roman" w:eastAsia="宋体" w:cs="Times New Roman"/>
                <w:color w:val="auto"/>
                <w:kern w:val="2"/>
                <w:sz w:val="18"/>
                <w:szCs w:val="18"/>
                <w:highlight w:val="none"/>
                <w:lang w:val="en-US" w:eastAsia="zh-CN" w:bidi="ar-SA"/>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98" w:type="pct"/>
            <w:vMerge w:val="continue"/>
            <w:tcBorders>
              <w:tl2br w:val="nil"/>
              <w:tr2bl w:val="nil"/>
            </w:tcBorders>
            <w:noWrap w:val="0"/>
            <w:vAlign w:val="center"/>
          </w:tcPr>
          <w:p>
            <w:pPr>
              <w:autoSpaceDE w:val="0"/>
              <w:autoSpaceDN w:val="0"/>
              <w:jc w:val="center"/>
              <w:rPr>
                <w:rFonts w:ascii="宋体" w:hAnsi="宋体" w:cs="宋体"/>
                <w:color w:val="auto"/>
                <w:sz w:val="18"/>
                <w:szCs w:val="18"/>
                <w:highlight w:val="none"/>
              </w:rPr>
            </w:pPr>
          </w:p>
        </w:tc>
        <w:tc>
          <w:tcPr>
            <w:tcW w:w="2118" w:type="pct"/>
            <w:gridSpan w:val="2"/>
            <w:tcBorders>
              <w:tl2br w:val="nil"/>
              <w:tr2bl w:val="nil"/>
            </w:tcBorders>
            <w:noWrap w:val="0"/>
            <w:vAlign w:val="center"/>
          </w:tcPr>
          <w:p>
            <w:pPr>
              <w:autoSpaceDE w:val="0"/>
              <w:autoSpaceDN w:val="0"/>
              <w:jc w:val="center"/>
              <w:rPr>
                <w:rFonts w:ascii="宋体" w:hAnsi="宋体" w:cs="宋体"/>
                <w:color w:val="auto"/>
                <w:sz w:val="18"/>
                <w:szCs w:val="18"/>
                <w:highlight w:val="none"/>
              </w:rPr>
            </w:pPr>
            <w:r>
              <w:rPr>
                <w:rFonts w:hint="eastAsia" w:ascii="宋体" w:hAnsi="宋体" w:cs="宋体"/>
                <w:color w:val="auto"/>
                <w:sz w:val="18"/>
                <w:szCs w:val="18"/>
                <w:highlight w:val="none"/>
              </w:rPr>
              <w:t>社会责任</w:t>
            </w:r>
          </w:p>
        </w:tc>
        <w:tc>
          <w:tcPr>
            <w:tcW w:w="790" w:type="pct"/>
            <w:tcBorders>
              <w:tl2br w:val="nil"/>
              <w:tr2bl w:val="nil"/>
            </w:tcBorders>
            <w:noWrap w:val="0"/>
            <w:vAlign w:val="center"/>
          </w:tcPr>
          <w:p>
            <w:pPr>
              <w:keepNext w:val="0"/>
              <w:keepLines w:val="0"/>
              <w:widowControl/>
              <w:suppressLineNumbers w:val="0"/>
              <w:jc w:val="center"/>
              <w:textAlignment w:val="center"/>
              <w:rPr>
                <w:rFonts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80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91" w:type="pct"/>
            <w:tcBorders>
              <w:tl2br w:val="nil"/>
              <w:tr2bl w:val="nil"/>
            </w:tcBorders>
            <w:noWrap w:val="0"/>
            <w:vAlign w:val="center"/>
          </w:tcPr>
          <w:p>
            <w:pPr>
              <w:autoSpaceDE w:val="0"/>
              <w:autoSpaceDN w:val="0"/>
              <w:jc w:val="center"/>
              <w:rPr>
                <w:rFonts w:ascii="宋体"/>
                <w:color w:val="auto"/>
                <w:sz w:val="18"/>
                <w:szCs w:val="18"/>
                <w:highlight w:val="none"/>
              </w:rPr>
            </w:pPr>
            <w:r>
              <w:rPr>
                <w:rFonts w:hint="eastAsia" w:ascii="宋体" w:hAnsi="宋体" w:cs="宋体"/>
                <w:color w:val="auto"/>
                <w:kern w:val="0"/>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407" w:type="pct"/>
            <w:gridSpan w:val="4"/>
            <w:tcBorders>
              <w:tl2br w:val="nil"/>
              <w:tr2bl w:val="nil"/>
            </w:tcBorders>
            <w:noWrap w:val="0"/>
            <w:vAlign w:val="center"/>
          </w:tcPr>
          <w:p>
            <w:pPr>
              <w:keepNext w:val="0"/>
              <w:keepLines w:val="0"/>
              <w:widowControl/>
              <w:suppressLineNumbers w:val="0"/>
              <w:jc w:val="center"/>
              <w:textAlignment w:val="center"/>
              <w:rPr>
                <w:rFonts w:hint="eastAsia"/>
                <w:b/>
                <w:color w:val="auto"/>
                <w:kern w:val="0"/>
                <w:sz w:val="18"/>
                <w:szCs w:val="18"/>
                <w:highlight w:val="none"/>
              </w:rPr>
            </w:pPr>
            <w:r>
              <w:rPr>
                <w:rFonts w:hint="eastAsia"/>
                <w:b/>
                <w:color w:val="auto"/>
                <w:kern w:val="0"/>
                <w:sz w:val="18"/>
                <w:szCs w:val="18"/>
                <w:highlight w:val="none"/>
              </w:rPr>
              <w:t>总得分</w:t>
            </w:r>
          </w:p>
        </w:tc>
        <w:tc>
          <w:tcPr>
            <w:tcW w:w="1592" w:type="pct"/>
            <w:gridSpan w:val="2"/>
            <w:tcBorders>
              <w:tl2br w:val="nil"/>
              <w:tr2bl w:val="nil"/>
            </w:tcBorders>
            <w:noWrap w:val="0"/>
            <w:vAlign w:val="center"/>
          </w:tcPr>
          <w:p>
            <w:pPr>
              <w:autoSpaceDE w:val="0"/>
              <w:autoSpaceDN w:val="0"/>
              <w:jc w:val="center"/>
              <w:rPr>
                <w:rFonts w:ascii="宋体"/>
                <w:color w:val="auto"/>
                <w:sz w:val="18"/>
                <w:szCs w:val="18"/>
                <w:highlight w:val="none"/>
              </w:rPr>
            </w:pPr>
          </w:p>
        </w:tc>
      </w:tr>
    </w:tbl>
    <w:p>
      <w:pPr>
        <w:pStyle w:val="95"/>
        <w:numPr>
          <w:ilvl w:val="1"/>
          <w:numId w:val="0"/>
        </w:numPr>
        <w:spacing w:before="156" w:after="156"/>
        <w:jc w:val="both"/>
        <w:rPr>
          <w:rFonts w:hAnsi="黑体" w:cs="黑体"/>
          <w:highlight w:val="none"/>
        </w:rPr>
      </w:pPr>
      <w:r>
        <w:rPr>
          <w:rFonts w:hint="eastAsia" w:hAnsi="黑体" w:cs="黑体"/>
          <w:highlight w:val="none"/>
        </w:rPr>
        <w:t>B.</w:t>
      </w:r>
      <w:r>
        <w:rPr>
          <w:rFonts w:hint="eastAsia" w:hAnsi="黑体" w:cs="黑体"/>
          <w:highlight w:val="none"/>
          <w:lang w:val="en-US" w:eastAsia="zh-CN"/>
        </w:rPr>
        <w:t>7</w:t>
      </w:r>
      <w:r>
        <w:rPr>
          <w:rFonts w:hint="eastAsia" w:hAnsi="黑体" w:cs="黑体"/>
          <w:highlight w:val="none"/>
        </w:rPr>
        <w:t xml:space="preserve"> 评价结论</w:t>
      </w:r>
    </w:p>
    <w:p>
      <w:pPr>
        <w:pStyle w:val="24"/>
        <w:rPr>
          <w:rFonts w:ascii="Times New Roman" w:eastAsia="Times New Roman"/>
          <w:szCs w:val="24"/>
          <w:highlight w:val="none"/>
        </w:rPr>
      </w:pPr>
      <w:r>
        <w:rPr>
          <w:rFonts w:hint="eastAsia" w:ascii="Times New Roman"/>
          <w:szCs w:val="24"/>
          <w:highlight w:val="none"/>
        </w:rPr>
        <w:t>说明依据本文件实施绿色低碳产业企业认定评价后的总得分情况以及后续值得关注的可能影响环境风险控制和</w:t>
      </w:r>
      <w:r>
        <w:rPr>
          <w:rFonts w:hint="eastAsia" w:ascii="Times New Roman"/>
          <w:szCs w:val="24"/>
          <w:highlight w:val="none"/>
          <w:lang w:val="en-US" w:eastAsia="zh-CN"/>
        </w:rPr>
        <w:t>新能源汽车产品产业</w:t>
      </w:r>
      <w:r>
        <w:rPr>
          <w:rFonts w:hint="eastAsia" w:ascii="Times New Roman"/>
          <w:szCs w:val="24"/>
          <w:highlight w:val="none"/>
        </w:rPr>
        <w:t>绿色业务发展的重大影响因素。</w:t>
      </w:r>
    </w:p>
    <w:p>
      <w:pPr>
        <w:pStyle w:val="95"/>
        <w:numPr>
          <w:ilvl w:val="1"/>
          <w:numId w:val="0"/>
        </w:numPr>
        <w:spacing w:before="156" w:after="156"/>
        <w:jc w:val="both"/>
        <w:rPr>
          <w:rFonts w:hAnsi="黑体" w:cs="黑体"/>
          <w:highlight w:val="none"/>
        </w:rPr>
      </w:pPr>
      <w:r>
        <w:rPr>
          <w:rFonts w:hint="eastAsia" w:hAnsi="黑体" w:cs="黑体"/>
          <w:highlight w:val="none"/>
        </w:rPr>
        <w:t>B.</w:t>
      </w:r>
      <w:r>
        <w:rPr>
          <w:rFonts w:hint="eastAsia" w:hAnsi="黑体" w:cs="黑体"/>
          <w:highlight w:val="none"/>
          <w:lang w:val="en-US" w:eastAsia="zh-CN"/>
        </w:rPr>
        <w:t>8</w:t>
      </w:r>
      <w:r>
        <w:rPr>
          <w:rFonts w:hint="eastAsia" w:hAnsi="黑体" w:cs="黑体"/>
          <w:highlight w:val="none"/>
        </w:rPr>
        <w:t xml:space="preserve"> 附录</w:t>
      </w:r>
    </w:p>
    <w:p>
      <w:pPr>
        <w:pStyle w:val="24"/>
        <w:rPr>
          <w:rFonts w:hint="eastAsia"/>
          <w:szCs w:val="24"/>
          <w:highlight w:val="none"/>
        </w:rPr>
        <w:sectPr>
          <w:headerReference r:id="rId10" w:type="default"/>
          <w:footerReference r:id="rId11" w:type="default"/>
          <w:footerReference r:id="rId12" w:type="even"/>
          <w:pgSz w:w="11906" w:h="16838"/>
          <w:pgMar w:top="567" w:right="1134" w:bottom="1134" w:left="1418" w:header="1418" w:footer="1134" w:gutter="0"/>
          <w:pgBorders>
            <w:top w:val="none" w:sz="0" w:space="0"/>
            <w:left w:val="none" w:sz="0" w:space="0"/>
            <w:bottom w:val="none" w:sz="0" w:space="0"/>
            <w:right w:val="none" w:sz="0" w:space="0"/>
          </w:pgBorders>
          <w:cols w:space="720" w:num="1"/>
          <w:formProt w:val="0"/>
          <w:docGrid w:type="lines" w:linePitch="312" w:charSpace="0"/>
        </w:sectPr>
      </w:pPr>
      <w:r>
        <w:rPr>
          <w:rFonts w:hint="eastAsia"/>
          <w:szCs w:val="24"/>
          <w:highlight w:val="none"/>
        </w:rPr>
        <w:t>列明上述章节所述情况及评分表涉及的佐证材料。</w:t>
      </w:r>
    </w:p>
    <w:p>
      <w:pPr>
        <w:pStyle w:val="92"/>
        <w:shd w:val="clear" w:color="FFFFFF" w:fill="FFFFFF"/>
        <w:ind w:left="0" w:firstLine="0"/>
        <w:rPr>
          <w:rFonts w:ascii="Times New Roman"/>
          <w:highlight w:val="none"/>
        </w:rPr>
      </w:pPr>
      <w:bookmarkStart w:id="161" w:name="_Toc3121"/>
      <w:bookmarkStart w:id="162" w:name="_Toc24589"/>
      <w:bookmarkStart w:id="163" w:name="_Toc22428"/>
      <w:r>
        <w:rPr>
          <w:rFonts w:ascii="Times New Roman"/>
          <w:highlight w:val="none"/>
        </w:rPr>
        <w:br w:type="textWrapping"/>
      </w:r>
      <w:r>
        <w:rPr>
          <w:rFonts w:ascii="Times New Roman"/>
          <w:highlight w:val="none"/>
        </w:rPr>
        <w:t>（资料性）</w:t>
      </w:r>
      <w:r>
        <w:rPr>
          <w:rFonts w:ascii="Times New Roman"/>
          <w:highlight w:val="none"/>
        </w:rPr>
        <w:br w:type="textWrapping"/>
      </w:r>
      <w:r>
        <w:rPr>
          <w:rFonts w:hint="eastAsia" w:ascii="Times New Roman"/>
          <w:highlight w:val="none"/>
        </w:rPr>
        <w:t>新能源汽车</w:t>
      </w:r>
      <w:r>
        <w:rPr>
          <w:rFonts w:hint="eastAsia" w:ascii="Times New Roman"/>
          <w:highlight w:val="none"/>
          <w:lang w:val="en-US" w:eastAsia="zh-CN"/>
        </w:rPr>
        <w:t>产品</w:t>
      </w:r>
      <w:r>
        <w:rPr>
          <w:rFonts w:hint="eastAsia" w:ascii="Times New Roman"/>
          <w:highlight w:val="none"/>
        </w:rPr>
        <w:t>行业</w:t>
      </w:r>
      <w:r>
        <w:rPr>
          <w:rFonts w:ascii="Times New Roman"/>
          <w:highlight w:val="none"/>
        </w:rPr>
        <w:t>绿色</w:t>
      </w:r>
      <w:r>
        <w:rPr>
          <w:rFonts w:hint="eastAsia" w:ascii="Times New Roman"/>
          <w:highlight w:val="none"/>
          <w:lang w:val="en-US" w:eastAsia="zh-CN"/>
        </w:rPr>
        <w:t>低碳</w:t>
      </w:r>
      <w:r>
        <w:rPr>
          <w:rFonts w:ascii="Times New Roman"/>
          <w:highlight w:val="none"/>
        </w:rPr>
        <w:t>产业</w:t>
      </w:r>
      <w:r>
        <w:rPr>
          <w:rFonts w:hint="eastAsia" w:ascii="Times New Roman"/>
          <w:highlight w:val="none"/>
          <w:lang w:val="en-US" w:eastAsia="zh-CN"/>
        </w:rPr>
        <w:t>项目</w:t>
      </w:r>
      <w:r>
        <w:rPr>
          <w:rFonts w:ascii="Times New Roman"/>
          <w:highlight w:val="none"/>
        </w:rPr>
        <w:t>认定评价报告模板</w:t>
      </w:r>
      <w:bookmarkEnd w:id="161"/>
      <w:bookmarkEnd w:id="162"/>
    </w:p>
    <w:bookmarkEnd w:id="163"/>
    <w:p>
      <w:pPr>
        <w:widowControl w:val="0"/>
        <w:numPr>
          <w:ilvl w:val="1"/>
          <w:numId w:val="0"/>
        </w:numPr>
        <w:spacing w:before="156" w:beforeLines="50" w:after="156" w:afterLines="50"/>
        <w:jc w:val="both"/>
        <w:rPr>
          <w:rFonts w:ascii="Times New Roman" w:hAnsi="Times New Roman" w:eastAsia="黑体" w:cs="Times New Roman"/>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C.1  封面</w:t>
      </w:r>
    </w:p>
    <w:p>
      <w:pPr>
        <w:pStyle w:val="24"/>
        <w:rPr>
          <w:rFonts w:ascii="Times New Roman"/>
          <w:highlight w:val="none"/>
        </w:rPr>
      </w:pPr>
      <w:r>
        <w:rPr>
          <w:rFonts w:hint="eastAsia" w:ascii="Times New Roman"/>
          <w:highlight w:val="none"/>
        </w:rPr>
        <w:t>新能源汽车</w:t>
      </w:r>
      <w:r>
        <w:rPr>
          <w:rFonts w:hint="eastAsia" w:ascii="Times New Roman"/>
          <w:highlight w:val="none"/>
          <w:lang w:val="en-US" w:eastAsia="zh-CN"/>
        </w:rPr>
        <w:t>产品</w:t>
      </w:r>
      <w:r>
        <w:rPr>
          <w:rFonts w:hint="eastAsia" w:ascii="Times New Roman"/>
          <w:highlight w:val="none"/>
        </w:rPr>
        <w:t>行业</w:t>
      </w:r>
      <w:r>
        <w:rPr>
          <w:rFonts w:ascii="Times New Roman"/>
          <w:highlight w:val="none"/>
        </w:rPr>
        <w:t>绿色</w:t>
      </w:r>
      <w:r>
        <w:rPr>
          <w:rFonts w:hint="eastAsia" w:ascii="Times New Roman"/>
          <w:highlight w:val="none"/>
          <w:lang w:val="en-US" w:eastAsia="zh-CN"/>
        </w:rPr>
        <w:t>低碳</w:t>
      </w:r>
      <w:r>
        <w:rPr>
          <w:rFonts w:ascii="Times New Roman"/>
          <w:highlight w:val="none"/>
        </w:rPr>
        <w:t>产业</w:t>
      </w:r>
      <w:r>
        <w:rPr>
          <w:rFonts w:hint="eastAsia" w:ascii="Times New Roman"/>
          <w:highlight w:val="none"/>
          <w:lang w:val="en-US" w:eastAsia="zh-CN"/>
        </w:rPr>
        <w:t>项目</w:t>
      </w:r>
      <w:r>
        <w:rPr>
          <w:rFonts w:ascii="Times New Roman"/>
          <w:highlight w:val="none"/>
        </w:rPr>
        <w:t>认定评价报告的封面要求见</w:t>
      </w:r>
      <w:r>
        <w:rPr>
          <w:rFonts w:hint="eastAsia" w:hAnsi="宋体" w:cs="宋体"/>
          <w:highlight w:val="none"/>
        </w:rPr>
        <w:t>表</w:t>
      </w:r>
      <w:r>
        <w:rPr>
          <w:rFonts w:hint="eastAsia" w:hAnsi="宋体" w:cs="宋体"/>
          <w:highlight w:val="none"/>
          <w:lang w:val="en-US" w:eastAsia="zh-CN"/>
        </w:rPr>
        <w:t>C</w:t>
      </w:r>
      <w:r>
        <w:rPr>
          <w:rFonts w:hint="eastAsia" w:hAnsi="宋体" w:cs="宋体"/>
          <w:highlight w:val="none"/>
        </w:rPr>
        <w:t>.1</w:t>
      </w:r>
      <w:r>
        <w:rPr>
          <w:rFonts w:ascii="Times New Roman"/>
          <w:highlight w:val="none"/>
        </w:rPr>
        <w:t>。</w:t>
      </w:r>
    </w:p>
    <w:p>
      <w:pPr>
        <w:widowControl w:val="0"/>
        <w:numPr>
          <w:ilvl w:val="1"/>
          <w:numId w:val="0"/>
        </w:numPr>
        <w:spacing w:before="156" w:beforeLines="50" w:after="156" w:afterLines="50"/>
        <w:jc w:val="center"/>
        <w:rPr>
          <w:rFonts w:ascii="Times New Roman" w:hAnsi="Times New Roman" w:eastAsia="黑体" w:cs="Times New Roman"/>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mc:AlternateContent>
          <mc:Choice Requires="wps">
            <w:drawing>
              <wp:anchor distT="45720" distB="45720" distL="114300" distR="114300" simplePos="0" relativeHeight="251666432" behindDoc="0" locked="0" layoutInCell="1" allowOverlap="1">
                <wp:simplePos x="0" y="0"/>
                <wp:positionH relativeFrom="column">
                  <wp:posOffset>320040</wp:posOffset>
                </wp:positionH>
                <wp:positionV relativeFrom="paragraph">
                  <wp:posOffset>469265</wp:posOffset>
                </wp:positionV>
                <wp:extent cx="5294630" cy="3667760"/>
                <wp:effectExtent l="4445" t="4445" r="15875" b="23495"/>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94630" cy="3667760"/>
                        </a:xfrm>
                        <a:prstGeom prst="rect">
                          <a:avLst/>
                        </a:prstGeom>
                        <a:noFill/>
                        <a:ln w="6350">
                          <a:solidFill>
                            <a:srgbClr val="000000"/>
                          </a:solidFill>
                          <a:miter lim="800000"/>
                        </a:ln>
                        <a:effectLst/>
                      </wps:spPr>
                      <wps:txbx>
                        <w:txbxContent>
                          <w:p>
                            <w:pPr>
                              <w:pStyle w:val="24"/>
                              <w:spacing w:line="360" w:lineRule="auto"/>
                              <w:ind w:firstLine="422"/>
                              <w:jc w:val="center"/>
                              <w:rPr>
                                <w:b/>
                              </w:rPr>
                            </w:pPr>
                          </w:p>
                          <w:p>
                            <w:pPr>
                              <w:pStyle w:val="24"/>
                              <w:spacing w:line="360" w:lineRule="auto"/>
                              <w:ind w:firstLine="422"/>
                              <w:jc w:val="center"/>
                              <w:rPr>
                                <w:b/>
                              </w:rPr>
                            </w:pPr>
                            <w:r>
                              <w:rPr>
                                <w:rFonts w:hint="eastAsia"/>
                                <w:b/>
                              </w:rPr>
                              <w:t>XXX</w:t>
                            </w:r>
                            <w:r>
                              <w:rPr>
                                <w:b/>
                              </w:rPr>
                              <w:t>X</w:t>
                            </w:r>
                            <w:r>
                              <w:rPr>
                                <w:rFonts w:hint="eastAsia"/>
                                <w:b/>
                              </w:rPr>
                              <w:t>公司</w:t>
                            </w:r>
                          </w:p>
                          <w:p>
                            <w:pPr>
                              <w:pStyle w:val="24"/>
                              <w:spacing w:line="360" w:lineRule="auto"/>
                              <w:ind w:firstLine="422"/>
                              <w:jc w:val="center"/>
                              <w:rPr>
                                <w:b/>
                              </w:rPr>
                            </w:pPr>
                            <w:r>
                              <w:rPr>
                                <w:rFonts w:hint="eastAsia"/>
                                <w:b/>
                              </w:rPr>
                              <w:t>新能源汽车产品行业</w:t>
                            </w:r>
                            <w:r>
                              <w:rPr>
                                <w:b/>
                              </w:rPr>
                              <w:t>绿色</w:t>
                            </w:r>
                            <w:r>
                              <w:rPr>
                                <w:rFonts w:hint="eastAsia"/>
                                <w:b/>
                                <w:lang w:val="en-US" w:eastAsia="zh-CN"/>
                              </w:rPr>
                              <w:t>低碳</w:t>
                            </w:r>
                            <w:r>
                              <w:rPr>
                                <w:rFonts w:hint="eastAsia"/>
                                <w:b/>
                              </w:rPr>
                              <w:t>产业</w:t>
                            </w:r>
                            <w:r>
                              <w:rPr>
                                <w:rFonts w:hint="eastAsia"/>
                                <w:b/>
                                <w:lang w:val="en-US" w:eastAsia="zh-CN"/>
                              </w:rPr>
                              <w:t>项目</w:t>
                            </w:r>
                            <w:r>
                              <w:rPr>
                                <w:b/>
                              </w:rPr>
                              <w:t>认定</w:t>
                            </w:r>
                            <w:r>
                              <w:rPr>
                                <w:rFonts w:hint="eastAsia"/>
                                <w:b/>
                              </w:rPr>
                              <w:t>评价</w:t>
                            </w:r>
                            <w:r>
                              <w:rPr>
                                <w:b/>
                              </w:rPr>
                              <w:t>报告</w:t>
                            </w:r>
                          </w:p>
                          <w:p>
                            <w:pPr>
                              <w:pStyle w:val="24"/>
                              <w:spacing w:line="360" w:lineRule="auto"/>
                              <w:ind w:firstLine="422"/>
                              <w:jc w:val="center"/>
                              <w:rPr>
                                <w:b/>
                              </w:rPr>
                            </w:pPr>
                          </w:p>
                          <w:p>
                            <w:pPr>
                              <w:pStyle w:val="24"/>
                              <w:spacing w:line="360" w:lineRule="auto"/>
                              <w:ind w:firstLine="422"/>
                              <w:jc w:val="center"/>
                              <w:rPr>
                                <w:b/>
                              </w:rPr>
                            </w:pPr>
                            <w:r>
                              <w:rPr>
                                <w:rFonts w:hint="eastAsia"/>
                                <w:b/>
                              </w:rPr>
                              <w:t>报告覆盖期间</w:t>
                            </w:r>
                          </w:p>
                          <w:p>
                            <w:pPr>
                              <w:pStyle w:val="24"/>
                              <w:spacing w:line="360" w:lineRule="auto"/>
                              <w:ind w:firstLine="422"/>
                              <w:jc w:val="center"/>
                              <w:rPr>
                                <w:b/>
                              </w:rPr>
                            </w:pPr>
                            <w:r>
                              <w:rPr>
                                <w:rFonts w:hint="eastAsia"/>
                                <w:b/>
                              </w:rPr>
                              <w:t>XXXX年X月</w:t>
                            </w:r>
                            <w:r>
                              <w:rPr>
                                <w:b/>
                              </w:rPr>
                              <w:t>X</w:t>
                            </w:r>
                            <w:r>
                              <w:rPr>
                                <w:rFonts w:hint="eastAsia"/>
                                <w:b/>
                              </w:rPr>
                              <w:t>日——XXXX年X月</w:t>
                            </w:r>
                            <w:r>
                              <w:rPr>
                                <w:b/>
                              </w:rPr>
                              <w:t>X</w:t>
                            </w:r>
                            <w:r>
                              <w:rPr>
                                <w:rFonts w:hint="eastAsia"/>
                                <w:b/>
                              </w:rPr>
                              <w:t>日</w:t>
                            </w:r>
                          </w:p>
                          <w:p>
                            <w:pPr>
                              <w:pStyle w:val="24"/>
                              <w:spacing w:line="360" w:lineRule="auto"/>
                              <w:ind w:firstLine="422"/>
                              <w:rPr>
                                <w:b/>
                              </w:rPr>
                            </w:pPr>
                          </w:p>
                          <w:p>
                            <w:pPr>
                              <w:pStyle w:val="24"/>
                              <w:spacing w:line="360" w:lineRule="auto"/>
                              <w:ind w:firstLine="2635" w:firstLineChars="1250"/>
                              <w:rPr>
                                <w:b/>
                              </w:rPr>
                            </w:pPr>
                            <w:r>
                              <w:rPr>
                                <w:rFonts w:hint="eastAsia"/>
                                <w:b/>
                              </w:rPr>
                              <w:t>申报单位：</w:t>
                            </w:r>
                            <w:r>
                              <w:rPr>
                                <w:rFonts w:hint="eastAsia"/>
                                <w:b/>
                                <w:u w:val="single"/>
                              </w:rPr>
                              <w:t xml:space="preserve"> </w:t>
                            </w:r>
                            <w:r>
                              <w:rPr>
                                <w:b/>
                                <w:u w:val="single"/>
                              </w:rPr>
                              <w:t xml:space="preserve">              </w:t>
                            </w:r>
                            <w:r>
                              <w:rPr>
                                <w:rFonts w:hint="eastAsia"/>
                                <w:b/>
                                <w:u w:val="single"/>
                              </w:rPr>
                              <w:t xml:space="preserve">（盖章）  </w:t>
                            </w:r>
                            <w:r>
                              <w:rPr>
                                <w:rFonts w:hint="eastAsia"/>
                                <w:b/>
                              </w:rPr>
                              <w:t xml:space="preserve">         </w:t>
                            </w:r>
                          </w:p>
                          <w:p>
                            <w:pPr>
                              <w:pStyle w:val="24"/>
                              <w:spacing w:line="360" w:lineRule="auto"/>
                              <w:ind w:firstLine="2635" w:firstLineChars="1250"/>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pPr>
                              <w:pStyle w:val="24"/>
                              <w:spacing w:line="360" w:lineRule="auto"/>
                              <w:ind w:firstLine="2635" w:firstLineChars="1250"/>
                              <w:rPr>
                                <w:b/>
                                <w:u w:val="single"/>
                              </w:rPr>
                            </w:pPr>
                            <w:r>
                              <w:rPr>
                                <w:rFonts w:hint="eastAsia"/>
                                <w:b/>
                              </w:rPr>
                              <w:t>编写人：</w:t>
                            </w:r>
                            <w:r>
                              <w:rPr>
                                <w:rFonts w:hint="eastAsia"/>
                                <w:b/>
                                <w:u w:val="single"/>
                              </w:rPr>
                              <w:t xml:space="preserve"> </w:t>
                            </w:r>
                            <w:r>
                              <w:rPr>
                                <w:b/>
                                <w:u w:val="single"/>
                              </w:rPr>
                              <w:t xml:space="preserve">                          </w:t>
                            </w:r>
                          </w:p>
                          <w:p>
                            <w:pPr>
                              <w:pStyle w:val="24"/>
                              <w:spacing w:line="360" w:lineRule="auto"/>
                              <w:ind w:firstLine="2635" w:firstLineChars="1250"/>
                              <w:rPr>
                                <w:b/>
                                <w:u w:val="single"/>
                              </w:rPr>
                            </w:pPr>
                            <w:r>
                              <w:rPr>
                                <w:rFonts w:hint="eastAsia"/>
                                <w:b/>
                              </w:rPr>
                              <w:t>编写单位：</w:t>
                            </w:r>
                            <w:r>
                              <w:rPr>
                                <w:rFonts w:hint="eastAsia"/>
                                <w:b/>
                                <w:u w:val="single"/>
                              </w:rPr>
                              <w:t xml:space="preserve"> </w:t>
                            </w:r>
                            <w:r>
                              <w:rPr>
                                <w:b/>
                                <w:u w:val="single"/>
                              </w:rPr>
                              <w:t xml:space="preserve">                        </w:t>
                            </w:r>
                          </w:p>
                          <w:p>
                            <w:pPr>
                              <w:pStyle w:val="24"/>
                              <w:spacing w:line="360" w:lineRule="auto"/>
                              <w:ind w:firstLine="2635" w:firstLineChars="1250"/>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5.2pt;margin-top:36.95pt;height:288.8pt;width:416.9pt;mso-wrap-distance-bottom:3.6pt;mso-wrap-distance-left:9pt;mso-wrap-distance-right:9pt;mso-wrap-distance-top:3.6pt;z-index:251666432;mso-width-relative:page;mso-height-relative:page;" filled="f" stroked="t" coordsize="21600,21600" o:gfxdata="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&#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tBkVN2gAAAAkBAAAPAAAAAAAAAAEAIAAAACIAAABk&#10;cnMvZG93bnJldi54bWxQSwECFAAUAAAACACHTuJApRRdaj0CAABhBAAADgAAAAAAAAABACAAAAAp&#10;AQAAZHJzL2Uyb0RvYy54bWxQSwUGAAAAAAYABgBZAQAA2AUAAAAA&#10;">
                <v:fill on="f" focussize="0,0"/>
                <v:stroke weight="0.5pt" color="#000000" miterlimit="8" joinstyle="miter"/>
                <v:imagedata o:title=""/>
                <o:lock v:ext="edit" aspectratio="f"/>
                <v:textbox>
                  <w:txbxContent>
                    <w:p>
                      <w:pPr>
                        <w:pStyle w:val="24"/>
                        <w:spacing w:line="360" w:lineRule="auto"/>
                        <w:ind w:firstLine="422"/>
                        <w:jc w:val="center"/>
                        <w:rPr>
                          <w:b/>
                        </w:rPr>
                      </w:pPr>
                    </w:p>
                    <w:p>
                      <w:pPr>
                        <w:pStyle w:val="24"/>
                        <w:spacing w:line="360" w:lineRule="auto"/>
                        <w:ind w:firstLine="422"/>
                        <w:jc w:val="center"/>
                        <w:rPr>
                          <w:b/>
                        </w:rPr>
                      </w:pPr>
                      <w:r>
                        <w:rPr>
                          <w:rFonts w:hint="eastAsia"/>
                          <w:b/>
                        </w:rPr>
                        <w:t>XXX</w:t>
                      </w:r>
                      <w:r>
                        <w:rPr>
                          <w:b/>
                        </w:rPr>
                        <w:t>X</w:t>
                      </w:r>
                      <w:r>
                        <w:rPr>
                          <w:rFonts w:hint="eastAsia"/>
                          <w:b/>
                        </w:rPr>
                        <w:t>公司</w:t>
                      </w:r>
                    </w:p>
                    <w:p>
                      <w:pPr>
                        <w:pStyle w:val="24"/>
                        <w:spacing w:line="360" w:lineRule="auto"/>
                        <w:ind w:firstLine="422"/>
                        <w:jc w:val="center"/>
                        <w:rPr>
                          <w:b/>
                        </w:rPr>
                      </w:pPr>
                      <w:r>
                        <w:rPr>
                          <w:rFonts w:hint="eastAsia"/>
                          <w:b/>
                        </w:rPr>
                        <w:t>新能源汽车产品行业</w:t>
                      </w:r>
                      <w:r>
                        <w:rPr>
                          <w:b/>
                        </w:rPr>
                        <w:t>绿色</w:t>
                      </w:r>
                      <w:r>
                        <w:rPr>
                          <w:rFonts w:hint="eastAsia"/>
                          <w:b/>
                          <w:lang w:val="en-US" w:eastAsia="zh-CN"/>
                        </w:rPr>
                        <w:t>低碳</w:t>
                      </w:r>
                      <w:r>
                        <w:rPr>
                          <w:rFonts w:hint="eastAsia"/>
                          <w:b/>
                        </w:rPr>
                        <w:t>产业</w:t>
                      </w:r>
                      <w:r>
                        <w:rPr>
                          <w:rFonts w:hint="eastAsia"/>
                          <w:b/>
                          <w:lang w:val="en-US" w:eastAsia="zh-CN"/>
                        </w:rPr>
                        <w:t>项目</w:t>
                      </w:r>
                      <w:r>
                        <w:rPr>
                          <w:b/>
                        </w:rPr>
                        <w:t>认定</w:t>
                      </w:r>
                      <w:r>
                        <w:rPr>
                          <w:rFonts w:hint="eastAsia"/>
                          <w:b/>
                        </w:rPr>
                        <w:t>评价</w:t>
                      </w:r>
                      <w:r>
                        <w:rPr>
                          <w:b/>
                        </w:rPr>
                        <w:t>报告</w:t>
                      </w:r>
                    </w:p>
                    <w:p>
                      <w:pPr>
                        <w:pStyle w:val="24"/>
                        <w:spacing w:line="360" w:lineRule="auto"/>
                        <w:ind w:firstLine="422"/>
                        <w:jc w:val="center"/>
                        <w:rPr>
                          <w:b/>
                        </w:rPr>
                      </w:pPr>
                    </w:p>
                    <w:p>
                      <w:pPr>
                        <w:pStyle w:val="24"/>
                        <w:spacing w:line="360" w:lineRule="auto"/>
                        <w:ind w:firstLine="422"/>
                        <w:jc w:val="center"/>
                        <w:rPr>
                          <w:b/>
                        </w:rPr>
                      </w:pPr>
                      <w:r>
                        <w:rPr>
                          <w:rFonts w:hint="eastAsia"/>
                          <w:b/>
                        </w:rPr>
                        <w:t>报告覆盖期间</w:t>
                      </w:r>
                    </w:p>
                    <w:p>
                      <w:pPr>
                        <w:pStyle w:val="24"/>
                        <w:spacing w:line="360" w:lineRule="auto"/>
                        <w:ind w:firstLine="422"/>
                        <w:jc w:val="center"/>
                        <w:rPr>
                          <w:b/>
                        </w:rPr>
                      </w:pPr>
                      <w:r>
                        <w:rPr>
                          <w:rFonts w:hint="eastAsia"/>
                          <w:b/>
                        </w:rPr>
                        <w:t>XXXX年X月</w:t>
                      </w:r>
                      <w:r>
                        <w:rPr>
                          <w:b/>
                        </w:rPr>
                        <w:t>X</w:t>
                      </w:r>
                      <w:r>
                        <w:rPr>
                          <w:rFonts w:hint="eastAsia"/>
                          <w:b/>
                        </w:rPr>
                        <w:t>日——XXXX年X月</w:t>
                      </w:r>
                      <w:r>
                        <w:rPr>
                          <w:b/>
                        </w:rPr>
                        <w:t>X</w:t>
                      </w:r>
                      <w:r>
                        <w:rPr>
                          <w:rFonts w:hint="eastAsia"/>
                          <w:b/>
                        </w:rPr>
                        <w:t>日</w:t>
                      </w:r>
                    </w:p>
                    <w:p>
                      <w:pPr>
                        <w:pStyle w:val="24"/>
                        <w:spacing w:line="360" w:lineRule="auto"/>
                        <w:ind w:firstLine="422"/>
                        <w:rPr>
                          <w:b/>
                        </w:rPr>
                      </w:pPr>
                    </w:p>
                    <w:p>
                      <w:pPr>
                        <w:pStyle w:val="24"/>
                        <w:spacing w:line="360" w:lineRule="auto"/>
                        <w:ind w:firstLine="2635" w:firstLineChars="1250"/>
                        <w:rPr>
                          <w:b/>
                        </w:rPr>
                      </w:pPr>
                      <w:r>
                        <w:rPr>
                          <w:rFonts w:hint="eastAsia"/>
                          <w:b/>
                        </w:rPr>
                        <w:t>申报单位：</w:t>
                      </w:r>
                      <w:r>
                        <w:rPr>
                          <w:rFonts w:hint="eastAsia"/>
                          <w:b/>
                          <w:u w:val="single"/>
                        </w:rPr>
                        <w:t xml:space="preserve"> </w:t>
                      </w:r>
                      <w:r>
                        <w:rPr>
                          <w:b/>
                          <w:u w:val="single"/>
                        </w:rPr>
                        <w:t xml:space="preserve">              </w:t>
                      </w:r>
                      <w:r>
                        <w:rPr>
                          <w:rFonts w:hint="eastAsia"/>
                          <w:b/>
                          <w:u w:val="single"/>
                        </w:rPr>
                        <w:t xml:space="preserve">（盖章）  </w:t>
                      </w:r>
                      <w:r>
                        <w:rPr>
                          <w:rFonts w:hint="eastAsia"/>
                          <w:b/>
                        </w:rPr>
                        <w:t xml:space="preserve">         </w:t>
                      </w:r>
                    </w:p>
                    <w:p>
                      <w:pPr>
                        <w:pStyle w:val="24"/>
                        <w:spacing w:line="360" w:lineRule="auto"/>
                        <w:ind w:firstLine="2635" w:firstLineChars="1250"/>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pPr>
                        <w:pStyle w:val="24"/>
                        <w:spacing w:line="360" w:lineRule="auto"/>
                        <w:ind w:firstLine="2635" w:firstLineChars="1250"/>
                        <w:rPr>
                          <w:b/>
                          <w:u w:val="single"/>
                        </w:rPr>
                      </w:pPr>
                      <w:r>
                        <w:rPr>
                          <w:rFonts w:hint="eastAsia"/>
                          <w:b/>
                        </w:rPr>
                        <w:t>编写人：</w:t>
                      </w:r>
                      <w:r>
                        <w:rPr>
                          <w:rFonts w:hint="eastAsia"/>
                          <w:b/>
                          <w:u w:val="single"/>
                        </w:rPr>
                        <w:t xml:space="preserve"> </w:t>
                      </w:r>
                      <w:r>
                        <w:rPr>
                          <w:b/>
                          <w:u w:val="single"/>
                        </w:rPr>
                        <w:t xml:space="preserve">                          </w:t>
                      </w:r>
                    </w:p>
                    <w:p>
                      <w:pPr>
                        <w:pStyle w:val="24"/>
                        <w:spacing w:line="360" w:lineRule="auto"/>
                        <w:ind w:firstLine="2635" w:firstLineChars="1250"/>
                        <w:rPr>
                          <w:b/>
                          <w:u w:val="single"/>
                        </w:rPr>
                      </w:pPr>
                      <w:r>
                        <w:rPr>
                          <w:rFonts w:hint="eastAsia"/>
                          <w:b/>
                        </w:rPr>
                        <w:t>编写单位：</w:t>
                      </w:r>
                      <w:r>
                        <w:rPr>
                          <w:rFonts w:hint="eastAsia"/>
                          <w:b/>
                          <w:u w:val="single"/>
                        </w:rPr>
                        <w:t xml:space="preserve"> </w:t>
                      </w:r>
                      <w:r>
                        <w:rPr>
                          <w:b/>
                          <w:u w:val="single"/>
                        </w:rPr>
                        <w:t xml:space="preserve">                        </w:t>
                      </w:r>
                    </w:p>
                    <w:p>
                      <w:pPr>
                        <w:pStyle w:val="24"/>
                        <w:spacing w:line="360" w:lineRule="auto"/>
                        <w:ind w:firstLine="2635" w:firstLineChars="1250"/>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p>
                  </w:txbxContent>
                </v:textbox>
                <w10:wrap type="square"/>
              </v:shape>
            </w:pict>
          </mc:Fallback>
        </mc:AlternateContent>
      </w:r>
      <w:r>
        <w:rPr>
          <w:rFonts w:hint="eastAsia" w:ascii="黑体" w:hAnsi="黑体" w:eastAsia="黑体" w:cs="黑体"/>
          <w:kern w:val="2"/>
          <w:sz w:val="21"/>
          <w:szCs w:val="21"/>
          <w:highlight w:val="none"/>
          <w:lang w:val="en-US" w:eastAsia="zh-CN" w:bidi="ar-SA"/>
        </w:rPr>
        <w:t xml:space="preserve">表C.1  </w:t>
      </w:r>
      <w:r>
        <w:rPr>
          <w:rFonts w:hint="eastAsia" w:ascii="黑体" w:hAnsi="黑体" w:eastAsia="黑体" w:cs="黑体"/>
          <w:szCs w:val="21"/>
          <w:highlight w:val="none"/>
        </w:rPr>
        <w:t>新能源汽车产品行业</w:t>
      </w:r>
      <w:r>
        <w:rPr>
          <w:rFonts w:hint="eastAsia" w:ascii="黑体" w:hAnsi="黑体" w:eastAsia="黑体" w:cs="黑体"/>
          <w:kern w:val="2"/>
          <w:sz w:val="21"/>
          <w:szCs w:val="21"/>
          <w:highlight w:val="none"/>
          <w:lang w:val="en-US" w:eastAsia="zh-CN" w:bidi="ar-SA"/>
        </w:rPr>
        <w:t>绿色低碳产业项目认定评价报告封面</w:t>
      </w:r>
    </w:p>
    <w:p>
      <w:pPr>
        <w:widowControl w:val="0"/>
        <w:numPr>
          <w:ilvl w:val="1"/>
          <w:numId w:val="0"/>
        </w:numPr>
        <w:spacing w:before="156" w:beforeLines="50" w:after="156" w:afterLines="50"/>
        <w:jc w:val="both"/>
        <w:rPr>
          <w:rFonts w:ascii="Times New Roman" w:hAnsi="Times New Roman" w:eastAsia="黑体" w:cs="Times New Roman"/>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C.2  基本信息</w:t>
      </w:r>
    </w:p>
    <w:p>
      <w:pPr>
        <w:pStyle w:val="24"/>
        <w:rPr>
          <w:rFonts w:ascii="Times New Roman"/>
          <w:highlight w:val="none"/>
        </w:rPr>
      </w:pPr>
      <w:r>
        <w:rPr>
          <w:rFonts w:ascii="Times New Roman"/>
          <w:highlight w:val="none"/>
        </w:rPr>
        <w:t>基本信息的填报要求见</w:t>
      </w:r>
      <w:r>
        <w:rPr>
          <w:rFonts w:hint="eastAsia" w:hAnsi="宋体" w:cs="宋体"/>
          <w:highlight w:val="none"/>
        </w:rPr>
        <w:t>表C.2</w:t>
      </w:r>
      <w:r>
        <w:rPr>
          <w:rFonts w:ascii="Times New Roman"/>
          <w:highlight w:val="none"/>
        </w:rPr>
        <w:t>。</w:t>
      </w:r>
    </w:p>
    <w:p>
      <w:pPr>
        <w:widowControl w:val="0"/>
        <w:numPr>
          <w:ilvl w:val="1"/>
          <w:numId w:val="0"/>
        </w:numPr>
        <w:spacing w:before="156" w:beforeLines="50" w:after="156" w:afterLines="50"/>
        <w:jc w:val="center"/>
        <w:rPr>
          <w:rFonts w:ascii="Times New Roman" w:hAnsi="Times New Roman" w:eastAsia="黑体" w:cs="Times New Roman"/>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表C.2  基本信息</w:t>
      </w:r>
    </w:p>
    <w:tbl>
      <w:tblPr>
        <w:tblStyle w:val="34"/>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23"/>
        <w:gridCol w:w="3154"/>
        <w:gridCol w:w="1533"/>
        <w:gridCol w:w="2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162" w:type="pct"/>
            <w:tcBorders>
              <w:tl2br w:val="nil"/>
              <w:tr2bl w:val="nil"/>
            </w:tcBorders>
            <w:noWrap w:val="0"/>
            <w:vAlign w:val="center"/>
          </w:tcPr>
          <w:p>
            <w:pPr>
              <w:widowControl/>
              <w:jc w:val="center"/>
              <w:rPr>
                <w:rFonts w:eastAsia="宋体"/>
                <w:color w:val="000000"/>
                <w:kern w:val="0"/>
                <w:sz w:val="18"/>
                <w:szCs w:val="18"/>
                <w:highlight w:val="none"/>
              </w:rPr>
            </w:pPr>
            <w:r>
              <w:rPr>
                <w:rFonts w:hint="eastAsia" w:eastAsia="宋体"/>
                <w:color w:val="000000"/>
                <w:kern w:val="0"/>
                <w:sz w:val="18"/>
                <w:szCs w:val="18"/>
                <w:highlight w:val="none"/>
                <w:lang w:val="en-US" w:eastAsia="zh-CN"/>
              </w:rPr>
              <w:t>项目</w:t>
            </w:r>
            <w:r>
              <w:rPr>
                <w:rFonts w:eastAsia="宋体"/>
                <w:color w:val="000000"/>
                <w:kern w:val="0"/>
                <w:sz w:val="18"/>
                <w:szCs w:val="18"/>
                <w:highlight w:val="none"/>
              </w:rPr>
              <w:t>名称</w:t>
            </w:r>
          </w:p>
        </w:tc>
        <w:tc>
          <w:tcPr>
            <w:tcW w:w="3837" w:type="pct"/>
            <w:gridSpan w:val="3"/>
            <w:tcBorders>
              <w:tl2br w:val="nil"/>
              <w:tr2bl w:val="nil"/>
            </w:tcBorders>
            <w:noWrap w:val="0"/>
            <w:vAlign w:val="center"/>
          </w:tcPr>
          <w:p>
            <w:pPr>
              <w:widowControl/>
              <w:rPr>
                <w:rFonts w:eastAsia="宋体"/>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162" w:type="pct"/>
            <w:tcBorders>
              <w:tl2br w:val="nil"/>
              <w:tr2bl w:val="nil"/>
            </w:tcBorders>
            <w:noWrap w:val="0"/>
            <w:vAlign w:val="center"/>
          </w:tcPr>
          <w:p>
            <w:pPr>
              <w:widowControl/>
              <w:jc w:val="center"/>
              <w:rPr>
                <w:rFonts w:eastAsia="宋体"/>
                <w:color w:val="000000"/>
                <w:kern w:val="0"/>
                <w:sz w:val="18"/>
                <w:szCs w:val="18"/>
                <w:highlight w:val="none"/>
              </w:rPr>
            </w:pPr>
            <w:r>
              <w:rPr>
                <w:rFonts w:eastAsia="宋体"/>
                <w:color w:val="000000"/>
                <w:kern w:val="0"/>
                <w:sz w:val="18"/>
                <w:szCs w:val="18"/>
                <w:highlight w:val="none"/>
              </w:rPr>
              <w:t>申请认定评价的绿色业务相关产品或服务</w:t>
            </w:r>
          </w:p>
        </w:tc>
        <w:tc>
          <w:tcPr>
            <w:tcW w:w="3837" w:type="pct"/>
            <w:gridSpan w:val="3"/>
            <w:tcBorders>
              <w:tl2br w:val="nil"/>
              <w:tr2bl w:val="nil"/>
            </w:tcBorders>
            <w:noWrap w:val="0"/>
            <w:vAlign w:val="center"/>
          </w:tcPr>
          <w:p>
            <w:pPr>
              <w:widowControl/>
              <w:rPr>
                <w:rFonts w:eastAsia="宋体"/>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1162" w:type="pct"/>
            <w:tcBorders>
              <w:tl2br w:val="nil"/>
              <w:tr2bl w:val="nil"/>
            </w:tcBorders>
            <w:noWrap w:val="0"/>
            <w:vAlign w:val="center"/>
          </w:tcPr>
          <w:p>
            <w:pPr>
              <w:widowControl/>
              <w:jc w:val="center"/>
              <w:rPr>
                <w:rFonts w:hint="default" w:eastAsia="宋体"/>
                <w:color w:val="000000"/>
                <w:kern w:val="0"/>
                <w:sz w:val="18"/>
                <w:szCs w:val="18"/>
                <w:highlight w:val="none"/>
                <w:lang w:val="en-US" w:eastAsia="zh-CN"/>
              </w:rPr>
            </w:pPr>
            <w:r>
              <w:rPr>
                <w:rFonts w:hint="eastAsia" w:eastAsia="宋体"/>
                <w:color w:val="000000"/>
                <w:kern w:val="0"/>
                <w:sz w:val="18"/>
                <w:szCs w:val="18"/>
                <w:highlight w:val="none"/>
                <w:lang w:val="en-US" w:eastAsia="zh-CN"/>
              </w:rPr>
              <w:t>申报单位名称</w:t>
            </w:r>
          </w:p>
        </w:tc>
        <w:tc>
          <w:tcPr>
            <w:tcW w:w="3837" w:type="pct"/>
            <w:gridSpan w:val="3"/>
            <w:tcBorders>
              <w:tl2br w:val="nil"/>
              <w:tr2bl w:val="nil"/>
            </w:tcBorders>
            <w:noWrap w:val="0"/>
            <w:vAlign w:val="center"/>
          </w:tcPr>
          <w:p>
            <w:pPr>
              <w:widowControl/>
              <w:rPr>
                <w:rFonts w:eastAsia="宋体"/>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jc w:val="center"/>
        </w:trPr>
        <w:tc>
          <w:tcPr>
            <w:tcW w:w="1162" w:type="pct"/>
            <w:tcBorders>
              <w:tl2br w:val="nil"/>
              <w:tr2bl w:val="nil"/>
            </w:tcBorders>
            <w:noWrap w:val="0"/>
            <w:vAlign w:val="center"/>
          </w:tcPr>
          <w:p>
            <w:pPr>
              <w:widowControl/>
              <w:jc w:val="center"/>
              <w:rPr>
                <w:rFonts w:hint="eastAsia" w:ascii="Times New Roman" w:hAnsi="Times New Roman" w:eastAsia="宋体" w:cs="Times New Roman"/>
                <w:color w:val="000000"/>
                <w:kern w:val="0"/>
                <w:sz w:val="18"/>
                <w:szCs w:val="18"/>
                <w:highlight w:val="none"/>
                <w:lang w:val="en-US" w:eastAsia="zh-CN" w:bidi="ar-SA"/>
              </w:rPr>
            </w:pPr>
            <w:r>
              <w:rPr>
                <w:rFonts w:eastAsia="宋体"/>
                <w:color w:val="000000"/>
                <w:kern w:val="0"/>
                <w:sz w:val="18"/>
                <w:szCs w:val="18"/>
                <w:highlight w:val="none"/>
              </w:rPr>
              <w:t>联系人</w:t>
            </w:r>
          </w:p>
        </w:tc>
        <w:tc>
          <w:tcPr>
            <w:tcW w:w="1648" w:type="pct"/>
            <w:tcBorders>
              <w:tl2br w:val="nil"/>
              <w:tr2bl w:val="nil"/>
            </w:tcBorders>
            <w:noWrap w:val="0"/>
            <w:vAlign w:val="center"/>
          </w:tcPr>
          <w:p>
            <w:pPr>
              <w:widowControl/>
              <w:jc w:val="left"/>
              <w:rPr>
                <w:rFonts w:hint="eastAsia" w:ascii="Times New Roman" w:hAnsi="Times New Roman" w:eastAsia="宋体" w:cs="Times New Roman"/>
                <w:color w:val="000000"/>
                <w:kern w:val="0"/>
                <w:sz w:val="18"/>
                <w:szCs w:val="18"/>
                <w:highlight w:val="none"/>
                <w:lang w:val="en-US" w:eastAsia="zh-CN" w:bidi="ar-SA"/>
              </w:rPr>
            </w:pPr>
          </w:p>
        </w:tc>
        <w:tc>
          <w:tcPr>
            <w:tcW w:w="801" w:type="pct"/>
            <w:tcBorders>
              <w:tl2br w:val="nil"/>
              <w:tr2bl w:val="nil"/>
            </w:tcBorders>
            <w:noWrap w:val="0"/>
            <w:vAlign w:val="center"/>
          </w:tcPr>
          <w:p>
            <w:pPr>
              <w:widowControl/>
              <w:jc w:val="center"/>
              <w:rPr>
                <w:rFonts w:hint="eastAsia" w:ascii="Times New Roman" w:hAnsi="Times New Roman" w:eastAsia="宋体" w:cs="Times New Roman"/>
                <w:color w:val="000000"/>
                <w:kern w:val="0"/>
                <w:sz w:val="18"/>
                <w:szCs w:val="18"/>
                <w:highlight w:val="none"/>
                <w:lang w:val="en-US" w:eastAsia="zh-CN" w:bidi="ar-SA"/>
              </w:rPr>
            </w:pPr>
            <w:r>
              <w:rPr>
                <w:rFonts w:eastAsia="宋体"/>
                <w:color w:val="000000"/>
                <w:kern w:val="0"/>
                <w:sz w:val="18"/>
                <w:szCs w:val="18"/>
                <w:highlight w:val="none"/>
              </w:rPr>
              <w:t>联系电话</w:t>
            </w:r>
          </w:p>
        </w:tc>
        <w:tc>
          <w:tcPr>
            <w:tcW w:w="1387" w:type="pct"/>
            <w:tcBorders>
              <w:tl2br w:val="nil"/>
              <w:tr2bl w:val="nil"/>
            </w:tcBorders>
            <w:noWrap w:val="0"/>
            <w:vAlign w:val="center"/>
          </w:tcPr>
          <w:p>
            <w:pPr>
              <w:widowControl/>
              <w:rPr>
                <w:rFonts w:hint="eastAsia" w:ascii="Times New Roman" w:hAnsi="Times New Roman" w:eastAsia="宋体" w:cs="Times New Roman"/>
                <w:color w:val="000000"/>
                <w:kern w:val="0"/>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5000" w:type="pct"/>
            <w:gridSpan w:val="4"/>
            <w:tcBorders>
              <w:tl2br w:val="nil"/>
              <w:tr2bl w:val="nil"/>
            </w:tcBorders>
            <w:noWrap w:val="0"/>
            <w:vAlign w:val="center"/>
          </w:tcPr>
          <w:p>
            <w:pPr>
              <w:widowControl/>
              <w:jc w:val="center"/>
              <w:rPr>
                <w:rFonts w:eastAsia="宋体"/>
                <w:color w:val="000000"/>
                <w:kern w:val="0"/>
                <w:sz w:val="18"/>
                <w:szCs w:val="18"/>
                <w:highlight w:val="none"/>
              </w:rPr>
            </w:pPr>
            <w:r>
              <w:rPr>
                <w:rFonts w:hint="eastAsia" w:ascii="宋体" w:hAnsi="宋体" w:cs="宋体"/>
                <w:color w:val="000000"/>
                <w:kern w:val="0"/>
                <w:sz w:val="18"/>
                <w:szCs w:val="18"/>
                <w:highlight w:val="none"/>
              </w:rPr>
              <w:t>表</w:t>
            </w:r>
            <w:r>
              <w:rPr>
                <w:rFonts w:hint="eastAsia" w:ascii="宋体" w:hAnsi="宋体" w:cs="宋体"/>
                <w:color w:val="000000"/>
                <w:kern w:val="0"/>
                <w:sz w:val="18"/>
                <w:szCs w:val="18"/>
                <w:highlight w:val="none"/>
                <w:lang w:val="en-US" w:eastAsia="zh-CN"/>
              </w:rPr>
              <w:t>C</w:t>
            </w:r>
            <w:r>
              <w:rPr>
                <w:rFonts w:hint="eastAsia" w:ascii="宋体" w:hAnsi="宋体" w:cs="宋体"/>
                <w:color w:val="000000"/>
                <w:kern w:val="0"/>
                <w:sz w:val="18"/>
                <w:szCs w:val="18"/>
                <w:highlight w:val="none"/>
              </w:rPr>
              <w:t>.2 （第2页/共2页）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162" w:type="pct"/>
            <w:tcBorders>
              <w:tl2br w:val="nil"/>
              <w:tr2bl w:val="nil"/>
            </w:tcBorders>
            <w:noWrap w:val="0"/>
            <w:vAlign w:val="center"/>
          </w:tcPr>
          <w:p>
            <w:pPr>
              <w:widowControl/>
              <w:jc w:val="center"/>
              <w:rPr>
                <w:rFonts w:eastAsia="宋体"/>
                <w:color w:val="000000"/>
                <w:kern w:val="0"/>
                <w:sz w:val="18"/>
                <w:szCs w:val="18"/>
                <w:highlight w:val="none"/>
              </w:rPr>
            </w:pPr>
            <w:r>
              <w:rPr>
                <w:rFonts w:hint="eastAsia" w:eastAsia="宋体"/>
                <w:color w:val="000000"/>
                <w:kern w:val="0"/>
                <w:sz w:val="18"/>
                <w:szCs w:val="18"/>
                <w:highlight w:val="none"/>
                <w:lang w:val="en-US" w:eastAsia="zh-CN"/>
              </w:rPr>
              <w:t>项目</w:t>
            </w:r>
            <w:r>
              <w:rPr>
                <w:rFonts w:eastAsia="宋体"/>
                <w:color w:val="000000"/>
                <w:kern w:val="0"/>
                <w:sz w:val="18"/>
                <w:szCs w:val="18"/>
                <w:highlight w:val="none"/>
              </w:rPr>
              <w:t>简介</w:t>
            </w:r>
          </w:p>
        </w:tc>
        <w:tc>
          <w:tcPr>
            <w:tcW w:w="3837" w:type="pct"/>
            <w:gridSpan w:val="3"/>
            <w:tcBorders>
              <w:tl2br w:val="nil"/>
              <w:tr2bl w:val="nil"/>
            </w:tcBorders>
            <w:noWrap w:val="0"/>
            <w:vAlign w:val="center"/>
          </w:tcPr>
          <w:p>
            <w:pPr>
              <w:widowControl/>
              <w:rPr>
                <w:rFonts w:eastAsia="宋体"/>
                <w:color w:val="000000"/>
                <w:kern w:val="0"/>
                <w:sz w:val="18"/>
                <w:szCs w:val="18"/>
                <w:highlight w:val="none"/>
              </w:rPr>
            </w:pPr>
            <w:r>
              <w:rPr>
                <w:rFonts w:eastAsia="宋体"/>
                <w:color w:val="000000"/>
                <w:kern w:val="0"/>
                <w:sz w:val="18"/>
                <w:szCs w:val="18"/>
                <w:highlight w:val="none"/>
              </w:rPr>
              <w:t>（</w:t>
            </w:r>
            <w:r>
              <w:rPr>
                <w:rFonts w:hint="eastAsia" w:eastAsia="宋体"/>
                <w:color w:val="000000"/>
                <w:kern w:val="0"/>
                <w:sz w:val="18"/>
                <w:szCs w:val="18"/>
                <w:highlight w:val="none"/>
                <w:lang w:val="en-US" w:eastAsia="zh-CN"/>
              </w:rPr>
              <w:t>项目建设、运营</w:t>
            </w:r>
            <w:r>
              <w:rPr>
                <w:rFonts w:eastAsia="宋体"/>
                <w:color w:val="000000"/>
                <w:kern w:val="0"/>
                <w:sz w:val="18"/>
                <w:szCs w:val="18"/>
                <w:highlight w:val="none"/>
              </w:rPr>
              <w:t>情况介绍）</w:t>
            </w:r>
          </w:p>
          <w:p>
            <w:pPr>
              <w:widowControl/>
              <w:rPr>
                <w:rFonts w:eastAsia="宋体"/>
                <w:color w:val="000000"/>
                <w:kern w:val="0"/>
                <w:sz w:val="18"/>
                <w:szCs w:val="18"/>
                <w:highlight w:val="none"/>
              </w:rPr>
            </w:pPr>
          </w:p>
          <w:p>
            <w:pPr>
              <w:widowControl/>
              <w:rPr>
                <w:rFonts w:eastAsia="宋体"/>
                <w:color w:val="000000"/>
                <w:kern w:val="0"/>
                <w:sz w:val="18"/>
                <w:szCs w:val="18"/>
                <w:highlight w:val="none"/>
              </w:rPr>
            </w:pPr>
          </w:p>
          <w:p>
            <w:pPr>
              <w:pStyle w:val="2"/>
              <w:rPr>
                <w:highlight w:val="none"/>
              </w:rPr>
            </w:pPr>
          </w:p>
          <w:p>
            <w:pPr>
              <w:widowControl/>
              <w:rPr>
                <w:rFonts w:eastAsia="宋体"/>
                <w:color w:val="000000"/>
                <w:kern w:val="0"/>
                <w:sz w:val="18"/>
                <w:szCs w:val="18"/>
                <w:highlight w:val="none"/>
              </w:rPr>
            </w:pPr>
          </w:p>
          <w:p>
            <w:pPr>
              <w:widowControl/>
              <w:rPr>
                <w:rFonts w:eastAsia="宋体"/>
                <w:color w:val="000000"/>
                <w:kern w:val="0"/>
                <w:sz w:val="18"/>
                <w:szCs w:val="18"/>
                <w:highlight w:val="none"/>
              </w:rPr>
            </w:pPr>
          </w:p>
          <w:p>
            <w:pPr>
              <w:widowControl/>
              <w:rPr>
                <w:rFonts w:eastAsia="宋体"/>
                <w:color w:val="000000"/>
                <w:kern w:val="0"/>
                <w:sz w:val="18"/>
                <w:szCs w:val="18"/>
                <w:highlight w:val="none"/>
              </w:rPr>
            </w:pPr>
          </w:p>
          <w:p>
            <w:pPr>
              <w:pStyle w:val="2"/>
              <w:rPr>
                <w:highlight w:val="none"/>
              </w:rPr>
            </w:pPr>
          </w:p>
          <w:p>
            <w:pPr>
              <w:pStyle w:val="2"/>
              <w:rPr>
                <w:highlight w:val="none"/>
              </w:rPr>
            </w:pPr>
          </w:p>
          <w:p>
            <w:pPr>
              <w:widowControl/>
              <w:rPr>
                <w:rFonts w:eastAsia="宋体"/>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5000" w:type="pct"/>
            <w:gridSpan w:val="4"/>
            <w:tcBorders>
              <w:tl2br w:val="nil"/>
              <w:tr2bl w:val="nil"/>
            </w:tcBorders>
            <w:noWrap w:val="0"/>
            <w:vAlign w:val="center"/>
          </w:tcPr>
          <w:p>
            <w:pPr>
              <w:widowControl/>
              <w:rPr>
                <w:rFonts w:eastAsia="宋体"/>
                <w:b/>
                <w:kern w:val="0"/>
                <w:sz w:val="18"/>
                <w:szCs w:val="18"/>
                <w:highlight w:val="none"/>
              </w:rPr>
            </w:pPr>
            <w:r>
              <w:rPr>
                <w:rFonts w:eastAsia="宋体"/>
                <w:b/>
                <w:kern w:val="0"/>
                <w:sz w:val="18"/>
                <w:szCs w:val="18"/>
                <w:highlight w:val="none"/>
              </w:rPr>
              <w:t>材料真实性承诺:</w:t>
            </w:r>
          </w:p>
          <w:p>
            <w:pPr>
              <w:widowControl/>
              <w:ind w:firstLine="372" w:firstLineChars="207"/>
              <w:rPr>
                <w:rFonts w:eastAsia="宋体"/>
                <w:kern w:val="0"/>
                <w:sz w:val="18"/>
                <w:szCs w:val="18"/>
                <w:highlight w:val="none"/>
              </w:rPr>
            </w:pPr>
          </w:p>
          <w:p>
            <w:pPr>
              <w:pStyle w:val="2"/>
              <w:rPr>
                <w:highlight w:val="none"/>
              </w:rPr>
            </w:pPr>
          </w:p>
          <w:p>
            <w:pPr>
              <w:widowControl/>
              <w:ind w:firstLine="372" w:firstLineChars="207"/>
              <w:rPr>
                <w:rFonts w:eastAsia="宋体"/>
                <w:kern w:val="0"/>
                <w:sz w:val="18"/>
                <w:szCs w:val="18"/>
                <w:highlight w:val="none"/>
              </w:rPr>
            </w:pPr>
            <w:r>
              <w:rPr>
                <w:rFonts w:eastAsia="宋体"/>
                <w:kern w:val="0"/>
                <w:sz w:val="18"/>
                <w:szCs w:val="18"/>
                <w:highlight w:val="none"/>
              </w:rPr>
              <w:t>我单位郑重承诺：本次申报绿色</w:t>
            </w:r>
            <w:r>
              <w:rPr>
                <w:rFonts w:hint="eastAsia" w:eastAsia="宋体"/>
                <w:kern w:val="0"/>
                <w:sz w:val="18"/>
                <w:szCs w:val="18"/>
                <w:highlight w:val="none"/>
                <w:lang w:val="en-US" w:eastAsia="zh-CN"/>
              </w:rPr>
              <w:t>低碳</w:t>
            </w:r>
            <w:r>
              <w:rPr>
                <w:rFonts w:eastAsia="宋体"/>
                <w:kern w:val="0"/>
                <w:sz w:val="18"/>
                <w:szCs w:val="18"/>
                <w:highlight w:val="none"/>
              </w:rPr>
              <w:t>产业</w:t>
            </w:r>
            <w:r>
              <w:rPr>
                <w:rFonts w:hint="eastAsia" w:eastAsia="宋体"/>
                <w:kern w:val="0"/>
                <w:sz w:val="18"/>
                <w:szCs w:val="18"/>
                <w:highlight w:val="none"/>
                <w:lang w:val="en-US" w:eastAsia="zh-CN"/>
              </w:rPr>
              <w:t>项目</w:t>
            </w:r>
            <w:r>
              <w:rPr>
                <w:rFonts w:eastAsia="宋体"/>
                <w:kern w:val="0"/>
                <w:sz w:val="18"/>
                <w:szCs w:val="18"/>
                <w:highlight w:val="none"/>
              </w:rPr>
              <w:t>认定所提交的相关数据和信息均真实、有效，愿接受并积极配合主管部门的跟踪抽查。如有违反，愿承担由此产生的相应责任。</w:t>
            </w:r>
          </w:p>
          <w:p>
            <w:pPr>
              <w:widowControl/>
              <w:ind w:firstLine="372" w:firstLineChars="207"/>
              <w:rPr>
                <w:rFonts w:eastAsia="宋体"/>
                <w:kern w:val="0"/>
                <w:sz w:val="18"/>
                <w:szCs w:val="18"/>
                <w:highlight w:val="none"/>
              </w:rPr>
            </w:pPr>
          </w:p>
          <w:p>
            <w:pPr>
              <w:pStyle w:val="2"/>
              <w:rPr>
                <w:rFonts w:eastAsia="宋体"/>
                <w:sz w:val="18"/>
                <w:szCs w:val="18"/>
                <w:highlight w:val="none"/>
              </w:rPr>
            </w:pPr>
          </w:p>
          <w:p>
            <w:pPr>
              <w:pStyle w:val="2"/>
              <w:rPr>
                <w:highlight w:val="none"/>
              </w:rPr>
            </w:pPr>
          </w:p>
          <w:p>
            <w:pPr>
              <w:widowControl/>
              <w:wordWrap w:val="0"/>
              <w:jc w:val="center"/>
              <w:rPr>
                <w:rFonts w:eastAsia="宋体"/>
                <w:b/>
                <w:kern w:val="0"/>
                <w:sz w:val="18"/>
                <w:szCs w:val="18"/>
                <w:highlight w:val="none"/>
              </w:rPr>
            </w:pPr>
            <w:r>
              <w:rPr>
                <w:rFonts w:eastAsia="宋体"/>
                <w:b/>
                <w:kern w:val="0"/>
                <w:sz w:val="18"/>
                <w:szCs w:val="18"/>
                <w:highlight w:val="none"/>
              </w:rPr>
              <w:t xml:space="preserve">                           法人或单位负责人签字：          </w:t>
            </w:r>
          </w:p>
          <w:p>
            <w:pPr>
              <w:widowControl/>
              <w:rPr>
                <w:rFonts w:eastAsia="宋体"/>
                <w:b/>
                <w:kern w:val="0"/>
                <w:sz w:val="18"/>
                <w:szCs w:val="18"/>
                <w:highlight w:val="none"/>
              </w:rPr>
            </w:pPr>
            <w:r>
              <w:rPr>
                <w:rFonts w:eastAsia="宋体"/>
                <w:b/>
                <w:kern w:val="0"/>
                <w:sz w:val="18"/>
                <w:szCs w:val="18"/>
                <w:highlight w:val="none"/>
              </w:rPr>
              <w:t xml:space="preserve">                                            （公章）</w:t>
            </w:r>
          </w:p>
          <w:p>
            <w:pPr>
              <w:widowControl/>
              <w:wordWrap w:val="0"/>
              <w:jc w:val="center"/>
              <w:rPr>
                <w:rFonts w:eastAsia="宋体"/>
                <w:b/>
                <w:kern w:val="0"/>
                <w:sz w:val="18"/>
                <w:szCs w:val="18"/>
                <w:highlight w:val="none"/>
              </w:rPr>
            </w:pPr>
            <w:r>
              <w:rPr>
                <w:rFonts w:eastAsia="宋体"/>
                <w:b/>
                <w:kern w:val="0"/>
                <w:sz w:val="18"/>
                <w:szCs w:val="18"/>
                <w:highlight w:val="none"/>
              </w:rPr>
              <w:t xml:space="preserve">                                            日期：           </w:t>
            </w:r>
          </w:p>
        </w:tc>
      </w:tr>
    </w:tbl>
    <w:p>
      <w:pPr>
        <w:widowControl w:val="0"/>
        <w:numPr>
          <w:ilvl w:val="1"/>
          <w:numId w:val="0"/>
        </w:numPr>
        <w:spacing w:before="156" w:beforeLines="50" w:after="156" w:afterLines="50"/>
        <w:jc w:val="both"/>
        <w:rPr>
          <w:rFonts w:ascii="黑体" w:hAnsi="黑体" w:eastAsia="黑体" w:cs="黑体"/>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C.3  评价工作概述</w:t>
      </w:r>
    </w:p>
    <w:p>
      <w:pPr>
        <w:pStyle w:val="24"/>
        <w:rPr>
          <w:rFonts w:ascii="Times New Roman"/>
          <w:highlight w:val="none"/>
        </w:rPr>
      </w:pPr>
      <w:r>
        <w:rPr>
          <w:rFonts w:ascii="Times New Roman"/>
          <w:highlight w:val="none"/>
        </w:rPr>
        <w:t>概述绿色</w:t>
      </w:r>
      <w:r>
        <w:rPr>
          <w:rFonts w:hint="eastAsia" w:ascii="Times New Roman"/>
          <w:highlight w:val="none"/>
          <w:lang w:val="en-US" w:eastAsia="zh-CN"/>
        </w:rPr>
        <w:t>低碳</w:t>
      </w:r>
      <w:r>
        <w:rPr>
          <w:rFonts w:ascii="Times New Roman"/>
          <w:highlight w:val="none"/>
        </w:rPr>
        <w:t>产业</w:t>
      </w:r>
      <w:r>
        <w:rPr>
          <w:rFonts w:hint="eastAsia" w:ascii="Times New Roman"/>
          <w:highlight w:val="none"/>
          <w:lang w:val="en-US" w:eastAsia="zh-CN"/>
        </w:rPr>
        <w:t>项目</w:t>
      </w:r>
      <w:r>
        <w:rPr>
          <w:rFonts w:ascii="Times New Roman"/>
          <w:highlight w:val="none"/>
        </w:rPr>
        <w:t>认定评价工作具体开展情况，包括但不限于工作组设立情况、工作组成员专业背景、评价方式、查看资料类型等等。</w:t>
      </w:r>
    </w:p>
    <w:p>
      <w:pPr>
        <w:widowControl w:val="0"/>
        <w:numPr>
          <w:ilvl w:val="1"/>
          <w:numId w:val="0"/>
        </w:numPr>
        <w:spacing w:before="156" w:beforeLines="50" w:after="156" w:afterLines="50"/>
        <w:jc w:val="both"/>
        <w:rPr>
          <w:rFonts w:ascii="Times New Roman" w:hAnsi="Times New Roman" w:eastAsia="黑体" w:cs="Times New Roman"/>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C.4  绿色低碳产业项目认定情况</w:t>
      </w:r>
    </w:p>
    <w:p>
      <w:pPr>
        <w:widowControl w:val="0"/>
        <w:numPr>
          <w:ilvl w:val="1"/>
          <w:numId w:val="0"/>
        </w:numPr>
        <w:spacing w:before="156" w:beforeLines="50" w:after="156" w:afterLines="50"/>
        <w:jc w:val="both"/>
        <w:rPr>
          <w:rFonts w:ascii="Times New Roman" w:hAnsi="Times New Roman" w:eastAsia="黑体" w:cs="Times New Roman"/>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C.4.1  基本要求</w:t>
      </w:r>
    </w:p>
    <w:p>
      <w:pPr>
        <w:pStyle w:val="24"/>
        <w:rPr>
          <w:rFonts w:hAnsi="宋体" w:cs="宋体"/>
        </w:rPr>
      </w:pPr>
      <w:r>
        <w:rPr>
          <w:rFonts w:hint="eastAsia" w:hAnsi="宋体" w:cs="宋体"/>
        </w:rPr>
        <w:t>依据本文件及相关行业绿色</w:t>
      </w:r>
      <w:r>
        <w:rPr>
          <w:rFonts w:hint="eastAsia" w:hAnsi="宋体" w:cs="宋体"/>
          <w:lang w:val="en-US" w:eastAsia="zh-CN"/>
        </w:rPr>
        <w:t>低碳</w:t>
      </w:r>
      <w:r>
        <w:rPr>
          <w:rFonts w:hint="eastAsia" w:hAnsi="宋体" w:cs="宋体"/>
        </w:rPr>
        <w:t>产业认定技术规范对基本要求符合情况进行具体描述，包括但不限于：</w:t>
      </w:r>
    </w:p>
    <w:p>
      <w:pPr>
        <w:pStyle w:val="24"/>
        <w:rPr>
          <w:rFonts w:hAnsi="宋体" w:cs="宋体"/>
        </w:rPr>
      </w:pPr>
      <w:r>
        <w:rPr>
          <w:rFonts w:hint="eastAsia" w:hAnsi="宋体" w:cs="宋体"/>
        </w:rPr>
        <w:t>——经营范围；</w:t>
      </w:r>
    </w:p>
    <w:p>
      <w:pPr>
        <w:pStyle w:val="24"/>
        <w:rPr>
          <w:rFonts w:hAnsi="宋体" w:cs="宋体"/>
        </w:rPr>
      </w:pPr>
      <w:r>
        <w:rPr>
          <w:rFonts w:hint="eastAsia" w:hAnsi="宋体" w:cs="宋体"/>
        </w:rPr>
        <w:t>——使用工艺和设备的先进性；</w:t>
      </w:r>
    </w:p>
    <w:p>
      <w:pPr>
        <w:pStyle w:val="24"/>
        <w:rPr>
          <w:rFonts w:hAnsi="宋体" w:cs="宋体"/>
        </w:rPr>
      </w:pPr>
      <w:r>
        <w:rPr>
          <w:rFonts w:hint="eastAsia" w:hAnsi="宋体" w:cs="宋体"/>
        </w:rPr>
        <w:t>——安全生产情况；</w:t>
      </w:r>
    </w:p>
    <w:p>
      <w:pPr>
        <w:pStyle w:val="24"/>
        <w:rPr>
          <w:rFonts w:hAnsi="宋体" w:cs="宋体"/>
        </w:rPr>
      </w:pPr>
      <w:r>
        <w:rPr>
          <w:rFonts w:hint="eastAsia" w:hAnsi="宋体" w:cs="宋体"/>
        </w:rPr>
        <w:t>——是否属于环境信用评价红牌名单。</w:t>
      </w:r>
    </w:p>
    <w:p>
      <w:pPr>
        <w:widowControl w:val="0"/>
        <w:numPr>
          <w:ilvl w:val="1"/>
          <w:numId w:val="0"/>
        </w:numPr>
        <w:spacing w:before="156" w:beforeLines="50" w:after="156" w:afterLines="50"/>
        <w:jc w:val="both"/>
        <w:rPr>
          <w:rFonts w:ascii="黑体" w:hAnsi="黑体" w:eastAsia="黑体" w:cs="黑体"/>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C.4.2  符合性评价</w:t>
      </w:r>
    </w:p>
    <w:p>
      <w:pPr>
        <w:pStyle w:val="24"/>
        <w:rPr>
          <w:rFonts w:hAnsi="宋体" w:cs="宋体"/>
          <w:highlight w:val="none"/>
        </w:rPr>
      </w:pPr>
      <w:r>
        <w:rPr>
          <w:rFonts w:hint="eastAsia" w:hAnsi="宋体" w:cs="宋体"/>
          <w:highlight w:val="none"/>
        </w:rPr>
        <w:t>依据本文件及相关行业绿色</w:t>
      </w:r>
      <w:r>
        <w:rPr>
          <w:rFonts w:hint="eastAsia" w:hAnsi="宋体" w:cs="宋体"/>
          <w:highlight w:val="none"/>
          <w:lang w:val="en-US" w:eastAsia="zh-CN"/>
        </w:rPr>
        <w:t>低碳</w:t>
      </w:r>
      <w:r>
        <w:rPr>
          <w:rFonts w:hint="eastAsia" w:hAnsi="宋体" w:cs="宋体"/>
          <w:highlight w:val="none"/>
        </w:rPr>
        <w:t>产业认定技术规范对目录符合和技术符合进行具体描述。</w:t>
      </w:r>
    </w:p>
    <w:p>
      <w:pPr>
        <w:pStyle w:val="24"/>
        <w:ind w:left="840" w:leftChars="200" w:hanging="420" w:hangingChars="200"/>
        <w:rPr>
          <w:rFonts w:hAnsi="宋体" w:cs="宋体"/>
          <w:highlight w:val="none"/>
        </w:rPr>
      </w:pPr>
      <w:r>
        <w:rPr>
          <w:rFonts w:hint="eastAsia" w:hAnsi="宋体" w:cs="宋体"/>
          <w:highlight w:val="none"/>
        </w:rPr>
        <w:t>——目录符合：申报认定评价的项目属于《深圳市绿色低碳产业指导目录》所列新能源汽车整车制造、动力电池系统及核心零部件制造、新能源汽车电机/发动机制造、新能源汽车控制系统制造、新能源汽车电附件制造等新能源汽车产品制造产业。</w:t>
      </w:r>
    </w:p>
    <w:p>
      <w:pPr>
        <w:pStyle w:val="24"/>
        <w:ind w:left="420" w:leftChars="200" w:firstLine="0" w:firstLineChars="0"/>
        <w:rPr>
          <w:rFonts w:hAnsi="宋体" w:cs="宋体"/>
          <w:highlight w:val="none"/>
        </w:rPr>
      </w:pPr>
      <w:r>
        <w:rPr>
          <w:rFonts w:hint="eastAsia" w:hAnsi="宋体" w:cs="宋体"/>
          <w:highlight w:val="none"/>
        </w:rPr>
        <w:t>——技术符合：提供的产品或服务应符合国家、广东省及深圳市相关主管部门发布文件列明的有关设计、能效、性能、安全、贮存、回收、标识、验收、管理、运维等技术要求。</w:t>
      </w:r>
    </w:p>
    <w:p>
      <w:pPr>
        <w:widowControl w:val="0"/>
        <w:numPr>
          <w:ilvl w:val="1"/>
          <w:numId w:val="0"/>
        </w:numPr>
        <w:spacing w:before="156" w:beforeLines="50" w:after="156" w:afterLines="50"/>
        <w:jc w:val="both"/>
        <w:rPr>
          <w:rFonts w:ascii="Times New Roman" w:hAnsi="Times New Roman" w:eastAsia="黑体" w:cs="Times New Roman"/>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C.4.3  综合评价</w:t>
      </w:r>
    </w:p>
    <w:p>
      <w:pPr>
        <w:widowControl w:val="0"/>
        <w:numPr>
          <w:ilvl w:val="1"/>
          <w:numId w:val="0"/>
        </w:numPr>
        <w:spacing w:before="156" w:beforeLines="50" w:after="156" w:afterLines="50"/>
        <w:jc w:val="both"/>
        <w:rPr>
          <w:rFonts w:ascii="黑体" w:hAnsi="黑体" w:eastAsia="黑体" w:cs="黑体"/>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C.4.3.1  技术表现</w:t>
      </w:r>
    </w:p>
    <w:p>
      <w:pPr>
        <w:pStyle w:val="24"/>
        <w:rPr>
          <w:rFonts w:hAnsi="宋体" w:cs="宋体"/>
          <w:highlight w:val="none"/>
        </w:rPr>
      </w:pPr>
      <w:r>
        <w:rPr>
          <w:rFonts w:hint="eastAsia" w:hAnsi="宋体" w:cs="宋体"/>
          <w:highlight w:val="none"/>
        </w:rPr>
        <w:t>依据本文件及相关行业绿色</w:t>
      </w:r>
      <w:r>
        <w:rPr>
          <w:rFonts w:hint="eastAsia" w:hAnsi="宋体" w:cs="宋体"/>
          <w:highlight w:val="none"/>
          <w:lang w:val="en-US" w:eastAsia="zh-CN"/>
        </w:rPr>
        <w:t>低碳</w:t>
      </w:r>
      <w:r>
        <w:rPr>
          <w:rFonts w:hint="eastAsia" w:hAnsi="宋体" w:cs="宋体"/>
          <w:highlight w:val="none"/>
        </w:rPr>
        <w:t>产业认定技术规范对</w:t>
      </w:r>
      <w:r>
        <w:rPr>
          <w:rFonts w:hint="eastAsia" w:hAnsi="宋体" w:cs="宋体"/>
          <w:highlight w:val="none"/>
          <w:lang w:val="en-US" w:eastAsia="zh-CN"/>
        </w:rPr>
        <w:t>有效知识产权、关键技术先进性</w:t>
      </w:r>
      <w:r>
        <w:rPr>
          <w:rFonts w:hint="eastAsia" w:hAnsi="宋体" w:cs="宋体"/>
          <w:highlight w:val="none"/>
        </w:rPr>
        <w:t>和环境效益进行具体描述。</w:t>
      </w:r>
    </w:p>
    <w:p>
      <w:pPr>
        <w:pStyle w:val="24"/>
        <w:ind w:left="840" w:leftChars="200" w:hanging="420" w:hangingChars="200"/>
        <w:rPr>
          <w:rFonts w:hAnsi="宋体" w:cs="宋体"/>
          <w:highlight w:val="none"/>
        </w:rPr>
      </w:pPr>
      <w:r>
        <w:rPr>
          <w:rFonts w:hint="eastAsia" w:hAnsi="宋体" w:cs="宋体"/>
          <w:highlight w:val="none"/>
        </w:rPr>
        <w:t>——</w:t>
      </w:r>
      <w:r>
        <w:rPr>
          <w:rFonts w:hint="eastAsia" w:hAnsi="宋体" w:cs="宋体"/>
          <w:highlight w:val="none"/>
          <w:lang w:val="en-US" w:eastAsia="zh-CN"/>
        </w:rPr>
        <w:t>有效知识产权</w:t>
      </w:r>
      <w:r>
        <w:rPr>
          <w:rFonts w:hint="eastAsia" w:hAnsi="宋体" w:cs="宋体"/>
          <w:highlight w:val="none"/>
        </w:rPr>
        <w:t>：</w:t>
      </w:r>
      <w:r>
        <w:rPr>
          <w:rFonts w:hint="eastAsia" w:hAnsi="宋体" w:cs="宋体"/>
          <w:highlight w:val="none"/>
          <w:lang w:val="en-US" w:eastAsia="zh-CN"/>
        </w:rPr>
        <w:t>主要描述在项目拥有并直接应用的有效知识产权数量的</w:t>
      </w:r>
      <w:r>
        <w:rPr>
          <w:rFonts w:hint="eastAsia" w:hAnsi="宋体" w:cs="宋体"/>
          <w:highlight w:val="none"/>
        </w:rPr>
        <w:t>情况。</w:t>
      </w:r>
    </w:p>
    <w:p>
      <w:pPr>
        <w:pStyle w:val="24"/>
        <w:ind w:left="840" w:leftChars="200" w:hanging="420" w:hangingChars="200"/>
        <w:rPr>
          <w:rFonts w:hint="eastAsia" w:hAnsi="宋体" w:cs="宋体"/>
          <w:highlight w:val="none"/>
        </w:rPr>
      </w:pPr>
      <w:r>
        <w:rPr>
          <w:rFonts w:hint="eastAsia" w:hAnsi="宋体" w:cs="宋体"/>
          <w:highlight w:val="none"/>
        </w:rPr>
        <w:t>——</w:t>
      </w:r>
      <w:r>
        <w:rPr>
          <w:rFonts w:hint="eastAsia" w:hAnsi="宋体" w:cs="宋体"/>
          <w:highlight w:val="none"/>
          <w:lang w:val="en-US" w:eastAsia="zh-CN"/>
        </w:rPr>
        <w:t>关键技术先进性</w:t>
      </w:r>
      <w:r>
        <w:rPr>
          <w:rFonts w:hint="eastAsia" w:hAnsi="宋体" w:cs="宋体"/>
          <w:highlight w:val="none"/>
        </w:rPr>
        <w:t>：主要描述</w:t>
      </w:r>
      <w:r>
        <w:rPr>
          <w:rFonts w:hint="eastAsia" w:ascii="Times New Roman"/>
          <w:highlight w:val="none"/>
          <w:lang w:val="en-US" w:eastAsia="zh-CN"/>
        </w:rPr>
        <w:t>项目应用的关键技术在行业内或地区内能达到的领先水平情况</w:t>
      </w:r>
      <w:r>
        <w:rPr>
          <w:rFonts w:hint="eastAsia" w:hAnsi="宋体" w:cs="宋体"/>
          <w:highlight w:val="none"/>
        </w:rPr>
        <w:t>。</w:t>
      </w:r>
    </w:p>
    <w:p>
      <w:pPr>
        <w:pStyle w:val="24"/>
        <w:ind w:left="420" w:leftChars="200" w:firstLine="0" w:firstLineChars="0"/>
        <w:rPr>
          <w:rFonts w:hint="default" w:hAnsi="宋体" w:eastAsia="宋体" w:cs="宋体"/>
          <w:highlight w:val="none"/>
          <w:lang w:val="en-US" w:eastAsia="zh-CN"/>
        </w:rPr>
      </w:pPr>
      <w:r>
        <w:rPr>
          <w:rFonts w:hint="eastAsia" w:hAnsi="宋体" w:cs="宋体"/>
          <w:highlight w:val="none"/>
          <w:lang w:eastAsia="zh-CN"/>
        </w:rPr>
        <w:t>——</w:t>
      </w:r>
      <w:r>
        <w:rPr>
          <w:rFonts w:hint="eastAsia" w:hAnsi="宋体" w:cs="宋体"/>
          <w:highlight w:val="none"/>
          <w:lang w:val="en-US" w:eastAsia="zh-CN"/>
        </w:rPr>
        <w:t>环境效益：主要描述项目取得的资源节约、环境友好、生态良好相关实际环境效益贡献量的情况。</w:t>
      </w:r>
    </w:p>
    <w:p>
      <w:pPr>
        <w:widowControl w:val="0"/>
        <w:numPr>
          <w:ilvl w:val="1"/>
          <w:numId w:val="0"/>
        </w:numPr>
        <w:spacing w:before="156" w:beforeLines="50" w:after="156" w:afterLines="50"/>
        <w:jc w:val="both"/>
        <w:rPr>
          <w:rFonts w:ascii="黑体" w:hAnsi="黑体" w:eastAsia="黑体" w:cs="黑体"/>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D.4.3.2  环境表现</w:t>
      </w:r>
    </w:p>
    <w:p>
      <w:pPr>
        <w:pStyle w:val="24"/>
        <w:rPr>
          <w:rFonts w:hAnsi="宋体" w:cs="宋体"/>
          <w:highlight w:val="none"/>
        </w:rPr>
      </w:pPr>
      <w:r>
        <w:rPr>
          <w:rFonts w:hint="eastAsia" w:hAnsi="宋体" w:cs="宋体"/>
          <w:highlight w:val="none"/>
        </w:rPr>
        <w:t>依据本文件及相关行业绿色</w:t>
      </w:r>
      <w:r>
        <w:rPr>
          <w:rFonts w:hint="eastAsia" w:hAnsi="宋体" w:cs="宋体"/>
          <w:highlight w:val="none"/>
          <w:lang w:val="en-US" w:eastAsia="zh-CN"/>
        </w:rPr>
        <w:t>低碳</w:t>
      </w:r>
      <w:r>
        <w:rPr>
          <w:rFonts w:hint="eastAsia" w:hAnsi="宋体" w:cs="宋体"/>
          <w:highlight w:val="none"/>
        </w:rPr>
        <w:t>产业认定技术规范对</w:t>
      </w:r>
      <w:r>
        <w:rPr>
          <w:rFonts w:hint="eastAsia" w:hAnsi="宋体" w:cs="宋体"/>
          <w:highlight w:val="none"/>
          <w:lang w:val="en-US" w:eastAsia="zh-CN"/>
        </w:rPr>
        <w:t>绿色低碳技术使用率</w:t>
      </w:r>
      <w:r>
        <w:rPr>
          <w:rFonts w:hint="eastAsia" w:hAnsi="宋体" w:cs="宋体"/>
          <w:highlight w:val="none"/>
        </w:rPr>
        <w:t>、能源资源利用和</w:t>
      </w:r>
      <w:r>
        <w:rPr>
          <w:rFonts w:hint="eastAsia" w:hAnsi="宋体" w:cs="宋体"/>
          <w:highlight w:val="none"/>
          <w:lang w:val="en-US" w:eastAsia="zh-CN"/>
        </w:rPr>
        <w:t>单位总投资碳排放量</w:t>
      </w:r>
      <w:r>
        <w:rPr>
          <w:rFonts w:hint="eastAsia" w:hAnsi="宋体" w:cs="宋体"/>
          <w:highlight w:val="none"/>
        </w:rPr>
        <w:t>进行具体描述。</w:t>
      </w:r>
    </w:p>
    <w:p>
      <w:pPr>
        <w:pStyle w:val="24"/>
        <w:ind w:left="850" w:leftChars="204" w:hanging="422" w:hangingChars="201"/>
        <w:rPr>
          <w:rFonts w:hAnsi="宋体" w:cs="宋体"/>
          <w:highlight w:val="none"/>
        </w:rPr>
      </w:pPr>
      <w:r>
        <w:rPr>
          <w:rFonts w:hint="eastAsia" w:hAnsi="宋体" w:cs="宋体"/>
          <w:highlight w:val="none"/>
        </w:rPr>
        <w:t>——</w:t>
      </w:r>
      <w:r>
        <w:rPr>
          <w:rFonts w:hint="eastAsia" w:hAnsi="宋体" w:cs="宋体"/>
          <w:highlight w:val="none"/>
          <w:lang w:val="en-US" w:eastAsia="zh-CN"/>
        </w:rPr>
        <w:t>工艺设备材料</w:t>
      </w:r>
      <w:r>
        <w:rPr>
          <w:rFonts w:hint="eastAsia" w:hAnsi="宋体" w:cs="宋体"/>
          <w:highlight w:val="none"/>
        </w:rPr>
        <w:t>：主要描述</w:t>
      </w:r>
      <w:r>
        <w:rPr>
          <w:rFonts w:hint="eastAsia" w:hAnsi="宋体" w:cs="宋体"/>
          <w:highlight w:val="none"/>
          <w:lang w:val="en-US" w:eastAsia="zh-CN"/>
        </w:rPr>
        <w:t>项目采用的工艺、设备、材料绿色化水平的</w:t>
      </w:r>
      <w:r>
        <w:rPr>
          <w:rFonts w:hint="eastAsia" w:hAnsi="宋体" w:cs="宋体"/>
          <w:highlight w:val="none"/>
        </w:rPr>
        <w:t>情况。</w:t>
      </w:r>
    </w:p>
    <w:p>
      <w:pPr>
        <w:pStyle w:val="24"/>
        <w:rPr>
          <w:rFonts w:hint="eastAsia" w:hAnsi="宋体" w:cs="宋体"/>
          <w:highlight w:val="none"/>
          <w:lang w:val="en-US" w:eastAsia="zh-CN"/>
        </w:rPr>
      </w:pPr>
      <w:r>
        <w:rPr>
          <w:rFonts w:hint="eastAsia" w:hAnsi="宋体" w:cs="宋体"/>
          <w:highlight w:val="none"/>
        </w:rPr>
        <w:t>——</w:t>
      </w:r>
      <w:r>
        <w:rPr>
          <w:rFonts w:hint="eastAsia" w:hAnsi="宋体" w:cs="宋体"/>
          <w:highlight w:val="none"/>
          <w:lang w:val="en-US" w:eastAsia="zh-CN"/>
        </w:rPr>
        <w:t>绿色低碳运营</w:t>
      </w:r>
      <w:r>
        <w:rPr>
          <w:rFonts w:hint="eastAsia" w:hAnsi="宋体" w:cs="宋体"/>
          <w:highlight w:val="none"/>
        </w:rPr>
        <w:t>：主要描述</w:t>
      </w:r>
      <w:r>
        <w:rPr>
          <w:rFonts w:hint="eastAsia" w:hAnsi="宋体" w:cs="宋体"/>
          <w:highlight w:val="none"/>
          <w:lang w:val="en-US" w:eastAsia="zh-CN"/>
        </w:rPr>
        <w:t>项目单位总投资综合能耗、单位总投资用水量、单位总投资用地面积、</w:t>
      </w:r>
    </w:p>
    <w:p>
      <w:pPr>
        <w:pStyle w:val="24"/>
        <w:ind w:firstLine="840" w:firstLineChars="400"/>
        <w:rPr>
          <w:rFonts w:hAnsi="宋体" w:cs="宋体"/>
          <w:highlight w:val="none"/>
        </w:rPr>
      </w:pPr>
      <w:r>
        <w:rPr>
          <w:rFonts w:hint="eastAsia" w:hAnsi="宋体" w:cs="宋体"/>
          <w:highlight w:val="none"/>
          <w:lang w:val="en-US" w:eastAsia="zh-CN"/>
        </w:rPr>
        <w:t>单位总投资碳排放量、废弃物综合利用率等方面的</w:t>
      </w:r>
      <w:r>
        <w:rPr>
          <w:rFonts w:hint="eastAsia" w:hAnsi="宋体" w:cs="宋体"/>
          <w:highlight w:val="none"/>
        </w:rPr>
        <w:t>情况。</w:t>
      </w:r>
    </w:p>
    <w:p>
      <w:pPr>
        <w:pStyle w:val="24"/>
        <w:rPr>
          <w:rFonts w:hAnsi="宋体" w:cs="宋体"/>
          <w:highlight w:val="none"/>
        </w:rPr>
      </w:pPr>
      <w:r>
        <w:rPr>
          <w:rFonts w:hint="eastAsia" w:hAnsi="宋体" w:cs="宋体"/>
          <w:highlight w:val="none"/>
        </w:rPr>
        <w:t>——</w:t>
      </w:r>
      <w:r>
        <w:rPr>
          <w:rFonts w:hint="eastAsia" w:hAnsi="宋体" w:cs="宋体"/>
          <w:highlight w:val="none"/>
          <w:lang w:val="en-US" w:eastAsia="zh-CN"/>
        </w:rPr>
        <w:t>污染物排放水平</w:t>
      </w:r>
      <w:r>
        <w:rPr>
          <w:rFonts w:hint="eastAsia" w:hAnsi="宋体" w:cs="宋体"/>
          <w:highlight w:val="none"/>
        </w:rPr>
        <w:t>：</w:t>
      </w:r>
      <w:r>
        <w:rPr>
          <w:rFonts w:hint="eastAsia" w:hAnsi="宋体" w:cs="宋体"/>
          <w:highlight w:val="none"/>
          <w:lang w:val="en-US" w:eastAsia="zh-CN"/>
        </w:rPr>
        <w:t>主要描述项目自身生产运营过程向环境排放污染物的情况</w:t>
      </w:r>
      <w:r>
        <w:rPr>
          <w:rFonts w:hint="eastAsia" w:hAnsi="宋体" w:cs="宋体"/>
          <w:highlight w:val="none"/>
        </w:rPr>
        <w:t>。</w:t>
      </w:r>
    </w:p>
    <w:p>
      <w:pPr>
        <w:widowControl w:val="0"/>
        <w:numPr>
          <w:ilvl w:val="1"/>
          <w:numId w:val="0"/>
        </w:numPr>
        <w:spacing w:before="156" w:beforeLines="50" w:after="156" w:afterLines="50"/>
        <w:jc w:val="both"/>
        <w:rPr>
          <w:rFonts w:ascii="Times New Roman" w:hAnsi="Times New Roman" w:eastAsia="黑体" w:cs="Times New Roman"/>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C.5  评价表</w:t>
      </w:r>
    </w:p>
    <w:p>
      <w:pPr>
        <w:pStyle w:val="24"/>
        <w:rPr>
          <w:rFonts w:hAnsi="宋体" w:cs="宋体"/>
          <w:highlight w:val="none"/>
        </w:rPr>
      </w:pPr>
      <w:r>
        <w:rPr>
          <w:rFonts w:hint="eastAsia" w:ascii="Times New Roman"/>
          <w:highlight w:val="none"/>
        </w:rPr>
        <w:t>新能源汽车产品行业</w:t>
      </w:r>
      <w:r>
        <w:rPr>
          <w:rFonts w:ascii="Times New Roman"/>
          <w:highlight w:val="none"/>
        </w:rPr>
        <w:t>绿色</w:t>
      </w:r>
      <w:r>
        <w:rPr>
          <w:rFonts w:hint="eastAsia" w:ascii="Times New Roman"/>
          <w:highlight w:val="none"/>
          <w:lang w:val="en-US" w:eastAsia="zh-CN"/>
        </w:rPr>
        <w:t>低碳</w:t>
      </w:r>
      <w:r>
        <w:rPr>
          <w:rFonts w:ascii="Times New Roman"/>
          <w:highlight w:val="none"/>
        </w:rPr>
        <w:t>产业</w:t>
      </w:r>
      <w:r>
        <w:rPr>
          <w:rFonts w:hint="eastAsia" w:ascii="Times New Roman"/>
          <w:highlight w:val="none"/>
          <w:lang w:val="en-US" w:eastAsia="zh-CN"/>
        </w:rPr>
        <w:t>项目</w:t>
      </w:r>
      <w:r>
        <w:rPr>
          <w:rFonts w:ascii="Times New Roman"/>
          <w:highlight w:val="none"/>
        </w:rPr>
        <w:t>认定</w:t>
      </w:r>
      <w:r>
        <w:rPr>
          <w:rFonts w:hint="eastAsia" w:ascii="Times New Roman"/>
          <w:highlight w:val="none"/>
        </w:rPr>
        <w:t>评价</w:t>
      </w:r>
      <w:r>
        <w:rPr>
          <w:rFonts w:hint="eastAsia" w:hAnsi="宋体" w:cs="宋体"/>
          <w:highlight w:val="none"/>
        </w:rPr>
        <w:t>表见表</w:t>
      </w:r>
      <w:r>
        <w:rPr>
          <w:rFonts w:hint="eastAsia" w:hAnsi="宋体" w:cs="宋体"/>
          <w:highlight w:val="none"/>
          <w:lang w:val="en-US" w:eastAsia="zh-CN"/>
        </w:rPr>
        <w:t>C</w:t>
      </w:r>
      <w:r>
        <w:rPr>
          <w:rFonts w:hint="eastAsia" w:hAnsi="宋体" w:cs="宋体"/>
          <w:highlight w:val="none"/>
        </w:rPr>
        <w:t>.3、表</w:t>
      </w:r>
      <w:r>
        <w:rPr>
          <w:rFonts w:hint="eastAsia" w:hAnsi="宋体" w:cs="宋体"/>
          <w:highlight w:val="none"/>
          <w:lang w:val="en-US" w:eastAsia="zh-CN"/>
        </w:rPr>
        <w:t>C</w:t>
      </w:r>
      <w:r>
        <w:rPr>
          <w:rFonts w:hint="eastAsia" w:hAnsi="宋体" w:cs="宋体"/>
          <w:highlight w:val="none"/>
        </w:rPr>
        <w:t>.4和表</w:t>
      </w:r>
      <w:r>
        <w:rPr>
          <w:rFonts w:hint="eastAsia" w:hAnsi="宋体" w:cs="宋体"/>
          <w:highlight w:val="none"/>
          <w:lang w:val="en-US" w:eastAsia="zh-CN"/>
        </w:rPr>
        <w:t>C</w:t>
      </w:r>
      <w:r>
        <w:rPr>
          <w:rFonts w:hint="eastAsia" w:hAnsi="宋体" w:cs="宋体"/>
          <w:highlight w:val="none"/>
        </w:rPr>
        <w:t>.5。</w:t>
      </w:r>
    </w:p>
    <w:p>
      <w:pPr>
        <w:widowControl w:val="0"/>
        <w:numPr>
          <w:ilvl w:val="1"/>
          <w:numId w:val="0"/>
        </w:numPr>
        <w:spacing w:before="156" w:beforeLines="50" w:after="156" w:afterLines="50"/>
        <w:jc w:val="center"/>
        <w:rPr>
          <w:rFonts w:ascii="Times New Roman" w:hAnsi="Times New Roman" w:eastAsia="黑体" w:cs="Times New Roman"/>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表C.3</w:t>
      </w:r>
      <w:r>
        <w:rPr>
          <w:rFonts w:ascii="Times New Roman" w:hAnsi="Times New Roman" w:eastAsia="黑体" w:cs="Times New Roman"/>
          <w:kern w:val="2"/>
          <w:sz w:val="21"/>
          <w:szCs w:val="21"/>
          <w:highlight w:val="none"/>
          <w:lang w:val="en-US" w:eastAsia="zh-CN" w:bidi="ar-SA"/>
        </w:rPr>
        <w:t xml:space="preserve">  基本要求</w:t>
      </w:r>
      <w:r>
        <w:rPr>
          <w:rFonts w:hint="eastAsia" w:ascii="Times New Roman" w:hAnsi="Times New Roman" w:eastAsia="黑体" w:cs="Times New Roman"/>
          <w:kern w:val="2"/>
          <w:sz w:val="21"/>
          <w:szCs w:val="21"/>
          <w:highlight w:val="none"/>
          <w:lang w:val="en-US" w:eastAsia="zh-CN" w:bidi="ar-SA"/>
        </w:rPr>
        <w:t>评价</w:t>
      </w:r>
      <w:r>
        <w:rPr>
          <w:rFonts w:ascii="Times New Roman" w:hAnsi="Times New Roman" w:eastAsia="黑体" w:cs="Times New Roman"/>
          <w:kern w:val="2"/>
          <w:sz w:val="21"/>
          <w:szCs w:val="21"/>
          <w:highlight w:val="none"/>
          <w:lang w:val="en-US" w:eastAsia="zh-CN" w:bidi="ar-SA"/>
        </w:rPr>
        <w:t>表</w:t>
      </w:r>
    </w:p>
    <w:tbl>
      <w:tblPr>
        <w:tblStyle w:val="34"/>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2259"/>
        <w:gridCol w:w="3039"/>
        <w:gridCol w:w="1229"/>
        <w:gridCol w:w="20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tblHeader/>
          <w:jc w:val="center"/>
        </w:trPr>
        <w:tc>
          <w:tcPr>
            <w:tcW w:w="513" w:type="pct"/>
            <w:tcBorders>
              <w:bottom w:val="single" w:color="auto" w:sz="8" w:space="0"/>
            </w:tcBorders>
            <w:noWrap w:val="0"/>
            <w:vAlign w:val="center"/>
          </w:tcPr>
          <w:p>
            <w:pPr>
              <w:spacing w:line="280" w:lineRule="exact"/>
              <w:jc w:val="center"/>
              <w:rPr>
                <w:rFonts w:ascii="宋体" w:hAnsi="宋体" w:eastAsia="宋体"/>
                <w:b/>
                <w:sz w:val="18"/>
                <w:szCs w:val="18"/>
                <w:highlight w:val="none"/>
              </w:rPr>
            </w:pPr>
            <w:r>
              <w:rPr>
                <w:rFonts w:ascii="宋体" w:hAnsi="宋体" w:eastAsia="宋体"/>
                <w:b/>
                <w:sz w:val="18"/>
                <w:szCs w:val="18"/>
                <w:highlight w:val="none"/>
              </w:rPr>
              <w:t>序号</w:t>
            </w:r>
          </w:p>
        </w:tc>
        <w:tc>
          <w:tcPr>
            <w:tcW w:w="1180" w:type="pct"/>
            <w:tcBorders>
              <w:bottom w:val="single" w:color="auto" w:sz="8" w:space="0"/>
            </w:tcBorders>
            <w:noWrap w:val="0"/>
            <w:vAlign w:val="center"/>
          </w:tcPr>
          <w:p>
            <w:pPr>
              <w:spacing w:line="360" w:lineRule="exact"/>
              <w:jc w:val="center"/>
              <w:rPr>
                <w:rFonts w:ascii="宋体" w:hAnsi="宋体" w:eastAsia="宋体"/>
                <w:b/>
                <w:sz w:val="18"/>
                <w:szCs w:val="18"/>
                <w:highlight w:val="none"/>
              </w:rPr>
            </w:pPr>
            <w:r>
              <w:rPr>
                <w:rFonts w:ascii="宋体" w:hAnsi="宋体" w:eastAsia="宋体"/>
                <w:b/>
                <w:sz w:val="18"/>
                <w:szCs w:val="18"/>
                <w:highlight w:val="none"/>
              </w:rPr>
              <w:t>基本要求内容</w:t>
            </w:r>
          </w:p>
        </w:tc>
        <w:tc>
          <w:tcPr>
            <w:tcW w:w="1588" w:type="pct"/>
            <w:tcBorders>
              <w:bottom w:val="single" w:color="auto" w:sz="8" w:space="0"/>
            </w:tcBorders>
            <w:noWrap w:val="0"/>
            <w:vAlign w:val="center"/>
          </w:tcPr>
          <w:p>
            <w:pPr>
              <w:spacing w:line="280" w:lineRule="exact"/>
              <w:jc w:val="center"/>
              <w:rPr>
                <w:rFonts w:ascii="宋体" w:hAnsi="宋体" w:eastAsia="宋体"/>
                <w:b/>
                <w:sz w:val="18"/>
                <w:szCs w:val="18"/>
                <w:highlight w:val="none"/>
              </w:rPr>
            </w:pPr>
            <w:r>
              <w:rPr>
                <w:rFonts w:ascii="宋体" w:hAnsi="宋体" w:eastAsia="宋体"/>
                <w:b/>
                <w:sz w:val="18"/>
                <w:szCs w:val="18"/>
                <w:highlight w:val="none"/>
              </w:rPr>
              <w:t>评分依据</w:t>
            </w:r>
          </w:p>
        </w:tc>
        <w:tc>
          <w:tcPr>
            <w:tcW w:w="642" w:type="pct"/>
            <w:tcBorders>
              <w:bottom w:val="single" w:color="auto" w:sz="8" w:space="0"/>
            </w:tcBorders>
            <w:noWrap w:val="0"/>
            <w:vAlign w:val="center"/>
          </w:tcPr>
          <w:p>
            <w:pPr>
              <w:spacing w:line="280" w:lineRule="exact"/>
              <w:jc w:val="center"/>
              <w:rPr>
                <w:rFonts w:ascii="宋体" w:hAnsi="宋体" w:eastAsia="宋体"/>
                <w:b/>
                <w:sz w:val="18"/>
                <w:szCs w:val="18"/>
                <w:highlight w:val="none"/>
              </w:rPr>
            </w:pPr>
            <w:r>
              <w:rPr>
                <w:rFonts w:hint="eastAsia" w:ascii="宋体" w:hAnsi="宋体" w:eastAsia="宋体" w:cs="宋体"/>
                <w:b/>
                <w:sz w:val="18"/>
                <w:szCs w:val="18"/>
                <w:highlight w:val="none"/>
              </w:rPr>
              <w:t>评价结果（是/否）</w:t>
            </w:r>
          </w:p>
        </w:tc>
        <w:tc>
          <w:tcPr>
            <w:tcW w:w="1075" w:type="pct"/>
            <w:tcBorders>
              <w:bottom w:val="single" w:color="auto" w:sz="8" w:space="0"/>
            </w:tcBorders>
            <w:noWrap w:val="0"/>
            <w:vAlign w:val="center"/>
          </w:tcPr>
          <w:p>
            <w:pPr>
              <w:spacing w:line="280" w:lineRule="exact"/>
              <w:jc w:val="center"/>
              <w:rPr>
                <w:rFonts w:ascii="宋体" w:hAnsi="宋体" w:eastAsia="宋体"/>
                <w:b/>
                <w:sz w:val="18"/>
                <w:szCs w:val="18"/>
                <w:highlight w:val="none"/>
              </w:rPr>
            </w:pPr>
            <w:r>
              <w:rPr>
                <w:rFonts w:ascii="宋体" w:hAnsi="宋体" w:eastAsia="宋体"/>
                <w:b/>
                <w:sz w:val="18"/>
                <w:szCs w:val="18"/>
                <w:highlight w:val="none"/>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3" w:type="pct"/>
            <w:tcBorders>
              <w:top w:val="single" w:color="auto" w:sz="8" w:space="0"/>
              <w:tl2br w:val="nil"/>
              <w:tr2bl w:val="nil"/>
            </w:tcBorders>
            <w:noWrap w:val="0"/>
            <w:vAlign w:val="center"/>
          </w:tcPr>
          <w:p>
            <w:pPr>
              <w:widowControl/>
              <w:jc w:val="center"/>
              <w:rPr>
                <w:rFonts w:ascii="宋体" w:hAnsi="宋体" w:eastAsia="宋体"/>
                <w:color w:val="000000"/>
                <w:kern w:val="0"/>
                <w:sz w:val="18"/>
                <w:szCs w:val="18"/>
                <w:highlight w:val="none"/>
              </w:rPr>
            </w:pPr>
            <w:r>
              <w:rPr>
                <w:rFonts w:ascii="宋体" w:hAnsi="宋体" w:eastAsia="宋体"/>
                <w:color w:val="000000"/>
                <w:kern w:val="0"/>
                <w:sz w:val="18"/>
                <w:szCs w:val="18"/>
                <w:highlight w:val="none"/>
              </w:rPr>
              <w:t>1</w:t>
            </w:r>
          </w:p>
        </w:tc>
        <w:tc>
          <w:tcPr>
            <w:tcW w:w="2259" w:type="dxa"/>
            <w:tcBorders>
              <w:top w:val="single" w:color="auto" w:sz="8" w:space="0"/>
              <w:tl2br w:val="nil"/>
              <w:tr2bl w:val="nil"/>
            </w:tcBorders>
            <w:noWrap w:val="0"/>
            <w:vAlign w:val="center"/>
          </w:tcPr>
          <w:p>
            <w:pPr>
              <w:widowControl/>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lang w:val="en-US" w:eastAsia="zh-CN"/>
              </w:rPr>
              <w:t>在深圳市（含深汕特别合作区）行政辖区内注册满一年的法人企业或事业单位法人，总部设立在深圳的集团公司可联合深圳市行政辖区外的控股子公司共同申报</w:t>
            </w:r>
            <w:r>
              <w:rPr>
                <w:rFonts w:hint="eastAsia" w:ascii="宋体" w:hAnsi="宋体" w:eastAsia="宋体" w:cs="宋体"/>
                <w:color w:val="000000"/>
                <w:kern w:val="0"/>
                <w:sz w:val="18"/>
                <w:szCs w:val="18"/>
                <w:lang w:eastAsia="zh-CN"/>
              </w:rPr>
              <w:t>。</w:t>
            </w:r>
          </w:p>
        </w:tc>
        <w:tc>
          <w:tcPr>
            <w:tcW w:w="3039" w:type="dxa"/>
            <w:tcBorders>
              <w:top w:val="single" w:color="auto" w:sz="8" w:space="0"/>
              <w:tl2br w:val="nil"/>
              <w:tr2bl w:val="nil"/>
            </w:tcBorders>
            <w:noWrap w:val="0"/>
            <w:vAlign w:val="center"/>
          </w:tcPr>
          <w:p>
            <w:pPr>
              <w:widowControl/>
              <w:rPr>
                <w:rFonts w:ascii="宋体" w:hAnsi="宋体" w:eastAsia="宋体" w:cs="宋体"/>
                <w:sz w:val="18"/>
                <w:szCs w:val="18"/>
                <w:highlight w:val="none"/>
              </w:rPr>
            </w:pPr>
            <w:r>
              <w:rPr>
                <w:rFonts w:hint="eastAsia" w:ascii="宋体" w:hAnsi="宋体" w:eastAsia="宋体" w:cs="宋体"/>
                <w:sz w:val="18"/>
                <w:szCs w:val="18"/>
              </w:rPr>
              <w:t>营业执照或事业单位法人证书。</w:t>
            </w:r>
          </w:p>
        </w:tc>
        <w:tc>
          <w:tcPr>
            <w:tcW w:w="642" w:type="pct"/>
            <w:tcBorders>
              <w:top w:val="single" w:color="auto" w:sz="8" w:space="0"/>
              <w:tl2br w:val="nil"/>
              <w:tr2bl w:val="nil"/>
            </w:tcBorders>
            <w:noWrap w:val="0"/>
            <w:vAlign w:val="center"/>
          </w:tcPr>
          <w:p>
            <w:pPr>
              <w:spacing w:line="280" w:lineRule="exact"/>
              <w:jc w:val="center"/>
              <w:rPr>
                <w:rFonts w:ascii="宋体" w:hAnsi="宋体" w:eastAsia="宋体"/>
                <w:sz w:val="18"/>
                <w:szCs w:val="18"/>
                <w:highlight w:val="none"/>
              </w:rPr>
            </w:pPr>
          </w:p>
        </w:tc>
        <w:tc>
          <w:tcPr>
            <w:tcW w:w="1075" w:type="pct"/>
            <w:tcBorders>
              <w:top w:val="single" w:color="auto" w:sz="8" w:space="0"/>
              <w:tl2br w:val="nil"/>
              <w:tr2bl w:val="nil"/>
            </w:tcBorders>
            <w:noWrap w:val="0"/>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3" w:type="pct"/>
            <w:tcBorders>
              <w:tl2br w:val="nil"/>
              <w:tr2bl w:val="nil"/>
            </w:tcBorders>
            <w:noWrap w:val="0"/>
            <w:vAlign w:val="center"/>
          </w:tcPr>
          <w:p>
            <w:pPr>
              <w:widowControl/>
              <w:jc w:val="center"/>
              <w:rPr>
                <w:rFonts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2</w:t>
            </w:r>
          </w:p>
        </w:tc>
        <w:tc>
          <w:tcPr>
            <w:tcW w:w="2259" w:type="dxa"/>
            <w:tcBorders>
              <w:tl2br w:val="nil"/>
              <w:tr2bl w:val="nil"/>
            </w:tcBorders>
            <w:noWrap w:val="0"/>
            <w:vAlign w:val="center"/>
          </w:tcPr>
          <w:p>
            <w:pPr>
              <w:widowControl/>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lang w:val="en-US" w:eastAsia="zh-CN"/>
              </w:rPr>
              <w:t>在申报、认定及结果公示期结束之前均未被列入失信联合惩戒黑名单及失信被执行人名单。</w:t>
            </w:r>
          </w:p>
        </w:tc>
        <w:tc>
          <w:tcPr>
            <w:tcW w:w="3039" w:type="dxa"/>
            <w:tcBorders>
              <w:tl2br w:val="nil"/>
              <w:tr2bl w:val="nil"/>
            </w:tcBorders>
            <w:noWrap w:val="0"/>
            <w:vAlign w:val="center"/>
          </w:tcPr>
          <w:p>
            <w:pPr>
              <w:widowControl/>
              <w:rPr>
                <w:rFonts w:ascii="宋体" w:hAnsi="宋体" w:eastAsia="宋体" w:cs="宋体"/>
                <w:sz w:val="18"/>
                <w:szCs w:val="18"/>
                <w:highlight w:val="none"/>
              </w:rPr>
            </w:pPr>
            <w:r>
              <w:rPr>
                <w:rFonts w:hint="eastAsia" w:ascii="宋体" w:hAnsi="宋体" w:eastAsia="宋体" w:cs="宋体"/>
                <w:sz w:val="18"/>
                <w:szCs w:val="18"/>
              </w:rPr>
              <w:t>中国执行信息公开网</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中国信用信息共享平台发布结果。</w:t>
            </w:r>
          </w:p>
        </w:tc>
        <w:tc>
          <w:tcPr>
            <w:tcW w:w="642" w:type="pct"/>
            <w:tcBorders>
              <w:tl2br w:val="nil"/>
              <w:tr2bl w:val="nil"/>
            </w:tcBorders>
            <w:noWrap w:val="0"/>
            <w:vAlign w:val="center"/>
          </w:tcPr>
          <w:p>
            <w:pPr>
              <w:spacing w:line="280" w:lineRule="exact"/>
              <w:jc w:val="center"/>
              <w:rPr>
                <w:rFonts w:ascii="宋体" w:hAnsi="宋体" w:eastAsia="宋体"/>
                <w:sz w:val="18"/>
                <w:szCs w:val="18"/>
                <w:highlight w:val="none"/>
              </w:rPr>
            </w:pPr>
          </w:p>
        </w:tc>
        <w:tc>
          <w:tcPr>
            <w:tcW w:w="1075" w:type="pct"/>
            <w:tcBorders>
              <w:tl2br w:val="nil"/>
              <w:tr2bl w:val="nil"/>
            </w:tcBorders>
            <w:noWrap w:val="0"/>
            <w:vAlign w:val="center"/>
          </w:tcPr>
          <w:p>
            <w:pPr>
              <w:spacing w:line="28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513" w:type="pct"/>
            <w:tcBorders>
              <w:tl2br w:val="nil"/>
              <w:tr2bl w:val="nil"/>
            </w:tcBorders>
            <w:noWrap w:val="0"/>
            <w:vAlign w:val="center"/>
          </w:tcPr>
          <w:p>
            <w:pPr>
              <w:widowControl/>
              <w:jc w:val="center"/>
              <w:rPr>
                <w:rFonts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3</w:t>
            </w:r>
          </w:p>
        </w:tc>
        <w:tc>
          <w:tcPr>
            <w:tcW w:w="2259" w:type="dxa"/>
            <w:tcBorders>
              <w:tl2br w:val="nil"/>
              <w:tr2bl w:val="nil"/>
            </w:tcBorders>
            <w:noWrap w:val="0"/>
            <w:vAlign w:val="center"/>
          </w:tcPr>
          <w:p>
            <w:pPr>
              <w:widowControl/>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lang w:val="en-US" w:eastAsia="zh-CN"/>
              </w:rPr>
              <w:t>申报前三年内未发生重大安全、重大质量事故或严重环境违法行为。</w:t>
            </w:r>
          </w:p>
        </w:tc>
        <w:tc>
          <w:tcPr>
            <w:tcW w:w="3039" w:type="dxa"/>
            <w:tcBorders>
              <w:tl2br w:val="nil"/>
              <w:tr2bl w:val="nil"/>
            </w:tcBorders>
            <w:noWrap w:val="0"/>
            <w:vAlign w:val="center"/>
          </w:tcPr>
          <w:p>
            <w:pPr>
              <w:widowControl/>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lang w:val="en-US" w:eastAsia="zh-CN"/>
              </w:rPr>
              <w:t>国家、省、市政府的市场监督管理部门、安全生产监督管理部门、环境监督管理部门等相关部门网站发布结果，自我申明</w:t>
            </w:r>
            <w:r>
              <w:rPr>
                <w:rFonts w:hint="eastAsia" w:ascii="宋体" w:hAnsi="宋体" w:eastAsia="宋体" w:cs="宋体"/>
                <w:color w:val="000000"/>
                <w:kern w:val="0"/>
                <w:sz w:val="18"/>
                <w:szCs w:val="18"/>
              </w:rPr>
              <w:t>。</w:t>
            </w:r>
          </w:p>
        </w:tc>
        <w:tc>
          <w:tcPr>
            <w:tcW w:w="642" w:type="pct"/>
            <w:tcBorders>
              <w:tl2br w:val="nil"/>
              <w:tr2bl w:val="nil"/>
            </w:tcBorders>
            <w:noWrap w:val="0"/>
            <w:vAlign w:val="center"/>
          </w:tcPr>
          <w:p>
            <w:pPr>
              <w:spacing w:line="440" w:lineRule="exact"/>
              <w:jc w:val="center"/>
              <w:rPr>
                <w:rFonts w:ascii="宋体" w:hAnsi="宋体" w:eastAsia="宋体"/>
                <w:sz w:val="18"/>
                <w:szCs w:val="18"/>
                <w:highlight w:val="none"/>
              </w:rPr>
            </w:pPr>
          </w:p>
        </w:tc>
        <w:tc>
          <w:tcPr>
            <w:tcW w:w="1075" w:type="pct"/>
            <w:tcBorders>
              <w:tl2br w:val="nil"/>
              <w:tr2bl w:val="nil"/>
            </w:tcBorders>
            <w:noWrap w:val="0"/>
            <w:vAlign w:val="center"/>
          </w:tcPr>
          <w:p>
            <w:pPr>
              <w:spacing w:line="4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13" w:type="pct"/>
            <w:tcBorders>
              <w:tl2br w:val="nil"/>
              <w:tr2bl w:val="nil"/>
            </w:tcBorders>
            <w:noWrap w:val="0"/>
            <w:vAlign w:val="center"/>
          </w:tcPr>
          <w:p>
            <w:pPr>
              <w:widowControl/>
              <w:jc w:val="center"/>
              <w:rPr>
                <w:rFonts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4</w:t>
            </w:r>
          </w:p>
        </w:tc>
        <w:tc>
          <w:tcPr>
            <w:tcW w:w="2259" w:type="dxa"/>
            <w:tcBorders>
              <w:tl2br w:val="nil"/>
              <w:tr2bl w:val="nil"/>
            </w:tcBorders>
            <w:noWrap w:val="0"/>
            <w:vAlign w:val="center"/>
          </w:tcPr>
          <w:p>
            <w:pPr>
              <w:widowControl/>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rPr>
              <w:t>《深圳市绿色</w:t>
            </w:r>
            <w:r>
              <w:rPr>
                <w:rFonts w:hint="eastAsia" w:ascii="宋体" w:hAnsi="宋体" w:eastAsia="宋体" w:cs="宋体"/>
                <w:color w:val="000000"/>
                <w:kern w:val="0"/>
                <w:sz w:val="18"/>
                <w:szCs w:val="18"/>
                <w:lang w:val="en-US" w:eastAsia="zh-CN"/>
              </w:rPr>
              <w:t>低碳</w:t>
            </w:r>
            <w:r>
              <w:rPr>
                <w:rFonts w:hint="eastAsia" w:ascii="宋体" w:hAnsi="宋体" w:eastAsia="宋体" w:cs="宋体"/>
                <w:color w:val="000000"/>
                <w:kern w:val="0"/>
                <w:sz w:val="18"/>
                <w:szCs w:val="18"/>
              </w:rPr>
              <w:t>产业认定管理办法》所规定的其他要求</w:t>
            </w:r>
          </w:p>
        </w:tc>
        <w:tc>
          <w:tcPr>
            <w:tcW w:w="3039" w:type="dxa"/>
            <w:tcBorders>
              <w:tl2br w:val="nil"/>
              <w:tr2bl w:val="nil"/>
            </w:tcBorders>
            <w:noWrap w:val="0"/>
            <w:vAlign w:val="center"/>
          </w:tcPr>
          <w:p>
            <w:pPr>
              <w:widowControl/>
              <w:rPr>
                <w:rFonts w:ascii="宋体" w:hAnsi="宋体" w:eastAsia="宋体" w:cs="宋体"/>
                <w:color w:val="000000"/>
                <w:kern w:val="0"/>
                <w:sz w:val="18"/>
                <w:szCs w:val="18"/>
                <w:highlight w:val="none"/>
              </w:rPr>
            </w:pPr>
            <w:r>
              <w:rPr>
                <w:rFonts w:hint="default" w:ascii="宋体" w:hAnsi="宋体" w:eastAsia="宋体" w:cs="宋体"/>
                <w:color w:val="000000"/>
                <w:kern w:val="0"/>
                <w:sz w:val="18"/>
                <w:szCs w:val="18"/>
                <w:lang w:val="en-US"/>
              </w:rPr>
              <w:t>《深圳市绿色</w:t>
            </w:r>
            <w:r>
              <w:rPr>
                <w:rFonts w:hint="default" w:ascii="宋体" w:hAnsi="宋体" w:eastAsia="宋体" w:cs="宋体"/>
                <w:color w:val="000000"/>
                <w:kern w:val="0"/>
                <w:sz w:val="18"/>
                <w:szCs w:val="18"/>
                <w:lang w:val="en-US" w:eastAsia="zh-CN"/>
              </w:rPr>
              <w:t>低碳</w:t>
            </w:r>
            <w:r>
              <w:rPr>
                <w:rFonts w:hint="default" w:ascii="宋体" w:hAnsi="宋体" w:eastAsia="宋体" w:cs="宋体"/>
                <w:color w:val="000000"/>
                <w:kern w:val="0"/>
                <w:sz w:val="18"/>
                <w:szCs w:val="18"/>
                <w:lang w:val="en-US"/>
              </w:rPr>
              <w:t>产业认定管理办法》</w:t>
            </w:r>
            <w:r>
              <w:rPr>
                <w:rFonts w:hint="eastAsia" w:ascii="宋体" w:hAnsi="宋体" w:eastAsia="宋体" w:cs="宋体"/>
                <w:color w:val="000000"/>
                <w:kern w:val="0"/>
                <w:sz w:val="18"/>
                <w:szCs w:val="18"/>
              </w:rPr>
              <w:t>。</w:t>
            </w:r>
          </w:p>
        </w:tc>
        <w:tc>
          <w:tcPr>
            <w:tcW w:w="642" w:type="pct"/>
            <w:tcBorders>
              <w:tl2br w:val="nil"/>
              <w:tr2bl w:val="nil"/>
            </w:tcBorders>
            <w:noWrap w:val="0"/>
            <w:vAlign w:val="center"/>
          </w:tcPr>
          <w:p>
            <w:pPr>
              <w:spacing w:line="440" w:lineRule="exact"/>
              <w:jc w:val="center"/>
              <w:rPr>
                <w:rFonts w:ascii="宋体" w:hAnsi="宋体" w:eastAsia="宋体"/>
                <w:sz w:val="18"/>
                <w:szCs w:val="18"/>
                <w:highlight w:val="none"/>
              </w:rPr>
            </w:pPr>
          </w:p>
        </w:tc>
        <w:tc>
          <w:tcPr>
            <w:tcW w:w="1075" w:type="pct"/>
            <w:tcBorders>
              <w:tl2br w:val="nil"/>
              <w:tr2bl w:val="nil"/>
            </w:tcBorders>
            <w:noWrap w:val="0"/>
            <w:vAlign w:val="center"/>
          </w:tcPr>
          <w:p>
            <w:pPr>
              <w:spacing w:line="4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见第X页</w:t>
            </w:r>
          </w:p>
        </w:tc>
      </w:tr>
    </w:tbl>
    <w:p>
      <w:pPr>
        <w:widowControl w:val="0"/>
        <w:numPr>
          <w:ilvl w:val="1"/>
          <w:numId w:val="0"/>
        </w:numPr>
        <w:spacing w:before="156" w:beforeLines="50" w:after="156" w:afterLines="50"/>
        <w:jc w:val="center"/>
        <w:rPr>
          <w:rFonts w:ascii="Times New Roman" w:hAnsi="Times New Roman" w:eastAsia="黑体" w:cs="Times New Roman"/>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表D.4  符合性指标评价表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14"/>
        <w:gridCol w:w="1045"/>
        <w:gridCol w:w="4485"/>
        <w:gridCol w:w="1625"/>
        <w:gridCol w:w="169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73" w:type="pct"/>
            <w:tcBorders>
              <w:top w:val="single" w:color="auto" w:sz="8" w:space="0"/>
              <w:left w:val="single" w:color="auto" w:sz="8" w:space="0"/>
              <w:bottom w:val="single" w:color="auto" w:sz="8" w:space="0"/>
              <w:right w:val="single" w:color="auto" w:sz="4" w:space="0"/>
            </w:tcBorders>
            <w:noWrap w:val="0"/>
            <w:vAlign w:val="center"/>
          </w:tcPr>
          <w:p>
            <w:pPr>
              <w:spacing w:line="280" w:lineRule="exact"/>
              <w:jc w:val="center"/>
              <w:rPr>
                <w:rFonts w:ascii="宋体" w:hAnsi="宋体" w:eastAsia="宋体"/>
                <w:b/>
                <w:sz w:val="18"/>
                <w:szCs w:val="18"/>
                <w:highlight w:val="none"/>
              </w:rPr>
            </w:pPr>
            <w:r>
              <w:rPr>
                <w:rFonts w:ascii="宋体" w:hAnsi="宋体" w:eastAsia="宋体"/>
                <w:b/>
                <w:sz w:val="18"/>
                <w:szCs w:val="18"/>
                <w:highlight w:val="none"/>
              </w:rPr>
              <w:t>序号</w:t>
            </w:r>
          </w:p>
        </w:tc>
        <w:tc>
          <w:tcPr>
            <w:tcW w:w="546" w:type="pct"/>
            <w:tcBorders>
              <w:top w:val="single" w:color="auto" w:sz="8" w:space="0"/>
              <w:left w:val="single" w:color="auto" w:sz="4" w:space="0"/>
              <w:bottom w:val="single" w:color="auto" w:sz="8" w:space="0"/>
              <w:right w:val="single" w:color="auto" w:sz="4" w:space="0"/>
            </w:tcBorders>
            <w:noWrap w:val="0"/>
            <w:vAlign w:val="center"/>
          </w:tcPr>
          <w:p>
            <w:pPr>
              <w:spacing w:line="360" w:lineRule="exact"/>
              <w:jc w:val="center"/>
              <w:rPr>
                <w:rFonts w:ascii="宋体" w:hAnsi="宋体" w:eastAsia="宋体"/>
                <w:b/>
                <w:sz w:val="18"/>
                <w:szCs w:val="18"/>
                <w:highlight w:val="none"/>
              </w:rPr>
            </w:pPr>
            <w:r>
              <w:rPr>
                <w:rFonts w:ascii="宋体" w:hAnsi="宋体" w:eastAsia="宋体"/>
                <w:b/>
                <w:sz w:val="18"/>
                <w:szCs w:val="18"/>
                <w:highlight w:val="none"/>
              </w:rPr>
              <w:t>指标</w:t>
            </w:r>
          </w:p>
        </w:tc>
        <w:tc>
          <w:tcPr>
            <w:tcW w:w="2343" w:type="pct"/>
            <w:tcBorders>
              <w:top w:val="single" w:color="auto" w:sz="8" w:space="0"/>
              <w:left w:val="single" w:color="auto" w:sz="4" w:space="0"/>
              <w:bottom w:val="single" w:color="auto" w:sz="8" w:space="0"/>
              <w:right w:val="single" w:color="auto" w:sz="4" w:space="0"/>
            </w:tcBorders>
            <w:noWrap w:val="0"/>
            <w:vAlign w:val="center"/>
          </w:tcPr>
          <w:p>
            <w:pPr>
              <w:spacing w:line="360" w:lineRule="exact"/>
              <w:jc w:val="center"/>
              <w:rPr>
                <w:rFonts w:ascii="宋体" w:hAnsi="宋体" w:eastAsia="宋体"/>
                <w:b/>
                <w:sz w:val="18"/>
                <w:szCs w:val="18"/>
                <w:highlight w:val="none"/>
              </w:rPr>
            </w:pPr>
            <w:r>
              <w:rPr>
                <w:rFonts w:ascii="宋体" w:hAnsi="宋体" w:eastAsia="宋体"/>
                <w:b/>
                <w:sz w:val="18"/>
                <w:szCs w:val="18"/>
                <w:highlight w:val="none"/>
              </w:rPr>
              <w:t>符合性评价内容</w:t>
            </w:r>
          </w:p>
        </w:tc>
        <w:tc>
          <w:tcPr>
            <w:tcW w:w="849" w:type="pct"/>
            <w:tcBorders>
              <w:top w:val="single" w:color="auto" w:sz="8" w:space="0"/>
              <w:left w:val="single" w:color="auto" w:sz="4" w:space="0"/>
              <w:bottom w:val="single" w:color="auto" w:sz="8" w:space="0"/>
              <w:right w:val="single" w:color="auto" w:sz="4" w:space="0"/>
            </w:tcBorders>
            <w:noWrap w:val="0"/>
            <w:vAlign w:val="center"/>
          </w:tcPr>
          <w:p>
            <w:pPr>
              <w:spacing w:line="280" w:lineRule="exact"/>
              <w:jc w:val="center"/>
              <w:rPr>
                <w:rFonts w:ascii="宋体" w:hAnsi="宋体" w:eastAsia="宋体" w:cs="宋体"/>
                <w:b/>
                <w:sz w:val="18"/>
                <w:szCs w:val="18"/>
                <w:highlight w:val="none"/>
              </w:rPr>
            </w:pPr>
            <w:r>
              <w:rPr>
                <w:rFonts w:hint="eastAsia" w:ascii="宋体" w:hAnsi="宋体" w:eastAsia="宋体" w:cs="宋体"/>
                <w:b/>
                <w:sz w:val="18"/>
                <w:szCs w:val="18"/>
                <w:highlight w:val="none"/>
              </w:rPr>
              <w:t>评价结果</w:t>
            </w:r>
          </w:p>
          <w:p>
            <w:pPr>
              <w:spacing w:line="280" w:lineRule="exact"/>
              <w:jc w:val="center"/>
              <w:rPr>
                <w:rFonts w:ascii="宋体" w:hAnsi="宋体" w:eastAsia="宋体"/>
                <w:b/>
                <w:sz w:val="18"/>
                <w:szCs w:val="18"/>
                <w:highlight w:val="none"/>
              </w:rPr>
            </w:pPr>
            <w:r>
              <w:rPr>
                <w:rFonts w:hint="eastAsia" w:ascii="宋体" w:hAnsi="宋体" w:eastAsia="宋体" w:cs="宋体"/>
                <w:b/>
                <w:sz w:val="18"/>
                <w:szCs w:val="18"/>
                <w:highlight w:val="none"/>
              </w:rPr>
              <w:t>（是/否）</w:t>
            </w:r>
          </w:p>
        </w:tc>
        <w:tc>
          <w:tcPr>
            <w:tcW w:w="886" w:type="pct"/>
            <w:tcBorders>
              <w:top w:val="single" w:color="auto" w:sz="8" w:space="0"/>
              <w:left w:val="single" w:color="auto" w:sz="4" w:space="0"/>
              <w:bottom w:val="single" w:color="auto" w:sz="8" w:space="0"/>
              <w:right w:val="single" w:color="auto" w:sz="8" w:space="0"/>
            </w:tcBorders>
            <w:noWrap w:val="0"/>
            <w:vAlign w:val="center"/>
          </w:tcPr>
          <w:p>
            <w:pPr>
              <w:spacing w:line="280" w:lineRule="exact"/>
              <w:jc w:val="center"/>
              <w:rPr>
                <w:rFonts w:ascii="宋体" w:hAnsi="宋体" w:eastAsia="宋体"/>
                <w:b/>
                <w:sz w:val="18"/>
                <w:szCs w:val="18"/>
                <w:highlight w:val="none"/>
              </w:rPr>
            </w:pPr>
            <w:r>
              <w:rPr>
                <w:rFonts w:ascii="宋体" w:hAnsi="宋体" w:eastAsia="宋体"/>
                <w:b/>
                <w:sz w:val="18"/>
                <w:szCs w:val="18"/>
                <w:highlight w:val="none"/>
              </w:rPr>
              <w:t>佐证材料备注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373" w:type="pct"/>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宋体" w:hAnsi="宋体" w:eastAsia="宋体"/>
                <w:color w:val="000000"/>
                <w:kern w:val="0"/>
                <w:sz w:val="18"/>
                <w:szCs w:val="18"/>
                <w:highlight w:val="none"/>
              </w:rPr>
            </w:pPr>
            <w:r>
              <w:rPr>
                <w:rFonts w:ascii="宋体" w:hAnsi="宋体" w:eastAsia="宋体"/>
                <w:color w:val="000000"/>
                <w:kern w:val="0"/>
                <w:sz w:val="18"/>
                <w:szCs w:val="18"/>
                <w:highlight w:val="none"/>
              </w:rPr>
              <w:t>1</w:t>
            </w:r>
          </w:p>
        </w:tc>
        <w:tc>
          <w:tcPr>
            <w:tcW w:w="546" w:type="pct"/>
            <w:tcBorders>
              <w:top w:val="single" w:color="auto" w:sz="8" w:space="0"/>
              <w:left w:val="single" w:color="auto" w:sz="4" w:space="0"/>
              <w:bottom w:val="single" w:color="auto" w:sz="4" w:space="0"/>
              <w:right w:val="single" w:color="auto" w:sz="4" w:space="0"/>
            </w:tcBorders>
            <w:noWrap w:val="0"/>
            <w:vAlign w:val="center"/>
          </w:tcPr>
          <w:p>
            <w:pPr>
              <w:widowControl/>
              <w:jc w:val="center"/>
              <w:rPr>
                <w:rFonts w:ascii="宋体" w:hAnsi="宋体" w:eastAsia="宋体"/>
                <w:color w:val="000000"/>
                <w:kern w:val="0"/>
                <w:sz w:val="18"/>
                <w:szCs w:val="18"/>
                <w:highlight w:val="none"/>
              </w:rPr>
            </w:pPr>
            <w:r>
              <w:rPr>
                <w:rFonts w:ascii="宋体" w:hAnsi="宋体" w:eastAsia="宋体"/>
                <w:color w:val="000000"/>
                <w:kern w:val="0"/>
                <w:sz w:val="18"/>
                <w:szCs w:val="18"/>
                <w:highlight w:val="none"/>
              </w:rPr>
              <w:t>目录符合</w:t>
            </w:r>
          </w:p>
        </w:tc>
        <w:tc>
          <w:tcPr>
            <w:tcW w:w="4485" w:type="dxa"/>
            <w:tcBorders>
              <w:top w:val="single" w:color="auto" w:sz="8" w:space="0"/>
              <w:left w:val="single" w:color="auto" w:sz="4" w:space="0"/>
              <w:bottom w:val="single" w:color="auto" w:sz="4" w:space="0"/>
              <w:right w:val="single" w:color="auto" w:sz="4" w:space="0"/>
            </w:tcBorders>
            <w:noWrap w:val="0"/>
            <w:vAlign w:val="center"/>
          </w:tcPr>
          <w:p>
            <w:pPr>
              <w:widowControl/>
              <w:tabs>
                <w:tab w:val="center" w:pos="4201"/>
                <w:tab w:val="right" w:leader="dot" w:pos="9298"/>
              </w:tabs>
              <w:autoSpaceDE w:val="0"/>
              <w:autoSpaceDN w:val="0"/>
              <w:jc w:val="left"/>
              <w:rPr>
                <w:rFonts w:hint="default" w:ascii="宋体" w:hAnsi="宋体" w:eastAsia="宋体"/>
                <w:color w:val="000000"/>
                <w:kern w:val="0"/>
                <w:sz w:val="18"/>
                <w:szCs w:val="18"/>
                <w:highlight w:val="none"/>
                <w:lang w:val="en-US"/>
              </w:rPr>
            </w:pPr>
            <w:r>
              <w:rPr>
                <w:rFonts w:hint="eastAsia"/>
                <w:sz w:val="18"/>
                <w:szCs w:val="18"/>
                <w:highlight w:val="none"/>
              </w:rPr>
              <w:t>申报认定评价的</w:t>
            </w:r>
            <w:r>
              <w:rPr>
                <w:rFonts w:hint="eastAsia"/>
                <w:sz w:val="18"/>
                <w:szCs w:val="18"/>
                <w:highlight w:val="none"/>
                <w:lang w:val="en-US" w:eastAsia="zh-CN"/>
              </w:rPr>
              <w:t>项目</w:t>
            </w:r>
            <w:r>
              <w:rPr>
                <w:rFonts w:hint="eastAsia"/>
                <w:sz w:val="18"/>
                <w:szCs w:val="18"/>
                <w:highlight w:val="none"/>
              </w:rPr>
              <w:t>应属于新能源汽车整车制造、动力电池系统及核心零部件制造、新能源汽车电机/发动机制造、新能源汽车控制系统制造、新能源汽车电附件制造等新能源汽车产品制造产业</w:t>
            </w:r>
            <w:r>
              <w:rPr>
                <w:rFonts w:hint="eastAsia"/>
                <w:sz w:val="18"/>
                <w:szCs w:val="18"/>
                <w:highlight w:val="none"/>
                <w:lang w:eastAsia="zh-CN"/>
              </w:rPr>
              <w:t>，</w:t>
            </w:r>
            <w:r>
              <w:rPr>
                <w:rFonts w:hint="eastAsia" w:ascii="Times New Roman" w:hAnsi="Times New Roman" w:eastAsia="宋体"/>
                <w:color w:val="auto"/>
                <w:kern w:val="2"/>
                <w:sz w:val="18"/>
                <w:szCs w:val="18"/>
                <w:highlight w:val="none"/>
              </w:rPr>
              <w:t>且其绿色业务占比达到50%或以上，或跨界规模达到1亿元、</w:t>
            </w:r>
            <w:r>
              <w:rPr>
                <w:rFonts w:hint="eastAsia"/>
                <w:color w:val="auto"/>
                <w:kern w:val="2"/>
                <w:sz w:val="18"/>
                <w:szCs w:val="18"/>
                <w:highlight w:val="none"/>
              </w:rPr>
              <w:t>在国内外新兴领域超前领先。</w:t>
            </w:r>
          </w:p>
        </w:tc>
        <w:tc>
          <w:tcPr>
            <w:tcW w:w="849" w:type="pct"/>
            <w:tcBorders>
              <w:top w:val="single" w:color="auto" w:sz="8"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sz w:val="18"/>
                <w:szCs w:val="18"/>
                <w:highlight w:val="none"/>
              </w:rPr>
            </w:pPr>
          </w:p>
        </w:tc>
        <w:tc>
          <w:tcPr>
            <w:tcW w:w="886" w:type="pct"/>
            <w:tcBorders>
              <w:top w:val="single" w:color="auto" w:sz="8" w:space="0"/>
              <w:left w:val="single" w:color="auto" w:sz="4" w:space="0"/>
              <w:bottom w:val="single" w:color="auto" w:sz="4" w:space="0"/>
              <w:right w:val="single" w:color="auto" w:sz="8" w:space="0"/>
            </w:tcBorders>
            <w:noWrap w:val="0"/>
            <w:vAlign w:val="center"/>
          </w:tcPr>
          <w:p>
            <w:pPr>
              <w:spacing w:line="4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见第X页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2" w:hRule="atLeast"/>
          <w:jc w:val="center"/>
        </w:trPr>
        <w:tc>
          <w:tcPr>
            <w:tcW w:w="373" w:type="pct"/>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宋体" w:hAnsi="宋体" w:eastAsia="宋体"/>
                <w:color w:val="000000"/>
                <w:kern w:val="0"/>
                <w:sz w:val="18"/>
                <w:szCs w:val="18"/>
                <w:highlight w:val="none"/>
              </w:rPr>
            </w:pPr>
            <w:r>
              <w:rPr>
                <w:rFonts w:ascii="宋体" w:hAnsi="宋体" w:eastAsia="宋体"/>
                <w:color w:val="000000"/>
                <w:kern w:val="0"/>
                <w:sz w:val="18"/>
                <w:szCs w:val="18"/>
                <w:highlight w:val="none"/>
              </w:rPr>
              <w:t>2</w:t>
            </w:r>
          </w:p>
        </w:tc>
        <w:tc>
          <w:tcPr>
            <w:tcW w:w="546" w:type="pct"/>
            <w:tcBorders>
              <w:top w:val="single" w:color="auto" w:sz="4" w:space="0"/>
              <w:left w:val="single" w:color="auto" w:sz="4" w:space="0"/>
              <w:bottom w:val="single" w:color="auto" w:sz="8" w:space="0"/>
              <w:right w:val="single" w:color="auto" w:sz="4" w:space="0"/>
            </w:tcBorders>
            <w:noWrap w:val="0"/>
            <w:vAlign w:val="center"/>
          </w:tcPr>
          <w:p>
            <w:pPr>
              <w:widowControl/>
              <w:jc w:val="center"/>
              <w:rPr>
                <w:rFonts w:ascii="宋体" w:hAnsi="宋体" w:eastAsia="宋体"/>
                <w:color w:val="000000"/>
                <w:kern w:val="0"/>
                <w:sz w:val="18"/>
                <w:szCs w:val="18"/>
                <w:highlight w:val="none"/>
              </w:rPr>
            </w:pPr>
            <w:r>
              <w:rPr>
                <w:rFonts w:ascii="宋体" w:hAnsi="宋体" w:eastAsia="宋体"/>
                <w:kern w:val="0"/>
                <w:sz w:val="18"/>
                <w:szCs w:val="18"/>
                <w:highlight w:val="none"/>
              </w:rPr>
              <w:t>技术符合</w:t>
            </w:r>
          </w:p>
        </w:tc>
        <w:tc>
          <w:tcPr>
            <w:tcW w:w="4485" w:type="dxa"/>
            <w:tcBorders>
              <w:top w:val="single" w:color="auto" w:sz="4" w:space="0"/>
              <w:left w:val="single" w:color="auto" w:sz="4" w:space="0"/>
              <w:bottom w:val="single" w:color="auto" w:sz="8" w:space="0"/>
              <w:right w:val="single" w:color="auto" w:sz="4" w:space="0"/>
            </w:tcBorders>
            <w:noWrap w:val="0"/>
            <w:vAlign w:val="center"/>
          </w:tcPr>
          <w:p>
            <w:pPr>
              <w:pStyle w:val="24"/>
              <w:ind w:left="0" w:leftChars="0" w:firstLine="0" w:firstLineChars="0"/>
              <w:rPr>
                <w:rFonts w:ascii="宋体" w:hAnsi="宋体" w:eastAsia="宋体"/>
                <w:color w:val="000000"/>
                <w:kern w:val="0"/>
                <w:sz w:val="18"/>
                <w:szCs w:val="18"/>
                <w:highlight w:val="none"/>
              </w:rPr>
            </w:pPr>
            <w:r>
              <w:rPr>
                <w:rFonts w:hint="eastAsia" w:ascii="Times New Roman" w:hAnsi="Times New Roman" w:eastAsia="宋体" w:cs="Times New Roman"/>
                <w:kern w:val="2"/>
                <w:sz w:val="18"/>
                <w:szCs w:val="18"/>
                <w:highlight w:val="none"/>
                <w:lang w:val="en-US" w:eastAsia="zh-CN" w:bidi="ar-SA"/>
              </w:rPr>
              <w:t>提供的产品或服务应符合国家、广东省及深圳市相关主管部门发布文件列明的有关设计、能效、性能、安全、贮存、回收、标识、验收、管理、运维等技术要求。</w:t>
            </w:r>
          </w:p>
        </w:tc>
        <w:tc>
          <w:tcPr>
            <w:tcW w:w="849" w:type="pct"/>
            <w:tcBorders>
              <w:top w:val="single" w:color="auto" w:sz="4" w:space="0"/>
              <w:left w:val="single" w:color="auto" w:sz="4" w:space="0"/>
              <w:bottom w:val="single" w:color="auto" w:sz="8" w:space="0"/>
              <w:right w:val="single" w:color="auto" w:sz="4" w:space="0"/>
            </w:tcBorders>
            <w:noWrap w:val="0"/>
            <w:vAlign w:val="center"/>
          </w:tcPr>
          <w:p>
            <w:pPr>
              <w:spacing w:line="440" w:lineRule="exact"/>
              <w:jc w:val="center"/>
              <w:rPr>
                <w:rFonts w:ascii="宋体" w:hAnsi="宋体" w:eastAsia="宋体"/>
                <w:sz w:val="18"/>
                <w:szCs w:val="18"/>
                <w:highlight w:val="none"/>
              </w:rPr>
            </w:pPr>
          </w:p>
        </w:tc>
        <w:tc>
          <w:tcPr>
            <w:tcW w:w="886" w:type="pct"/>
            <w:tcBorders>
              <w:top w:val="single" w:color="auto" w:sz="4" w:space="0"/>
              <w:left w:val="single" w:color="auto" w:sz="4" w:space="0"/>
              <w:bottom w:val="single" w:color="auto" w:sz="8" w:space="0"/>
              <w:right w:val="single" w:color="auto" w:sz="8" w:space="0"/>
            </w:tcBorders>
            <w:noWrap w:val="0"/>
            <w:vAlign w:val="center"/>
          </w:tcPr>
          <w:p>
            <w:pPr>
              <w:spacing w:line="440" w:lineRule="exact"/>
              <w:jc w:val="center"/>
              <w:rPr>
                <w:rFonts w:ascii="宋体" w:hAnsi="宋体" w:eastAsia="宋体" w:cs="宋体"/>
                <w:sz w:val="18"/>
                <w:szCs w:val="18"/>
                <w:highlight w:val="none"/>
              </w:rPr>
            </w:pPr>
            <w:r>
              <w:rPr>
                <w:rFonts w:hint="eastAsia" w:ascii="宋体" w:hAnsi="宋体" w:eastAsia="宋体" w:cs="宋体"/>
                <w:sz w:val="18"/>
                <w:szCs w:val="18"/>
                <w:highlight w:val="none"/>
              </w:rPr>
              <w:t>见第X页</w:t>
            </w:r>
          </w:p>
        </w:tc>
      </w:tr>
    </w:tbl>
    <w:p>
      <w:pPr>
        <w:widowControl w:val="0"/>
        <w:numPr>
          <w:ilvl w:val="1"/>
          <w:numId w:val="0"/>
        </w:numPr>
        <w:spacing w:before="156" w:beforeLines="50" w:after="156" w:afterLines="50"/>
        <w:jc w:val="center"/>
        <w:rPr>
          <w:rFonts w:hint="eastAsia" w:ascii="黑体" w:hAnsi="黑体" w:eastAsia="黑体" w:cs="黑体"/>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表D.5  综合评价指标评分表</w:t>
      </w:r>
    </w:p>
    <w:tbl>
      <w:tblPr>
        <w:tblStyle w:val="35"/>
        <w:tblpPr w:leftFromText="180" w:rightFromText="180" w:vertAnchor="text" w:tblpXSpec="center" w:tblpY="1"/>
        <w:tblOverlap w:val="never"/>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2793"/>
        <w:gridCol w:w="1682"/>
        <w:gridCol w:w="1657"/>
        <w:gridCol w:w="16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blHeader/>
        </w:trPr>
        <w:tc>
          <w:tcPr>
            <w:tcW w:w="929" w:type="pct"/>
            <w:tcBorders>
              <w:bottom w:val="single" w:color="auto" w:sz="8"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ascii="Times New Roman"/>
                <w:b/>
                <w:sz w:val="18"/>
                <w:szCs w:val="18"/>
                <w:highlight w:val="none"/>
              </w:rPr>
            </w:pPr>
            <w:r>
              <w:rPr>
                <w:rFonts w:ascii="Times New Roman"/>
                <w:b/>
                <w:sz w:val="18"/>
                <w:szCs w:val="18"/>
                <w:highlight w:val="none"/>
              </w:rPr>
              <w:t>一级指标</w:t>
            </w:r>
          </w:p>
        </w:tc>
        <w:tc>
          <w:tcPr>
            <w:tcW w:w="1460" w:type="pct"/>
            <w:tcBorders>
              <w:bottom w:val="single" w:color="auto" w:sz="8"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ascii="Times New Roman"/>
                <w:b/>
                <w:sz w:val="18"/>
                <w:szCs w:val="18"/>
                <w:highlight w:val="none"/>
              </w:rPr>
            </w:pPr>
            <w:r>
              <w:rPr>
                <w:rFonts w:ascii="Times New Roman"/>
                <w:b/>
                <w:sz w:val="18"/>
                <w:szCs w:val="18"/>
                <w:highlight w:val="none"/>
              </w:rPr>
              <w:t>二级指标</w:t>
            </w:r>
          </w:p>
        </w:tc>
        <w:tc>
          <w:tcPr>
            <w:tcW w:w="879" w:type="pct"/>
            <w:tcBorders>
              <w:bottom w:val="single" w:color="auto" w:sz="8"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ascii="Times New Roman"/>
                <w:b/>
                <w:sz w:val="18"/>
                <w:szCs w:val="18"/>
                <w:highlight w:val="none"/>
              </w:rPr>
            </w:pPr>
            <w:r>
              <w:rPr>
                <w:rFonts w:ascii="Times New Roman"/>
                <w:b/>
                <w:sz w:val="18"/>
                <w:szCs w:val="18"/>
                <w:highlight w:val="none"/>
              </w:rPr>
              <w:t>分值</w:t>
            </w:r>
            <w:r>
              <w:rPr>
                <w:rFonts w:hint="eastAsia" w:ascii="Times New Roman"/>
                <w:b/>
                <w:sz w:val="18"/>
                <w:szCs w:val="18"/>
                <w:highlight w:val="none"/>
              </w:rPr>
              <w:t>（分）</w:t>
            </w:r>
          </w:p>
        </w:tc>
        <w:tc>
          <w:tcPr>
            <w:tcW w:w="866" w:type="pct"/>
            <w:tcBorders>
              <w:bottom w:val="single" w:color="auto" w:sz="8"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ascii="Times New Roman"/>
                <w:b/>
                <w:sz w:val="18"/>
                <w:szCs w:val="18"/>
                <w:highlight w:val="none"/>
              </w:rPr>
            </w:pPr>
            <w:r>
              <w:rPr>
                <w:rFonts w:ascii="Times New Roman"/>
                <w:b/>
                <w:sz w:val="18"/>
                <w:szCs w:val="18"/>
                <w:highlight w:val="none"/>
              </w:rPr>
              <w:t>评价得分</w:t>
            </w:r>
            <w:r>
              <w:rPr>
                <w:rFonts w:hint="eastAsia" w:ascii="Times New Roman"/>
                <w:b/>
                <w:sz w:val="18"/>
                <w:szCs w:val="18"/>
                <w:highlight w:val="none"/>
              </w:rPr>
              <w:t>（分）</w:t>
            </w:r>
          </w:p>
        </w:tc>
        <w:tc>
          <w:tcPr>
            <w:tcW w:w="865" w:type="pct"/>
            <w:tcBorders>
              <w:bottom w:val="single" w:color="auto" w:sz="8" w:space="0"/>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ascii="Times New Roman" w:hAnsi="Times New Roman" w:eastAsia="宋体" w:cs="Times New Roman"/>
                <w:b/>
                <w:sz w:val="18"/>
                <w:szCs w:val="18"/>
                <w:highlight w:val="none"/>
                <w:lang w:val="en-US" w:eastAsia="zh-CN" w:bidi="ar-SA"/>
              </w:rPr>
            </w:pPr>
            <w:r>
              <w:rPr>
                <w:rFonts w:ascii="Times New Roman"/>
                <w:b/>
                <w:sz w:val="18"/>
                <w:szCs w:val="18"/>
                <w:highlight w:val="none"/>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29" w:type="pct"/>
            <w:tcBorders>
              <w:top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ascii="宋体" w:hAnsi="宋体" w:eastAsia="宋体" w:cs="宋体"/>
                <w:sz w:val="18"/>
                <w:szCs w:val="18"/>
                <w:lang w:val="en-US" w:eastAsia="zh-CN" w:bidi="ar-SA"/>
              </w:rPr>
            </w:pPr>
            <w:r>
              <w:rPr>
                <w:rFonts w:hint="eastAsia" w:hAnsi="宋体" w:cs="宋体"/>
                <w:sz w:val="18"/>
                <w:szCs w:val="18"/>
                <w:lang w:val="en-US" w:eastAsia="zh-CN"/>
              </w:rPr>
              <w:t>基础得分</w:t>
            </w:r>
          </w:p>
        </w:tc>
        <w:tc>
          <w:tcPr>
            <w:tcW w:w="1460"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ascii="宋体" w:hAnsi="宋体" w:eastAsia="宋体" w:cs="宋体"/>
                <w:sz w:val="18"/>
                <w:szCs w:val="18"/>
                <w:lang w:val="en-US" w:eastAsia="zh-CN" w:bidi="ar-SA"/>
              </w:rPr>
            </w:pPr>
            <w:r>
              <w:rPr>
                <w:rFonts w:hint="eastAsia" w:hAnsi="宋体" w:cs="宋体"/>
                <w:sz w:val="18"/>
                <w:szCs w:val="18"/>
                <w:lang w:val="en-US" w:eastAsia="zh-CN"/>
              </w:rPr>
              <w:t>通过符合性评价</w:t>
            </w:r>
          </w:p>
        </w:tc>
        <w:tc>
          <w:tcPr>
            <w:tcW w:w="879"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ascii="宋体" w:hAnsi="宋体" w:eastAsia="宋体" w:cs="宋体"/>
                <w:sz w:val="18"/>
                <w:szCs w:val="18"/>
                <w:lang w:val="en-US" w:eastAsia="zh-CN" w:bidi="ar-SA"/>
              </w:rPr>
            </w:pPr>
            <w:r>
              <w:rPr>
                <w:rFonts w:hint="eastAsia" w:hAnsi="宋体" w:cs="宋体"/>
                <w:sz w:val="18"/>
                <w:szCs w:val="18"/>
                <w:lang w:val="en-US" w:eastAsia="zh-CN"/>
              </w:rPr>
              <w:t>30</w:t>
            </w:r>
          </w:p>
        </w:tc>
        <w:tc>
          <w:tcPr>
            <w:tcW w:w="866"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ascii="宋体" w:hAnsi="宋体" w:eastAsia="宋体" w:cs="宋体"/>
                <w:sz w:val="18"/>
                <w:szCs w:val="18"/>
                <w:lang w:val="en-US" w:eastAsia="zh-CN" w:bidi="ar-SA"/>
              </w:rPr>
            </w:pPr>
          </w:p>
        </w:tc>
        <w:tc>
          <w:tcPr>
            <w:tcW w:w="865"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ascii="宋体" w:hAnsi="宋体" w:eastAsia="宋体" w:cs="宋体"/>
                <w:sz w:val="18"/>
                <w:szCs w:val="18"/>
                <w:lang w:val="en-US" w:eastAsia="zh-CN" w:bidi="ar-SA"/>
              </w:rPr>
            </w:pPr>
            <w:r>
              <w:rPr>
                <w:rFonts w:hint="eastAsia" w:hAnsi="宋体" w:cs="宋体"/>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78" w:type="dxa"/>
            <w:vMerge w:val="restart"/>
            <w:tcBorders>
              <w:top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Ansi="宋体" w:cs="宋体"/>
                <w:sz w:val="18"/>
                <w:szCs w:val="18"/>
                <w:highlight w:val="none"/>
              </w:rPr>
            </w:pPr>
            <w:r>
              <w:rPr>
                <w:rFonts w:hint="eastAsia" w:hAnsi="宋体" w:cs="宋体"/>
                <w:sz w:val="18"/>
                <w:szCs w:val="18"/>
              </w:rPr>
              <w:t>技术表现</w:t>
            </w:r>
          </w:p>
        </w:tc>
        <w:tc>
          <w:tcPr>
            <w:tcW w:w="2794" w:type="dxa"/>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eastAsia="宋体" w:cs="宋体"/>
                <w:sz w:val="18"/>
                <w:szCs w:val="18"/>
                <w:highlight w:val="none"/>
                <w:lang w:val="en-US" w:eastAsia="zh-CN"/>
              </w:rPr>
            </w:pPr>
            <w:r>
              <w:rPr>
                <w:rFonts w:hint="eastAsia" w:hAnsi="宋体" w:cs="宋体"/>
                <w:sz w:val="18"/>
                <w:szCs w:val="18"/>
                <w:lang w:val="en-US" w:eastAsia="zh-CN"/>
              </w:rPr>
              <w:t>有效知识产权</w:t>
            </w:r>
          </w:p>
        </w:tc>
        <w:tc>
          <w:tcPr>
            <w:tcW w:w="1682" w:type="dxa"/>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Ansi="宋体" w:cs="宋体"/>
                <w:sz w:val="18"/>
                <w:szCs w:val="18"/>
                <w:highlight w:val="none"/>
              </w:rPr>
            </w:pPr>
            <w:r>
              <w:rPr>
                <w:rFonts w:hint="eastAsia" w:hAnsi="宋体" w:cs="宋体"/>
                <w:sz w:val="18"/>
                <w:szCs w:val="18"/>
                <w:lang w:val="en-US" w:eastAsia="zh-CN"/>
              </w:rPr>
              <w:t>5</w:t>
            </w:r>
          </w:p>
        </w:tc>
        <w:tc>
          <w:tcPr>
            <w:tcW w:w="866"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p>
        </w:tc>
        <w:tc>
          <w:tcPr>
            <w:tcW w:w="865"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ascii="宋体" w:hAnsi="宋体" w:eastAsia="宋体" w:cs="宋体"/>
                <w:sz w:val="18"/>
                <w:szCs w:val="18"/>
                <w:highlight w:val="none"/>
                <w:lang w:val="en-US" w:eastAsia="zh-CN" w:bidi="ar-SA"/>
              </w:rPr>
            </w:pPr>
            <w:r>
              <w:rPr>
                <w:rFonts w:hint="eastAsia" w:hAnsi="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78" w:type="dxa"/>
            <w:vMerge w:val="continue"/>
            <w:tcBorders>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rPr>
            </w:pPr>
          </w:p>
        </w:tc>
        <w:tc>
          <w:tcPr>
            <w:tcW w:w="2794" w:type="dxa"/>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r>
              <w:rPr>
                <w:rFonts w:hint="eastAsia" w:hAnsi="宋体" w:cs="宋体"/>
                <w:sz w:val="18"/>
                <w:szCs w:val="18"/>
                <w:lang w:val="en-US" w:eastAsia="zh-CN"/>
              </w:rPr>
              <w:t>关键技术先进性</w:t>
            </w:r>
          </w:p>
        </w:tc>
        <w:tc>
          <w:tcPr>
            <w:tcW w:w="1682" w:type="dxa"/>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r>
              <w:rPr>
                <w:rFonts w:hint="eastAsia" w:hAnsi="宋体" w:cs="宋体"/>
                <w:sz w:val="18"/>
                <w:szCs w:val="18"/>
                <w:lang w:val="en-US" w:eastAsia="zh-CN"/>
              </w:rPr>
              <w:t>15</w:t>
            </w:r>
          </w:p>
        </w:tc>
        <w:tc>
          <w:tcPr>
            <w:tcW w:w="866"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p>
        </w:tc>
        <w:tc>
          <w:tcPr>
            <w:tcW w:w="865"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r>
              <w:rPr>
                <w:rFonts w:hint="eastAsia" w:hAnsi="宋体" w:cs="宋体"/>
                <w:sz w:val="18"/>
                <w:szCs w:val="18"/>
                <w:highlight w:val="none"/>
                <w:lang w:val="en-US" w:eastAsia="zh-CN"/>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78" w:type="dxa"/>
            <w:vMerge w:val="continue"/>
            <w:tcBorders>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rPr>
            </w:pPr>
          </w:p>
        </w:tc>
        <w:tc>
          <w:tcPr>
            <w:tcW w:w="2794" w:type="dxa"/>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cs="宋体"/>
                <w:sz w:val="18"/>
                <w:szCs w:val="18"/>
                <w:highlight w:val="none"/>
                <w:lang w:val="en-US" w:eastAsia="zh-CN"/>
              </w:rPr>
            </w:pPr>
            <w:r>
              <w:rPr>
                <w:rFonts w:hint="eastAsia" w:hAnsi="宋体" w:cs="宋体"/>
                <w:sz w:val="18"/>
                <w:szCs w:val="18"/>
                <w:lang w:val="en-US" w:eastAsia="zh-CN"/>
              </w:rPr>
              <w:t>环境效益</w:t>
            </w:r>
          </w:p>
        </w:tc>
        <w:tc>
          <w:tcPr>
            <w:tcW w:w="1682" w:type="dxa"/>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r>
              <w:rPr>
                <w:rFonts w:hint="eastAsia" w:hAnsi="宋体" w:cs="宋体"/>
                <w:sz w:val="18"/>
                <w:szCs w:val="18"/>
                <w:lang w:val="en-US" w:eastAsia="zh-CN"/>
              </w:rPr>
              <w:t>20</w:t>
            </w:r>
          </w:p>
        </w:tc>
        <w:tc>
          <w:tcPr>
            <w:tcW w:w="866"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p>
        </w:tc>
        <w:tc>
          <w:tcPr>
            <w:tcW w:w="865"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r>
              <w:rPr>
                <w:rFonts w:hint="eastAsia" w:hAnsi="宋体" w:cs="宋体"/>
                <w:sz w:val="18"/>
                <w:szCs w:val="18"/>
                <w:highlight w:val="none"/>
                <w:lang w:val="en-US" w:eastAsia="zh-CN"/>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78" w:type="dxa"/>
            <w:vMerge w:val="restart"/>
            <w:tcBorders>
              <w:top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cs="宋体"/>
                <w:sz w:val="18"/>
                <w:szCs w:val="18"/>
                <w:highlight w:val="none"/>
                <w:lang w:val="en-US" w:eastAsia="zh-CN"/>
              </w:rPr>
            </w:pPr>
            <w:r>
              <w:rPr>
                <w:rFonts w:hint="eastAsia" w:hAnsi="宋体" w:cs="宋体"/>
                <w:sz w:val="18"/>
                <w:szCs w:val="18"/>
                <w:lang w:val="en-US" w:eastAsia="zh-CN"/>
              </w:rPr>
              <w:t>环境表现</w:t>
            </w:r>
          </w:p>
        </w:tc>
        <w:tc>
          <w:tcPr>
            <w:tcW w:w="2794" w:type="dxa"/>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r>
              <w:rPr>
                <w:rFonts w:hint="eastAsia" w:hAnsi="宋体" w:cs="宋体"/>
                <w:sz w:val="18"/>
                <w:szCs w:val="18"/>
                <w:lang w:val="en-US" w:eastAsia="zh-CN"/>
              </w:rPr>
              <w:t>工艺设备材料</w:t>
            </w:r>
          </w:p>
        </w:tc>
        <w:tc>
          <w:tcPr>
            <w:tcW w:w="1682" w:type="dxa"/>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r>
              <w:rPr>
                <w:rFonts w:hint="eastAsia" w:hAnsi="宋体" w:cs="宋体"/>
                <w:sz w:val="18"/>
                <w:szCs w:val="18"/>
                <w:lang w:val="en-US" w:eastAsia="zh-CN"/>
              </w:rPr>
              <w:t>10</w:t>
            </w:r>
          </w:p>
        </w:tc>
        <w:tc>
          <w:tcPr>
            <w:tcW w:w="866"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p>
        </w:tc>
        <w:tc>
          <w:tcPr>
            <w:tcW w:w="865"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r>
              <w:rPr>
                <w:rFonts w:hint="eastAsia" w:hAnsi="宋体" w:cs="宋体"/>
                <w:sz w:val="18"/>
                <w:szCs w:val="18"/>
                <w:highlight w:val="none"/>
                <w:lang w:val="en-US" w:eastAsia="zh-CN"/>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78" w:type="dxa"/>
            <w:vMerge w:val="continue"/>
            <w:tcBorders>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p>
        </w:tc>
        <w:tc>
          <w:tcPr>
            <w:tcW w:w="2794" w:type="dxa"/>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r>
              <w:rPr>
                <w:rFonts w:hint="eastAsia" w:hAnsi="宋体" w:cs="宋体"/>
                <w:sz w:val="18"/>
                <w:szCs w:val="18"/>
                <w:lang w:val="en-US" w:eastAsia="zh-CN"/>
              </w:rPr>
              <w:t>绿色低碳运营</w:t>
            </w:r>
          </w:p>
        </w:tc>
        <w:tc>
          <w:tcPr>
            <w:tcW w:w="1682" w:type="dxa"/>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r>
              <w:rPr>
                <w:rFonts w:hint="eastAsia" w:hAnsi="宋体" w:cs="宋体"/>
                <w:sz w:val="18"/>
                <w:szCs w:val="18"/>
                <w:lang w:val="en-US" w:eastAsia="zh-CN"/>
              </w:rPr>
              <w:t>15</w:t>
            </w:r>
          </w:p>
        </w:tc>
        <w:tc>
          <w:tcPr>
            <w:tcW w:w="866"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p>
        </w:tc>
        <w:tc>
          <w:tcPr>
            <w:tcW w:w="865"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r>
              <w:rPr>
                <w:rFonts w:hint="eastAsia" w:hAnsi="宋体" w:cs="宋体"/>
                <w:sz w:val="18"/>
                <w:szCs w:val="18"/>
                <w:highlight w:val="none"/>
                <w:lang w:val="en-US" w:eastAsia="zh-CN"/>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78" w:type="dxa"/>
            <w:vMerge w:val="continue"/>
            <w:tcBorders>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p>
        </w:tc>
        <w:tc>
          <w:tcPr>
            <w:tcW w:w="2794" w:type="dxa"/>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r>
              <w:rPr>
                <w:rFonts w:hint="eastAsia" w:hAnsi="宋体" w:cs="宋体"/>
                <w:sz w:val="18"/>
                <w:szCs w:val="18"/>
                <w:lang w:val="en-US" w:eastAsia="zh-CN"/>
              </w:rPr>
              <w:t>污染物排放水平</w:t>
            </w:r>
          </w:p>
        </w:tc>
        <w:tc>
          <w:tcPr>
            <w:tcW w:w="1682" w:type="dxa"/>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r>
              <w:rPr>
                <w:rFonts w:hint="eastAsia" w:hAnsi="宋体" w:cs="宋体"/>
                <w:sz w:val="18"/>
                <w:szCs w:val="18"/>
                <w:lang w:val="en-US" w:eastAsia="zh-CN"/>
              </w:rPr>
              <w:t>5</w:t>
            </w:r>
          </w:p>
        </w:tc>
        <w:tc>
          <w:tcPr>
            <w:tcW w:w="866"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p>
        </w:tc>
        <w:tc>
          <w:tcPr>
            <w:tcW w:w="865" w:type="pct"/>
            <w:tcBorders>
              <w:top w:val="single" w:color="auto" w:sz="8" w:space="0"/>
              <w:bottom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r>
              <w:rPr>
                <w:rFonts w:hint="eastAsia" w:hAnsi="宋体" w:cs="宋体"/>
                <w:sz w:val="18"/>
                <w:szCs w:val="18"/>
                <w:highlight w:val="none"/>
                <w:lang w:val="en-US" w:eastAsia="zh-CN"/>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268" w:type="pct"/>
            <w:gridSpan w:val="3"/>
            <w:tcBorders>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default" w:hAnsi="宋体" w:cs="宋体"/>
                <w:sz w:val="18"/>
                <w:szCs w:val="18"/>
                <w:highlight w:val="none"/>
                <w:lang w:val="en-US" w:eastAsia="zh-CN"/>
              </w:rPr>
            </w:pPr>
            <w:r>
              <w:rPr>
                <w:rFonts w:hint="eastAsia" w:hAnsi="宋体" w:cs="宋体"/>
                <w:b/>
                <w:bCs/>
                <w:sz w:val="18"/>
                <w:szCs w:val="18"/>
                <w:highlight w:val="none"/>
                <w:lang w:val="en-US" w:eastAsia="zh-CN"/>
              </w:rPr>
              <w:t>总得分</w:t>
            </w:r>
          </w:p>
        </w:tc>
        <w:tc>
          <w:tcPr>
            <w:tcW w:w="1731" w:type="pct"/>
            <w:gridSpan w:val="2"/>
            <w:tcBorders>
              <w:top w:val="single" w:color="auto" w:sz="8" w:space="0"/>
              <w:tl2br w:val="nil"/>
              <w:tr2bl w:val="nil"/>
            </w:tcBorders>
            <w:noWrap w:val="0"/>
            <w:vAlign w:val="center"/>
          </w:tcPr>
          <w:p>
            <w:pPr>
              <w:pStyle w:val="24"/>
              <w:keepNext w:val="0"/>
              <w:keepLines w:val="0"/>
              <w:pageBreakBefore w:val="0"/>
              <w:widowControl/>
              <w:kinsoku/>
              <w:wordWrap/>
              <w:overflowPunct/>
              <w:topLinePunct w:val="0"/>
              <w:autoSpaceDE w:val="0"/>
              <w:autoSpaceDN w:val="0"/>
              <w:bidi w:val="0"/>
              <w:adjustRightInd/>
              <w:snapToGrid w:val="0"/>
              <w:ind w:firstLine="0" w:firstLineChars="0"/>
              <w:jc w:val="center"/>
              <w:textAlignment w:val="auto"/>
              <w:rPr>
                <w:rFonts w:hint="eastAsia" w:hAnsi="宋体" w:cs="宋体"/>
                <w:sz w:val="18"/>
                <w:szCs w:val="18"/>
                <w:highlight w:val="none"/>
                <w:lang w:val="en-US" w:eastAsia="zh-CN"/>
              </w:rPr>
            </w:pPr>
          </w:p>
        </w:tc>
      </w:tr>
    </w:tbl>
    <w:p>
      <w:pPr>
        <w:widowControl w:val="0"/>
        <w:numPr>
          <w:ilvl w:val="1"/>
          <w:numId w:val="0"/>
        </w:numPr>
        <w:spacing w:before="312" w:beforeLines="100" w:after="156" w:afterLines="50"/>
        <w:jc w:val="left"/>
        <w:rPr>
          <w:rFonts w:ascii="Times New Roman" w:hAnsi="Times New Roman" w:eastAsia="黑体" w:cs="Times New Roman"/>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D.6 评价结论</w:t>
      </w:r>
    </w:p>
    <w:p>
      <w:pPr>
        <w:pStyle w:val="24"/>
        <w:rPr>
          <w:rFonts w:hint="eastAsia" w:ascii="Times New Roman"/>
          <w:highlight w:val="none"/>
        </w:rPr>
      </w:pPr>
      <w:r>
        <w:rPr>
          <w:rFonts w:ascii="Times New Roman"/>
        </w:rPr>
        <w:t>说明绿色</w:t>
      </w:r>
      <w:r>
        <w:rPr>
          <w:rFonts w:hint="eastAsia" w:ascii="Times New Roman"/>
          <w:lang w:val="en-US" w:eastAsia="zh-CN"/>
        </w:rPr>
        <w:t>低碳</w:t>
      </w:r>
      <w:r>
        <w:rPr>
          <w:rFonts w:ascii="Times New Roman"/>
        </w:rPr>
        <w:t>产业</w:t>
      </w:r>
      <w:r>
        <w:rPr>
          <w:rFonts w:hint="eastAsia" w:ascii="Times New Roman"/>
          <w:lang w:val="en-US" w:eastAsia="zh-CN"/>
        </w:rPr>
        <w:t>项目</w:t>
      </w:r>
      <w:r>
        <w:rPr>
          <w:rFonts w:ascii="Times New Roman"/>
        </w:rPr>
        <w:t>认定评价结论以及后续值得关注的可能影响环境风险控制的重大影响因素。</w:t>
      </w:r>
    </w:p>
    <w:p>
      <w:pPr>
        <w:widowControl w:val="0"/>
        <w:numPr>
          <w:ilvl w:val="1"/>
          <w:numId w:val="0"/>
        </w:numPr>
        <w:spacing w:before="156" w:beforeLines="50" w:after="156" w:afterLines="50"/>
        <w:jc w:val="both"/>
        <w:rPr>
          <w:rFonts w:ascii="Times New Roman" w:hAnsi="Times New Roman" w:eastAsia="黑体" w:cs="Times New Roman"/>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D.7  附录</w:t>
      </w:r>
    </w:p>
    <w:p>
      <w:pPr>
        <w:pStyle w:val="24"/>
        <w:rPr>
          <w:highlight w:val="none"/>
        </w:rPr>
        <w:sectPr>
          <w:pgSz w:w="11906" w:h="16838"/>
          <w:pgMar w:top="567" w:right="1134" w:bottom="1134" w:left="1418" w:header="1418" w:footer="1134" w:gutter="0"/>
          <w:cols w:space="720" w:num="1"/>
          <w:formProt w:val="0"/>
          <w:docGrid w:type="lines" w:linePitch="312" w:charSpace="0"/>
        </w:sectPr>
      </w:pPr>
      <w:r>
        <w:rPr>
          <w:rFonts w:ascii="Times New Roman"/>
          <w:highlight w:val="none"/>
        </w:rPr>
        <w:t>列明上述章节所述情况及</w:t>
      </w:r>
      <w:r>
        <w:rPr>
          <w:rFonts w:hint="eastAsia" w:ascii="Times New Roman"/>
          <w:highlight w:val="none"/>
        </w:rPr>
        <w:t>评价</w:t>
      </w:r>
      <w:r>
        <w:rPr>
          <w:rFonts w:ascii="Times New Roman"/>
          <w:highlight w:val="none"/>
        </w:rPr>
        <w:t>表涉及的佐证材料</w:t>
      </w:r>
      <w:r>
        <w:rPr>
          <w:rFonts w:hint="eastAsia" w:ascii="Times New Roman"/>
          <w:highlight w:val="none"/>
          <w:lang w:eastAsia="zh-CN"/>
        </w:rPr>
        <w:t>。</w:t>
      </w:r>
    </w:p>
    <w:p>
      <w:pPr>
        <w:pStyle w:val="79"/>
        <w:rPr>
          <w:rFonts w:ascii="Times New Roman"/>
          <w:highlight w:val="none"/>
        </w:rPr>
      </w:pPr>
      <w:bookmarkStart w:id="164" w:name="_Toc102992471"/>
      <w:bookmarkStart w:id="165" w:name="_Toc19702"/>
      <w:bookmarkStart w:id="166" w:name="_Toc30349"/>
      <w:bookmarkStart w:id="167" w:name="_Toc118282052"/>
      <w:bookmarkStart w:id="168" w:name="_Toc27187"/>
      <w:r>
        <w:rPr>
          <w:rFonts w:ascii="Times New Roman"/>
          <w:highlight w:val="none"/>
        </w:rPr>
        <w:t>参 考 文 献</w:t>
      </w:r>
      <w:bookmarkEnd w:id="157"/>
      <w:bookmarkEnd w:id="164"/>
      <w:bookmarkEnd w:id="165"/>
      <w:bookmarkEnd w:id="166"/>
      <w:bookmarkEnd w:id="167"/>
      <w:bookmarkEnd w:id="168"/>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rFonts w:ascii="宋体" w:hAnsi="宋体" w:cs="宋体"/>
          <w:sz w:val="21"/>
          <w:highlight w:val="none"/>
        </w:rPr>
      </w:pPr>
      <w:r>
        <w:rPr>
          <w:rFonts w:hint="eastAsia" w:ascii="宋体" w:hAnsi="宋体" w:cs="宋体"/>
          <w:sz w:val="21"/>
          <w:highlight w:val="none"/>
          <w:lang w:val="en-US" w:eastAsia="zh-CN"/>
        </w:rPr>
        <w:t xml:space="preserve"> </w:t>
      </w:r>
      <w:r>
        <w:rPr>
          <w:rFonts w:ascii="宋体" w:hAnsi="宋体" w:cs="宋体"/>
          <w:sz w:val="21"/>
          <w:highlight w:val="none"/>
        </w:rPr>
        <w:t>国家统计局.关于印发《研究与试验发展（R&amp;D）投入统计规范（试行）》的通知[EB/OL].</w:t>
      </w:r>
      <w:r>
        <w:rPr>
          <w:rFonts w:hint="eastAsia" w:ascii="宋体" w:hAnsi="宋体" w:cs="宋体"/>
          <w:sz w:val="21"/>
          <w:highlight w:val="none"/>
          <w:lang w:eastAsia="zh-CN"/>
        </w:rPr>
        <w:t>（2019-04-19）</w:t>
      </w:r>
      <w:r>
        <w:rPr>
          <w:rFonts w:ascii="宋体" w:hAnsi="宋体" w:cs="宋体"/>
          <w:sz w:val="21"/>
          <w:highlight w:val="none"/>
        </w:rPr>
        <w:t>[20</w:t>
      </w:r>
      <w:r>
        <w:rPr>
          <w:rFonts w:hint="eastAsia" w:ascii="宋体" w:hAnsi="宋体" w:cs="宋体"/>
          <w:sz w:val="21"/>
          <w:highlight w:val="none"/>
          <w:lang w:val="en-US" w:eastAsia="zh-CN"/>
        </w:rPr>
        <w:t>23</w:t>
      </w:r>
      <w:r>
        <w:rPr>
          <w:rFonts w:ascii="宋体" w:hAnsi="宋体" w:cs="宋体"/>
          <w:sz w:val="21"/>
          <w:highlight w:val="none"/>
        </w:rPr>
        <w:t>-0</w:t>
      </w:r>
      <w:r>
        <w:rPr>
          <w:rFonts w:hint="eastAsia" w:ascii="宋体" w:hAnsi="宋体" w:cs="宋体"/>
          <w:sz w:val="21"/>
          <w:highlight w:val="none"/>
          <w:lang w:val="en-US" w:eastAsia="zh-CN"/>
        </w:rPr>
        <w:t>1</w:t>
      </w:r>
      <w:r>
        <w:rPr>
          <w:rFonts w:ascii="宋体" w:hAnsi="宋体" w:cs="宋体"/>
          <w:sz w:val="21"/>
          <w:highlight w:val="none"/>
        </w:rPr>
        <w:t>-</w:t>
      </w:r>
      <w:r>
        <w:rPr>
          <w:rFonts w:hint="eastAsia" w:ascii="宋体" w:hAnsi="宋体" w:cs="宋体"/>
          <w:sz w:val="21"/>
          <w:highlight w:val="none"/>
          <w:lang w:val="en-US" w:eastAsia="zh-CN"/>
        </w:rPr>
        <w:t>16</w:t>
      </w:r>
      <w:r>
        <w:rPr>
          <w:rFonts w:ascii="宋体" w:hAnsi="宋体" w:cs="宋体"/>
          <w:sz w:val="21"/>
          <w:highlight w:val="none"/>
        </w:rPr>
        <w:t>].http://www.stats.gov.cn/tjgz/tzgb/201905/t20190507_1663326.html.</w:t>
      </w:r>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rFonts w:ascii="宋体" w:hAnsi="宋体" w:cs="宋体"/>
          <w:sz w:val="21"/>
          <w:highlight w:val="none"/>
        </w:rPr>
      </w:pPr>
      <w:r>
        <w:rPr>
          <w:rFonts w:ascii="宋体" w:hAnsi="宋体" w:cs="宋体"/>
          <w:sz w:val="21"/>
          <w:highlight w:val="none"/>
        </w:rPr>
        <w:t xml:space="preserve"> 国家统计局.关于印发《统计上大中小微型企业划分办法(2017)》的通知[EB/OL].</w:t>
      </w:r>
      <w:r>
        <w:rPr>
          <w:rFonts w:hint="eastAsia" w:ascii="宋体" w:hAnsi="宋体" w:cs="宋体"/>
          <w:sz w:val="21"/>
          <w:highlight w:val="none"/>
          <w:lang w:eastAsia="zh-CN"/>
        </w:rPr>
        <w:t>（2017-12-28）</w:t>
      </w:r>
      <w:r>
        <w:rPr>
          <w:rFonts w:ascii="宋体" w:hAnsi="宋体" w:cs="宋体"/>
          <w:sz w:val="21"/>
          <w:highlight w:val="none"/>
        </w:rPr>
        <w:t>[20</w:t>
      </w:r>
      <w:r>
        <w:rPr>
          <w:rFonts w:hint="eastAsia" w:ascii="宋体" w:hAnsi="宋体" w:cs="宋体"/>
          <w:sz w:val="21"/>
          <w:highlight w:val="none"/>
          <w:lang w:val="en-US" w:eastAsia="zh-CN"/>
        </w:rPr>
        <w:t>23</w:t>
      </w:r>
      <w:r>
        <w:rPr>
          <w:rFonts w:ascii="宋体" w:hAnsi="宋体" w:cs="宋体"/>
          <w:sz w:val="21"/>
          <w:highlight w:val="none"/>
        </w:rPr>
        <w:t>-0</w:t>
      </w:r>
      <w:r>
        <w:rPr>
          <w:rFonts w:hint="eastAsia" w:ascii="宋体" w:hAnsi="宋体" w:cs="宋体"/>
          <w:sz w:val="21"/>
          <w:highlight w:val="none"/>
          <w:lang w:val="en-US" w:eastAsia="zh-CN"/>
        </w:rPr>
        <w:t>1</w:t>
      </w:r>
      <w:r>
        <w:rPr>
          <w:rFonts w:ascii="宋体" w:hAnsi="宋体" w:cs="宋体"/>
          <w:sz w:val="21"/>
          <w:highlight w:val="none"/>
        </w:rPr>
        <w:t>-</w:t>
      </w:r>
      <w:r>
        <w:rPr>
          <w:rFonts w:hint="eastAsia" w:ascii="宋体" w:hAnsi="宋体" w:cs="宋体"/>
          <w:sz w:val="21"/>
          <w:highlight w:val="none"/>
          <w:lang w:val="en-US" w:eastAsia="zh-CN"/>
        </w:rPr>
        <w:t>16</w:t>
      </w:r>
      <w:r>
        <w:rPr>
          <w:rFonts w:ascii="宋体" w:hAnsi="宋体" w:cs="宋体"/>
          <w:sz w:val="21"/>
          <w:highlight w:val="none"/>
        </w:rPr>
        <w:t>].http://www.stats.gov.cn/xxgk/tjbz/gjtjbz/202008/t20200811_1782335.html.</w:t>
      </w:r>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sz w:val="21"/>
          <w:highlight w:val="none"/>
        </w:rPr>
      </w:pPr>
      <w:r>
        <w:rPr>
          <w:rFonts w:hint="eastAsia" w:ascii="宋体" w:hAnsi="宋体" w:cs="宋体"/>
          <w:sz w:val="21"/>
          <w:highlight w:val="none"/>
          <w:lang w:val="en-US" w:eastAsia="zh-CN"/>
        </w:rPr>
        <w:t xml:space="preserve"> </w:t>
      </w:r>
      <w:r>
        <w:rPr>
          <w:rFonts w:ascii="宋体" w:hAnsi="宋体" w:cs="宋体"/>
          <w:sz w:val="21"/>
          <w:highlight w:val="none"/>
        </w:rPr>
        <w:t>科技部 财政部 国家税务总局</w:t>
      </w:r>
      <w:r>
        <w:rPr>
          <w:rFonts w:hint="eastAsia" w:ascii="宋体" w:hAnsi="宋体" w:cs="宋体"/>
          <w:sz w:val="21"/>
          <w:highlight w:val="none"/>
        </w:rPr>
        <w:t>.</w:t>
      </w:r>
      <w:r>
        <w:rPr>
          <w:rFonts w:ascii="宋体" w:hAnsi="宋体" w:cs="宋体"/>
          <w:sz w:val="21"/>
          <w:highlight w:val="none"/>
        </w:rPr>
        <w:t>关于修订印发《高新技术企业认定管理办法》的通知</w:t>
      </w:r>
      <w:r>
        <w:rPr>
          <w:rFonts w:hint="eastAsia" w:ascii="宋体" w:hAnsi="宋体" w:cs="宋体"/>
          <w:sz w:val="21"/>
          <w:highlight w:val="none"/>
        </w:rPr>
        <w:t>[EB/OL].</w:t>
      </w:r>
      <w:r>
        <w:rPr>
          <w:rFonts w:hint="eastAsia" w:ascii="宋体" w:hAnsi="宋体" w:cs="宋体"/>
          <w:sz w:val="21"/>
          <w:highlight w:val="none"/>
          <w:lang w:eastAsia="zh-CN"/>
        </w:rPr>
        <w:t>（2016-02-04）</w:t>
      </w:r>
      <w:r>
        <w:rPr>
          <w:rFonts w:hint="eastAsia" w:ascii="宋体" w:hAnsi="宋体" w:cs="宋体"/>
          <w:sz w:val="21"/>
          <w:highlight w:val="none"/>
        </w:rPr>
        <w:t>[20</w:t>
      </w:r>
      <w:r>
        <w:rPr>
          <w:rFonts w:hint="eastAsia" w:ascii="宋体" w:hAnsi="宋体" w:cs="宋体"/>
          <w:sz w:val="21"/>
          <w:highlight w:val="none"/>
          <w:lang w:val="en-US" w:eastAsia="zh-CN"/>
        </w:rPr>
        <w:t>23</w:t>
      </w:r>
      <w:r>
        <w:rPr>
          <w:rFonts w:hint="eastAsia" w:ascii="宋体" w:hAnsi="宋体" w:cs="宋体"/>
          <w:sz w:val="21"/>
          <w:highlight w:val="none"/>
        </w:rPr>
        <w:t>-0</w:t>
      </w:r>
      <w:r>
        <w:rPr>
          <w:rFonts w:hint="eastAsia" w:ascii="宋体" w:hAnsi="宋体" w:cs="宋体"/>
          <w:sz w:val="21"/>
          <w:highlight w:val="none"/>
          <w:lang w:val="en-US" w:eastAsia="zh-CN"/>
        </w:rPr>
        <w:t>1</w:t>
      </w:r>
      <w:r>
        <w:rPr>
          <w:rFonts w:hint="eastAsia" w:ascii="宋体" w:hAnsi="宋体" w:cs="宋体"/>
          <w:sz w:val="21"/>
          <w:highlight w:val="none"/>
        </w:rPr>
        <w:t>-</w:t>
      </w:r>
      <w:r>
        <w:rPr>
          <w:rFonts w:hint="eastAsia" w:ascii="宋体" w:hAnsi="宋体" w:cs="宋体"/>
          <w:sz w:val="21"/>
          <w:highlight w:val="none"/>
          <w:lang w:val="en-US" w:eastAsia="zh-CN"/>
        </w:rPr>
        <w:t>16</w:t>
      </w:r>
      <w:r>
        <w:rPr>
          <w:rFonts w:hint="eastAsia" w:ascii="宋体" w:hAnsi="宋体" w:cs="宋体"/>
          <w:sz w:val="21"/>
          <w:highlight w:val="none"/>
        </w:rPr>
        <w:t>].https://www.most.gov.cn/xxgk/xinxifenlei/fdzdgknr/fgzc/gfxwj/gfxwj2016/201602/t20160205_123998.html.</w:t>
      </w:r>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sz w:val="21"/>
          <w:highlight w:val="none"/>
        </w:rPr>
      </w:pPr>
      <w:r>
        <w:rPr>
          <w:rFonts w:hint="eastAsia"/>
          <w:sz w:val="21"/>
          <w:highlight w:val="none"/>
        </w:rPr>
        <w:t xml:space="preserve"> </w:t>
      </w:r>
      <w:r>
        <w:rPr>
          <w:rFonts w:hint="eastAsia" w:ascii="宋体" w:hAnsi="宋体" w:cs="宋体"/>
          <w:sz w:val="21"/>
          <w:highlight w:val="none"/>
        </w:rPr>
        <w:t>工业和信息化部.关于印发《优质中小企业梯度培育管理暂行办法》的通知[EB/OL].</w:t>
      </w:r>
      <w:r>
        <w:rPr>
          <w:rFonts w:hint="eastAsia" w:ascii="宋体" w:hAnsi="宋体" w:cs="宋体"/>
          <w:sz w:val="21"/>
          <w:highlight w:val="none"/>
          <w:lang w:eastAsia="zh-CN"/>
        </w:rPr>
        <w:t>（2022-06-01）</w:t>
      </w:r>
      <w:r>
        <w:rPr>
          <w:rFonts w:hint="eastAsia" w:ascii="宋体" w:hAnsi="宋体" w:cs="宋体"/>
          <w:sz w:val="21"/>
          <w:highlight w:val="none"/>
        </w:rPr>
        <w:t>[20</w:t>
      </w:r>
      <w:r>
        <w:rPr>
          <w:rFonts w:hint="eastAsia" w:ascii="宋体" w:hAnsi="宋体" w:cs="宋体"/>
          <w:sz w:val="21"/>
          <w:highlight w:val="none"/>
          <w:lang w:val="en-US" w:eastAsia="zh-CN"/>
        </w:rPr>
        <w:t>23</w:t>
      </w:r>
      <w:r>
        <w:rPr>
          <w:rFonts w:hint="eastAsia" w:ascii="宋体" w:hAnsi="宋体" w:cs="宋体"/>
          <w:sz w:val="21"/>
          <w:highlight w:val="none"/>
        </w:rPr>
        <w:t>-0</w:t>
      </w:r>
      <w:r>
        <w:rPr>
          <w:rFonts w:hint="eastAsia" w:ascii="宋体" w:hAnsi="宋体" w:cs="宋体"/>
          <w:sz w:val="21"/>
          <w:highlight w:val="none"/>
          <w:lang w:val="en-US" w:eastAsia="zh-CN"/>
        </w:rPr>
        <w:t>1</w:t>
      </w:r>
      <w:r>
        <w:rPr>
          <w:rFonts w:hint="eastAsia" w:ascii="宋体" w:hAnsi="宋体" w:cs="宋体"/>
          <w:sz w:val="21"/>
          <w:highlight w:val="none"/>
        </w:rPr>
        <w:t>-</w:t>
      </w:r>
      <w:r>
        <w:rPr>
          <w:rFonts w:hint="eastAsia" w:ascii="宋体" w:hAnsi="宋体" w:cs="宋体"/>
          <w:sz w:val="21"/>
          <w:highlight w:val="none"/>
          <w:lang w:val="en-US" w:eastAsia="zh-CN"/>
        </w:rPr>
        <w:t>16</w:t>
      </w:r>
      <w:r>
        <w:rPr>
          <w:rFonts w:hint="eastAsia" w:ascii="宋体" w:hAnsi="宋体" w:cs="宋体"/>
          <w:sz w:val="21"/>
          <w:highlight w:val="none"/>
        </w:rPr>
        <w:t>].https://ythxxfb.miit.gov.cn/ythzxfwpt/hlwmh/tzgg/sbfw/qyshzr/art/2022/art_7e837e1f401c43a2990d82cf36b624bb.html.</w:t>
      </w:r>
    </w:p>
    <w:p>
      <w:pPr>
        <w:pStyle w:val="24"/>
        <w:keepNext w:val="0"/>
        <w:keepLines w:val="0"/>
        <w:pageBreakBefore w:val="0"/>
        <w:numPr>
          <w:ilvl w:val="0"/>
          <w:numId w:val="19"/>
        </w:numPr>
        <w:kinsoku/>
        <w:wordWrap w:val="0"/>
        <w:overflowPunct/>
        <w:topLinePunct w:val="0"/>
        <w:autoSpaceDE w:val="0"/>
        <w:autoSpaceDN w:val="0"/>
        <w:bidi w:val="0"/>
        <w:adjustRightInd/>
        <w:snapToGrid/>
        <w:ind w:firstLineChars="0"/>
        <w:jc w:val="left"/>
        <w:textAlignment w:val="auto"/>
        <w:rPr>
          <w:rFonts w:hint="eastAsia" w:ascii="宋体" w:hAnsi="宋体" w:cs="宋体"/>
          <w:sz w:val="21"/>
          <w:highlight w:val="none"/>
        </w:rPr>
      </w:pPr>
      <w:r>
        <w:rPr>
          <w:rFonts w:hint="eastAsia"/>
          <w:sz w:val="21"/>
          <w:highlight w:val="none"/>
        </w:rPr>
        <w:t xml:space="preserve"> </w:t>
      </w:r>
      <w:r>
        <w:rPr>
          <w:rFonts w:hint="eastAsia" w:hAnsi="宋体" w:cs="宋体"/>
          <w:sz w:val="21"/>
          <w:highlight w:val="none"/>
        </w:rPr>
        <w:t>深圳市市场监督管理局.关于印发《深圳市市场监督管理局深圳标准领域专项资金资助奖励操作规程》的通知[EB/OL].</w:t>
      </w:r>
      <w:r>
        <w:rPr>
          <w:rFonts w:hint="eastAsia" w:hAnsi="宋体" w:cs="宋体"/>
          <w:sz w:val="21"/>
          <w:highlight w:val="none"/>
          <w:lang w:eastAsia="zh-CN"/>
        </w:rPr>
        <w:t>（2021-11-22）</w:t>
      </w:r>
      <w:r>
        <w:rPr>
          <w:rFonts w:hint="eastAsia" w:hAnsi="宋体" w:cs="宋体"/>
          <w:sz w:val="21"/>
          <w:highlight w:val="none"/>
        </w:rPr>
        <w:t>[20</w:t>
      </w:r>
      <w:r>
        <w:rPr>
          <w:rFonts w:hint="eastAsia" w:hAnsi="宋体" w:cs="宋体"/>
          <w:sz w:val="21"/>
          <w:highlight w:val="none"/>
          <w:lang w:val="en-US" w:eastAsia="zh-CN"/>
        </w:rPr>
        <w:t>23</w:t>
      </w:r>
      <w:r>
        <w:rPr>
          <w:rFonts w:hint="eastAsia" w:hAnsi="宋体" w:cs="宋体"/>
          <w:sz w:val="21"/>
          <w:highlight w:val="none"/>
        </w:rPr>
        <w:t>-0</w:t>
      </w:r>
      <w:r>
        <w:rPr>
          <w:rFonts w:hint="eastAsia" w:hAnsi="宋体" w:cs="宋体"/>
          <w:sz w:val="21"/>
          <w:highlight w:val="none"/>
          <w:lang w:val="en-US" w:eastAsia="zh-CN"/>
        </w:rPr>
        <w:t>1</w:t>
      </w:r>
      <w:r>
        <w:rPr>
          <w:rFonts w:hint="eastAsia" w:hAnsi="宋体" w:cs="宋体"/>
          <w:sz w:val="21"/>
          <w:highlight w:val="none"/>
        </w:rPr>
        <w:t>-</w:t>
      </w:r>
      <w:r>
        <w:rPr>
          <w:rFonts w:hint="eastAsia" w:hAnsi="宋体" w:cs="宋体"/>
          <w:sz w:val="21"/>
          <w:highlight w:val="none"/>
          <w:lang w:val="en-US" w:eastAsia="zh-CN"/>
        </w:rPr>
        <w:t>16</w:t>
      </w:r>
      <w:r>
        <w:rPr>
          <w:rFonts w:hint="eastAsia" w:hAnsi="宋体" w:cs="宋体"/>
          <w:sz w:val="21"/>
          <w:highlight w:val="none"/>
        </w:rPr>
        <w:t>].http://amr.sz.gov.cn/xxgk/zcwj/scjgfg/bzh/bzhgf/content</w:t>
      </w:r>
      <w:r>
        <w:rPr>
          <w:rFonts w:hint="eastAsia" w:ascii="宋体" w:hAnsi="宋体" w:cs="宋体"/>
          <w:sz w:val="21"/>
          <w:highlight w:val="none"/>
        </w:rPr>
        <w:t>/post_9386928.html.</w:t>
      </w:r>
    </w:p>
    <w:p>
      <w:pPr>
        <w:pStyle w:val="24"/>
        <w:keepNext w:val="0"/>
        <w:keepLines w:val="0"/>
        <w:pageBreakBefore w:val="0"/>
        <w:numPr>
          <w:ilvl w:val="0"/>
          <w:numId w:val="19"/>
        </w:numPr>
        <w:kinsoku/>
        <w:wordWrap w:val="0"/>
        <w:overflowPunct/>
        <w:topLinePunct w:val="0"/>
        <w:autoSpaceDE w:val="0"/>
        <w:autoSpaceDN w:val="0"/>
        <w:bidi w:val="0"/>
        <w:adjustRightInd/>
        <w:snapToGrid/>
        <w:ind w:firstLineChars="0"/>
        <w:jc w:val="left"/>
        <w:textAlignment w:val="auto"/>
        <w:rPr>
          <w:sz w:val="21"/>
          <w:highlight w:val="none"/>
        </w:rPr>
      </w:pPr>
      <w:r>
        <w:rPr>
          <w:rFonts w:hint="eastAsia"/>
          <w:sz w:val="21"/>
          <w:highlight w:val="none"/>
          <w:lang w:val="en-US" w:eastAsia="zh-CN"/>
        </w:rPr>
        <w:t xml:space="preserve"> </w:t>
      </w:r>
      <w:r>
        <w:rPr>
          <w:rFonts w:hint="eastAsia"/>
          <w:sz w:val="21"/>
          <w:highlight w:val="none"/>
        </w:rPr>
        <w:t>深圳市人民政府办公厅</w:t>
      </w:r>
      <w:r>
        <w:rPr>
          <w:rFonts w:hint="eastAsia"/>
          <w:sz w:val="21"/>
          <w:highlight w:val="none"/>
          <w:lang w:val="en-US" w:eastAsia="zh-CN"/>
        </w:rPr>
        <w:t>.关于印发《深圳市促进绿色低碳产业高质量发展的若干措施》的通知：2021年</w:t>
      </w:r>
      <w:r>
        <w:rPr>
          <w:rFonts w:hint="eastAsia"/>
          <w:sz w:val="21"/>
          <w:highlight w:val="none"/>
        </w:rPr>
        <w:t>公告第5号[EB/OL].</w:t>
      </w:r>
      <w:r>
        <w:rPr>
          <w:rFonts w:hint="eastAsia"/>
          <w:sz w:val="21"/>
          <w:highlight w:val="none"/>
          <w:lang w:eastAsia="zh-CN"/>
        </w:rPr>
        <w:t>（202</w:t>
      </w:r>
      <w:r>
        <w:rPr>
          <w:rFonts w:hint="eastAsia"/>
          <w:sz w:val="21"/>
          <w:highlight w:val="none"/>
          <w:lang w:val="en-US" w:eastAsia="zh-CN"/>
        </w:rPr>
        <w:t>2</w:t>
      </w:r>
      <w:r>
        <w:rPr>
          <w:rFonts w:hint="eastAsia"/>
          <w:sz w:val="21"/>
          <w:highlight w:val="none"/>
          <w:lang w:eastAsia="zh-CN"/>
        </w:rPr>
        <w:t>-</w:t>
      </w:r>
      <w:r>
        <w:rPr>
          <w:rFonts w:hint="eastAsia"/>
          <w:sz w:val="21"/>
          <w:highlight w:val="none"/>
          <w:lang w:val="en-US" w:eastAsia="zh-CN"/>
        </w:rPr>
        <w:t>12</w:t>
      </w:r>
      <w:r>
        <w:rPr>
          <w:rFonts w:hint="eastAsia"/>
          <w:sz w:val="21"/>
          <w:highlight w:val="none"/>
          <w:lang w:eastAsia="zh-CN"/>
        </w:rPr>
        <w:t>-</w:t>
      </w:r>
      <w:r>
        <w:rPr>
          <w:rFonts w:hint="eastAsia"/>
          <w:sz w:val="21"/>
          <w:highlight w:val="none"/>
          <w:lang w:val="en-US" w:eastAsia="zh-CN"/>
        </w:rPr>
        <w:t>30</w:t>
      </w:r>
      <w:r>
        <w:rPr>
          <w:rFonts w:hint="eastAsia"/>
          <w:sz w:val="21"/>
          <w:highlight w:val="none"/>
          <w:lang w:eastAsia="zh-CN"/>
        </w:rPr>
        <w:t>）</w:t>
      </w:r>
      <w:r>
        <w:rPr>
          <w:rFonts w:hint="eastAsia"/>
          <w:sz w:val="21"/>
          <w:highlight w:val="none"/>
        </w:rPr>
        <w:t>[20</w:t>
      </w:r>
      <w:r>
        <w:rPr>
          <w:rFonts w:hint="eastAsia"/>
          <w:sz w:val="21"/>
          <w:highlight w:val="none"/>
          <w:lang w:val="en-US" w:eastAsia="zh-CN"/>
        </w:rPr>
        <w:t>23</w:t>
      </w:r>
      <w:r>
        <w:rPr>
          <w:rFonts w:hint="eastAsia"/>
          <w:sz w:val="21"/>
          <w:highlight w:val="none"/>
        </w:rPr>
        <w:t>-0</w:t>
      </w:r>
      <w:r>
        <w:rPr>
          <w:rFonts w:hint="eastAsia"/>
          <w:sz w:val="21"/>
          <w:highlight w:val="none"/>
          <w:lang w:val="en-US" w:eastAsia="zh-CN"/>
        </w:rPr>
        <w:t>4</w:t>
      </w:r>
      <w:r>
        <w:rPr>
          <w:rFonts w:hint="eastAsia"/>
          <w:sz w:val="21"/>
          <w:highlight w:val="none"/>
        </w:rPr>
        <w:t>-</w:t>
      </w:r>
      <w:r>
        <w:rPr>
          <w:rFonts w:hint="eastAsia"/>
          <w:sz w:val="21"/>
          <w:highlight w:val="none"/>
          <w:lang w:val="en-US" w:eastAsia="zh-CN"/>
        </w:rPr>
        <w:t>28</w:t>
      </w:r>
      <w:r>
        <w:rPr>
          <w:rFonts w:hint="eastAsia"/>
          <w:sz w:val="21"/>
          <w:highlight w:val="none"/>
        </w:rPr>
        <w:t>].http://www.sz.gov.cn/cn/xxgk/zfxxgj/zcfg/content/post_10364326.html.</w:t>
      </w:r>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rFonts w:ascii="宋体" w:hAnsi="宋体" w:cs="宋体"/>
          <w:sz w:val="21"/>
          <w:highlight w:val="none"/>
        </w:rPr>
      </w:pPr>
      <w:r>
        <w:rPr>
          <w:rFonts w:hint="eastAsia" w:ascii="宋体" w:hAnsi="宋体" w:cs="宋体"/>
          <w:sz w:val="21"/>
          <w:highlight w:val="none"/>
        </w:rPr>
        <w:t xml:space="preserve"> GB/T 36132—2018  绿色工厂评价通则</w:t>
      </w:r>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rFonts w:ascii="宋体" w:hAnsi="宋体" w:cs="宋体"/>
          <w:sz w:val="21"/>
          <w:highlight w:val="none"/>
        </w:rPr>
      </w:pPr>
      <w:r>
        <w:rPr>
          <w:rFonts w:hint="eastAsia" w:ascii="宋体" w:hAnsi="宋体" w:cs="宋体"/>
          <w:sz w:val="21"/>
          <w:highlight w:val="none"/>
        </w:rPr>
        <w:t xml:space="preserve"> GB/T 39966—2021  废弃资源综合利用业环境绩效评价导则</w:t>
      </w:r>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rFonts w:ascii="宋体" w:hAnsi="宋体" w:cs="宋体"/>
          <w:sz w:val="21"/>
          <w:highlight w:val="none"/>
        </w:rPr>
      </w:pPr>
      <w:r>
        <w:rPr>
          <w:rFonts w:hint="eastAsia" w:ascii="宋体" w:hAnsi="宋体" w:cs="宋体"/>
          <w:sz w:val="21"/>
          <w:highlight w:val="none"/>
        </w:rPr>
        <w:t xml:space="preserve"> DB 3305/T 62—2018  绿色融资企业评价规范</w:t>
      </w:r>
    </w:p>
    <w:p>
      <w:pPr>
        <w:keepNext w:val="0"/>
        <w:keepLines w:val="0"/>
        <w:pageBreakBefore w:val="0"/>
        <w:numPr>
          <w:ilvl w:val="0"/>
          <w:numId w:val="19"/>
        </w:numPr>
        <w:kinsoku/>
        <w:wordWrap w:val="0"/>
        <w:overflowPunct/>
        <w:topLinePunct w:val="0"/>
        <w:autoSpaceDE w:val="0"/>
        <w:autoSpaceDN w:val="0"/>
        <w:bidi w:val="0"/>
        <w:adjustRightInd/>
        <w:snapToGrid/>
        <w:ind w:firstLine="420"/>
        <w:textAlignment w:val="auto"/>
        <w:rPr>
          <w:rFonts w:ascii="宋体" w:hAnsi="宋体" w:cs="宋体"/>
          <w:sz w:val="21"/>
          <w:highlight w:val="none"/>
        </w:rPr>
      </w:pPr>
      <w:r>
        <w:rPr>
          <w:rFonts w:hint="eastAsia" w:ascii="宋体" w:hAnsi="宋体" w:cs="宋体"/>
          <w:sz w:val="21"/>
          <w:highlight w:val="none"/>
        </w:rPr>
        <w:t xml:space="preserve"> DB 3308/T 69—2020  绿色企业评价规范</w:t>
      </w:r>
    </w:p>
    <w:p>
      <w:pPr>
        <w:pStyle w:val="24"/>
        <w:keepNext w:val="0"/>
        <w:keepLines w:val="0"/>
        <w:pageBreakBefore w:val="0"/>
        <w:numPr>
          <w:ilvl w:val="0"/>
          <w:numId w:val="19"/>
        </w:numPr>
        <w:kinsoku/>
        <w:wordWrap w:val="0"/>
        <w:overflowPunct/>
        <w:topLinePunct w:val="0"/>
        <w:autoSpaceDE w:val="0"/>
        <w:autoSpaceDN w:val="0"/>
        <w:bidi w:val="0"/>
        <w:adjustRightInd/>
        <w:snapToGrid/>
        <w:ind w:firstLineChars="0"/>
        <w:jc w:val="left"/>
        <w:textAlignment w:val="auto"/>
        <w:rPr>
          <w:rFonts w:hint="eastAsia"/>
          <w:sz w:val="21"/>
          <w:highlight w:val="none"/>
        </w:rPr>
      </w:pPr>
      <w:r>
        <w:rPr>
          <w:rFonts w:hint="eastAsia"/>
          <w:sz w:val="21"/>
          <w:highlight w:val="none"/>
          <w:lang w:val="en-US" w:eastAsia="zh-CN"/>
        </w:rPr>
        <w:t xml:space="preserve"> </w:t>
      </w:r>
      <w:r>
        <w:rPr>
          <w:rFonts w:hint="eastAsia"/>
          <w:sz w:val="21"/>
          <w:highlight w:val="none"/>
        </w:rPr>
        <w:t>裴庆冰,谷立静,白泉.绿色发展背景下绿色产业内涵探析[J].环境保护,2018,46(Z1):86-89.DOI:10.14026/j.cnki.0253-9705.2018.z1.017.</w:t>
      </w:r>
    </w:p>
    <w:p>
      <w:pPr>
        <w:pStyle w:val="24"/>
        <w:numPr>
          <w:ilvl w:val="0"/>
          <w:numId w:val="0"/>
        </w:numPr>
        <w:ind w:firstLine="0" w:firstLineChars="0"/>
        <w:rPr>
          <w:rFonts w:ascii="Times New Roman"/>
          <w:highlight w:val="none"/>
        </w:rPr>
      </w:pPr>
    </w:p>
    <w:p>
      <w:pPr>
        <w:pStyle w:val="137"/>
        <w:framePr w:wrap="notBeside" w:vAnchor="text" w:hAnchor="page" w:x="4898" w:y="496"/>
        <w:rPr>
          <w:highlight w:val="none"/>
          <w:u w:val="thick"/>
        </w:rPr>
      </w:pPr>
      <w:r>
        <w:rPr>
          <w:highlight w:val="none"/>
          <w:u w:val="thick"/>
        </w:rPr>
        <w:t>______________________</w:t>
      </w:r>
    </w:p>
    <w:p>
      <w:pPr>
        <w:pStyle w:val="24"/>
        <w:ind w:firstLine="0" w:firstLineChars="0"/>
        <w:jc w:val="center"/>
        <w:rPr>
          <w:rFonts w:ascii="Times New Roman"/>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sectPr>
      <w:pgSz w:w="11906" w:h="16838"/>
      <w:pgMar w:top="567" w:right="1134" w:bottom="1134" w:left="1418" w:header="1418" w:footer="1134" w:gutter="0"/>
      <w:pgBorders>
        <w:top w:val="none" w:sz="0" w:space="0"/>
        <w:left w:val="none" w:sz="0" w:space="0"/>
        <w:bottom w:val="none" w:sz="0" w:space="0"/>
        <w:right w:val="none" w:sz="0" w:space="0"/>
      </w:pgBorders>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pPr>
    <w:r>
      <w:fldChar w:fldCharType="begin"/>
    </w:r>
    <w:r>
      <w:instrText xml:space="preserve"> PAGE  \* MERGEFORMAT </w:instrText>
    </w:r>
    <w:r>
      <w:fldChar w:fldCharType="separate"/>
    </w:r>
    <w: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alSEx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BGpUhMQIAAGMEAAAOAAAAAAAAAAEAIAAAAB8BAABkcnMvZTJvRG9jLnhtbFBLBQYA&#10;AAAABgAGAFkBAADCBQ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8cucw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KC8cucwAgAAZAQAAA4AAAAAAAAAAQAgAAAAHwEAAGRycy9lMm9Eb2MueG1sUEsFBgAA&#10;AAAGAAYAWQEAAMEFAAAAAA==&#10;">
              <v:fill on="f" focussize="0,0"/>
              <v:stroke on="f" weight="0.5pt"/>
              <v:imagedata o:title=""/>
              <o:lock v:ext="edit" aspectratio="f"/>
              <v:textbox inset="0mm,0mm,0mm,0mm" style="mso-fit-shape-to-text:t;">
                <w:txbxContent>
                  <w:p>
                    <w:pPr>
                      <w:pStyle w:val="7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w:instrText>
    </w:r>
    <w:r>
      <w:fldChar w:fldCharType="separate"/>
    </w:r>
    <w:r>
      <w:t>13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BhZLlMQIAAGUEAAAOAAAAAAAAAAEAIAAAAB8BAABkcnMvZTJvRG9jLnhtbFBLBQYA&#10;AAAABgAGAFkBAADCBQ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7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rPr>
        <w:rFonts w:hAnsi="黑体"/>
      </w:rPr>
    </w:pPr>
    <w:r>
      <w:rPr>
        <w:rFonts w:hint="eastAsia" w:hAnsi="黑体"/>
      </w:rPr>
      <w:t>T/XXX 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rPr>
        <w:rFonts w:hint="eastAsia"/>
      </w:rPr>
      <w:t>T/XXX XXX-20XX</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t xml:space="preserve">DB4403/T </w:t>
    </w:r>
    <w:r>
      <w:rPr>
        <w:rFonts w:hint="eastAsia"/>
      </w:rPr>
      <w:t>XXX</w:t>
    </w:r>
    <w:r>
      <w:t>—20</w:t>
    </w:r>
    <w:r>
      <w:rPr>
        <w:rFonts w:hint="eastAsia"/>
      </w:rPr>
      <w:t>XX</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rPr>
        <w:rFonts w:hint="eastAsia"/>
      </w:rPr>
      <w:t>T/XXX XXX-20XX</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6"/>
      <w:suff w:val="nothing"/>
      <w:lvlText w:val="注%1："/>
      <w:lvlJc w:val="left"/>
      <w:pPr>
        <w:ind w:left="2796" w:hanging="448"/>
      </w:pPr>
      <w:rPr>
        <w:rFonts w:hint="eastAsia" w:ascii="黑体" w:eastAsia="黑体"/>
        <w:b w:val="0"/>
        <w:i w:val="0"/>
        <w:sz w:val="18"/>
        <w:lang w:val="en-US"/>
      </w:rPr>
    </w:lvl>
    <w:lvl w:ilvl="1" w:tentative="0">
      <w:start w:val="1"/>
      <w:numFmt w:val="lowerLetter"/>
      <w:lvlText w:val="%2)"/>
      <w:lvlJc w:val="left"/>
      <w:pPr>
        <w:tabs>
          <w:tab w:val="left" w:pos="1985"/>
        </w:tabs>
        <w:ind w:left="2977" w:hanging="629"/>
      </w:pPr>
      <w:rPr>
        <w:rFonts w:hint="eastAsia"/>
      </w:rPr>
    </w:lvl>
    <w:lvl w:ilvl="2" w:tentative="0">
      <w:start w:val="1"/>
      <w:numFmt w:val="lowerRoman"/>
      <w:lvlText w:val="%3."/>
      <w:lvlJc w:val="right"/>
      <w:pPr>
        <w:tabs>
          <w:tab w:val="left" w:pos="1985"/>
        </w:tabs>
        <w:ind w:left="2977" w:hanging="629"/>
      </w:pPr>
      <w:rPr>
        <w:rFonts w:hint="eastAsia"/>
      </w:rPr>
    </w:lvl>
    <w:lvl w:ilvl="3" w:tentative="0">
      <w:start w:val="1"/>
      <w:numFmt w:val="decimal"/>
      <w:lvlText w:val="%4."/>
      <w:lvlJc w:val="left"/>
      <w:pPr>
        <w:tabs>
          <w:tab w:val="left" w:pos="1985"/>
        </w:tabs>
        <w:ind w:left="2977" w:hanging="629"/>
      </w:pPr>
      <w:rPr>
        <w:rFonts w:hint="eastAsia"/>
      </w:rPr>
    </w:lvl>
    <w:lvl w:ilvl="4" w:tentative="0">
      <w:start w:val="1"/>
      <w:numFmt w:val="lowerLetter"/>
      <w:lvlText w:val="%5)"/>
      <w:lvlJc w:val="left"/>
      <w:pPr>
        <w:tabs>
          <w:tab w:val="left" w:pos="1985"/>
        </w:tabs>
        <w:ind w:left="2977" w:hanging="629"/>
      </w:pPr>
      <w:rPr>
        <w:rFonts w:hint="eastAsia"/>
      </w:rPr>
    </w:lvl>
    <w:lvl w:ilvl="5" w:tentative="0">
      <w:start w:val="1"/>
      <w:numFmt w:val="lowerRoman"/>
      <w:lvlText w:val="%6."/>
      <w:lvlJc w:val="right"/>
      <w:pPr>
        <w:tabs>
          <w:tab w:val="left" w:pos="1985"/>
        </w:tabs>
        <w:ind w:left="2977" w:hanging="629"/>
      </w:pPr>
      <w:rPr>
        <w:rFonts w:hint="eastAsia"/>
      </w:rPr>
    </w:lvl>
    <w:lvl w:ilvl="6" w:tentative="0">
      <w:start w:val="1"/>
      <w:numFmt w:val="decimal"/>
      <w:lvlText w:val="%7."/>
      <w:lvlJc w:val="left"/>
      <w:pPr>
        <w:tabs>
          <w:tab w:val="left" w:pos="1985"/>
        </w:tabs>
        <w:ind w:left="2977" w:hanging="629"/>
      </w:pPr>
      <w:rPr>
        <w:rFonts w:hint="eastAsia"/>
      </w:rPr>
    </w:lvl>
    <w:lvl w:ilvl="7" w:tentative="0">
      <w:start w:val="1"/>
      <w:numFmt w:val="lowerLetter"/>
      <w:lvlText w:val="%8)"/>
      <w:lvlJc w:val="left"/>
      <w:pPr>
        <w:tabs>
          <w:tab w:val="left" w:pos="1985"/>
        </w:tabs>
        <w:ind w:left="2977" w:hanging="629"/>
      </w:pPr>
      <w:rPr>
        <w:rFonts w:hint="eastAsia"/>
      </w:rPr>
    </w:lvl>
    <w:lvl w:ilvl="8" w:tentative="0">
      <w:start w:val="1"/>
      <w:numFmt w:val="lowerRoman"/>
      <w:lvlText w:val="%9."/>
      <w:lvlJc w:val="right"/>
      <w:pPr>
        <w:tabs>
          <w:tab w:val="left" w:pos="1985"/>
        </w:tabs>
        <w:ind w:left="2977" w:hanging="629"/>
      </w:pPr>
      <w:rPr>
        <w:rFonts w:hint="eastAsia"/>
      </w:rPr>
    </w:lvl>
  </w:abstractNum>
  <w:abstractNum w:abstractNumId="1">
    <w:nsid w:val="07BF354A"/>
    <w:multiLevelType w:val="singleLevel"/>
    <w:tmpl w:val="07BF354A"/>
    <w:lvl w:ilvl="0" w:tentative="0">
      <w:start w:val="1"/>
      <w:numFmt w:val="decimal"/>
      <w:suff w:val="space"/>
      <w:lvlText w:val="[%1]"/>
      <w:lvlJc w:val="left"/>
      <w:rPr>
        <w:rFonts w:hint="default" w:ascii="宋体" w:hAnsi="宋体" w:eastAsia="宋体" w:cs="宋体"/>
      </w:rPr>
    </w:lvl>
  </w:abstractNum>
  <w:abstractNum w:abstractNumId="2">
    <w:nsid w:val="093C6778"/>
    <w:multiLevelType w:val="multilevel"/>
    <w:tmpl w:val="093C6778"/>
    <w:lvl w:ilvl="0" w:tentative="0">
      <w:start w:val="1"/>
      <w:numFmt w:val="decimal"/>
      <w:pStyle w:val="12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6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136"/>
      <w:suff w:val="nothing"/>
      <w:lvlText w:val="图%1　"/>
      <w:lvlJc w:val="left"/>
      <w:pPr>
        <w:ind w:left="0" w:firstLine="0"/>
      </w:pPr>
      <w:rPr>
        <w:rFonts w:hint="default" w:ascii="黑体" w:hAnsi="Times New Roman" w:eastAsia="黑体"/>
        <w:b w:val="0"/>
        <w:i w:val="0"/>
        <w:sz w:val="21"/>
        <w:highlight w:val="none"/>
        <w:lang w:val="en-US"/>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12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7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5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default" w:ascii="黑体" w:hAnsi="Times New Roman" w:eastAsia="黑体"/>
        <w:b w:val="0"/>
        <w:i w:val="0"/>
        <w:sz w:val="21"/>
        <w:highlight w:val="none"/>
      </w:rPr>
    </w:lvl>
    <w:lvl w:ilvl="4" w:tentative="0">
      <w:start w:val="1"/>
      <w:numFmt w:val="decimal"/>
      <w:pStyle w:val="63"/>
      <w:suff w:val="nothing"/>
      <w:lvlText w:val="%1.%2.%3.%4.%5　"/>
      <w:lvlJc w:val="left"/>
      <w:pPr>
        <w:ind w:left="0" w:firstLine="0"/>
      </w:pPr>
      <w:rPr>
        <w:rFonts w:hint="eastAsia" w:ascii="黑体" w:hAnsi="Times New Roman" w:eastAsia="黑体"/>
        <w:b w:val="0"/>
        <w:i w:val="0"/>
        <w:sz w:val="21"/>
      </w:rPr>
    </w:lvl>
    <w:lvl w:ilvl="5" w:tentative="0">
      <w:start w:val="1"/>
      <w:numFmt w:val="decimal"/>
      <w:pStyle w:val="6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7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06"/>
      <w:suff w:val="space"/>
      <w:lvlText w:val="%1"/>
      <w:lvlJc w:val="left"/>
      <w:pPr>
        <w:ind w:left="623" w:hanging="425"/>
      </w:pPr>
      <w:rPr>
        <w:rFonts w:hint="eastAsia"/>
      </w:rPr>
    </w:lvl>
    <w:lvl w:ilvl="1" w:tentative="0">
      <w:start w:val="1"/>
      <w:numFmt w:val="decimal"/>
      <w:pStyle w:val="10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6"/>
      <w:suff w:val="nothing"/>
      <w:lvlText w:val="%1——"/>
      <w:lvlJc w:val="left"/>
      <w:pPr>
        <w:ind w:left="833" w:hanging="408"/>
      </w:pPr>
      <w:rPr>
        <w:rFonts w:hint="eastAsia"/>
      </w:rPr>
    </w:lvl>
    <w:lvl w:ilvl="1" w:tentative="0">
      <w:start w:val="1"/>
      <w:numFmt w:val="bullet"/>
      <w:pStyle w:val="57"/>
      <w:lvlText w:val=""/>
      <w:lvlJc w:val="left"/>
      <w:pPr>
        <w:tabs>
          <w:tab w:val="left" w:pos="760"/>
        </w:tabs>
        <w:ind w:left="1264" w:hanging="413"/>
      </w:pPr>
      <w:rPr>
        <w:rFonts w:hint="default" w:ascii="Symbol" w:hAnsi="Symbol"/>
        <w:color w:val="auto"/>
      </w:rPr>
    </w:lvl>
    <w:lvl w:ilvl="2" w:tentative="0">
      <w:start w:val="1"/>
      <w:numFmt w:val="bullet"/>
      <w:pStyle w:val="6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6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2"/>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7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94"/>
      <w:lvlText w:val="%1"/>
      <w:lvlJc w:val="left"/>
      <w:pPr>
        <w:tabs>
          <w:tab w:val="left" w:pos="0"/>
        </w:tabs>
        <w:ind w:left="0" w:hanging="425"/>
      </w:pPr>
      <w:rPr>
        <w:rFonts w:hint="eastAsia"/>
      </w:rPr>
    </w:lvl>
    <w:lvl w:ilvl="1" w:tentative="0">
      <w:start w:val="1"/>
      <w:numFmt w:val="decimal"/>
      <w:pStyle w:val="9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34"/>
      <w:suff w:val="nothing"/>
      <w:lvlText w:val="表%1　"/>
      <w:lvlJc w:val="left"/>
      <w:pPr>
        <w:ind w:left="0" w:firstLine="0"/>
      </w:pPr>
      <w:rPr>
        <w:rFonts w:hint="default" w:ascii="黑体" w:hAnsi="Times New Roman" w:eastAsia="黑体"/>
        <w:b w:val="0"/>
        <w:i w:val="0"/>
        <w:sz w:val="21"/>
        <w:highlight w:val="none"/>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9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1"/>
      <w:suff w:val="nothing"/>
      <w:lvlText w:val="%1.%2.%3　"/>
      <w:lvlJc w:val="left"/>
      <w:pPr>
        <w:ind w:left="0" w:firstLine="0"/>
      </w:pPr>
      <w:rPr>
        <w:rFonts w:hint="eastAsia" w:ascii="黑体" w:hAnsi="Times New Roman" w:eastAsia="黑体"/>
        <w:b w:val="0"/>
        <w:i w:val="0"/>
        <w:sz w:val="21"/>
      </w:rPr>
    </w:lvl>
    <w:lvl w:ilvl="3" w:tentative="0">
      <w:start w:val="1"/>
      <w:numFmt w:val="decimal"/>
      <w:pStyle w:val="96"/>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4"/>
      <w:suff w:val="nothing"/>
      <w:lvlText w:val="%1.%2.%3.%4.%5.%6　"/>
      <w:lvlJc w:val="left"/>
      <w:pPr>
        <w:ind w:left="0" w:firstLine="0"/>
      </w:pPr>
      <w:rPr>
        <w:rFonts w:hint="eastAsia" w:ascii="黑体" w:hAnsi="Times New Roman" w:eastAsia="黑体"/>
        <w:b w:val="0"/>
        <w:i w:val="0"/>
        <w:sz w:val="21"/>
      </w:rPr>
    </w:lvl>
    <w:lvl w:ilvl="6" w:tentative="0">
      <w:start w:val="1"/>
      <w:numFmt w:val="decimal"/>
      <w:pStyle w:val="10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13"/>
      <w:lvlText w:val="%1)"/>
      <w:lvlJc w:val="left"/>
      <w:pPr>
        <w:tabs>
          <w:tab w:val="left" w:pos="839"/>
        </w:tabs>
        <w:ind w:left="839" w:hanging="419"/>
      </w:pPr>
      <w:rPr>
        <w:rFonts w:hint="eastAsia" w:ascii="宋体" w:eastAsia="宋体"/>
        <w:b w:val="0"/>
        <w:i w:val="0"/>
        <w:sz w:val="21"/>
      </w:rPr>
    </w:lvl>
    <w:lvl w:ilvl="1" w:tentative="0">
      <w:start w:val="1"/>
      <w:numFmt w:val="decimal"/>
      <w:pStyle w:val="10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6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1"/>
  </w:num>
  <w:num w:numId="2">
    <w:abstractNumId w:val="7"/>
  </w:num>
  <w:num w:numId="3">
    <w:abstractNumId w:val="10"/>
  </w:num>
  <w:num w:numId="4">
    <w:abstractNumId w:val="3"/>
  </w:num>
  <w:num w:numId="5">
    <w:abstractNumId w:val="12"/>
  </w:num>
  <w:num w:numId="6">
    <w:abstractNumId w:val="18"/>
  </w:num>
  <w:num w:numId="7">
    <w:abstractNumId w:val="0"/>
  </w:num>
  <w:num w:numId="8">
    <w:abstractNumId w:val="13"/>
  </w:num>
  <w:num w:numId="9">
    <w:abstractNumId w:val="8"/>
  </w:num>
  <w:num w:numId="10">
    <w:abstractNumId w:val="6"/>
  </w:num>
  <w:num w:numId="11">
    <w:abstractNumId w:val="16"/>
  </w:num>
  <w:num w:numId="12">
    <w:abstractNumId w:val="14"/>
  </w:num>
  <w:num w:numId="13">
    <w:abstractNumId w:val="17"/>
  </w:num>
  <w:num w:numId="14">
    <w:abstractNumId w:val="9"/>
  </w:num>
  <w:num w:numId="15">
    <w:abstractNumId w:val="2"/>
  </w:num>
  <w:num w:numId="16">
    <w:abstractNumId w:val="5"/>
  </w:num>
  <w:num w:numId="17">
    <w:abstractNumId w:val="15"/>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ZGUyM2M2NzNmNTZhOWJhMzJmYjhmMDAwOGY2YWUifQ=="/>
    <w:docVar w:name="KSO_WPS_MARK_KEY" w:val="2c005385-dbe0-4ebf-8bb0-fc572b197cf8"/>
  </w:docVars>
  <w:rsids>
    <w:rsidRoot w:val="00172A27"/>
    <w:rsid w:val="00000244"/>
    <w:rsid w:val="0000185F"/>
    <w:rsid w:val="00001FD1"/>
    <w:rsid w:val="000038C2"/>
    <w:rsid w:val="000041F3"/>
    <w:rsid w:val="000045BC"/>
    <w:rsid w:val="000051F3"/>
    <w:rsid w:val="00005703"/>
    <w:rsid w:val="0000586F"/>
    <w:rsid w:val="00005AD0"/>
    <w:rsid w:val="00006167"/>
    <w:rsid w:val="00006EAE"/>
    <w:rsid w:val="00006F0D"/>
    <w:rsid w:val="000104DB"/>
    <w:rsid w:val="000106DF"/>
    <w:rsid w:val="000114DA"/>
    <w:rsid w:val="00011CD4"/>
    <w:rsid w:val="0001210E"/>
    <w:rsid w:val="00012456"/>
    <w:rsid w:val="000126A7"/>
    <w:rsid w:val="000131D5"/>
    <w:rsid w:val="00013276"/>
    <w:rsid w:val="00013D86"/>
    <w:rsid w:val="00013E02"/>
    <w:rsid w:val="000149CB"/>
    <w:rsid w:val="00014B4D"/>
    <w:rsid w:val="0001571E"/>
    <w:rsid w:val="0001613A"/>
    <w:rsid w:val="000167DA"/>
    <w:rsid w:val="00016A4C"/>
    <w:rsid w:val="00017B37"/>
    <w:rsid w:val="0002083A"/>
    <w:rsid w:val="00020F3E"/>
    <w:rsid w:val="0002143C"/>
    <w:rsid w:val="00021A74"/>
    <w:rsid w:val="000224ED"/>
    <w:rsid w:val="00023F6C"/>
    <w:rsid w:val="00025A65"/>
    <w:rsid w:val="00026631"/>
    <w:rsid w:val="00026C31"/>
    <w:rsid w:val="00027280"/>
    <w:rsid w:val="00027CBD"/>
    <w:rsid w:val="00031831"/>
    <w:rsid w:val="000320A7"/>
    <w:rsid w:val="00032AA5"/>
    <w:rsid w:val="000340AB"/>
    <w:rsid w:val="00035749"/>
    <w:rsid w:val="00035925"/>
    <w:rsid w:val="00035B86"/>
    <w:rsid w:val="000376A3"/>
    <w:rsid w:val="00040D6B"/>
    <w:rsid w:val="000422D8"/>
    <w:rsid w:val="00045342"/>
    <w:rsid w:val="000458DF"/>
    <w:rsid w:val="0004676A"/>
    <w:rsid w:val="00050024"/>
    <w:rsid w:val="0005021D"/>
    <w:rsid w:val="00050AE2"/>
    <w:rsid w:val="00051467"/>
    <w:rsid w:val="00051B46"/>
    <w:rsid w:val="00051F94"/>
    <w:rsid w:val="00052836"/>
    <w:rsid w:val="00052AE2"/>
    <w:rsid w:val="00053E13"/>
    <w:rsid w:val="00054A65"/>
    <w:rsid w:val="00055F2F"/>
    <w:rsid w:val="00056B8C"/>
    <w:rsid w:val="00057E61"/>
    <w:rsid w:val="000607E6"/>
    <w:rsid w:val="000618CB"/>
    <w:rsid w:val="000647B0"/>
    <w:rsid w:val="000670BC"/>
    <w:rsid w:val="000670DA"/>
    <w:rsid w:val="00067CDF"/>
    <w:rsid w:val="00070475"/>
    <w:rsid w:val="000707AC"/>
    <w:rsid w:val="00071985"/>
    <w:rsid w:val="00072979"/>
    <w:rsid w:val="00074FBE"/>
    <w:rsid w:val="00077736"/>
    <w:rsid w:val="000779A3"/>
    <w:rsid w:val="00077B71"/>
    <w:rsid w:val="00077E8A"/>
    <w:rsid w:val="00077E94"/>
    <w:rsid w:val="00080502"/>
    <w:rsid w:val="00080DB6"/>
    <w:rsid w:val="00081D39"/>
    <w:rsid w:val="00081DF5"/>
    <w:rsid w:val="00081E44"/>
    <w:rsid w:val="0008317C"/>
    <w:rsid w:val="00083A09"/>
    <w:rsid w:val="00083CFD"/>
    <w:rsid w:val="0008439F"/>
    <w:rsid w:val="00084665"/>
    <w:rsid w:val="00084941"/>
    <w:rsid w:val="00085647"/>
    <w:rsid w:val="00085F75"/>
    <w:rsid w:val="00086B9C"/>
    <w:rsid w:val="00087369"/>
    <w:rsid w:val="0009005E"/>
    <w:rsid w:val="000904A1"/>
    <w:rsid w:val="0009129E"/>
    <w:rsid w:val="00092857"/>
    <w:rsid w:val="00093D19"/>
    <w:rsid w:val="000941E8"/>
    <w:rsid w:val="00094266"/>
    <w:rsid w:val="00094440"/>
    <w:rsid w:val="00095EDC"/>
    <w:rsid w:val="00097A05"/>
    <w:rsid w:val="000A1CC1"/>
    <w:rsid w:val="000A20A9"/>
    <w:rsid w:val="000A20B1"/>
    <w:rsid w:val="000A37D0"/>
    <w:rsid w:val="000A3885"/>
    <w:rsid w:val="000A48B1"/>
    <w:rsid w:val="000A4CE2"/>
    <w:rsid w:val="000A6E08"/>
    <w:rsid w:val="000A74B2"/>
    <w:rsid w:val="000A76ED"/>
    <w:rsid w:val="000B0077"/>
    <w:rsid w:val="000B0D77"/>
    <w:rsid w:val="000B1515"/>
    <w:rsid w:val="000B28C1"/>
    <w:rsid w:val="000B3143"/>
    <w:rsid w:val="000B4064"/>
    <w:rsid w:val="000B44E8"/>
    <w:rsid w:val="000B539E"/>
    <w:rsid w:val="000B5B75"/>
    <w:rsid w:val="000B6178"/>
    <w:rsid w:val="000B6DC9"/>
    <w:rsid w:val="000B6E51"/>
    <w:rsid w:val="000B70B8"/>
    <w:rsid w:val="000B7ABE"/>
    <w:rsid w:val="000B7BBD"/>
    <w:rsid w:val="000C0D65"/>
    <w:rsid w:val="000C155D"/>
    <w:rsid w:val="000C161F"/>
    <w:rsid w:val="000C5437"/>
    <w:rsid w:val="000C6616"/>
    <w:rsid w:val="000C6B05"/>
    <w:rsid w:val="000C6DA7"/>
    <w:rsid w:val="000C6DD6"/>
    <w:rsid w:val="000C73D4"/>
    <w:rsid w:val="000C74BE"/>
    <w:rsid w:val="000C7B36"/>
    <w:rsid w:val="000D03FC"/>
    <w:rsid w:val="000D11CC"/>
    <w:rsid w:val="000D1C3A"/>
    <w:rsid w:val="000D206D"/>
    <w:rsid w:val="000D27F9"/>
    <w:rsid w:val="000D2CF3"/>
    <w:rsid w:val="000D3C99"/>
    <w:rsid w:val="000D3D4C"/>
    <w:rsid w:val="000D44A6"/>
    <w:rsid w:val="000D4BEC"/>
    <w:rsid w:val="000D4C8D"/>
    <w:rsid w:val="000D4F51"/>
    <w:rsid w:val="000D5A7C"/>
    <w:rsid w:val="000D5FB4"/>
    <w:rsid w:val="000D718B"/>
    <w:rsid w:val="000D735E"/>
    <w:rsid w:val="000D7DE5"/>
    <w:rsid w:val="000E0C46"/>
    <w:rsid w:val="000E202F"/>
    <w:rsid w:val="000E23F9"/>
    <w:rsid w:val="000E2BE5"/>
    <w:rsid w:val="000E4C11"/>
    <w:rsid w:val="000E4E4D"/>
    <w:rsid w:val="000E663A"/>
    <w:rsid w:val="000E6D1D"/>
    <w:rsid w:val="000E6F28"/>
    <w:rsid w:val="000E7874"/>
    <w:rsid w:val="000F030C"/>
    <w:rsid w:val="000F129C"/>
    <w:rsid w:val="000F2829"/>
    <w:rsid w:val="000F3944"/>
    <w:rsid w:val="000F541B"/>
    <w:rsid w:val="000F7C27"/>
    <w:rsid w:val="000F7F4A"/>
    <w:rsid w:val="00100C31"/>
    <w:rsid w:val="00101A79"/>
    <w:rsid w:val="00102F17"/>
    <w:rsid w:val="00104737"/>
    <w:rsid w:val="001048E3"/>
    <w:rsid w:val="001056DE"/>
    <w:rsid w:val="0011022C"/>
    <w:rsid w:val="00110D99"/>
    <w:rsid w:val="00110F96"/>
    <w:rsid w:val="001124C0"/>
    <w:rsid w:val="001135E1"/>
    <w:rsid w:val="001168C1"/>
    <w:rsid w:val="00116BCD"/>
    <w:rsid w:val="00117DA1"/>
    <w:rsid w:val="00120E09"/>
    <w:rsid w:val="00122345"/>
    <w:rsid w:val="00122CD8"/>
    <w:rsid w:val="001230AA"/>
    <w:rsid w:val="0012413B"/>
    <w:rsid w:val="001260DC"/>
    <w:rsid w:val="0012785A"/>
    <w:rsid w:val="001300B6"/>
    <w:rsid w:val="00130F14"/>
    <w:rsid w:val="00131096"/>
    <w:rsid w:val="0013175F"/>
    <w:rsid w:val="00131B0D"/>
    <w:rsid w:val="00131FE5"/>
    <w:rsid w:val="001349E0"/>
    <w:rsid w:val="00135EAB"/>
    <w:rsid w:val="00140C38"/>
    <w:rsid w:val="0014163F"/>
    <w:rsid w:val="00141F35"/>
    <w:rsid w:val="00143D18"/>
    <w:rsid w:val="00145A77"/>
    <w:rsid w:val="00146EEB"/>
    <w:rsid w:val="0014710E"/>
    <w:rsid w:val="001472AA"/>
    <w:rsid w:val="00147DBF"/>
    <w:rsid w:val="00147FB0"/>
    <w:rsid w:val="0015047D"/>
    <w:rsid w:val="00151022"/>
    <w:rsid w:val="001512B4"/>
    <w:rsid w:val="00152253"/>
    <w:rsid w:val="00152358"/>
    <w:rsid w:val="001523E2"/>
    <w:rsid w:val="0015484A"/>
    <w:rsid w:val="00155026"/>
    <w:rsid w:val="00155F88"/>
    <w:rsid w:val="001565E5"/>
    <w:rsid w:val="00156EF6"/>
    <w:rsid w:val="0015737F"/>
    <w:rsid w:val="00157402"/>
    <w:rsid w:val="0015774D"/>
    <w:rsid w:val="00161363"/>
    <w:rsid w:val="001620A5"/>
    <w:rsid w:val="001628FF"/>
    <w:rsid w:val="00164E53"/>
    <w:rsid w:val="0016537B"/>
    <w:rsid w:val="0016682B"/>
    <w:rsid w:val="001668BE"/>
    <w:rsid w:val="0016699D"/>
    <w:rsid w:val="00167B85"/>
    <w:rsid w:val="00171704"/>
    <w:rsid w:val="00171D3D"/>
    <w:rsid w:val="001727BA"/>
    <w:rsid w:val="00172901"/>
    <w:rsid w:val="00172A27"/>
    <w:rsid w:val="001741C1"/>
    <w:rsid w:val="00175159"/>
    <w:rsid w:val="00175F35"/>
    <w:rsid w:val="001761C8"/>
    <w:rsid w:val="00176208"/>
    <w:rsid w:val="001769C4"/>
    <w:rsid w:val="001800CC"/>
    <w:rsid w:val="001807F4"/>
    <w:rsid w:val="00180B9E"/>
    <w:rsid w:val="00181A9E"/>
    <w:rsid w:val="0018211B"/>
    <w:rsid w:val="00182DCC"/>
    <w:rsid w:val="00182FE1"/>
    <w:rsid w:val="001840D3"/>
    <w:rsid w:val="00184428"/>
    <w:rsid w:val="00185123"/>
    <w:rsid w:val="001852E8"/>
    <w:rsid w:val="00185E0F"/>
    <w:rsid w:val="00185E2E"/>
    <w:rsid w:val="00187027"/>
    <w:rsid w:val="0018755F"/>
    <w:rsid w:val="00187805"/>
    <w:rsid w:val="001900F8"/>
    <w:rsid w:val="00190663"/>
    <w:rsid w:val="00191258"/>
    <w:rsid w:val="00192680"/>
    <w:rsid w:val="00193037"/>
    <w:rsid w:val="00193A2C"/>
    <w:rsid w:val="0019573C"/>
    <w:rsid w:val="001959F0"/>
    <w:rsid w:val="00195DAE"/>
    <w:rsid w:val="00196681"/>
    <w:rsid w:val="00196742"/>
    <w:rsid w:val="001A0353"/>
    <w:rsid w:val="001A196E"/>
    <w:rsid w:val="001A1CB7"/>
    <w:rsid w:val="001A288E"/>
    <w:rsid w:val="001A3B49"/>
    <w:rsid w:val="001A403B"/>
    <w:rsid w:val="001A502C"/>
    <w:rsid w:val="001A5341"/>
    <w:rsid w:val="001B01A0"/>
    <w:rsid w:val="001B15AC"/>
    <w:rsid w:val="001B164E"/>
    <w:rsid w:val="001B21DE"/>
    <w:rsid w:val="001B249B"/>
    <w:rsid w:val="001B32CC"/>
    <w:rsid w:val="001B3961"/>
    <w:rsid w:val="001B5616"/>
    <w:rsid w:val="001B690F"/>
    <w:rsid w:val="001B6DC2"/>
    <w:rsid w:val="001B76E5"/>
    <w:rsid w:val="001B7C84"/>
    <w:rsid w:val="001C00DD"/>
    <w:rsid w:val="001C0157"/>
    <w:rsid w:val="001C01ED"/>
    <w:rsid w:val="001C0216"/>
    <w:rsid w:val="001C0501"/>
    <w:rsid w:val="001C12A1"/>
    <w:rsid w:val="001C149C"/>
    <w:rsid w:val="001C1815"/>
    <w:rsid w:val="001C1C31"/>
    <w:rsid w:val="001C21AC"/>
    <w:rsid w:val="001C2D43"/>
    <w:rsid w:val="001C3012"/>
    <w:rsid w:val="001C30D7"/>
    <w:rsid w:val="001C40C8"/>
    <w:rsid w:val="001C45BE"/>
    <w:rsid w:val="001C47BA"/>
    <w:rsid w:val="001C59EA"/>
    <w:rsid w:val="001C62D5"/>
    <w:rsid w:val="001C66C7"/>
    <w:rsid w:val="001C6E1A"/>
    <w:rsid w:val="001C78A4"/>
    <w:rsid w:val="001C7D29"/>
    <w:rsid w:val="001D0F16"/>
    <w:rsid w:val="001D0FDD"/>
    <w:rsid w:val="001D18FE"/>
    <w:rsid w:val="001D3C00"/>
    <w:rsid w:val="001D406C"/>
    <w:rsid w:val="001D41EE"/>
    <w:rsid w:val="001D5888"/>
    <w:rsid w:val="001D5CCE"/>
    <w:rsid w:val="001D5E66"/>
    <w:rsid w:val="001D689F"/>
    <w:rsid w:val="001D7281"/>
    <w:rsid w:val="001E0380"/>
    <w:rsid w:val="001E0AFF"/>
    <w:rsid w:val="001E13B1"/>
    <w:rsid w:val="001E2D72"/>
    <w:rsid w:val="001E3F3E"/>
    <w:rsid w:val="001E4206"/>
    <w:rsid w:val="001E4240"/>
    <w:rsid w:val="001E5113"/>
    <w:rsid w:val="001E74D5"/>
    <w:rsid w:val="001E79C6"/>
    <w:rsid w:val="001F2B94"/>
    <w:rsid w:val="001F3134"/>
    <w:rsid w:val="001F3725"/>
    <w:rsid w:val="001F3A19"/>
    <w:rsid w:val="001F4B3D"/>
    <w:rsid w:val="001F5CDA"/>
    <w:rsid w:val="001F69B9"/>
    <w:rsid w:val="001F6A6D"/>
    <w:rsid w:val="001F7249"/>
    <w:rsid w:val="001F7402"/>
    <w:rsid w:val="002009EB"/>
    <w:rsid w:val="002014A4"/>
    <w:rsid w:val="00202CCE"/>
    <w:rsid w:val="00202DF4"/>
    <w:rsid w:val="002030B4"/>
    <w:rsid w:val="0020416F"/>
    <w:rsid w:val="00204EFC"/>
    <w:rsid w:val="00205210"/>
    <w:rsid w:val="00205971"/>
    <w:rsid w:val="0020710B"/>
    <w:rsid w:val="00207232"/>
    <w:rsid w:val="0020728A"/>
    <w:rsid w:val="00210A08"/>
    <w:rsid w:val="00210CA2"/>
    <w:rsid w:val="00213122"/>
    <w:rsid w:val="00213EB0"/>
    <w:rsid w:val="00215E9C"/>
    <w:rsid w:val="002178E8"/>
    <w:rsid w:val="00222F26"/>
    <w:rsid w:val="002233B4"/>
    <w:rsid w:val="002239DB"/>
    <w:rsid w:val="00223A6C"/>
    <w:rsid w:val="00224AED"/>
    <w:rsid w:val="002255EC"/>
    <w:rsid w:val="00230CF0"/>
    <w:rsid w:val="002322EC"/>
    <w:rsid w:val="00234467"/>
    <w:rsid w:val="00234990"/>
    <w:rsid w:val="00234A6A"/>
    <w:rsid w:val="002358B5"/>
    <w:rsid w:val="0023648A"/>
    <w:rsid w:val="00236B08"/>
    <w:rsid w:val="00236B4E"/>
    <w:rsid w:val="00237CBE"/>
    <w:rsid w:val="00237D8D"/>
    <w:rsid w:val="0024016F"/>
    <w:rsid w:val="00241DA2"/>
    <w:rsid w:val="00243EAE"/>
    <w:rsid w:val="0024462D"/>
    <w:rsid w:val="00244A20"/>
    <w:rsid w:val="00244E7D"/>
    <w:rsid w:val="002458EC"/>
    <w:rsid w:val="00247FEE"/>
    <w:rsid w:val="00250299"/>
    <w:rsid w:val="00250D67"/>
    <w:rsid w:val="00250E7D"/>
    <w:rsid w:val="00251172"/>
    <w:rsid w:val="002514D5"/>
    <w:rsid w:val="002522EA"/>
    <w:rsid w:val="00252A05"/>
    <w:rsid w:val="00253649"/>
    <w:rsid w:val="0025368F"/>
    <w:rsid w:val="00253EFD"/>
    <w:rsid w:val="002549BA"/>
    <w:rsid w:val="00254ECF"/>
    <w:rsid w:val="00254FA3"/>
    <w:rsid w:val="00255403"/>
    <w:rsid w:val="002565D5"/>
    <w:rsid w:val="00257717"/>
    <w:rsid w:val="0026048D"/>
    <w:rsid w:val="00261442"/>
    <w:rsid w:val="002622C0"/>
    <w:rsid w:val="00263B45"/>
    <w:rsid w:val="00265106"/>
    <w:rsid w:val="002653EB"/>
    <w:rsid w:val="002654C3"/>
    <w:rsid w:val="00266D61"/>
    <w:rsid w:val="00267E18"/>
    <w:rsid w:val="002716EA"/>
    <w:rsid w:val="00273102"/>
    <w:rsid w:val="0027419B"/>
    <w:rsid w:val="00275E44"/>
    <w:rsid w:val="002763C1"/>
    <w:rsid w:val="0027661C"/>
    <w:rsid w:val="00276E78"/>
    <w:rsid w:val="002778AE"/>
    <w:rsid w:val="00280521"/>
    <w:rsid w:val="00280678"/>
    <w:rsid w:val="00281397"/>
    <w:rsid w:val="002824B5"/>
    <w:rsid w:val="0028269A"/>
    <w:rsid w:val="00282CD4"/>
    <w:rsid w:val="00282F39"/>
    <w:rsid w:val="00283590"/>
    <w:rsid w:val="0028372B"/>
    <w:rsid w:val="00284F6B"/>
    <w:rsid w:val="0028594E"/>
    <w:rsid w:val="00286973"/>
    <w:rsid w:val="002905CA"/>
    <w:rsid w:val="002919A8"/>
    <w:rsid w:val="00294E70"/>
    <w:rsid w:val="00296397"/>
    <w:rsid w:val="002968C3"/>
    <w:rsid w:val="002A096A"/>
    <w:rsid w:val="002A13B8"/>
    <w:rsid w:val="002A1924"/>
    <w:rsid w:val="002A20F4"/>
    <w:rsid w:val="002A2B22"/>
    <w:rsid w:val="002A36AB"/>
    <w:rsid w:val="002A3EB6"/>
    <w:rsid w:val="002A704E"/>
    <w:rsid w:val="002A7420"/>
    <w:rsid w:val="002A7988"/>
    <w:rsid w:val="002B025E"/>
    <w:rsid w:val="002B081A"/>
    <w:rsid w:val="002B0AC2"/>
    <w:rsid w:val="002B0F12"/>
    <w:rsid w:val="002B1308"/>
    <w:rsid w:val="002B3377"/>
    <w:rsid w:val="002B3B8E"/>
    <w:rsid w:val="002B4554"/>
    <w:rsid w:val="002B530C"/>
    <w:rsid w:val="002B5A00"/>
    <w:rsid w:val="002B6212"/>
    <w:rsid w:val="002B631C"/>
    <w:rsid w:val="002B6F3F"/>
    <w:rsid w:val="002B77FF"/>
    <w:rsid w:val="002B7E7E"/>
    <w:rsid w:val="002C2E75"/>
    <w:rsid w:val="002C33C6"/>
    <w:rsid w:val="002C35F0"/>
    <w:rsid w:val="002C4021"/>
    <w:rsid w:val="002C44D9"/>
    <w:rsid w:val="002C5096"/>
    <w:rsid w:val="002C51C0"/>
    <w:rsid w:val="002C649D"/>
    <w:rsid w:val="002C72D8"/>
    <w:rsid w:val="002D0856"/>
    <w:rsid w:val="002D11FA"/>
    <w:rsid w:val="002D1663"/>
    <w:rsid w:val="002D22D6"/>
    <w:rsid w:val="002D286A"/>
    <w:rsid w:val="002D36FA"/>
    <w:rsid w:val="002D5A2C"/>
    <w:rsid w:val="002D6DAA"/>
    <w:rsid w:val="002D773E"/>
    <w:rsid w:val="002E00FC"/>
    <w:rsid w:val="002E01E8"/>
    <w:rsid w:val="002E0278"/>
    <w:rsid w:val="002E0DDF"/>
    <w:rsid w:val="002E1ED1"/>
    <w:rsid w:val="002E20ED"/>
    <w:rsid w:val="002E2906"/>
    <w:rsid w:val="002E2B89"/>
    <w:rsid w:val="002E363B"/>
    <w:rsid w:val="002E4B07"/>
    <w:rsid w:val="002E5635"/>
    <w:rsid w:val="002E596A"/>
    <w:rsid w:val="002E64C3"/>
    <w:rsid w:val="002E6A2C"/>
    <w:rsid w:val="002E6AE4"/>
    <w:rsid w:val="002E6FEE"/>
    <w:rsid w:val="002F03FD"/>
    <w:rsid w:val="002F1D8C"/>
    <w:rsid w:val="002F1F8E"/>
    <w:rsid w:val="002F21DA"/>
    <w:rsid w:val="002F29C4"/>
    <w:rsid w:val="002F2C0B"/>
    <w:rsid w:val="002F5261"/>
    <w:rsid w:val="002F6BC5"/>
    <w:rsid w:val="002F7DD9"/>
    <w:rsid w:val="00300F98"/>
    <w:rsid w:val="00301321"/>
    <w:rsid w:val="00301F39"/>
    <w:rsid w:val="003023FB"/>
    <w:rsid w:val="00302552"/>
    <w:rsid w:val="00303034"/>
    <w:rsid w:val="00303040"/>
    <w:rsid w:val="003030AA"/>
    <w:rsid w:val="0030333C"/>
    <w:rsid w:val="00303DAE"/>
    <w:rsid w:val="003060B3"/>
    <w:rsid w:val="0030768A"/>
    <w:rsid w:val="00307EAC"/>
    <w:rsid w:val="0031085C"/>
    <w:rsid w:val="0031123E"/>
    <w:rsid w:val="003135C3"/>
    <w:rsid w:val="003142C0"/>
    <w:rsid w:val="00314376"/>
    <w:rsid w:val="00316A14"/>
    <w:rsid w:val="00317051"/>
    <w:rsid w:val="0031752B"/>
    <w:rsid w:val="00320C0A"/>
    <w:rsid w:val="0032162C"/>
    <w:rsid w:val="00322056"/>
    <w:rsid w:val="00322DFE"/>
    <w:rsid w:val="00323ED4"/>
    <w:rsid w:val="003244C9"/>
    <w:rsid w:val="0032488E"/>
    <w:rsid w:val="00325926"/>
    <w:rsid w:val="00327A8A"/>
    <w:rsid w:val="003309EF"/>
    <w:rsid w:val="00330B24"/>
    <w:rsid w:val="00332D1C"/>
    <w:rsid w:val="003347BA"/>
    <w:rsid w:val="003348F3"/>
    <w:rsid w:val="00334C5A"/>
    <w:rsid w:val="00335535"/>
    <w:rsid w:val="00335FF2"/>
    <w:rsid w:val="00336610"/>
    <w:rsid w:val="00340342"/>
    <w:rsid w:val="0034084B"/>
    <w:rsid w:val="00343F73"/>
    <w:rsid w:val="00343FAD"/>
    <w:rsid w:val="0034406D"/>
    <w:rsid w:val="00344515"/>
    <w:rsid w:val="00345060"/>
    <w:rsid w:val="00345BA6"/>
    <w:rsid w:val="00346478"/>
    <w:rsid w:val="00350987"/>
    <w:rsid w:val="00350BF9"/>
    <w:rsid w:val="00350FA1"/>
    <w:rsid w:val="00351566"/>
    <w:rsid w:val="00351B45"/>
    <w:rsid w:val="00352170"/>
    <w:rsid w:val="0035323B"/>
    <w:rsid w:val="00353277"/>
    <w:rsid w:val="00355041"/>
    <w:rsid w:val="003561EC"/>
    <w:rsid w:val="003564E0"/>
    <w:rsid w:val="003565AF"/>
    <w:rsid w:val="00356A74"/>
    <w:rsid w:val="00357A64"/>
    <w:rsid w:val="003609D2"/>
    <w:rsid w:val="0036183A"/>
    <w:rsid w:val="0036378B"/>
    <w:rsid w:val="00363F22"/>
    <w:rsid w:val="003646FD"/>
    <w:rsid w:val="00365A64"/>
    <w:rsid w:val="00366A83"/>
    <w:rsid w:val="00367428"/>
    <w:rsid w:val="00367983"/>
    <w:rsid w:val="00367F9E"/>
    <w:rsid w:val="00370F0C"/>
    <w:rsid w:val="003729C1"/>
    <w:rsid w:val="00374C61"/>
    <w:rsid w:val="003751B6"/>
    <w:rsid w:val="00375564"/>
    <w:rsid w:val="00376088"/>
    <w:rsid w:val="00377B31"/>
    <w:rsid w:val="0038069F"/>
    <w:rsid w:val="00383191"/>
    <w:rsid w:val="00384226"/>
    <w:rsid w:val="00386755"/>
    <w:rsid w:val="00386AD9"/>
    <w:rsid w:val="00386DED"/>
    <w:rsid w:val="0038703E"/>
    <w:rsid w:val="0038723C"/>
    <w:rsid w:val="00387749"/>
    <w:rsid w:val="00390C73"/>
    <w:rsid w:val="003912E7"/>
    <w:rsid w:val="00393236"/>
    <w:rsid w:val="00393947"/>
    <w:rsid w:val="00393BFB"/>
    <w:rsid w:val="0039438A"/>
    <w:rsid w:val="00395DBC"/>
    <w:rsid w:val="003961E2"/>
    <w:rsid w:val="003964FB"/>
    <w:rsid w:val="003A0746"/>
    <w:rsid w:val="003A16CA"/>
    <w:rsid w:val="003A198E"/>
    <w:rsid w:val="003A2275"/>
    <w:rsid w:val="003A2F32"/>
    <w:rsid w:val="003A4B55"/>
    <w:rsid w:val="003A5095"/>
    <w:rsid w:val="003A54B1"/>
    <w:rsid w:val="003A561F"/>
    <w:rsid w:val="003A6A4F"/>
    <w:rsid w:val="003A7088"/>
    <w:rsid w:val="003A72BF"/>
    <w:rsid w:val="003B00DF"/>
    <w:rsid w:val="003B1275"/>
    <w:rsid w:val="003B1778"/>
    <w:rsid w:val="003B1F5A"/>
    <w:rsid w:val="003B22C2"/>
    <w:rsid w:val="003B3AEC"/>
    <w:rsid w:val="003B54CC"/>
    <w:rsid w:val="003B6646"/>
    <w:rsid w:val="003B6A7B"/>
    <w:rsid w:val="003B7ACA"/>
    <w:rsid w:val="003C1177"/>
    <w:rsid w:val="003C11CB"/>
    <w:rsid w:val="003C349B"/>
    <w:rsid w:val="003C4004"/>
    <w:rsid w:val="003C47D4"/>
    <w:rsid w:val="003C4DB7"/>
    <w:rsid w:val="003C4F3B"/>
    <w:rsid w:val="003C59EA"/>
    <w:rsid w:val="003C75F3"/>
    <w:rsid w:val="003C78A3"/>
    <w:rsid w:val="003D1281"/>
    <w:rsid w:val="003D19BC"/>
    <w:rsid w:val="003D2CF0"/>
    <w:rsid w:val="003D34D7"/>
    <w:rsid w:val="003D599F"/>
    <w:rsid w:val="003D59C4"/>
    <w:rsid w:val="003D60AE"/>
    <w:rsid w:val="003D66B6"/>
    <w:rsid w:val="003D7ADA"/>
    <w:rsid w:val="003E0AB2"/>
    <w:rsid w:val="003E112B"/>
    <w:rsid w:val="003E153D"/>
    <w:rsid w:val="003E1867"/>
    <w:rsid w:val="003E55FE"/>
    <w:rsid w:val="003E5729"/>
    <w:rsid w:val="003F0D03"/>
    <w:rsid w:val="003F20E6"/>
    <w:rsid w:val="003F38EA"/>
    <w:rsid w:val="003F4EE0"/>
    <w:rsid w:val="003F738A"/>
    <w:rsid w:val="003F7C80"/>
    <w:rsid w:val="004003F4"/>
    <w:rsid w:val="004010CE"/>
    <w:rsid w:val="0040157B"/>
    <w:rsid w:val="00402153"/>
    <w:rsid w:val="00402FC1"/>
    <w:rsid w:val="0040354F"/>
    <w:rsid w:val="004128D2"/>
    <w:rsid w:val="00413602"/>
    <w:rsid w:val="004149B6"/>
    <w:rsid w:val="004153BB"/>
    <w:rsid w:val="00415FB8"/>
    <w:rsid w:val="00417665"/>
    <w:rsid w:val="004201F2"/>
    <w:rsid w:val="004205FC"/>
    <w:rsid w:val="00420CA6"/>
    <w:rsid w:val="00421C03"/>
    <w:rsid w:val="00421D4D"/>
    <w:rsid w:val="00422CE9"/>
    <w:rsid w:val="00423AB1"/>
    <w:rsid w:val="004240FE"/>
    <w:rsid w:val="00424162"/>
    <w:rsid w:val="00424807"/>
    <w:rsid w:val="00425082"/>
    <w:rsid w:val="004261DC"/>
    <w:rsid w:val="00430A76"/>
    <w:rsid w:val="004312C7"/>
    <w:rsid w:val="0043191F"/>
    <w:rsid w:val="00431B4C"/>
    <w:rsid w:val="00431DEB"/>
    <w:rsid w:val="00432682"/>
    <w:rsid w:val="00432F49"/>
    <w:rsid w:val="004334F5"/>
    <w:rsid w:val="00433AD3"/>
    <w:rsid w:val="00434D9B"/>
    <w:rsid w:val="004350B9"/>
    <w:rsid w:val="00436416"/>
    <w:rsid w:val="00437308"/>
    <w:rsid w:val="00437638"/>
    <w:rsid w:val="00441F79"/>
    <w:rsid w:val="00442B5F"/>
    <w:rsid w:val="00443BA6"/>
    <w:rsid w:val="0044401B"/>
    <w:rsid w:val="00446B29"/>
    <w:rsid w:val="0045275A"/>
    <w:rsid w:val="00453611"/>
    <w:rsid w:val="00453F9A"/>
    <w:rsid w:val="00455F28"/>
    <w:rsid w:val="004568A6"/>
    <w:rsid w:val="00456988"/>
    <w:rsid w:val="00457105"/>
    <w:rsid w:val="00460AD5"/>
    <w:rsid w:val="0046108D"/>
    <w:rsid w:val="004635B1"/>
    <w:rsid w:val="00464219"/>
    <w:rsid w:val="004653D9"/>
    <w:rsid w:val="00466694"/>
    <w:rsid w:val="0046670D"/>
    <w:rsid w:val="00466AEB"/>
    <w:rsid w:val="0046772D"/>
    <w:rsid w:val="00470B76"/>
    <w:rsid w:val="00471E91"/>
    <w:rsid w:val="00472308"/>
    <w:rsid w:val="00472762"/>
    <w:rsid w:val="00472822"/>
    <w:rsid w:val="00473031"/>
    <w:rsid w:val="00474675"/>
    <w:rsid w:val="0047470C"/>
    <w:rsid w:val="00476AC1"/>
    <w:rsid w:val="004778B7"/>
    <w:rsid w:val="00477A86"/>
    <w:rsid w:val="004808E8"/>
    <w:rsid w:val="004809E1"/>
    <w:rsid w:val="00484364"/>
    <w:rsid w:val="004854BB"/>
    <w:rsid w:val="00485DCB"/>
    <w:rsid w:val="00487FF3"/>
    <w:rsid w:val="00490AA4"/>
    <w:rsid w:val="0049165A"/>
    <w:rsid w:val="00491D81"/>
    <w:rsid w:val="00493692"/>
    <w:rsid w:val="00493699"/>
    <w:rsid w:val="00494CF2"/>
    <w:rsid w:val="00495290"/>
    <w:rsid w:val="00495889"/>
    <w:rsid w:val="0049662E"/>
    <w:rsid w:val="00497A1B"/>
    <w:rsid w:val="00497D41"/>
    <w:rsid w:val="00497EEE"/>
    <w:rsid w:val="004A09C2"/>
    <w:rsid w:val="004A0D7F"/>
    <w:rsid w:val="004A2F78"/>
    <w:rsid w:val="004A3120"/>
    <w:rsid w:val="004A35F9"/>
    <w:rsid w:val="004A4C7A"/>
    <w:rsid w:val="004A5C72"/>
    <w:rsid w:val="004B0805"/>
    <w:rsid w:val="004B0B67"/>
    <w:rsid w:val="004B24C1"/>
    <w:rsid w:val="004B461B"/>
    <w:rsid w:val="004B5405"/>
    <w:rsid w:val="004B5A49"/>
    <w:rsid w:val="004B7345"/>
    <w:rsid w:val="004C19E9"/>
    <w:rsid w:val="004C228F"/>
    <w:rsid w:val="004C292F"/>
    <w:rsid w:val="004C2DD7"/>
    <w:rsid w:val="004C4141"/>
    <w:rsid w:val="004C5DD7"/>
    <w:rsid w:val="004C6670"/>
    <w:rsid w:val="004C6C7A"/>
    <w:rsid w:val="004C7BBA"/>
    <w:rsid w:val="004D0E75"/>
    <w:rsid w:val="004D3007"/>
    <w:rsid w:val="004D34CC"/>
    <w:rsid w:val="004D3C05"/>
    <w:rsid w:val="004D535A"/>
    <w:rsid w:val="004D539D"/>
    <w:rsid w:val="004D6238"/>
    <w:rsid w:val="004D7C2A"/>
    <w:rsid w:val="004D7EE6"/>
    <w:rsid w:val="004E0163"/>
    <w:rsid w:val="004E19F2"/>
    <w:rsid w:val="004E1CBB"/>
    <w:rsid w:val="004E1DC5"/>
    <w:rsid w:val="004E36E7"/>
    <w:rsid w:val="004E3ADA"/>
    <w:rsid w:val="004E3DA9"/>
    <w:rsid w:val="004E4168"/>
    <w:rsid w:val="004E5159"/>
    <w:rsid w:val="004E665F"/>
    <w:rsid w:val="004E7A8A"/>
    <w:rsid w:val="004F0CF7"/>
    <w:rsid w:val="004F10EF"/>
    <w:rsid w:val="004F1D1E"/>
    <w:rsid w:val="004F6993"/>
    <w:rsid w:val="004F70F3"/>
    <w:rsid w:val="004F7B74"/>
    <w:rsid w:val="00500859"/>
    <w:rsid w:val="0050098B"/>
    <w:rsid w:val="0050189F"/>
    <w:rsid w:val="0050239B"/>
    <w:rsid w:val="00502F57"/>
    <w:rsid w:val="005038AD"/>
    <w:rsid w:val="00503AA3"/>
    <w:rsid w:val="0050665B"/>
    <w:rsid w:val="00506C1D"/>
    <w:rsid w:val="00507B35"/>
    <w:rsid w:val="00510027"/>
    <w:rsid w:val="00510234"/>
    <w:rsid w:val="00510280"/>
    <w:rsid w:val="00510514"/>
    <w:rsid w:val="00511122"/>
    <w:rsid w:val="0051268B"/>
    <w:rsid w:val="00512B6F"/>
    <w:rsid w:val="00512EAA"/>
    <w:rsid w:val="00513D73"/>
    <w:rsid w:val="00513E18"/>
    <w:rsid w:val="00514A43"/>
    <w:rsid w:val="00514DE2"/>
    <w:rsid w:val="005174E5"/>
    <w:rsid w:val="00517B02"/>
    <w:rsid w:val="00521520"/>
    <w:rsid w:val="00521AAB"/>
    <w:rsid w:val="00522393"/>
    <w:rsid w:val="00522620"/>
    <w:rsid w:val="00523CE8"/>
    <w:rsid w:val="005241F5"/>
    <w:rsid w:val="00524E4E"/>
    <w:rsid w:val="00525420"/>
    <w:rsid w:val="00525656"/>
    <w:rsid w:val="0052585A"/>
    <w:rsid w:val="0052726A"/>
    <w:rsid w:val="005304F1"/>
    <w:rsid w:val="00530C06"/>
    <w:rsid w:val="00530EC3"/>
    <w:rsid w:val="005327BB"/>
    <w:rsid w:val="00532FAB"/>
    <w:rsid w:val="0053480B"/>
    <w:rsid w:val="00534C02"/>
    <w:rsid w:val="0054080A"/>
    <w:rsid w:val="0054145C"/>
    <w:rsid w:val="0054264B"/>
    <w:rsid w:val="00542D62"/>
    <w:rsid w:val="00543786"/>
    <w:rsid w:val="00543DB0"/>
    <w:rsid w:val="005440E0"/>
    <w:rsid w:val="00545804"/>
    <w:rsid w:val="00545F3A"/>
    <w:rsid w:val="005467C0"/>
    <w:rsid w:val="005479EF"/>
    <w:rsid w:val="00550E0F"/>
    <w:rsid w:val="0055110E"/>
    <w:rsid w:val="00552B6F"/>
    <w:rsid w:val="005533D7"/>
    <w:rsid w:val="00553736"/>
    <w:rsid w:val="00554999"/>
    <w:rsid w:val="005552EB"/>
    <w:rsid w:val="00555E9F"/>
    <w:rsid w:val="005566A0"/>
    <w:rsid w:val="0055717B"/>
    <w:rsid w:val="005576FA"/>
    <w:rsid w:val="00557D80"/>
    <w:rsid w:val="005606BD"/>
    <w:rsid w:val="00561287"/>
    <w:rsid w:val="005612AD"/>
    <w:rsid w:val="0056181C"/>
    <w:rsid w:val="00561C62"/>
    <w:rsid w:val="00562667"/>
    <w:rsid w:val="00563087"/>
    <w:rsid w:val="00563542"/>
    <w:rsid w:val="0056493D"/>
    <w:rsid w:val="005650F1"/>
    <w:rsid w:val="00565EE7"/>
    <w:rsid w:val="00566A6D"/>
    <w:rsid w:val="00567B69"/>
    <w:rsid w:val="00570065"/>
    <w:rsid w:val="005703DE"/>
    <w:rsid w:val="00571E5D"/>
    <w:rsid w:val="0057222F"/>
    <w:rsid w:val="00572278"/>
    <w:rsid w:val="00572FA7"/>
    <w:rsid w:val="00574897"/>
    <w:rsid w:val="00574D7B"/>
    <w:rsid w:val="005756C5"/>
    <w:rsid w:val="00576ED1"/>
    <w:rsid w:val="0057764B"/>
    <w:rsid w:val="0058097A"/>
    <w:rsid w:val="00581D20"/>
    <w:rsid w:val="00581F0C"/>
    <w:rsid w:val="00583D99"/>
    <w:rsid w:val="0058464E"/>
    <w:rsid w:val="0058514B"/>
    <w:rsid w:val="005873F0"/>
    <w:rsid w:val="0058795C"/>
    <w:rsid w:val="005909AB"/>
    <w:rsid w:val="005915C3"/>
    <w:rsid w:val="00591824"/>
    <w:rsid w:val="00593B48"/>
    <w:rsid w:val="00594CA6"/>
    <w:rsid w:val="00594D43"/>
    <w:rsid w:val="00594EF1"/>
    <w:rsid w:val="00595504"/>
    <w:rsid w:val="005A01CB"/>
    <w:rsid w:val="005A0C16"/>
    <w:rsid w:val="005A2828"/>
    <w:rsid w:val="005A3CCF"/>
    <w:rsid w:val="005A4277"/>
    <w:rsid w:val="005A44CD"/>
    <w:rsid w:val="005A44F7"/>
    <w:rsid w:val="005A4770"/>
    <w:rsid w:val="005A4878"/>
    <w:rsid w:val="005A58FF"/>
    <w:rsid w:val="005A59DF"/>
    <w:rsid w:val="005A5EAF"/>
    <w:rsid w:val="005A5EC8"/>
    <w:rsid w:val="005A64C0"/>
    <w:rsid w:val="005A76E8"/>
    <w:rsid w:val="005A7FBE"/>
    <w:rsid w:val="005B1A08"/>
    <w:rsid w:val="005B28F0"/>
    <w:rsid w:val="005B3A5A"/>
    <w:rsid w:val="005B3C11"/>
    <w:rsid w:val="005B5661"/>
    <w:rsid w:val="005B589F"/>
    <w:rsid w:val="005B6268"/>
    <w:rsid w:val="005B7800"/>
    <w:rsid w:val="005C0538"/>
    <w:rsid w:val="005C1206"/>
    <w:rsid w:val="005C1C28"/>
    <w:rsid w:val="005C3817"/>
    <w:rsid w:val="005C3BB5"/>
    <w:rsid w:val="005C49B9"/>
    <w:rsid w:val="005C6DB5"/>
    <w:rsid w:val="005C7A7A"/>
    <w:rsid w:val="005D0300"/>
    <w:rsid w:val="005D09D9"/>
    <w:rsid w:val="005D18C4"/>
    <w:rsid w:val="005D2D04"/>
    <w:rsid w:val="005D3EE3"/>
    <w:rsid w:val="005D4941"/>
    <w:rsid w:val="005D5081"/>
    <w:rsid w:val="005D568F"/>
    <w:rsid w:val="005D6A17"/>
    <w:rsid w:val="005E19E7"/>
    <w:rsid w:val="005E2EF0"/>
    <w:rsid w:val="005E489A"/>
    <w:rsid w:val="005E5121"/>
    <w:rsid w:val="005E7D94"/>
    <w:rsid w:val="005F0D35"/>
    <w:rsid w:val="005F53B5"/>
    <w:rsid w:val="005F69D1"/>
    <w:rsid w:val="005F76C3"/>
    <w:rsid w:val="006019B4"/>
    <w:rsid w:val="00602BE7"/>
    <w:rsid w:val="00602E15"/>
    <w:rsid w:val="00602EEB"/>
    <w:rsid w:val="0060344E"/>
    <w:rsid w:val="00603EDF"/>
    <w:rsid w:val="00604C8C"/>
    <w:rsid w:val="006059BE"/>
    <w:rsid w:val="00605E04"/>
    <w:rsid w:val="0060609D"/>
    <w:rsid w:val="0060686F"/>
    <w:rsid w:val="00606CCF"/>
    <w:rsid w:val="00607425"/>
    <w:rsid w:val="00610031"/>
    <w:rsid w:val="00610C4D"/>
    <w:rsid w:val="0061257D"/>
    <w:rsid w:val="00612BD5"/>
    <w:rsid w:val="00613755"/>
    <w:rsid w:val="00616CBC"/>
    <w:rsid w:val="0061716C"/>
    <w:rsid w:val="00623752"/>
    <w:rsid w:val="006241B1"/>
    <w:rsid w:val="006243A1"/>
    <w:rsid w:val="00624852"/>
    <w:rsid w:val="00624E34"/>
    <w:rsid w:val="00624EDB"/>
    <w:rsid w:val="00625DB1"/>
    <w:rsid w:val="0062628F"/>
    <w:rsid w:val="00631A78"/>
    <w:rsid w:val="00631D28"/>
    <w:rsid w:val="00631E5B"/>
    <w:rsid w:val="00632E56"/>
    <w:rsid w:val="00632E5A"/>
    <w:rsid w:val="006339F0"/>
    <w:rsid w:val="00633A50"/>
    <w:rsid w:val="00633E4C"/>
    <w:rsid w:val="00634DC8"/>
    <w:rsid w:val="00635CBA"/>
    <w:rsid w:val="0064080A"/>
    <w:rsid w:val="00641244"/>
    <w:rsid w:val="006413F3"/>
    <w:rsid w:val="00642855"/>
    <w:rsid w:val="0064338B"/>
    <w:rsid w:val="0064355C"/>
    <w:rsid w:val="00643988"/>
    <w:rsid w:val="006457DB"/>
    <w:rsid w:val="00646448"/>
    <w:rsid w:val="00646542"/>
    <w:rsid w:val="00647B07"/>
    <w:rsid w:val="00650497"/>
    <w:rsid w:val="006504F4"/>
    <w:rsid w:val="00650BA2"/>
    <w:rsid w:val="006511D8"/>
    <w:rsid w:val="0065201C"/>
    <w:rsid w:val="00654588"/>
    <w:rsid w:val="00654BC9"/>
    <w:rsid w:val="00654DA7"/>
    <w:rsid w:val="006552FD"/>
    <w:rsid w:val="00655343"/>
    <w:rsid w:val="006557D1"/>
    <w:rsid w:val="006563BE"/>
    <w:rsid w:val="00656408"/>
    <w:rsid w:val="00656AE2"/>
    <w:rsid w:val="00663AF3"/>
    <w:rsid w:val="00664013"/>
    <w:rsid w:val="00665BE1"/>
    <w:rsid w:val="00665C37"/>
    <w:rsid w:val="00666B6C"/>
    <w:rsid w:val="00667571"/>
    <w:rsid w:val="006678B0"/>
    <w:rsid w:val="00670662"/>
    <w:rsid w:val="00670A17"/>
    <w:rsid w:val="00670A8E"/>
    <w:rsid w:val="0067215E"/>
    <w:rsid w:val="0067526D"/>
    <w:rsid w:val="00675D28"/>
    <w:rsid w:val="00677941"/>
    <w:rsid w:val="00677A2F"/>
    <w:rsid w:val="006808DE"/>
    <w:rsid w:val="00681E8A"/>
    <w:rsid w:val="00682682"/>
    <w:rsid w:val="00682702"/>
    <w:rsid w:val="00682CAE"/>
    <w:rsid w:val="0068535B"/>
    <w:rsid w:val="00685C05"/>
    <w:rsid w:val="00685E45"/>
    <w:rsid w:val="00690C9B"/>
    <w:rsid w:val="006921CF"/>
    <w:rsid w:val="00692368"/>
    <w:rsid w:val="006927EA"/>
    <w:rsid w:val="0069307E"/>
    <w:rsid w:val="00693633"/>
    <w:rsid w:val="006957D2"/>
    <w:rsid w:val="00695BB8"/>
    <w:rsid w:val="00696B3F"/>
    <w:rsid w:val="00697DE0"/>
    <w:rsid w:val="006A038C"/>
    <w:rsid w:val="006A1E94"/>
    <w:rsid w:val="006A2A8C"/>
    <w:rsid w:val="006A2C21"/>
    <w:rsid w:val="006A2EBC"/>
    <w:rsid w:val="006A33C2"/>
    <w:rsid w:val="006A34C8"/>
    <w:rsid w:val="006A5C71"/>
    <w:rsid w:val="006A5CD2"/>
    <w:rsid w:val="006A5EA0"/>
    <w:rsid w:val="006A783B"/>
    <w:rsid w:val="006A7A59"/>
    <w:rsid w:val="006A7B33"/>
    <w:rsid w:val="006A7F59"/>
    <w:rsid w:val="006B2E26"/>
    <w:rsid w:val="006B364B"/>
    <w:rsid w:val="006B3C35"/>
    <w:rsid w:val="006B4E13"/>
    <w:rsid w:val="006B522D"/>
    <w:rsid w:val="006B5557"/>
    <w:rsid w:val="006B5834"/>
    <w:rsid w:val="006B5A6D"/>
    <w:rsid w:val="006B657D"/>
    <w:rsid w:val="006B6869"/>
    <w:rsid w:val="006B75DD"/>
    <w:rsid w:val="006B7B8D"/>
    <w:rsid w:val="006C0570"/>
    <w:rsid w:val="006C0634"/>
    <w:rsid w:val="006C0FA1"/>
    <w:rsid w:val="006C4608"/>
    <w:rsid w:val="006C6669"/>
    <w:rsid w:val="006C67E0"/>
    <w:rsid w:val="006C6AEA"/>
    <w:rsid w:val="006C7ABA"/>
    <w:rsid w:val="006D0D60"/>
    <w:rsid w:val="006D1122"/>
    <w:rsid w:val="006D2504"/>
    <w:rsid w:val="006D28A9"/>
    <w:rsid w:val="006D2D09"/>
    <w:rsid w:val="006D3147"/>
    <w:rsid w:val="006D329E"/>
    <w:rsid w:val="006D3996"/>
    <w:rsid w:val="006D3C00"/>
    <w:rsid w:val="006D4029"/>
    <w:rsid w:val="006D43B0"/>
    <w:rsid w:val="006D54CD"/>
    <w:rsid w:val="006D6CF4"/>
    <w:rsid w:val="006D6D53"/>
    <w:rsid w:val="006D71FC"/>
    <w:rsid w:val="006E0C0C"/>
    <w:rsid w:val="006E0CF7"/>
    <w:rsid w:val="006E17C6"/>
    <w:rsid w:val="006E180C"/>
    <w:rsid w:val="006E1D31"/>
    <w:rsid w:val="006E3675"/>
    <w:rsid w:val="006E4A7F"/>
    <w:rsid w:val="006E5397"/>
    <w:rsid w:val="006E6028"/>
    <w:rsid w:val="006E6172"/>
    <w:rsid w:val="006E618D"/>
    <w:rsid w:val="006E6EDC"/>
    <w:rsid w:val="006E74F6"/>
    <w:rsid w:val="006F127B"/>
    <w:rsid w:val="006F17C2"/>
    <w:rsid w:val="006F22DB"/>
    <w:rsid w:val="006F27B9"/>
    <w:rsid w:val="006F4A0F"/>
    <w:rsid w:val="006F535D"/>
    <w:rsid w:val="006F7554"/>
    <w:rsid w:val="006F7CA9"/>
    <w:rsid w:val="007005E5"/>
    <w:rsid w:val="00700713"/>
    <w:rsid w:val="007026D7"/>
    <w:rsid w:val="0070465F"/>
    <w:rsid w:val="00704DF6"/>
    <w:rsid w:val="00704E08"/>
    <w:rsid w:val="007057AA"/>
    <w:rsid w:val="00705EC2"/>
    <w:rsid w:val="0070651C"/>
    <w:rsid w:val="00711089"/>
    <w:rsid w:val="007113AD"/>
    <w:rsid w:val="0071167C"/>
    <w:rsid w:val="00711A8D"/>
    <w:rsid w:val="007120BB"/>
    <w:rsid w:val="00712F13"/>
    <w:rsid w:val="007132A3"/>
    <w:rsid w:val="007140DF"/>
    <w:rsid w:val="007147A0"/>
    <w:rsid w:val="00716421"/>
    <w:rsid w:val="00716683"/>
    <w:rsid w:val="007174B7"/>
    <w:rsid w:val="007215F4"/>
    <w:rsid w:val="007218C9"/>
    <w:rsid w:val="00721A43"/>
    <w:rsid w:val="00721E44"/>
    <w:rsid w:val="00722D03"/>
    <w:rsid w:val="00722FEF"/>
    <w:rsid w:val="007239D0"/>
    <w:rsid w:val="00724179"/>
    <w:rsid w:val="00724EFB"/>
    <w:rsid w:val="00725089"/>
    <w:rsid w:val="00727914"/>
    <w:rsid w:val="007326E6"/>
    <w:rsid w:val="007328D7"/>
    <w:rsid w:val="007342E9"/>
    <w:rsid w:val="0073441F"/>
    <w:rsid w:val="00735653"/>
    <w:rsid w:val="007356F1"/>
    <w:rsid w:val="00736716"/>
    <w:rsid w:val="00736744"/>
    <w:rsid w:val="00736DFC"/>
    <w:rsid w:val="0073700C"/>
    <w:rsid w:val="0074094A"/>
    <w:rsid w:val="007419C3"/>
    <w:rsid w:val="00742001"/>
    <w:rsid w:val="00742B10"/>
    <w:rsid w:val="00743887"/>
    <w:rsid w:val="00744F22"/>
    <w:rsid w:val="007450CF"/>
    <w:rsid w:val="007464A0"/>
    <w:rsid w:val="007467A7"/>
    <w:rsid w:val="007469DD"/>
    <w:rsid w:val="00746DFC"/>
    <w:rsid w:val="0074741B"/>
    <w:rsid w:val="0074759E"/>
    <w:rsid w:val="007478EA"/>
    <w:rsid w:val="00747C54"/>
    <w:rsid w:val="00750982"/>
    <w:rsid w:val="0075119E"/>
    <w:rsid w:val="00751AA5"/>
    <w:rsid w:val="007536E4"/>
    <w:rsid w:val="00753802"/>
    <w:rsid w:val="00753C47"/>
    <w:rsid w:val="0075415C"/>
    <w:rsid w:val="007548BE"/>
    <w:rsid w:val="00754C6C"/>
    <w:rsid w:val="00757635"/>
    <w:rsid w:val="00757DBF"/>
    <w:rsid w:val="0076043F"/>
    <w:rsid w:val="00760553"/>
    <w:rsid w:val="00762DCA"/>
    <w:rsid w:val="0076337C"/>
    <w:rsid w:val="00763502"/>
    <w:rsid w:val="00765E0B"/>
    <w:rsid w:val="007660C3"/>
    <w:rsid w:val="007665B7"/>
    <w:rsid w:val="00766776"/>
    <w:rsid w:val="007673CF"/>
    <w:rsid w:val="0077051B"/>
    <w:rsid w:val="0077245E"/>
    <w:rsid w:val="00772927"/>
    <w:rsid w:val="007729BC"/>
    <w:rsid w:val="00772F03"/>
    <w:rsid w:val="00773408"/>
    <w:rsid w:val="00773A5C"/>
    <w:rsid w:val="00777D49"/>
    <w:rsid w:val="00780071"/>
    <w:rsid w:val="00780963"/>
    <w:rsid w:val="007814B7"/>
    <w:rsid w:val="00783100"/>
    <w:rsid w:val="007832A9"/>
    <w:rsid w:val="007844E6"/>
    <w:rsid w:val="00784A5D"/>
    <w:rsid w:val="00785649"/>
    <w:rsid w:val="00786AF4"/>
    <w:rsid w:val="00786D8A"/>
    <w:rsid w:val="007904E0"/>
    <w:rsid w:val="00790CEA"/>
    <w:rsid w:val="007913AB"/>
    <w:rsid w:val="007914F7"/>
    <w:rsid w:val="00791E0C"/>
    <w:rsid w:val="00792CAB"/>
    <w:rsid w:val="007931AC"/>
    <w:rsid w:val="0079330E"/>
    <w:rsid w:val="007935A2"/>
    <w:rsid w:val="007946BA"/>
    <w:rsid w:val="0079524C"/>
    <w:rsid w:val="0079556A"/>
    <w:rsid w:val="00795A63"/>
    <w:rsid w:val="0079680C"/>
    <w:rsid w:val="007A09A4"/>
    <w:rsid w:val="007A0D87"/>
    <w:rsid w:val="007A0E21"/>
    <w:rsid w:val="007A1C03"/>
    <w:rsid w:val="007A2CA7"/>
    <w:rsid w:val="007A36FF"/>
    <w:rsid w:val="007A483E"/>
    <w:rsid w:val="007A5CC8"/>
    <w:rsid w:val="007A6CAA"/>
    <w:rsid w:val="007B1625"/>
    <w:rsid w:val="007B194A"/>
    <w:rsid w:val="007B1B55"/>
    <w:rsid w:val="007B1F56"/>
    <w:rsid w:val="007B351D"/>
    <w:rsid w:val="007B3681"/>
    <w:rsid w:val="007B5FAD"/>
    <w:rsid w:val="007B697F"/>
    <w:rsid w:val="007B706E"/>
    <w:rsid w:val="007B71EB"/>
    <w:rsid w:val="007C1F0B"/>
    <w:rsid w:val="007C27A4"/>
    <w:rsid w:val="007C2AB4"/>
    <w:rsid w:val="007C2D39"/>
    <w:rsid w:val="007C402D"/>
    <w:rsid w:val="007C59A6"/>
    <w:rsid w:val="007C6205"/>
    <w:rsid w:val="007C675D"/>
    <w:rsid w:val="007C686A"/>
    <w:rsid w:val="007C714E"/>
    <w:rsid w:val="007C728E"/>
    <w:rsid w:val="007D01AC"/>
    <w:rsid w:val="007D124B"/>
    <w:rsid w:val="007D1B5B"/>
    <w:rsid w:val="007D2332"/>
    <w:rsid w:val="007D240D"/>
    <w:rsid w:val="007D2C53"/>
    <w:rsid w:val="007D3924"/>
    <w:rsid w:val="007D3D60"/>
    <w:rsid w:val="007D4503"/>
    <w:rsid w:val="007D4BB8"/>
    <w:rsid w:val="007D6162"/>
    <w:rsid w:val="007D6E4F"/>
    <w:rsid w:val="007D718E"/>
    <w:rsid w:val="007D7A06"/>
    <w:rsid w:val="007D7B1A"/>
    <w:rsid w:val="007E03BD"/>
    <w:rsid w:val="007E0D0C"/>
    <w:rsid w:val="007E12EC"/>
    <w:rsid w:val="007E185B"/>
    <w:rsid w:val="007E1980"/>
    <w:rsid w:val="007E2895"/>
    <w:rsid w:val="007E3219"/>
    <w:rsid w:val="007E4B76"/>
    <w:rsid w:val="007E5EA8"/>
    <w:rsid w:val="007F0538"/>
    <w:rsid w:val="007F09AB"/>
    <w:rsid w:val="007F0CF1"/>
    <w:rsid w:val="007F12A5"/>
    <w:rsid w:val="007F48EC"/>
    <w:rsid w:val="007F4CF1"/>
    <w:rsid w:val="007F5733"/>
    <w:rsid w:val="007F6960"/>
    <w:rsid w:val="007F7519"/>
    <w:rsid w:val="007F758D"/>
    <w:rsid w:val="007F7D52"/>
    <w:rsid w:val="0080003F"/>
    <w:rsid w:val="00800562"/>
    <w:rsid w:val="00803A39"/>
    <w:rsid w:val="00804499"/>
    <w:rsid w:val="008047CF"/>
    <w:rsid w:val="008058F3"/>
    <w:rsid w:val="0080654C"/>
    <w:rsid w:val="00806F8B"/>
    <w:rsid w:val="008071C6"/>
    <w:rsid w:val="00810370"/>
    <w:rsid w:val="0081078D"/>
    <w:rsid w:val="00810E87"/>
    <w:rsid w:val="00811548"/>
    <w:rsid w:val="00811922"/>
    <w:rsid w:val="008131F8"/>
    <w:rsid w:val="00813B29"/>
    <w:rsid w:val="0081596B"/>
    <w:rsid w:val="008178C2"/>
    <w:rsid w:val="00817A00"/>
    <w:rsid w:val="00817AFF"/>
    <w:rsid w:val="00820CE8"/>
    <w:rsid w:val="008222CD"/>
    <w:rsid w:val="00822646"/>
    <w:rsid w:val="00823F3F"/>
    <w:rsid w:val="00824476"/>
    <w:rsid w:val="0082733E"/>
    <w:rsid w:val="00827CB6"/>
    <w:rsid w:val="00830716"/>
    <w:rsid w:val="00833269"/>
    <w:rsid w:val="00834B43"/>
    <w:rsid w:val="00834E39"/>
    <w:rsid w:val="00835DB3"/>
    <w:rsid w:val="0083617B"/>
    <w:rsid w:val="008371BD"/>
    <w:rsid w:val="0083724E"/>
    <w:rsid w:val="00840385"/>
    <w:rsid w:val="008404FC"/>
    <w:rsid w:val="008410D1"/>
    <w:rsid w:val="0084210C"/>
    <w:rsid w:val="00842BEB"/>
    <w:rsid w:val="008434C5"/>
    <w:rsid w:val="00844A28"/>
    <w:rsid w:val="00846EE0"/>
    <w:rsid w:val="008504A8"/>
    <w:rsid w:val="00850B78"/>
    <w:rsid w:val="00852118"/>
    <w:rsid w:val="0085282E"/>
    <w:rsid w:val="00852D68"/>
    <w:rsid w:val="00855952"/>
    <w:rsid w:val="00855BF6"/>
    <w:rsid w:val="0085651C"/>
    <w:rsid w:val="00856A38"/>
    <w:rsid w:val="00856BDB"/>
    <w:rsid w:val="0085722E"/>
    <w:rsid w:val="0085758A"/>
    <w:rsid w:val="00857820"/>
    <w:rsid w:val="00860435"/>
    <w:rsid w:val="00863B90"/>
    <w:rsid w:val="00864D27"/>
    <w:rsid w:val="00865754"/>
    <w:rsid w:val="00867BD7"/>
    <w:rsid w:val="008704C5"/>
    <w:rsid w:val="0087198C"/>
    <w:rsid w:val="008723C3"/>
    <w:rsid w:val="00872C1F"/>
    <w:rsid w:val="008730D3"/>
    <w:rsid w:val="00873B42"/>
    <w:rsid w:val="0087623A"/>
    <w:rsid w:val="00877203"/>
    <w:rsid w:val="008776D9"/>
    <w:rsid w:val="00880036"/>
    <w:rsid w:val="00880552"/>
    <w:rsid w:val="008813F7"/>
    <w:rsid w:val="0088315D"/>
    <w:rsid w:val="00884998"/>
    <w:rsid w:val="008856D8"/>
    <w:rsid w:val="008863D2"/>
    <w:rsid w:val="00892E82"/>
    <w:rsid w:val="008930CA"/>
    <w:rsid w:val="008933BD"/>
    <w:rsid w:val="00893DC3"/>
    <w:rsid w:val="00893FDC"/>
    <w:rsid w:val="0089519B"/>
    <w:rsid w:val="008956E7"/>
    <w:rsid w:val="00896C74"/>
    <w:rsid w:val="00897DE8"/>
    <w:rsid w:val="008A0AAD"/>
    <w:rsid w:val="008A0B78"/>
    <w:rsid w:val="008A2321"/>
    <w:rsid w:val="008A260B"/>
    <w:rsid w:val="008A394F"/>
    <w:rsid w:val="008A6330"/>
    <w:rsid w:val="008A6B0D"/>
    <w:rsid w:val="008A78E6"/>
    <w:rsid w:val="008A7F52"/>
    <w:rsid w:val="008B10E7"/>
    <w:rsid w:val="008B2245"/>
    <w:rsid w:val="008B24EF"/>
    <w:rsid w:val="008B2714"/>
    <w:rsid w:val="008B2791"/>
    <w:rsid w:val="008B2AD3"/>
    <w:rsid w:val="008B4CC1"/>
    <w:rsid w:val="008B5A3A"/>
    <w:rsid w:val="008B5F0B"/>
    <w:rsid w:val="008B74D7"/>
    <w:rsid w:val="008C0928"/>
    <w:rsid w:val="008C1147"/>
    <w:rsid w:val="008C12C8"/>
    <w:rsid w:val="008C1B58"/>
    <w:rsid w:val="008C1E79"/>
    <w:rsid w:val="008C2C1A"/>
    <w:rsid w:val="008C37FB"/>
    <w:rsid w:val="008C39AE"/>
    <w:rsid w:val="008C4C43"/>
    <w:rsid w:val="008C5280"/>
    <w:rsid w:val="008C5354"/>
    <w:rsid w:val="008C590D"/>
    <w:rsid w:val="008C64DB"/>
    <w:rsid w:val="008C7D3E"/>
    <w:rsid w:val="008D122A"/>
    <w:rsid w:val="008D3054"/>
    <w:rsid w:val="008D4B2B"/>
    <w:rsid w:val="008D4C10"/>
    <w:rsid w:val="008D4C69"/>
    <w:rsid w:val="008D58AC"/>
    <w:rsid w:val="008D7509"/>
    <w:rsid w:val="008E031B"/>
    <w:rsid w:val="008E297C"/>
    <w:rsid w:val="008E6646"/>
    <w:rsid w:val="008E691F"/>
    <w:rsid w:val="008E7029"/>
    <w:rsid w:val="008E72FC"/>
    <w:rsid w:val="008E7CD5"/>
    <w:rsid w:val="008E7EF6"/>
    <w:rsid w:val="008F03ED"/>
    <w:rsid w:val="008F0926"/>
    <w:rsid w:val="008F1335"/>
    <w:rsid w:val="008F1F98"/>
    <w:rsid w:val="008F1FDB"/>
    <w:rsid w:val="008F2928"/>
    <w:rsid w:val="008F32DA"/>
    <w:rsid w:val="008F50F9"/>
    <w:rsid w:val="008F58DA"/>
    <w:rsid w:val="008F649B"/>
    <w:rsid w:val="008F6758"/>
    <w:rsid w:val="008F6FFF"/>
    <w:rsid w:val="008F75EF"/>
    <w:rsid w:val="008F77FF"/>
    <w:rsid w:val="00901754"/>
    <w:rsid w:val="00902962"/>
    <w:rsid w:val="009040DD"/>
    <w:rsid w:val="00904228"/>
    <w:rsid w:val="00904E50"/>
    <w:rsid w:val="00905B47"/>
    <w:rsid w:val="00906956"/>
    <w:rsid w:val="00913168"/>
    <w:rsid w:val="0091331C"/>
    <w:rsid w:val="009147F3"/>
    <w:rsid w:val="00914CF5"/>
    <w:rsid w:val="00920BD2"/>
    <w:rsid w:val="0092394A"/>
    <w:rsid w:val="00924FA8"/>
    <w:rsid w:val="00925BDE"/>
    <w:rsid w:val="00926F18"/>
    <w:rsid w:val="009274F0"/>
    <w:rsid w:val="009279DE"/>
    <w:rsid w:val="00930116"/>
    <w:rsid w:val="00930840"/>
    <w:rsid w:val="00931139"/>
    <w:rsid w:val="009311E3"/>
    <w:rsid w:val="0093313F"/>
    <w:rsid w:val="0093472B"/>
    <w:rsid w:val="009402C3"/>
    <w:rsid w:val="0094072A"/>
    <w:rsid w:val="0094077A"/>
    <w:rsid w:val="00941082"/>
    <w:rsid w:val="00941A00"/>
    <w:rsid w:val="0094212C"/>
    <w:rsid w:val="00942462"/>
    <w:rsid w:val="009446E9"/>
    <w:rsid w:val="00945C16"/>
    <w:rsid w:val="00946B45"/>
    <w:rsid w:val="00946E75"/>
    <w:rsid w:val="00952273"/>
    <w:rsid w:val="0095287B"/>
    <w:rsid w:val="009528CE"/>
    <w:rsid w:val="00953018"/>
    <w:rsid w:val="00954689"/>
    <w:rsid w:val="00954B93"/>
    <w:rsid w:val="009556E9"/>
    <w:rsid w:val="009558EF"/>
    <w:rsid w:val="009559FB"/>
    <w:rsid w:val="00955DF7"/>
    <w:rsid w:val="00955F23"/>
    <w:rsid w:val="00956811"/>
    <w:rsid w:val="009571AD"/>
    <w:rsid w:val="009579C3"/>
    <w:rsid w:val="00957DA5"/>
    <w:rsid w:val="00961110"/>
    <w:rsid w:val="009617C9"/>
    <w:rsid w:val="00961C93"/>
    <w:rsid w:val="00961E83"/>
    <w:rsid w:val="009624E9"/>
    <w:rsid w:val="00962878"/>
    <w:rsid w:val="009629D6"/>
    <w:rsid w:val="00962BC6"/>
    <w:rsid w:val="009642CC"/>
    <w:rsid w:val="00964866"/>
    <w:rsid w:val="00964B26"/>
    <w:rsid w:val="00965324"/>
    <w:rsid w:val="00965E39"/>
    <w:rsid w:val="0097091E"/>
    <w:rsid w:val="00971237"/>
    <w:rsid w:val="00971AF1"/>
    <w:rsid w:val="009722A6"/>
    <w:rsid w:val="00972C3F"/>
    <w:rsid w:val="0097457E"/>
    <w:rsid w:val="00974E7F"/>
    <w:rsid w:val="00975439"/>
    <w:rsid w:val="009758D2"/>
    <w:rsid w:val="009760D3"/>
    <w:rsid w:val="0097680C"/>
    <w:rsid w:val="00977132"/>
    <w:rsid w:val="00977D45"/>
    <w:rsid w:val="00981A4B"/>
    <w:rsid w:val="00981E0B"/>
    <w:rsid w:val="00982501"/>
    <w:rsid w:val="00983F99"/>
    <w:rsid w:val="009856B5"/>
    <w:rsid w:val="00985D34"/>
    <w:rsid w:val="00986249"/>
    <w:rsid w:val="0098683A"/>
    <w:rsid w:val="0098702A"/>
    <w:rsid w:val="00987736"/>
    <w:rsid w:val="009877D3"/>
    <w:rsid w:val="0099005B"/>
    <w:rsid w:val="009908E4"/>
    <w:rsid w:val="00990B96"/>
    <w:rsid w:val="00991169"/>
    <w:rsid w:val="009912CB"/>
    <w:rsid w:val="0099366E"/>
    <w:rsid w:val="009945D1"/>
    <w:rsid w:val="0099489F"/>
    <w:rsid w:val="00994E8F"/>
    <w:rsid w:val="009951DC"/>
    <w:rsid w:val="009954C8"/>
    <w:rsid w:val="009959BB"/>
    <w:rsid w:val="00997040"/>
    <w:rsid w:val="00997158"/>
    <w:rsid w:val="009A0081"/>
    <w:rsid w:val="009A0E51"/>
    <w:rsid w:val="009A0EA3"/>
    <w:rsid w:val="009A1014"/>
    <w:rsid w:val="009A1658"/>
    <w:rsid w:val="009A18BD"/>
    <w:rsid w:val="009A2A6E"/>
    <w:rsid w:val="009A36BC"/>
    <w:rsid w:val="009A3A7C"/>
    <w:rsid w:val="009A518C"/>
    <w:rsid w:val="009A68DE"/>
    <w:rsid w:val="009A78A0"/>
    <w:rsid w:val="009A7A54"/>
    <w:rsid w:val="009B20DF"/>
    <w:rsid w:val="009B2ADB"/>
    <w:rsid w:val="009B55D1"/>
    <w:rsid w:val="009B5CE9"/>
    <w:rsid w:val="009B603A"/>
    <w:rsid w:val="009B6BC5"/>
    <w:rsid w:val="009B75EB"/>
    <w:rsid w:val="009C0D6E"/>
    <w:rsid w:val="009C2D0E"/>
    <w:rsid w:val="009C3DAC"/>
    <w:rsid w:val="009C42E0"/>
    <w:rsid w:val="009C54A8"/>
    <w:rsid w:val="009C78EA"/>
    <w:rsid w:val="009D0BA6"/>
    <w:rsid w:val="009D1A00"/>
    <w:rsid w:val="009D30F6"/>
    <w:rsid w:val="009D3A47"/>
    <w:rsid w:val="009D3C53"/>
    <w:rsid w:val="009D43AA"/>
    <w:rsid w:val="009D5362"/>
    <w:rsid w:val="009D5F6B"/>
    <w:rsid w:val="009E1415"/>
    <w:rsid w:val="009E1DE7"/>
    <w:rsid w:val="009E37D3"/>
    <w:rsid w:val="009E3ECC"/>
    <w:rsid w:val="009E3F07"/>
    <w:rsid w:val="009E3F43"/>
    <w:rsid w:val="009E60C1"/>
    <w:rsid w:val="009E6116"/>
    <w:rsid w:val="009E7C63"/>
    <w:rsid w:val="009E7D3D"/>
    <w:rsid w:val="009F0597"/>
    <w:rsid w:val="009F38C5"/>
    <w:rsid w:val="009F4FF8"/>
    <w:rsid w:val="009F58FB"/>
    <w:rsid w:val="009F6380"/>
    <w:rsid w:val="00A01000"/>
    <w:rsid w:val="00A02E43"/>
    <w:rsid w:val="00A038E3"/>
    <w:rsid w:val="00A0583E"/>
    <w:rsid w:val="00A05FE7"/>
    <w:rsid w:val="00A065F9"/>
    <w:rsid w:val="00A07BB9"/>
    <w:rsid w:val="00A07F34"/>
    <w:rsid w:val="00A110A0"/>
    <w:rsid w:val="00A13EA9"/>
    <w:rsid w:val="00A150B6"/>
    <w:rsid w:val="00A1584C"/>
    <w:rsid w:val="00A162BC"/>
    <w:rsid w:val="00A17A15"/>
    <w:rsid w:val="00A17B27"/>
    <w:rsid w:val="00A2149C"/>
    <w:rsid w:val="00A22154"/>
    <w:rsid w:val="00A2352E"/>
    <w:rsid w:val="00A23935"/>
    <w:rsid w:val="00A25090"/>
    <w:rsid w:val="00A2537A"/>
    <w:rsid w:val="00A253B9"/>
    <w:rsid w:val="00A25C38"/>
    <w:rsid w:val="00A25D77"/>
    <w:rsid w:val="00A2688E"/>
    <w:rsid w:val="00A303F3"/>
    <w:rsid w:val="00A31A07"/>
    <w:rsid w:val="00A32DBA"/>
    <w:rsid w:val="00A332CF"/>
    <w:rsid w:val="00A34553"/>
    <w:rsid w:val="00A34802"/>
    <w:rsid w:val="00A34824"/>
    <w:rsid w:val="00A3528C"/>
    <w:rsid w:val="00A35F4B"/>
    <w:rsid w:val="00A362DC"/>
    <w:rsid w:val="00A36BBE"/>
    <w:rsid w:val="00A36CFE"/>
    <w:rsid w:val="00A37F2B"/>
    <w:rsid w:val="00A40931"/>
    <w:rsid w:val="00A40B40"/>
    <w:rsid w:val="00A40D8D"/>
    <w:rsid w:val="00A4307A"/>
    <w:rsid w:val="00A47EBB"/>
    <w:rsid w:val="00A50092"/>
    <w:rsid w:val="00A51B4C"/>
    <w:rsid w:val="00A51CDD"/>
    <w:rsid w:val="00A52532"/>
    <w:rsid w:val="00A5278C"/>
    <w:rsid w:val="00A53C41"/>
    <w:rsid w:val="00A547C1"/>
    <w:rsid w:val="00A54F2B"/>
    <w:rsid w:val="00A555DD"/>
    <w:rsid w:val="00A55F32"/>
    <w:rsid w:val="00A56583"/>
    <w:rsid w:val="00A5721C"/>
    <w:rsid w:val="00A60B21"/>
    <w:rsid w:val="00A61798"/>
    <w:rsid w:val="00A61832"/>
    <w:rsid w:val="00A61D72"/>
    <w:rsid w:val="00A624DA"/>
    <w:rsid w:val="00A6413D"/>
    <w:rsid w:val="00A64751"/>
    <w:rsid w:val="00A66A0A"/>
    <w:rsid w:val="00A672FA"/>
    <w:rsid w:val="00A6730D"/>
    <w:rsid w:val="00A7015D"/>
    <w:rsid w:val="00A71625"/>
    <w:rsid w:val="00A71B9B"/>
    <w:rsid w:val="00A72275"/>
    <w:rsid w:val="00A72663"/>
    <w:rsid w:val="00A72DD5"/>
    <w:rsid w:val="00A73C71"/>
    <w:rsid w:val="00A74B7B"/>
    <w:rsid w:val="00A751C7"/>
    <w:rsid w:val="00A77260"/>
    <w:rsid w:val="00A777E0"/>
    <w:rsid w:val="00A77BB1"/>
    <w:rsid w:val="00A80EF5"/>
    <w:rsid w:val="00A82539"/>
    <w:rsid w:val="00A8263F"/>
    <w:rsid w:val="00A826AC"/>
    <w:rsid w:val="00A826FA"/>
    <w:rsid w:val="00A8352F"/>
    <w:rsid w:val="00A838DB"/>
    <w:rsid w:val="00A85224"/>
    <w:rsid w:val="00A85806"/>
    <w:rsid w:val="00A859C5"/>
    <w:rsid w:val="00A86EF2"/>
    <w:rsid w:val="00A87844"/>
    <w:rsid w:val="00A90883"/>
    <w:rsid w:val="00A9365B"/>
    <w:rsid w:val="00A93B81"/>
    <w:rsid w:val="00A94291"/>
    <w:rsid w:val="00A96162"/>
    <w:rsid w:val="00A96F9C"/>
    <w:rsid w:val="00A973E9"/>
    <w:rsid w:val="00A97470"/>
    <w:rsid w:val="00A978CB"/>
    <w:rsid w:val="00A97F7B"/>
    <w:rsid w:val="00AA038C"/>
    <w:rsid w:val="00AA041F"/>
    <w:rsid w:val="00AA0CC1"/>
    <w:rsid w:val="00AA11CF"/>
    <w:rsid w:val="00AA2EBF"/>
    <w:rsid w:val="00AA5E3C"/>
    <w:rsid w:val="00AA6575"/>
    <w:rsid w:val="00AA6C2B"/>
    <w:rsid w:val="00AA6FCA"/>
    <w:rsid w:val="00AA7124"/>
    <w:rsid w:val="00AA7A09"/>
    <w:rsid w:val="00AB14EF"/>
    <w:rsid w:val="00AB1C92"/>
    <w:rsid w:val="00AB2CFE"/>
    <w:rsid w:val="00AB3B50"/>
    <w:rsid w:val="00AB459A"/>
    <w:rsid w:val="00AB4ABE"/>
    <w:rsid w:val="00AB507F"/>
    <w:rsid w:val="00AB7E55"/>
    <w:rsid w:val="00AC04FC"/>
    <w:rsid w:val="00AC05B1"/>
    <w:rsid w:val="00AC279D"/>
    <w:rsid w:val="00AC27AA"/>
    <w:rsid w:val="00AC336D"/>
    <w:rsid w:val="00AC345E"/>
    <w:rsid w:val="00AC5493"/>
    <w:rsid w:val="00AD0FB1"/>
    <w:rsid w:val="00AD1DAB"/>
    <w:rsid w:val="00AD1E65"/>
    <w:rsid w:val="00AD356C"/>
    <w:rsid w:val="00AD3B3A"/>
    <w:rsid w:val="00AD4B9D"/>
    <w:rsid w:val="00AD58F9"/>
    <w:rsid w:val="00AD5C0B"/>
    <w:rsid w:val="00AD67C4"/>
    <w:rsid w:val="00AE1927"/>
    <w:rsid w:val="00AE2914"/>
    <w:rsid w:val="00AE2E1A"/>
    <w:rsid w:val="00AE46D4"/>
    <w:rsid w:val="00AE5EB4"/>
    <w:rsid w:val="00AE6D15"/>
    <w:rsid w:val="00AF03F5"/>
    <w:rsid w:val="00AF14F2"/>
    <w:rsid w:val="00AF3474"/>
    <w:rsid w:val="00AF3A3D"/>
    <w:rsid w:val="00AF6A4E"/>
    <w:rsid w:val="00B012A6"/>
    <w:rsid w:val="00B0173D"/>
    <w:rsid w:val="00B022B3"/>
    <w:rsid w:val="00B0281A"/>
    <w:rsid w:val="00B0336A"/>
    <w:rsid w:val="00B03CA8"/>
    <w:rsid w:val="00B04182"/>
    <w:rsid w:val="00B0475D"/>
    <w:rsid w:val="00B0501D"/>
    <w:rsid w:val="00B0548F"/>
    <w:rsid w:val="00B057A7"/>
    <w:rsid w:val="00B062CB"/>
    <w:rsid w:val="00B07AE3"/>
    <w:rsid w:val="00B07C06"/>
    <w:rsid w:val="00B11430"/>
    <w:rsid w:val="00B11C3E"/>
    <w:rsid w:val="00B12AB3"/>
    <w:rsid w:val="00B1346C"/>
    <w:rsid w:val="00B137BA"/>
    <w:rsid w:val="00B13A65"/>
    <w:rsid w:val="00B16432"/>
    <w:rsid w:val="00B175E3"/>
    <w:rsid w:val="00B17AD6"/>
    <w:rsid w:val="00B20CCE"/>
    <w:rsid w:val="00B20E3B"/>
    <w:rsid w:val="00B20E6A"/>
    <w:rsid w:val="00B22194"/>
    <w:rsid w:val="00B22AB7"/>
    <w:rsid w:val="00B2335C"/>
    <w:rsid w:val="00B2361E"/>
    <w:rsid w:val="00B2386C"/>
    <w:rsid w:val="00B24BEC"/>
    <w:rsid w:val="00B26D62"/>
    <w:rsid w:val="00B2754E"/>
    <w:rsid w:val="00B27677"/>
    <w:rsid w:val="00B307DD"/>
    <w:rsid w:val="00B30EA4"/>
    <w:rsid w:val="00B3110F"/>
    <w:rsid w:val="00B3171D"/>
    <w:rsid w:val="00B3188A"/>
    <w:rsid w:val="00B31B36"/>
    <w:rsid w:val="00B31D28"/>
    <w:rsid w:val="00B32AEE"/>
    <w:rsid w:val="00B34D9E"/>
    <w:rsid w:val="00B34F91"/>
    <w:rsid w:val="00B35366"/>
    <w:rsid w:val="00B353EB"/>
    <w:rsid w:val="00B35585"/>
    <w:rsid w:val="00B35B26"/>
    <w:rsid w:val="00B3761B"/>
    <w:rsid w:val="00B376F6"/>
    <w:rsid w:val="00B37705"/>
    <w:rsid w:val="00B400EA"/>
    <w:rsid w:val="00B417AE"/>
    <w:rsid w:val="00B41F96"/>
    <w:rsid w:val="00B426E7"/>
    <w:rsid w:val="00B439C4"/>
    <w:rsid w:val="00B43DE5"/>
    <w:rsid w:val="00B44EC5"/>
    <w:rsid w:val="00B44FE0"/>
    <w:rsid w:val="00B4535E"/>
    <w:rsid w:val="00B510C8"/>
    <w:rsid w:val="00B51235"/>
    <w:rsid w:val="00B521A9"/>
    <w:rsid w:val="00B52A8C"/>
    <w:rsid w:val="00B54579"/>
    <w:rsid w:val="00B551B7"/>
    <w:rsid w:val="00B56A11"/>
    <w:rsid w:val="00B56A81"/>
    <w:rsid w:val="00B57D01"/>
    <w:rsid w:val="00B60FC2"/>
    <w:rsid w:val="00B613B5"/>
    <w:rsid w:val="00B61E48"/>
    <w:rsid w:val="00B621FF"/>
    <w:rsid w:val="00B636A8"/>
    <w:rsid w:val="00B64635"/>
    <w:rsid w:val="00B648ED"/>
    <w:rsid w:val="00B66151"/>
    <w:rsid w:val="00B665C6"/>
    <w:rsid w:val="00B67063"/>
    <w:rsid w:val="00B67155"/>
    <w:rsid w:val="00B67AC5"/>
    <w:rsid w:val="00B70482"/>
    <w:rsid w:val="00B70D37"/>
    <w:rsid w:val="00B70DF4"/>
    <w:rsid w:val="00B73017"/>
    <w:rsid w:val="00B73590"/>
    <w:rsid w:val="00B738EF"/>
    <w:rsid w:val="00B75E82"/>
    <w:rsid w:val="00B75EF9"/>
    <w:rsid w:val="00B7633E"/>
    <w:rsid w:val="00B769B8"/>
    <w:rsid w:val="00B76CCC"/>
    <w:rsid w:val="00B76F5F"/>
    <w:rsid w:val="00B772DA"/>
    <w:rsid w:val="00B80266"/>
    <w:rsid w:val="00B805AF"/>
    <w:rsid w:val="00B80DBD"/>
    <w:rsid w:val="00B81172"/>
    <w:rsid w:val="00B8118D"/>
    <w:rsid w:val="00B840E2"/>
    <w:rsid w:val="00B869EC"/>
    <w:rsid w:val="00B91BB5"/>
    <w:rsid w:val="00B9397A"/>
    <w:rsid w:val="00B945D8"/>
    <w:rsid w:val="00B94AEB"/>
    <w:rsid w:val="00B94D84"/>
    <w:rsid w:val="00B95C08"/>
    <w:rsid w:val="00B95F92"/>
    <w:rsid w:val="00B9633D"/>
    <w:rsid w:val="00B96A53"/>
    <w:rsid w:val="00BA0B75"/>
    <w:rsid w:val="00BA0BA5"/>
    <w:rsid w:val="00BA278E"/>
    <w:rsid w:val="00BA2D46"/>
    <w:rsid w:val="00BA2EBE"/>
    <w:rsid w:val="00BA3717"/>
    <w:rsid w:val="00BA50F0"/>
    <w:rsid w:val="00BA5AAE"/>
    <w:rsid w:val="00BA6E1A"/>
    <w:rsid w:val="00BA7F79"/>
    <w:rsid w:val="00BB0F28"/>
    <w:rsid w:val="00BB11EA"/>
    <w:rsid w:val="00BB323E"/>
    <w:rsid w:val="00BB4093"/>
    <w:rsid w:val="00BB446F"/>
    <w:rsid w:val="00BB453A"/>
    <w:rsid w:val="00BB458A"/>
    <w:rsid w:val="00BB4EAF"/>
    <w:rsid w:val="00BB54DF"/>
    <w:rsid w:val="00BC1229"/>
    <w:rsid w:val="00BC1480"/>
    <w:rsid w:val="00BC1D54"/>
    <w:rsid w:val="00BC2A83"/>
    <w:rsid w:val="00BC2E53"/>
    <w:rsid w:val="00BC3BCC"/>
    <w:rsid w:val="00BC5AFE"/>
    <w:rsid w:val="00BC6662"/>
    <w:rsid w:val="00BC6E38"/>
    <w:rsid w:val="00BC7E2F"/>
    <w:rsid w:val="00BD00D3"/>
    <w:rsid w:val="00BD1659"/>
    <w:rsid w:val="00BD2F78"/>
    <w:rsid w:val="00BD332A"/>
    <w:rsid w:val="00BD3AA9"/>
    <w:rsid w:val="00BD4A18"/>
    <w:rsid w:val="00BD5B04"/>
    <w:rsid w:val="00BD6DB2"/>
    <w:rsid w:val="00BD7121"/>
    <w:rsid w:val="00BD7D47"/>
    <w:rsid w:val="00BD7D88"/>
    <w:rsid w:val="00BE0F24"/>
    <w:rsid w:val="00BE114E"/>
    <w:rsid w:val="00BE11CF"/>
    <w:rsid w:val="00BE1FED"/>
    <w:rsid w:val="00BE21AB"/>
    <w:rsid w:val="00BE3468"/>
    <w:rsid w:val="00BE427D"/>
    <w:rsid w:val="00BE4D5A"/>
    <w:rsid w:val="00BE55CB"/>
    <w:rsid w:val="00BE572E"/>
    <w:rsid w:val="00BE5EC3"/>
    <w:rsid w:val="00BE6003"/>
    <w:rsid w:val="00BE798E"/>
    <w:rsid w:val="00BF617A"/>
    <w:rsid w:val="00BF6810"/>
    <w:rsid w:val="00BF69D1"/>
    <w:rsid w:val="00BF6E2A"/>
    <w:rsid w:val="00BF6FCE"/>
    <w:rsid w:val="00BF7B83"/>
    <w:rsid w:val="00C00266"/>
    <w:rsid w:val="00C00AC2"/>
    <w:rsid w:val="00C01CEF"/>
    <w:rsid w:val="00C02A26"/>
    <w:rsid w:val="00C02D57"/>
    <w:rsid w:val="00C0379D"/>
    <w:rsid w:val="00C03931"/>
    <w:rsid w:val="00C043B8"/>
    <w:rsid w:val="00C0445E"/>
    <w:rsid w:val="00C04687"/>
    <w:rsid w:val="00C04890"/>
    <w:rsid w:val="00C04AC2"/>
    <w:rsid w:val="00C05111"/>
    <w:rsid w:val="00C05D54"/>
    <w:rsid w:val="00C05DF0"/>
    <w:rsid w:val="00C05FE3"/>
    <w:rsid w:val="00C06873"/>
    <w:rsid w:val="00C068E0"/>
    <w:rsid w:val="00C06C31"/>
    <w:rsid w:val="00C06CCC"/>
    <w:rsid w:val="00C06D54"/>
    <w:rsid w:val="00C06F8F"/>
    <w:rsid w:val="00C117C2"/>
    <w:rsid w:val="00C121C9"/>
    <w:rsid w:val="00C157EF"/>
    <w:rsid w:val="00C1663F"/>
    <w:rsid w:val="00C2136D"/>
    <w:rsid w:val="00C214EE"/>
    <w:rsid w:val="00C21A4B"/>
    <w:rsid w:val="00C21C53"/>
    <w:rsid w:val="00C22CDF"/>
    <w:rsid w:val="00C2314B"/>
    <w:rsid w:val="00C23387"/>
    <w:rsid w:val="00C23469"/>
    <w:rsid w:val="00C2403C"/>
    <w:rsid w:val="00C241DB"/>
    <w:rsid w:val="00C24237"/>
    <w:rsid w:val="00C246E3"/>
    <w:rsid w:val="00C24971"/>
    <w:rsid w:val="00C2688E"/>
    <w:rsid w:val="00C26BE5"/>
    <w:rsid w:val="00C26E4D"/>
    <w:rsid w:val="00C271A7"/>
    <w:rsid w:val="00C277EE"/>
    <w:rsid w:val="00C27909"/>
    <w:rsid w:val="00C27B03"/>
    <w:rsid w:val="00C303C0"/>
    <w:rsid w:val="00C309F7"/>
    <w:rsid w:val="00C30B68"/>
    <w:rsid w:val="00C314E1"/>
    <w:rsid w:val="00C337FE"/>
    <w:rsid w:val="00C34397"/>
    <w:rsid w:val="00C3505E"/>
    <w:rsid w:val="00C35D40"/>
    <w:rsid w:val="00C35F9B"/>
    <w:rsid w:val="00C36A75"/>
    <w:rsid w:val="00C3788B"/>
    <w:rsid w:val="00C37B37"/>
    <w:rsid w:val="00C4095D"/>
    <w:rsid w:val="00C40AD7"/>
    <w:rsid w:val="00C40AF9"/>
    <w:rsid w:val="00C40E75"/>
    <w:rsid w:val="00C4290B"/>
    <w:rsid w:val="00C42B91"/>
    <w:rsid w:val="00C43D16"/>
    <w:rsid w:val="00C446A5"/>
    <w:rsid w:val="00C46C4C"/>
    <w:rsid w:val="00C4713B"/>
    <w:rsid w:val="00C478C5"/>
    <w:rsid w:val="00C502CF"/>
    <w:rsid w:val="00C51774"/>
    <w:rsid w:val="00C52B6B"/>
    <w:rsid w:val="00C577F5"/>
    <w:rsid w:val="00C601D2"/>
    <w:rsid w:val="00C61010"/>
    <w:rsid w:val="00C623DE"/>
    <w:rsid w:val="00C6282F"/>
    <w:rsid w:val="00C62FD9"/>
    <w:rsid w:val="00C633F0"/>
    <w:rsid w:val="00C6349B"/>
    <w:rsid w:val="00C653FA"/>
    <w:rsid w:val="00C65BCC"/>
    <w:rsid w:val="00C66970"/>
    <w:rsid w:val="00C71B49"/>
    <w:rsid w:val="00C7284C"/>
    <w:rsid w:val="00C74BFF"/>
    <w:rsid w:val="00C74F8D"/>
    <w:rsid w:val="00C75853"/>
    <w:rsid w:val="00C814BD"/>
    <w:rsid w:val="00C815B7"/>
    <w:rsid w:val="00C81E24"/>
    <w:rsid w:val="00C8404C"/>
    <w:rsid w:val="00C86223"/>
    <w:rsid w:val="00C8691C"/>
    <w:rsid w:val="00C8696C"/>
    <w:rsid w:val="00C86EE6"/>
    <w:rsid w:val="00C87E05"/>
    <w:rsid w:val="00C90CC2"/>
    <w:rsid w:val="00C913C2"/>
    <w:rsid w:val="00C938AF"/>
    <w:rsid w:val="00C93F02"/>
    <w:rsid w:val="00C94192"/>
    <w:rsid w:val="00C9526B"/>
    <w:rsid w:val="00C969B3"/>
    <w:rsid w:val="00C96CBC"/>
    <w:rsid w:val="00C97240"/>
    <w:rsid w:val="00C979F2"/>
    <w:rsid w:val="00CA09BD"/>
    <w:rsid w:val="00CA0ACC"/>
    <w:rsid w:val="00CA0DA0"/>
    <w:rsid w:val="00CA0F89"/>
    <w:rsid w:val="00CA11AB"/>
    <w:rsid w:val="00CA146E"/>
    <w:rsid w:val="00CA1525"/>
    <w:rsid w:val="00CA168A"/>
    <w:rsid w:val="00CA1DA2"/>
    <w:rsid w:val="00CA357E"/>
    <w:rsid w:val="00CA44F9"/>
    <w:rsid w:val="00CA4A69"/>
    <w:rsid w:val="00CA5448"/>
    <w:rsid w:val="00CA5F66"/>
    <w:rsid w:val="00CB1F33"/>
    <w:rsid w:val="00CB21F4"/>
    <w:rsid w:val="00CB36BF"/>
    <w:rsid w:val="00CB4653"/>
    <w:rsid w:val="00CB6971"/>
    <w:rsid w:val="00CB7967"/>
    <w:rsid w:val="00CC1528"/>
    <w:rsid w:val="00CC1E3B"/>
    <w:rsid w:val="00CC1FF2"/>
    <w:rsid w:val="00CC332A"/>
    <w:rsid w:val="00CC3E0C"/>
    <w:rsid w:val="00CC4080"/>
    <w:rsid w:val="00CC4326"/>
    <w:rsid w:val="00CC4888"/>
    <w:rsid w:val="00CC49C6"/>
    <w:rsid w:val="00CC4BA2"/>
    <w:rsid w:val="00CC58D3"/>
    <w:rsid w:val="00CC68B3"/>
    <w:rsid w:val="00CC6BA8"/>
    <w:rsid w:val="00CC784D"/>
    <w:rsid w:val="00CD024C"/>
    <w:rsid w:val="00CD09A7"/>
    <w:rsid w:val="00CD0C9C"/>
    <w:rsid w:val="00CD0E15"/>
    <w:rsid w:val="00CD1461"/>
    <w:rsid w:val="00CD1ABC"/>
    <w:rsid w:val="00CD2B11"/>
    <w:rsid w:val="00CD5B7F"/>
    <w:rsid w:val="00CE1BE6"/>
    <w:rsid w:val="00CE3BF5"/>
    <w:rsid w:val="00CE7238"/>
    <w:rsid w:val="00CE7C27"/>
    <w:rsid w:val="00CF0BC1"/>
    <w:rsid w:val="00CF111A"/>
    <w:rsid w:val="00CF130B"/>
    <w:rsid w:val="00CF29EE"/>
    <w:rsid w:val="00CF2B76"/>
    <w:rsid w:val="00CF332C"/>
    <w:rsid w:val="00CF3A55"/>
    <w:rsid w:val="00CF521C"/>
    <w:rsid w:val="00CF5F99"/>
    <w:rsid w:val="00CF62DF"/>
    <w:rsid w:val="00CF737D"/>
    <w:rsid w:val="00D00777"/>
    <w:rsid w:val="00D00E47"/>
    <w:rsid w:val="00D015E8"/>
    <w:rsid w:val="00D0337B"/>
    <w:rsid w:val="00D043DB"/>
    <w:rsid w:val="00D06C93"/>
    <w:rsid w:val="00D0729E"/>
    <w:rsid w:val="00D079B2"/>
    <w:rsid w:val="00D104C5"/>
    <w:rsid w:val="00D10AD3"/>
    <w:rsid w:val="00D114E9"/>
    <w:rsid w:val="00D1190D"/>
    <w:rsid w:val="00D12CB8"/>
    <w:rsid w:val="00D132D5"/>
    <w:rsid w:val="00D140DA"/>
    <w:rsid w:val="00D142C1"/>
    <w:rsid w:val="00D14BD6"/>
    <w:rsid w:val="00D14F79"/>
    <w:rsid w:val="00D157E1"/>
    <w:rsid w:val="00D15D34"/>
    <w:rsid w:val="00D15F68"/>
    <w:rsid w:val="00D166D5"/>
    <w:rsid w:val="00D16C29"/>
    <w:rsid w:val="00D20970"/>
    <w:rsid w:val="00D236A6"/>
    <w:rsid w:val="00D249EB"/>
    <w:rsid w:val="00D26B59"/>
    <w:rsid w:val="00D26C11"/>
    <w:rsid w:val="00D26C4A"/>
    <w:rsid w:val="00D27AAE"/>
    <w:rsid w:val="00D27AF0"/>
    <w:rsid w:val="00D27C36"/>
    <w:rsid w:val="00D316AA"/>
    <w:rsid w:val="00D31CA7"/>
    <w:rsid w:val="00D320A4"/>
    <w:rsid w:val="00D32716"/>
    <w:rsid w:val="00D3315F"/>
    <w:rsid w:val="00D33374"/>
    <w:rsid w:val="00D3339B"/>
    <w:rsid w:val="00D3461B"/>
    <w:rsid w:val="00D358A1"/>
    <w:rsid w:val="00D3623E"/>
    <w:rsid w:val="00D364FE"/>
    <w:rsid w:val="00D36B30"/>
    <w:rsid w:val="00D40086"/>
    <w:rsid w:val="00D41132"/>
    <w:rsid w:val="00D4140C"/>
    <w:rsid w:val="00D415B8"/>
    <w:rsid w:val="00D4295D"/>
    <w:rsid w:val="00D429C6"/>
    <w:rsid w:val="00D42C1A"/>
    <w:rsid w:val="00D42F65"/>
    <w:rsid w:val="00D43A16"/>
    <w:rsid w:val="00D4486D"/>
    <w:rsid w:val="00D4523B"/>
    <w:rsid w:val="00D455D1"/>
    <w:rsid w:val="00D4596A"/>
    <w:rsid w:val="00D46459"/>
    <w:rsid w:val="00D46FDC"/>
    <w:rsid w:val="00D474F9"/>
    <w:rsid w:val="00D47748"/>
    <w:rsid w:val="00D47C45"/>
    <w:rsid w:val="00D506A3"/>
    <w:rsid w:val="00D50E03"/>
    <w:rsid w:val="00D513F3"/>
    <w:rsid w:val="00D53239"/>
    <w:rsid w:val="00D54433"/>
    <w:rsid w:val="00D548A8"/>
    <w:rsid w:val="00D54B0F"/>
    <w:rsid w:val="00D54CC3"/>
    <w:rsid w:val="00D559F1"/>
    <w:rsid w:val="00D55F2E"/>
    <w:rsid w:val="00D57396"/>
    <w:rsid w:val="00D6041A"/>
    <w:rsid w:val="00D606EF"/>
    <w:rsid w:val="00D60B12"/>
    <w:rsid w:val="00D60D94"/>
    <w:rsid w:val="00D62B4F"/>
    <w:rsid w:val="00D633EB"/>
    <w:rsid w:val="00D641A2"/>
    <w:rsid w:val="00D64799"/>
    <w:rsid w:val="00D65C53"/>
    <w:rsid w:val="00D65CCC"/>
    <w:rsid w:val="00D65E6C"/>
    <w:rsid w:val="00D67C51"/>
    <w:rsid w:val="00D67E06"/>
    <w:rsid w:val="00D719C2"/>
    <w:rsid w:val="00D73503"/>
    <w:rsid w:val="00D7438B"/>
    <w:rsid w:val="00D769BF"/>
    <w:rsid w:val="00D77459"/>
    <w:rsid w:val="00D77E0A"/>
    <w:rsid w:val="00D82FF7"/>
    <w:rsid w:val="00D83078"/>
    <w:rsid w:val="00D838E8"/>
    <w:rsid w:val="00D84729"/>
    <w:rsid w:val="00D847FE"/>
    <w:rsid w:val="00D84B08"/>
    <w:rsid w:val="00D918D5"/>
    <w:rsid w:val="00D937BB"/>
    <w:rsid w:val="00D9392D"/>
    <w:rsid w:val="00D95462"/>
    <w:rsid w:val="00D95A0B"/>
    <w:rsid w:val="00D964EA"/>
    <w:rsid w:val="00D966D0"/>
    <w:rsid w:val="00D966D6"/>
    <w:rsid w:val="00D976B3"/>
    <w:rsid w:val="00D97DF3"/>
    <w:rsid w:val="00DA0384"/>
    <w:rsid w:val="00DA05AC"/>
    <w:rsid w:val="00DA0C59"/>
    <w:rsid w:val="00DA12CA"/>
    <w:rsid w:val="00DA1C75"/>
    <w:rsid w:val="00DA1CE8"/>
    <w:rsid w:val="00DA33A9"/>
    <w:rsid w:val="00DA3991"/>
    <w:rsid w:val="00DA58D1"/>
    <w:rsid w:val="00DA662C"/>
    <w:rsid w:val="00DA7C3A"/>
    <w:rsid w:val="00DB0067"/>
    <w:rsid w:val="00DB0335"/>
    <w:rsid w:val="00DB0990"/>
    <w:rsid w:val="00DB0B25"/>
    <w:rsid w:val="00DB1632"/>
    <w:rsid w:val="00DB23C1"/>
    <w:rsid w:val="00DB4941"/>
    <w:rsid w:val="00DB5051"/>
    <w:rsid w:val="00DB776D"/>
    <w:rsid w:val="00DB7782"/>
    <w:rsid w:val="00DB7E6C"/>
    <w:rsid w:val="00DC0D7F"/>
    <w:rsid w:val="00DC10DE"/>
    <w:rsid w:val="00DC18CD"/>
    <w:rsid w:val="00DC27E1"/>
    <w:rsid w:val="00DC3582"/>
    <w:rsid w:val="00DC3F86"/>
    <w:rsid w:val="00DC6ADF"/>
    <w:rsid w:val="00DC6D39"/>
    <w:rsid w:val="00DD09D1"/>
    <w:rsid w:val="00DD0B43"/>
    <w:rsid w:val="00DD254D"/>
    <w:rsid w:val="00DD2707"/>
    <w:rsid w:val="00DD3F19"/>
    <w:rsid w:val="00DD4458"/>
    <w:rsid w:val="00DD4697"/>
    <w:rsid w:val="00DD5A29"/>
    <w:rsid w:val="00DD5D9D"/>
    <w:rsid w:val="00DE06E4"/>
    <w:rsid w:val="00DE14FA"/>
    <w:rsid w:val="00DE1E94"/>
    <w:rsid w:val="00DE1F7D"/>
    <w:rsid w:val="00DE265F"/>
    <w:rsid w:val="00DE35CB"/>
    <w:rsid w:val="00DE3686"/>
    <w:rsid w:val="00DE3DDF"/>
    <w:rsid w:val="00DE5284"/>
    <w:rsid w:val="00DE5DC0"/>
    <w:rsid w:val="00DE677A"/>
    <w:rsid w:val="00DE76CE"/>
    <w:rsid w:val="00DF21E9"/>
    <w:rsid w:val="00DF281A"/>
    <w:rsid w:val="00DF360C"/>
    <w:rsid w:val="00DF5E04"/>
    <w:rsid w:val="00DF7081"/>
    <w:rsid w:val="00E00F14"/>
    <w:rsid w:val="00E01639"/>
    <w:rsid w:val="00E02801"/>
    <w:rsid w:val="00E03C38"/>
    <w:rsid w:val="00E04CDF"/>
    <w:rsid w:val="00E06386"/>
    <w:rsid w:val="00E07ABE"/>
    <w:rsid w:val="00E07C88"/>
    <w:rsid w:val="00E11C2A"/>
    <w:rsid w:val="00E11CCF"/>
    <w:rsid w:val="00E11F71"/>
    <w:rsid w:val="00E13DCF"/>
    <w:rsid w:val="00E1506C"/>
    <w:rsid w:val="00E15F6E"/>
    <w:rsid w:val="00E16012"/>
    <w:rsid w:val="00E2081D"/>
    <w:rsid w:val="00E20BDF"/>
    <w:rsid w:val="00E20FC5"/>
    <w:rsid w:val="00E22027"/>
    <w:rsid w:val="00E231E3"/>
    <w:rsid w:val="00E2471D"/>
    <w:rsid w:val="00E24CDA"/>
    <w:rsid w:val="00E24EB4"/>
    <w:rsid w:val="00E25B5E"/>
    <w:rsid w:val="00E25BBA"/>
    <w:rsid w:val="00E315EC"/>
    <w:rsid w:val="00E320ED"/>
    <w:rsid w:val="00E32FB5"/>
    <w:rsid w:val="00E3379F"/>
    <w:rsid w:val="00E33AFB"/>
    <w:rsid w:val="00E34218"/>
    <w:rsid w:val="00E3637D"/>
    <w:rsid w:val="00E37DA4"/>
    <w:rsid w:val="00E4036A"/>
    <w:rsid w:val="00E40431"/>
    <w:rsid w:val="00E419BA"/>
    <w:rsid w:val="00E44337"/>
    <w:rsid w:val="00E447CF"/>
    <w:rsid w:val="00E46282"/>
    <w:rsid w:val="00E46772"/>
    <w:rsid w:val="00E46B57"/>
    <w:rsid w:val="00E46DD7"/>
    <w:rsid w:val="00E47DE0"/>
    <w:rsid w:val="00E47FE6"/>
    <w:rsid w:val="00E5216E"/>
    <w:rsid w:val="00E526AA"/>
    <w:rsid w:val="00E52C15"/>
    <w:rsid w:val="00E54CAD"/>
    <w:rsid w:val="00E5537C"/>
    <w:rsid w:val="00E56B86"/>
    <w:rsid w:val="00E5706E"/>
    <w:rsid w:val="00E571F4"/>
    <w:rsid w:val="00E57BE4"/>
    <w:rsid w:val="00E57DC3"/>
    <w:rsid w:val="00E60C5A"/>
    <w:rsid w:val="00E63156"/>
    <w:rsid w:val="00E64240"/>
    <w:rsid w:val="00E651FC"/>
    <w:rsid w:val="00E675FB"/>
    <w:rsid w:val="00E67A6B"/>
    <w:rsid w:val="00E70FD5"/>
    <w:rsid w:val="00E70FF7"/>
    <w:rsid w:val="00E712E2"/>
    <w:rsid w:val="00E72908"/>
    <w:rsid w:val="00E72C40"/>
    <w:rsid w:val="00E7421E"/>
    <w:rsid w:val="00E74C1A"/>
    <w:rsid w:val="00E77901"/>
    <w:rsid w:val="00E816B1"/>
    <w:rsid w:val="00E81C0D"/>
    <w:rsid w:val="00E81E60"/>
    <w:rsid w:val="00E82344"/>
    <w:rsid w:val="00E82DAE"/>
    <w:rsid w:val="00E832E2"/>
    <w:rsid w:val="00E83721"/>
    <w:rsid w:val="00E83BFB"/>
    <w:rsid w:val="00E8480C"/>
    <w:rsid w:val="00E84C82"/>
    <w:rsid w:val="00E84CB9"/>
    <w:rsid w:val="00E84D64"/>
    <w:rsid w:val="00E852B6"/>
    <w:rsid w:val="00E87353"/>
    <w:rsid w:val="00E87408"/>
    <w:rsid w:val="00E900F9"/>
    <w:rsid w:val="00E905C4"/>
    <w:rsid w:val="00E913FD"/>
    <w:rsid w:val="00E914C4"/>
    <w:rsid w:val="00E91A3A"/>
    <w:rsid w:val="00E9209B"/>
    <w:rsid w:val="00E92A76"/>
    <w:rsid w:val="00E92D68"/>
    <w:rsid w:val="00E92EF9"/>
    <w:rsid w:val="00E934F5"/>
    <w:rsid w:val="00E9409C"/>
    <w:rsid w:val="00E95DB5"/>
    <w:rsid w:val="00E96961"/>
    <w:rsid w:val="00EA0A2F"/>
    <w:rsid w:val="00EA14C5"/>
    <w:rsid w:val="00EA16BF"/>
    <w:rsid w:val="00EA19BD"/>
    <w:rsid w:val="00EA2D97"/>
    <w:rsid w:val="00EA4271"/>
    <w:rsid w:val="00EA55E4"/>
    <w:rsid w:val="00EA72CF"/>
    <w:rsid w:val="00EA72EC"/>
    <w:rsid w:val="00EA7D14"/>
    <w:rsid w:val="00EB11CB"/>
    <w:rsid w:val="00EB275A"/>
    <w:rsid w:val="00EB44C0"/>
    <w:rsid w:val="00EB596E"/>
    <w:rsid w:val="00EB7598"/>
    <w:rsid w:val="00EB786A"/>
    <w:rsid w:val="00EC0791"/>
    <w:rsid w:val="00EC1578"/>
    <w:rsid w:val="00EC1C72"/>
    <w:rsid w:val="00EC2D19"/>
    <w:rsid w:val="00EC35B0"/>
    <w:rsid w:val="00EC3CC9"/>
    <w:rsid w:val="00EC431D"/>
    <w:rsid w:val="00EC53E3"/>
    <w:rsid w:val="00EC680A"/>
    <w:rsid w:val="00EC684D"/>
    <w:rsid w:val="00EC73F2"/>
    <w:rsid w:val="00EC7BB6"/>
    <w:rsid w:val="00ED058A"/>
    <w:rsid w:val="00ED0D16"/>
    <w:rsid w:val="00ED1347"/>
    <w:rsid w:val="00ED2AF7"/>
    <w:rsid w:val="00ED3751"/>
    <w:rsid w:val="00ED4D9C"/>
    <w:rsid w:val="00ED4FEE"/>
    <w:rsid w:val="00ED6775"/>
    <w:rsid w:val="00ED6AF4"/>
    <w:rsid w:val="00ED7209"/>
    <w:rsid w:val="00ED7C54"/>
    <w:rsid w:val="00EE0292"/>
    <w:rsid w:val="00EE02E9"/>
    <w:rsid w:val="00EE1496"/>
    <w:rsid w:val="00EE2381"/>
    <w:rsid w:val="00EE2BED"/>
    <w:rsid w:val="00EE374B"/>
    <w:rsid w:val="00EE3857"/>
    <w:rsid w:val="00EE4E52"/>
    <w:rsid w:val="00EE5714"/>
    <w:rsid w:val="00EE5A38"/>
    <w:rsid w:val="00EE6145"/>
    <w:rsid w:val="00EF0B97"/>
    <w:rsid w:val="00EF1ACF"/>
    <w:rsid w:val="00EF2024"/>
    <w:rsid w:val="00EF23A6"/>
    <w:rsid w:val="00EF2CDE"/>
    <w:rsid w:val="00EF2E84"/>
    <w:rsid w:val="00EF3A96"/>
    <w:rsid w:val="00EF53C8"/>
    <w:rsid w:val="00EF7EDA"/>
    <w:rsid w:val="00F01680"/>
    <w:rsid w:val="00F024B0"/>
    <w:rsid w:val="00F05BDB"/>
    <w:rsid w:val="00F06D31"/>
    <w:rsid w:val="00F07661"/>
    <w:rsid w:val="00F1119B"/>
    <w:rsid w:val="00F11BB5"/>
    <w:rsid w:val="00F12290"/>
    <w:rsid w:val="00F13058"/>
    <w:rsid w:val="00F13777"/>
    <w:rsid w:val="00F1417B"/>
    <w:rsid w:val="00F151EA"/>
    <w:rsid w:val="00F15234"/>
    <w:rsid w:val="00F1573B"/>
    <w:rsid w:val="00F1610E"/>
    <w:rsid w:val="00F16A4A"/>
    <w:rsid w:val="00F16C1F"/>
    <w:rsid w:val="00F20A14"/>
    <w:rsid w:val="00F225AF"/>
    <w:rsid w:val="00F23C30"/>
    <w:rsid w:val="00F2438D"/>
    <w:rsid w:val="00F26A19"/>
    <w:rsid w:val="00F2710F"/>
    <w:rsid w:val="00F303FC"/>
    <w:rsid w:val="00F30E50"/>
    <w:rsid w:val="00F31232"/>
    <w:rsid w:val="00F330C9"/>
    <w:rsid w:val="00F343E5"/>
    <w:rsid w:val="00F34B99"/>
    <w:rsid w:val="00F356F4"/>
    <w:rsid w:val="00F36160"/>
    <w:rsid w:val="00F36E67"/>
    <w:rsid w:val="00F37AEC"/>
    <w:rsid w:val="00F37C3F"/>
    <w:rsid w:val="00F42BF9"/>
    <w:rsid w:val="00F43E5C"/>
    <w:rsid w:val="00F44267"/>
    <w:rsid w:val="00F44F36"/>
    <w:rsid w:val="00F458F9"/>
    <w:rsid w:val="00F4651D"/>
    <w:rsid w:val="00F46570"/>
    <w:rsid w:val="00F520AB"/>
    <w:rsid w:val="00F52D2E"/>
    <w:rsid w:val="00F52DAB"/>
    <w:rsid w:val="00F52E05"/>
    <w:rsid w:val="00F533EF"/>
    <w:rsid w:val="00F534FA"/>
    <w:rsid w:val="00F54079"/>
    <w:rsid w:val="00F543F0"/>
    <w:rsid w:val="00F54F6C"/>
    <w:rsid w:val="00F55087"/>
    <w:rsid w:val="00F56B35"/>
    <w:rsid w:val="00F57311"/>
    <w:rsid w:val="00F57A6F"/>
    <w:rsid w:val="00F57D68"/>
    <w:rsid w:val="00F60875"/>
    <w:rsid w:val="00F62D87"/>
    <w:rsid w:val="00F64569"/>
    <w:rsid w:val="00F649A1"/>
    <w:rsid w:val="00F66D76"/>
    <w:rsid w:val="00F67B30"/>
    <w:rsid w:val="00F67D39"/>
    <w:rsid w:val="00F70310"/>
    <w:rsid w:val="00F70582"/>
    <w:rsid w:val="00F70EBC"/>
    <w:rsid w:val="00F727C2"/>
    <w:rsid w:val="00F74087"/>
    <w:rsid w:val="00F756B8"/>
    <w:rsid w:val="00F76165"/>
    <w:rsid w:val="00F76A75"/>
    <w:rsid w:val="00F771F6"/>
    <w:rsid w:val="00F80226"/>
    <w:rsid w:val="00F8151B"/>
    <w:rsid w:val="00F81D29"/>
    <w:rsid w:val="00F828A5"/>
    <w:rsid w:val="00F8383D"/>
    <w:rsid w:val="00F845C8"/>
    <w:rsid w:val="00F856D1"/>
    <w:rsid w:val="00F85ECF"/>
    <w:rsid w:val="00F863E5"/>
    <w:rsid w:val="00F86847"/>
    <w:rsid w:val="00F878B1"/>
    <w:rsid w:val="00F87989"/>
    <w:rsid w:val="00F90176"/>
    <w:rsid w:val="00F918AA"/>
    <w:rsid w:val="00F91A18"/>
    <w:rsid w:val="00F91B5D"/>
    <w:rsid w:val="00F91C4D"/>
    <w:rsid w:val="00F92270"/>
    <w:rsid w:val="00F92FD9"/>
    <w:rsid w:val="00F94B75"/>
    <w:rsid w:val="00F95073"/>
    <w:rsid w:val="00F95415"/>
    <w:rsid w:val="00F95417"/>
    <w:rsid w:val="00F95E26"/>
    <w:rsid w:val="00F961CB"/>
    <w:rsid w:val="00F963AB"/>
    <w:rsid w:val="00F96E65"/>
    <w:rsid w:val="00FA1EA5"/>
    <w:rsid w:val="00FA2E51"/>
    <w:rsid w:val="00FA3B0B"/>
    <w:rsid w:val="00FA5BF0"/>
    <w:rsid w:val="00FA6568"/>
    <w:rsid w:val="00FA6684"/>
    <w:rsid w:val="00FA6D05"/>
    <w:rsid w:val="00FA72C8"/>
    <w:rsid w:val="00FA731E"/>
    <w:rsid w:val="00FB0B72"/>
    <w:rsid w:val="00FB0CC4"/>
    <w:rsid w:val="00FB20C6"/>
    <w:rsid w:val="00FB2342"/>
    <w:rsid w:val="00FB2B38"/>
    <w:rsid w:val="00FB2E7C"/>
    <w:rsid w:val="00FB3074"/>
    <w:rsid w:val="00FB39FC"/>
    <w:rsid w:val="00FB5756"/>
    <w:rsid w:val="00FB581D"/>
    <w:rsid w:val="00FB5F8F"/>
    <w:rsid w:val="00FB6757"/>
    <w:rsid w:val="00FC17DB"/>
    <w:rsid w:val="00FC1C83"/>
    <w:rsid w:val="00FC2872"/>
    <w:rsid w:val="00FC2A14"/>
    <w:rsid w:val="00FC3064"/>
    <w:rsid w:val="00FC3D90"/>
    <w:rsid w:val="00FC480C"/>
    <w:rsid w:val="00FC5106"/>
    <w:rsid w:val="00FC6175"/>
    <w:rsid w:val="00FC6358"/>
    <w:rsid w:val="00FC70D1"/>
    <w:rsid w:val="00FC758E"/>
    <w:rsid w:val="00FD01CF"/>
    <w:rsid w:val="00FD07C0"/>
    <w:rsid w:val="00FD0F5D"/>
    <w:rsid w:val="00FD142F"/>
    <w:rsid w:val="00FD320D"/>
    <w:rsid w:val="00FD393A"/>
    <w:rsid w:val="00FD3D5F"/>
    <w:rsid w:val="00FD42F0"/>
    <w:rsid w:val="00FD471A"/>
    <w:rsid w:val="00FD4B2C"/>
    <w:rsid w:val="00FD4C3E"/>
    <w:rsid w:val="00FD62C8"/>
    <w:rsid w:val="00FD6813"/>
    <w:rsid w:val="00FD6A36"/>
    <w:rsid w:val="00FE0D24"/>
    <w:rsid w:val="00FE234D"/>
    <w:rsid w:val="00FE2397"/>
    <w:rsid w:val="00FE23DE"/>
    <w:rsid w:val="00FE24E3"/>
    <w:rsid w:val="00FE2797"/>
    <w:rsid w:val="00FE3407"/>
    <w:rsid w:val="00FE5C8A"/>
    <w:rsid w:val="00FF0460"/>
    <w:rsid w:val="00FF0B48"/>
    <w:rsid w:val="00FF0B73"/>
    <w:rsid w:val="00FF1456"/>
    <w:rsid w:val="00FF31A9"/>
    <w:rsid w:val="00FF37DB"/>
    <w:rsid w:val="00FF56A8"/>
    <w:rsid w:val="00FF6EB4"/>
    <w:rsid w:val="00FF7A7D"/>
    <w:rsid w:val="00FF7A7E"/>
    <w:rsid w:val="01172A03"/>
    <w:rsid w:val="020016E9"/>
    <w:rsid w:val="029F4130"/>
    <w:rsid w:val="02AB1FCD"/>
    <w:rsid w:val="031B4284"/>
    <w:rsid w:val="032712EA"/>
    <w:rsid w:val="035717DD"/>
    <w:rsid w:val="035E700F"/>
    <w:rsid w:val="03E0239E"/>
    <w:rsid w:val="03E46318"/>
    <w:rsid w:val="044A7DD6"/>
    <w:rsid w:val="050F18E6"/>
    <w:rsid w:val="054D10EA"/>
    <w:rsid w:val="055C132D"/>
    <w:rsid w:val="0598453C"/>
    <w:rsid w:val="05A351AD"/>
    <w:rsid w:val="061D0E9C"/>
    <w:rsid w:val="06232261"/>
    <w:rsid w:val="07723089"/>
    <w:rsid w:val="07CD50A1"/>
    <w:rsid w:val="08DD09B2"/>
    <w:rsid w:val="090D074B"/>
    <w:rsid w:val="090F6612"/>
    <w:rsid w:val="098F3CCC"/>
    <w:rsid w:val="099074D1"/>
    <w:rsid w:val="09CF031F"/>
    <w:rsid w:val="09DE3D55"/>
    <w:rsid w:val="09E978E9"/>
    <w:rsid w:val="0AF76B39"/>
    <w:rsid w:val="0B0353F2"/>
    <w:rsid w:val="0B2A37F4"/>
    <w:rsid w:val="0BB9732C"/>
    <w:rsid w:val="0BDA2FAB"/>
    <w:rsid w:val="0CAC4948"/>
    <w:rsid w:val="0CAE43B6"/>
    <w:rsid w:val="0CAF4438"/>
    <w:rsid w:val="0CDB134F"/>
    <w:rsid w:val="0DB137C5"/>
    <w:rsid w:val="0DD34156"/>
    <w:rsid w:val="0E204A31"/>
    <w:rsid w:val="0E366F10"/>
    <w:rsid w:val="0E402372"/>
    <w:rsid w:val="0E4445E9"/>
    <w:rsid w:val="0F0377C4"/>
    <w:rsid w:val="0F0A2679"/>
    <w:rsid w:val="0F3C0933"/>
    <w:rsid w:val="0F3E7ACF"/>
    <w:rsid w:val="0F63675F"/>
    <w:rsid w:val="0FEC0E5A"/>
    <w:rsid w:val="10180E95"/>
    <w:rsid w:val="10453175"/>
    <w:rsid w:val="10513684"/>
    <w:rsid w:val="10831E63"/>
    <w:rsid w:val="10A25DC2"/>
    <w:rsid w:val="11484E67"/>
    <w:rsid w:val="114E1850"/>
    <w:rsid w:val="119414F7"/>
    <w:rsid w:val="11A51CF0"/>
    <w:rsid w:val="11FF22A6"/>
    <w:rsid w:val="125D575C"/>
    <w:rsid w:val="126D3E38"/>
    <w:rsid w:val="12AA5DA4"/>
    <w:rsid w:val="13374C54"/>
    <w:rsid w:val="13412F41"/>
    <w:rsid w:val="13536972"/>
    <w:rsid w:val="137D3482"/>
    <w:rsid w:val="14605247"/>
    <w:rsid w:val="14622FC1"/>
    <w:rsid w:val="14C64F73"/>
    <w:rsid w:val="15574F2F"/>
    <w:rsid w:val="159F1212"/>
    <w:rsid w:val="15D55DDC"/>
    <w:rsid w:val="163B6E70"/>
    <w:rsid w:val="16793EEF"/>
    <w:rsid w:val="167A3ACC"/>
    <w:rsid w:val="1715758D"/>
    <w:rsid w:val="178A62F8"/>
    <w:rsid w:val="17B31280"/>
    <w:rsid w:val="17B34F7C"/>
    <w:rsid w:val="17BC7976"/>
    <w:rsid w:val="184075AC"/>
    <w:rsid w:val="18954E2A"/>
    <w:rsid w:val="18A137C7"/>
    <w:rsid w:val="18DC2535"/>
    <w:rsid w:val="19BF5263"/>
    <w:rsid w:val="19E73930"/>
    <w:rsid w:val="1A202E69"/>
    <w:rsid w:val="1AF77413"/>
    <w:rsid w:val="1B007F1A"/>
    <w:rsid w:val="1B177D78"/>
    <w:rsid w:val="1BE13EE2"/>
    <w:rsid w:val="1BF54CD5"/>
    <w:rsid w:val="1C2342B8"/>
    <w:rsid w:val="1C2F4C4D"/>
    <w:rsid w:val="1C6E3C9B"/>
    <w:rsid w:val="1C6F7CCB"/>
    <w:rsid w:val="1C763FEA"/>
    <w:rsid w:val="1C817B9F"/>
    <w:rsid w:val="1D183169"/>
    <w:rsid w:val="1D5F0324"/>
    <w:rsid w:val="1DB47B00"/>
    <w:rsid w:val="1DC15BB7"/>
    <w:rsid w:val="1E2E417B"/>
    <w:rsid w:val="1E95700C"/>
    <w:rsid w:val="1EDB4066"/>
    <w:rsid w:val="1F296A3E"/>
    <w:rsid w:val="1F40308E"/>
    <w:rsid w:val="1F472262"/>
    <w:rsid w:val="1F6137FD"/>
    <w:rsid w:val="1FBF603F"/>
    <w:rsid w:val="1FCB54A6"/>
    <w:rsid w:val="1FF14949"/>
    <w:rsid w:val="20210F16"/>
    <w:rsid w:val="205C3E85"/>
    <w:rsid w:val="20CB2CE4"/>
    <w:rsid w:val="20E35466"/>
    <w:rsid w:val="211D601B"/>
    <w:rsid w:val="216F1A6C"/>
    <w:rsid w:val="21B079AA"/>
    <w:rsid w:val="21C94D14"/>
    <w:rsid w:val="220C05CD"/>
    <w:rsid w:val="22353973"/>
    <w:rsid w:val="225A1705"/>
    <w:rsid w:val="225B68F3"/>
    <w:rsid w:val="225D3FAF"/>
    <w:rsid w:val="23443B5F"/>
    <w:rsid w:val="23B047DA"/>
    <w:rsid w:val="24217795"/>
    <w:rsid w:val="24BA637B"/>
    <w:rsid w:val="24EA6324"/>
    <w:rsid w:val="251C53CB"/>
    <w:rsid w:val="252E3B0A"/>
    <w:rsid w:val="260A05F1"/>
    <w:rsid w:val="261A071C"/>
    <w:rsid w:val="26530D33"/>
    <w:rsid w:val="26B13B21"/>
    <w:rsid w:val="26CA3C25"/>
    <w:rsid w:val="26DE626F"/>
    <w:rsid w:val="270C275B"/>
    <w:rsid w:val="272C23FA"/>
    <w:rsid w:val="276A495A"/>
    <w:rsid w:val="27B525E8"/>
    <w:rsid w:val="28537F15"/>
    <w:rsid w:val="28B22E8E"/>
    <w:rsid w:val="28CA6A2C"/>
    <w:rsid w:val="295976A1"/>
    <w:rsid w:val="29730A6A"/>
    <w:rsid w:val="29CA4207"/>
    <w:rsid w:val="2A1C5CBB"/>
    <w:rsid w:val="2A2F12D9"/>
    <w:rsid w:val="2A753876"/>
    <w:rsid w:val="2A996C08"/>
    <w:rsid w:val="2AB444A8"/>
    <w:rsid w:val="2AD5250D"/>
    <w:rsid w:val="2B6B0546"/>
    <w:rsid w:val="2B6B4C7E"/>
    <w:rsid w:val="2B6D1979"/>
    <w:rsid w:val="2B934B26"/>
    <w:rsid w:val="2BBC43D8"/>
    <w:rsid w:val="2C1A5641"/>
    <w:rsid w:val="2CB07631"/>
    <w:rsid w:val="2CD87AC9"/>
    <w:rsid w:val="2D5012D2"/>
    <w:rsid w:val="2D5239AB"/>
    <w:rsid w:val="2D527E4D"/>
    <w:rsid w:val="2D7352E2"/>
    <w:rsid w:val="2D8E1801"/>
    <w:rsid w:val="2E431935"/>
    <w:rsid w:val="2EBC77DC"/>
    <w:rsid w:val="2ED7364E"/>
    <w:rsid w:val="2EED10C4"/>
    <w:rsid w:val="2F5F59D6"/>
    <w:rsid w:val="2FDA38B8"/>
    <w:rsid w:val="30044FAD"/>
    <w:rsid w:val="313B622E"/>
    <w:rsid w:val="317C5755"/>
    <w:rsid w:val="32340DB8"/>
    <w:rsid w:val="324361A3"/>
    <w:rsid w:val="324E3C27"/>
    <w:rsid w:val="327A33B7"/>
    <w:rsid w:val="32911EEE"/>
    <w:rsid w:val="32D66D21"/>
    <w:rsid w:val="32F07FE6"/>
    <w:rsid w:val="33103914"/>
    <w:rsid w:val="33261FCC"/>
    <w:rsid w:val="33465323"/>
    <w:rsid w:val="33491A3C"/>
    <w:rsid w:val="33511C0B"/>
    <w:rsid w:val="33AE7D2D"/>
    <w:rsid w:val="33BB353F"/>
    <w:rsid w:val="33F20F2A"/>
    <w:rsid w:val="348322B5"/>
    <w:rsid w:val="348F0527"/>
    <w:rsid w:val="34D66156"/>
    <w:rsid w:val="350424D4"/>
    <w:rsid w:val="35143F5C"/>
    <w:rsid w:val="35660AD4"/>
    <w:rsid w:val="35E20956"/>
    <w:rsid w:val="35E66C42"/>
    <w:rsid w:val="35ED6E95"/>
    <w:rsid w:val="36AA4C29"/>
    <w:rsid w:val="37285E75"/>
    <w:rsid w:val="37286334"/>
    <w:rsid w:val="372A2284"/>
    <w:rsid w:val="372D1AA0"/>
    <w:rsid w:val="37C12BFE"/>
    <w:rsid w:val="37D4716E"/>
    <w:rsid w:val="37F93C55"/>
    <w:rsid w:val="396E1A8A"/>
    <w:rsid w:val="39C649EB"/>
    <w:rsid w:val="3A52627F"/>
    <w:rsid w:val="3A6E6C6A"/>
    <w:rsid w:val="3A8E7CF0"/>
    <w:rsid w:val="3AEA44E5"/>
    <w:rsid w:val="3B09455A"/>
    <w:rsid w:val="3BBB1B47"/>
    <w:rsid w:val="3C3A346E"/>
    <w:rsid w:val="3C5D7CBE"/>
    <w:rsid w:val="3C5F339E"/>
    <w:rsid w:val="3C6D51CF"/>
    <w:rsid w:val="3C893C3F"/>
    <w:rsid w:val="3C940DD1"/>
    <w:rsid w:val="3C9D7BC1"/>
    <w:rsid w:val="3CB971A8"/>
    <w:rsid w:val="3D5C18C8"/>
    <w:rsid w:val="3D7071F9"/>
    <w:rsid w:val="3D8726E3"/>
    <w:rsid w:val="3D8A146D"/>
    <w:rsid w:val="3DBE7CA0"/>
    <w:rsid w:val="3DC63FAB"/>
    <w:rsid w:val="3DDB6F2B"/>
    <w:rsid w:val="3E10477F"/>
    <w:rsid w:val="3E542E5E"/>
    <w:rsid w:val="3E567C58"/>
    <w:rsid w:val="3E817133"/>
    <w:rsid w:val="3F1E4982"/>
    <w:rsid w:val="3F891A0D"/>
    <w:rsid w:val="3FD144A3"/>
    <w:rsid w:val="3FE74022"/>
    <w:rsid w:val="4033334C"/>
    <w:rsid w:val="406A1FFE"/>
    <w:rsid w:val="4081341A"/>
    <w:rsid w:val="40BD0183"/>
    <w:rsid w:val="40EE63F6"/>
    <w:rsid w:val="40F77B80"/>
    <w:rsid w:val="411B22D3"/>
    <w:rsid w:val="415B3C6B"/>
    <w:rsid w:val="41C55588"/>
    <w:rsid w:val="41CA39C5"/>
    <w:rsid w:val="42181B5C"/>
    <w:rsid w:val="42240501"/>
    <w:rsid w:val="42272F93"/>
    <w:rsid w:val="42382608"/>
    <w:rsid w:val="42472441"/>
    <w:rsid w:val="428C475C"/>
    <w:rsid w:val="43032287"/>
    <w:rsid w:val="439266CD"/>
    <w:rsid w:val="43E954D4"/>
    <w:rsid w:val="440A0005"/>
    <w:rsid w:val="446B0C28"/>
    <w:rsid w:val="44812823"/>
    <w:rsid w:val="4481793B"/>
    <w:rsid w:val="44AB6CB7"/>
    <w:rsid w:val="450B5C23"/>
    <w:rsid w:val="45677F55"/>
    <w:rsid w:val="45C94763"/>
    <w:rsid w:val="45E87A97"/>
    <w:rsid w:val="46181616"/>
    <w:rsid w:val="46252AD3"/>
    <w:rsid w:val="465D0B70"/>
    <w:rsid w:val="4667140B"/>
    <w:rsid w:val="46753001"/>
    <w:rsid w:val="467C1D76"/>
    <w:rsid w:val="46F07F12"/>
    <w:rsid w:val="46FC67E9"/>
    <w:rsid w:val="476350EE"/>
    <w:rsid w:val="47705CE5"/>
    <w:rsid w:val="478447E3"/>
    <w:rsid w:val="47A36A64"/>
    <w:rsid w:val="47AF2F63"/>
    <w:rsid w:val="485C5D2D"/>
    <w:rsid w:val="48D300E4"/>
    <w:rsid w:val="48DD3AFF"/>
    <w:rsid w:val="48FD385A"/>
    <w:rsid w:val="49474C41"/>
    <w:rsid w:val="4961203A"/>
    <w:rsid w:val="49BB3501"/>
    <w:rsid w:val="49C838A0"/>
    <w:rsid w:val="49EB6E9A"/>
    <w:rsid w:val="49F64E79"/>
    <w:rsid w:val="4A1754B0"/>
    <w:rsid w:val="4AB51373"/>
    <w:rsid w:val="4ADB4956"/>
    <w:rsid w:val="4ADB7C8D"/>
    <w:rsid w:val="4B0378FD"/>
    <w:rsid w:val="4BF6116E"/>
    <w:rsid w:val="4C070E92"/>
    <w:rsid w:val="4C5114D1"/>
    <w:rsid w:val="4C96649F"/>
    <w:rsid w:val="4CA615C2"/>
    <w:rsid w:val="4CE61EA6"/>
    <w:rsid w:val="4D36739D"/>
    <w:rsid w:val="4D515359"/>
    <w:rsid w:val="4D5F7344"/>
    <w:rsid w:val="4D7828BC"/>
    <w:rsid w:val="4DCE462A"/>
    <w:rsid w:val="4DDE1EAC"/>
    <w:rsid w:val="4E264464"/>
    <w:rsid w:val="4EBC600C"/>
    <w:rsid w:val="4EC87325"/>
    <w:rsid w:val="4ECE5844"/>
    <w:rsid w:val="4F0E28FD"/>
    <w:rsid w:val="4FB31F60"/>
    <w:rsid w:val="4FBA6948"/>
    <w:rsid w:val="4FC4043D"/>
    <w:rsid w:val="50257F72"/>
    <w:rsid w:val="50615309"/>
    <w:rsid w:val="508526B5"/>
    <w:rsid w:val="50F55FFE"/>
    <w:rsid w:val="5131499E"/>
    <w:rsid w:val="52454C06"/>
    <w:rsid w:val="528D13CE"/>
    <w:rsid w:val="53135DC6"/>
    <w:rsid w:val="53235413"/>
    <w:rsid w:val="533911DE"/>
    <w:rsid w:val="535D3B3B"/>
    <w:rsid w:val="537D2167"/>
    <w:rsid w:val="53ED2320"/>
    <w:rsid w:val="53F245D9"/>
    <w:rsid w:val="53FB2F26"/>
    <w:rsid w:val="54887FF0"/>
    <w:rsid w:val="54B42F0B"/>
    <w:rsid w:val="55321DEF"/>
    <w:rsid w:val="555A1BA0"/>
    <w:rsid w:val="559C0ECE"/>
    <w:rsid w:val="559E5E35"/>
    <w:rsid w:val="55A95E12"/>
    <w:rsid w:val="55DB478F"/>
    <w:rsid w:val="55ED70FE"/>
    <w:rsid w:val="561B5CB7"/>
    <w:rsid w:val="56244B1C"/>
    <w:rsid w:val="56472525"/>
    <w:rsid w:val="56A12098"/>
    <w:rsid w:val="56BD3FCD"/>
    <w:rsid w:val="57601025"/>
    <w:rsid w:val="57877110"/>
    <w:rsid w:val="579F6A0D"/>
    <w:rsid w:val="57B37C72"/>
    <w:rsid w:val="582E57DE"/>
    <w:rsid w:val="58441AF2"/>
    <w:rsid w:val="58D37CEC"/>
    <w:rsid w:val="598270A0"/>
    <w:rsid w:val="59D56FCB"/>
    <w:rsid w:val="59DF2621"/>
    <w:rsid w:val="5A0507C0"/>
    <w:rsid w:val="5A1E5BC9"/>
    <w:rsid w:val="5A227E3C"/>
    <w:rsid w:val="5B107B27"/>
    <w:rsid w:val="5BB22BCA"/>
    <w:rsid w:val="5BF41FEF"/>
    <w:rsid w:val="5C6E03E4"/>
    <w:rsid w:val="5CAC69BE"/>
    <w:rsid w:val="5CEE5E83"/>
    <w:rsid w:val="5D616A71"/>
    <w:rsid w:val="5D881E34"/>
    <w:rsid w:val="5DF3666D"/>
    <w:rsid w:val="5E0E1F3A"/>
    <w:rsid w:val="5E167440"/>
    <w:rsid w:val="5E457C97"/>
    <w:rsid w:val="5E550ABC"/>
    <w:rsid w:val="5ECC7F95"/>
    <w:rsid w:val="5EE412EC"/>
    <w:rsid w:val="5F50072F"/>
    <w:rsid w:val="5F797C86"/>
    <w:rsid w:val="5F7F1523"/>
    <w:rsid w:val="60615A71"/>
    <w:rsid w:val="608D3EBB"/>
    <w:rsid w:val="6201510C"/>
    <w:rsid w:val="627A0579"/>
    <w:rsid w:val="62C4493B"/>
    <w:rsid w:val="63092E9C"/>
    <w:rsid w:val="631C2492"/>
    <w:rsid w:val="638031CA"/>
    <w:rsid w:val="64A82A4B"/>
    <w:rsid w:val="64F02C8A"/>
    <w:rsid w:val="652D50A5"/>
    <w:rsid w:val="6569254B"/>
    <w:rsid w:val="65DC2700"/>
    <w:rsid w:val="65ED6CD8"/>
    <w:rsid w:val="660D2ED6"/>
    <w:rsid w:val="662B7800"/>
    <w:rsid w:val="666D20C5"/>
    <w:rsid w:val="66F623FD"/>
    <w:rsid w:val="674D72CB"/>
    <w:rsid w:val="67770DF7"/>
    <w:rsid w:val="67AA29A7"/>
    <w:rsid w:val="67B57CC9"/>
    <w:rsid w:val="67ED5EA9"/>
    <w:rsid w:val="67FD1FC9"/>
    <w:rsid w:val="68AB1361"/>
    <w:rsid w:val="68C42C20"/>
    <w:rsid w:val="68FC7232"/>
    <w:rsid w:val="69280ABE"/>
    <w:rsid w:val="692A2632"/>
    <w:rsid w:val="69B045E4"/>
    <w:rsid w:val="69BF2E9B"/>
    <w:rsid w:val="6A1E618D"/>
    <w:rsid w:val="6A235458"/>
    <w:rsid w:val="6A3749C6"/>
    <w:rsid w:val="6A6830C7"/>
    <w:rsid w:val="6AFB1CD9"/>
    <w:rsid w:val="6B4E4A42"/>
    <w:rsid w:val="6B4F27BB"/>
    <w:rsid w:val="6B6271EC"/>
    <w:rsid w:val="6B7B6B34"/>
    <w:rsid w:val="6BB169FA"/>
    <w:rsid w:val="6BC0308D"/>
    <w:rsid w:val="6BC169DB"/>
    <w:rsid w:val="6BDD334B"/>
    <w:rsid w:val="6BEC7FC3"/>
    <w:rsid w:val="6C507E9E"/>
    <w:rsid w:val="6CBD219B"/>
    <w:rsid w:val="6CDE6539"/>
    <w:rsid w:val="6D1250B4"/>
    <w:rsid w:val="6D265DE3"/>
    <w:rsid w:val="6D4167E4"/>
    <w:rsid w:val="6D4578FD"/>
    <w:rsid w:val="6D5B5009"/>
    <w:rsid w:val="6D6A002E"/>
    <w:rsid w:val="6DB82D84"/>
    <w:rsid w:val="6DC07BE1"/>
    <w:rsid w:val="6E125BFA"/>
    <w:rsid w:val="6E4C770B"/>
    <w:rsid w:val="6EDA324E"/>
    <w:rsid w:val="6EDC1FE0"/>
    <w:rsid w:val="6EF62573"/>
    <w:rsid w:val="6F0A3A71"/>
    <w:rsid w:val="6FAA7DC7"/>
    <w:rsid w:val="6FFE32A4"/>
    <w:rsid w:val="6FFF53CD"/>
    <w:rsid w:val="703025E3"/>
    <w:rsid w:val="70383B5E"/>
    <w:rsid w:val="7046345D"/>
    <w:rsid w:val="70781FA7"/>
    <w:rsid w:val="70DB5C50"/>
    <w:rsid w:val="71283A40"/>
    <w:rsid w:val="71D50C08"/>
    <w:rsid w:val="721C60EE"/>
    <w:rsid w:val="72273572"/>
    <w:rsid w:val="725D7BFE"/>
    <w:rsid w:val="728B2D64"/>
    <w:rsid w:val="72AF1ED5"/>
    <w:rsid w:val="72CA40A3"/>
    <w:rsid w:val="73AB01D2"/>
    <w:rsid w:val="742548C6"/>
    <w:rsid w:val="742F4960"/>
    <w:rsid w:val="74395B62"/>
    <w:rsid w:val="7460602C"/>
    <w:rsid w:val="74B56F83"/>
    <w:rsid w:val="74B60001"/>
    <w:rsid w:val="752B04F1"/>
    <w:rsid w:val="752B4572"/>
    <w:rsid w:val="753859BA"/>
    <w:rsid w:val="753B1786"/>
    <w:rsid w:val="75812F99"/>
    <w:rsid w:val="75F31DC5"/>
    <w:rsid w:val="76980946"/>
    <w:rsid w:val="76E40F21"/>
    <w:rsid w:val="77171CF2"/>
    <w:rsid w:val="774E340D"/>
    <w:rsid w:val="776808B4"/>
    <w:rsid w:val="7784595D"/>
    <w:rsid w:val="77FF49FF"/>
    <w:rsid w:val="781661DD"/>
    <w:rsid w:val="791E144B"/>
    <w:rsid w:val="7939600A"/>
    <w:rsid w:val="7958272C"/>
    <w:rsid w:val="798C59EB"/>
    <w:rsid w:val="79AB4DB8"/>
    <w:rsid w:val="79C45B4A"/>
    <w:rsid w:val="7A3D682E"/>
    <w:rsid w:val="7A8157E9"/>
    <w:rsid w:val="7AA25DE9"/>
    <w:rsid w:val="7AB428B6"/>
    <w:rsid w:val="7AB56EB5"/>
    <w:rsid w:val="7B50738B"/>
    <w:rsid w:val="7B5B37C9"/>
    <w:rsid w:val="7BB03624"/>
    <w:rsid w:val="7BC609BA"/>
    <w:rsid w:val="7BF37314"/>
    <w:rsid w:val="7C2D4846"/>
    <w:rsid w:val="7C4F7B89"/>
    <w:rsid w:val="7C607E09"/>
    <w:rsid w:val="7CFD4565"/>
    <w:rsid w:val="7D913864"/>
    <w:rsid w:val="7DC21FBB"/>
    <w:rsid w:val="7DF74404"/>
    <w:rsid w:val="7E2272E3"/>
    <w:rsid w:val="7E814130"/>
    <w:rsid w:val="7EED5B43"/>
    <w:rsid w:val="7F722EDE"/>
    <w:rsid w:val="7F784F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after="330" w:line="578" w:lineRule="auto"/>
      <w:outlineLvl w:val="0"/>
    </w:pPr>
    <w:rPr>
      <w:b/>
      <w:bCs/>
      <w:kern w:val="44"/>
      <w:sz w:val="44"/>
      <w:szCs w:val="44"/>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2">
    <w:name w:val="Body Text"/>
    <w:basedOn w:val="1"/>
    <w:link w:val="44"/>
    <w:qFormat/>
    <w:uiPriority w:val="0"/>
    <w:pPr>
      <w:autoSpaceDE w:val="0"/>
      <w:autoSpaceDN w:val="0"/>
      <w:jc w:val="left"/>
    </w:pPr>
    <w:rPr>
      <w:rFonts w:ascii="宋体" w:hAnsi="宋体" w:cs="宋体"/>
      <w:kern w:val="0"/>
      <w:szCs w:val="21"/>
      <w:lang w:val="zh-CN" w:bidi="zh-CN"/>
    </w:r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46"/>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qFormat/>
    <w:uiPriority w:val="39"/>
    <w:pPr>
      <w:tabs>
        <w:tab w:val="right" w:leader="dot" w:pos="9241"/>
      </w:tabs>
      <w:ind w:firstLine="102"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47"/>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qFormat/>
    <w:uiPriority w:val="39"/>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2">
    <w:name w:val="index 2"/>
    <w:basedOn w:val="1"/>
    <w:next w:val="1"/>
    <w:qFormat/>
    <w:uiPriority w:val="0"/>
    <w:pPr>
      <w:ind w:left="420" w:hanging="210"/>
      <w:jc w:val="left"/>
    </w:pPr>
    <w:rPr>
      <w:rFonts w:ascii="Calibri" w:hAnsi="Calibri"/>
      <w:sz w:val="20"/>
      <w:szCs w:val="20"/>
    </w:rPr>
  </w:style>
  <w:style w:type="paragraph" w:styleId="33">
    <w:name w:val="annotation subject"/>
    <w:basedOn w:val="9"/>
    <w:next w:val="9"/>
    <w:link w:val="49"/>
    <w:qFormat/>
    <w:uiPriority w:val="0"/>
    <w:rPr>
      <w:b/>
      <w:bCs/>
    </w:rPr>
  </w:style>
  <w:style w:type="table" w:styleId="35">
    <w:name w:val="Table Grid"/>
    <w:basedOn w:val="34"/>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0"/>
    <w:rPr>
      <w:b/>
    </w:r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FollowedHyperlink"/>
    <w:qFormat/>
    <w:uiPriority w:val="0"/>
    <w:rPr>
      <w:color w:val="800080"/>
      <w:u w:val="single"/>
    </w:rPr>
  </w:style>
  <w:style w:type="character" w:styleId="41">
    <w:name w:val="Hyperlink"/>
    <w:qFormat/>
    <w:uiPriority w:val="99"/>
    <w:rPr>
      <w:color w:val="0000FF"/>
      <w:spacing w:val="0"/>
      <w:w w:val="100"/>
      <w:szCs w:val="21"/>
      <w:u w:val="single"/>
    </w:rPr>
  </w:style>
  <w:style w:type="character" w:styleId="42">
    <w:name w:val="annotation reference"/>
    <w:basedOn w:val="36"/>
    <w:qFormat/>
    <w:uiPriority w:val="0"/>
    <w:rPr>
      <w:sz w:val="21"/>
      <w:szCs w:val="21"/>
    </w:rPr>
  </w:style>
  <w:style w:type="character" w:styleId="43">
    <w:name w:val="footnote reference"/>
    <w:semiHidden/>
    <w:qFormat/>
    <w:uiPriority w:val="0"/>
    <w:rPr>
      <w:vertAlign w:val="superscript"/>
    </w:rPr>
  </w:style>
  <w:style w:type="character" w:customStyle="1" w:styleId="44">
    <w:name w:val="正文文本 Char"/>
    <w:link w:val="2"/>
    <w:qFormat/>
    <w:uiPriority w:val="0"/>
    <w:rPr>
      <w:rFonts w:ascii="宋体" w:hAnsi="宋体" w:cs="宋体"/>
      <w:sz w:val="21"/>
      <w:szCs w:val="21"/>
      <w:lang w:val="zh-CN" w:bidi="zh-CN"/>
    </w:rPr>
  </w:style>
  <w:style w:type="character" w:customStyle="1" w:styleId="45">
    <w:name w:val="标题 1 Char"/>
    <w:link w:val="3"/>
    <w:qFormat/>
    <w:uiPriority w:val="0"/>
    <w:rPr>
      <w:b/>
      <w:bCs/>
      <w:kern w:val="44"/>
      <w:sz w:val="44"/>
      <w:szCs w:val="44"/>
    </w:rPr>
  </w:style>
  <w:style w:type="character" w:customStyle="1" w:styleId="46">
    <w:name w:val="批注文字 Char"/>
    <w:basedOn w:val="36"/>
    <w:link w:val="9"/>
    <w:qFormat/>
    <w:uiPriority w:val="0"/>
    <w:rPr>
      <w:kern w:val="2"/>
      <w:sz w:val="21"/>
      <w:szCs w:val="24"/>
    </w:rPr>
  </w:style>
  <w:style w:type="character" w:customStyle="1" w:styleId="47">
    <w:name w:val="批注框文本 Char"/>
    <w:link w:val="17"/>
    <w:qFormat/>
    <w:uiPriority w:val="0"/>
    <w:rPr>
      <w:kern w:val="2"/>
      <w:sz w:val="18"/>
      <w:szCs w:val="18"/>
    </w:rPr>
  </w:style>
  <w:style w:type="character" w:customStyle="1" w:styleId="48">
    <w:name w:val="段 Char"/>
    <w:link w:val="24"/>
    <w:qFormat/>
    <w:uiPriority w:val="0"/>
    <w:rPr>
      <w:rFonts w:ascii="宋体"/>
      <w:sz w:val="21"/>
      <w:lang w:val="en-US" w:eastAsia="zh-CN" w:bidi="ar-SA"/>
    </w:rPr>
  </w:style>
  <w:style w:type="character" w:customStyle="1" w:styleId="49">
    <w:name w:val="批注主题 Char"/>
    <w:basedOn w:val="46"/>
    <w:link w:val="33"/>
    <w:qFormat/>
    <w:uiPriority w:val="0"/>
    <w:rPr>
      <w:b/>
      <w:bCs/>
      <w:kern w:val="2"/>
      <w:sz w:val="21"/>
      <w:szCs w:val="24"/>
    </w:rPr>
  </w:style>
  <w:style w:type="paragraph" w:customStyle="1" w:styleId="50">
    <w:name w:val="一级条标题"/>
    <w:next w:val="24"/>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3">
    <w:name w:val="章标题"/>
    <w:next w:val="24"/>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4">
    <w:name w:val="二级条标题"/>
    <w:basedOn w:val="50"/>
    <w:next w:val="24"/>
    <w:qFormat/>
    <w:uiPriority w:val="0"/>
    <w:pPr>
      <w:numPr>
        <w:ilvl w:val="2"/>
      </w:numPr>
      <w:spacing w:before="50" w:after="50"/>
      <w:outlineLvl w:val="3"/>
    </w:pPr>
  </w:style>
  <w:style w:type="paragraph" w:customStyle="1" w:styleId="5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6">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7">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8">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三级条标题"/>
    <w:basedOn w:val="54"/>
    <w:next w:val="24"/>
    <w:qFormat/>
    <w:uiPriority w:val="0"/>
    <w:pPr>
      <w:numPr>
        <w:ilvl w:val="0"/>
        <w:numId w:val="0"/>
      </w:numPr>
      <w:outlineLvl w:val="4"/>
    </w:pPr>
  </w:style>
  <w:style w:type="paragraph" w:customStyle="1" w:styleId="60">
    <w:name w:val="示例"/>
    <w:next w:val="61"/>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2">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3">
    <w:name w:val="四级条标题"/>
    <w:basedOn w:val="59"/>
    <w:next w:val="24"/>
    <w:qFormat/>
    <w:uiPriority w:val="0"/>
    <w:pPr>
      <w:numPr>
        <w:ilvl w:val="4"/>
        <w:numId w:val="2"/>
      </w:numPr>
      <w:outlineLvl w:val="5"/>
    </w:pPr>
  </w:style>
  <w:style w:type="paragraph" w:customStyle="1" w:styleId="64">
    <w:name w:val="五级条标题"/>
    <w:basedOn w:val="63"/>
    <w:next w:val="24"/>
    <w:qFormat/>
    <w:uiPriority w:val="0"/>
    <w:pPr>
      <w:numPr>
        <w:ilvl w:val="5"/>
      </w:numPr>
      <w:outlineLvl w:val="6"/>
    </w:pPr>
  </w:style>
  <w:style w:type="paragraph" w:customStyle="1" w:styleId="65">
    <w:name w:val="注："/>
    <w:next w:val="24"/>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6">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7">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8">
    <w:name w:val="列项◆（三级）"/>
    <w:basedOn w:val="1"/>
    <w:qFormat/>
    <w:uiPriority w:val="0"/>
    <w:pPr>
      <w:numPr>
        <w:ilvl w:val="2"/>
        <w:numId w:val="3"/>
      </w:numPr>
    </w:pPr>
    <w:rPr>
      <w:rFonts w:ascii="宋体"/>
      <w:szCs w:val="21"/>
    </w:rPr>
  </w:style>
  <w:style w:type="paragraph" w:customStyle="1" w:styleId="69">
    <w:name w:val="编号列项（三级）"/>
    <w:qFormat/>
    <w:uiPriority w:val="0"/>
    <w:rPr>
      <w:rFonts w:ascii="宋体" w:hAnsi="Times New Roman" w:eastAsia="宋体" w:cs="Times New Roman"/>
      <w:sz w:val="21"/>
      <w:lang w:val="en-US" w:eastAsia="zh-CN" w:bidi="ar-SA"/>
    </w:rPr>
  </w:style>
  <w:style w:type="paragraph" w:customStyle="1" w:styleId="70">
    <w:name w:val="示例×："/>
    <w:basedOn w:val="53"/>
    <w:qFormat/>
    <w:uiPriority w:val="0"/>
    <w:pPr>
      <w:numPr>
        <w:numId w:val="8"/>
      </w:numPr>
      <w:spacing w:before="0" w:beforeLines="0" w:after="0" w:afterLines="0"/>
      <w:outlineLvl w:val="9"/>
    </w:pPr>
    <w:rPr>
      <w:rFonts w:ascii="宋体" w:eastAsia="宋体"/>
      <w:sz w:val="18"/>
      <w:szCs w:val="18"/>
    </w:rPr>
  </w:style>
  <w:style w:type="paragraph" w:customStyle="1" w:styleId="71">
    <w:name w:val="二级无"/>
    <w:basedOn w:val="54"/>
    <w:qFormat/>
    <w:uiPriority w:val="0"/>
    <w:pPr>
      <w:spacing w:before="0" w:beforeLines="0" w:after="0" w:afterLines="0"/>
    </w:pPr>
    <w:rPr>
      <w:rFonts w:ascii="宋体" w:eastAsia="宋体"/>
    </w:rPr>
  </w:style>
  <w:style w:type="paragraph" w:customStyle="1" w:styleId="72">
    <w:name w:val="注：（正文）"/>
    <w:basedOn w:val="65"/>
    <w:next w:val="24"/>
    <w:qFormat/>
    <w:uiPriority w:val="0"/>
    <w:pPr>
      <w:numPr>
        <w:ilvl w:val="0"/>
        <w:numId w:val="9"/>
      </w:numPr>
    </w:pPr>
  </w:style>
  <w:style w:type="paragraph" w:customStyle="1" w:styleId="73">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7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7">
    <w:name w:val="标准书眉_偶数页"/>
    <w:basedOn w:val="52"/>
    <w:next w:val="1"/>
    <w:qFormat/>
    <w:uiPriority w:val="0"/>
    <w:pPr>
      <w:jc w:val="left"/>
    </w:p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0">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1">
    <w:name w:val="发布"/>
    <w:qFormat/>
    <w:uiPriority w:val="0"/>
    <w:rPr>
      <w:rFonts w:ascii="黑体" w:eastAsia="黑体"/>
      <w:spacing w:val="85"/>
      <w:w w:val="100"/>
      <w:position w:val="3"/>
      <w:sz w:val="28"/>
      <w:szCs w:val="28"/>
    </w:rPr>
  </w:style>
  <w:style w:type="paragraph" w:customStyle="1" w:styleId="82">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封面标准英文名称"/>
    <w:basedOn w:val="86"/>
    <w:qFormat/>
    <w:uiPriority w:val="0"/>
    <w:pPr>
      <w:framePr w:wrap="around"/>
      <w:spacing w:before="370" w:line="400" w:lineRule="exact"/>
    </w:pPr>
    <w:rPr>
      <w:rFonts w:ascii="Times New Roman"/>
      <w:sz w:val="28"/>
      <w:szCs w:val="28"/>
    </w:rPr>
  </w:style>
  <w:style w:type="paragraph" w:customStyle="1" w:styleId="88">
    <w:name w:val="封面一致性程度标识"/>
    <w:basedOn w:val="87"/>
    <w:qFormat/>
    <w:uiPriority w:val="0"/>
    <w:pPr>
      <w:framePr w:wrap="around"/>
      <w:spacing w:before="440"/>
    </w:pPr>
    <w:rPr>
      <w:rFonts w:ascii="宋体" w:eastAsia="宋体"/>
    </w:rPr>
  </w:style>
  <w:style w:type="paragraph" w:customStyle="1" w:styleId="89">
    <w:name w:val="封面标准文稿类别"/>
    <w:basedOn w:val="88"/>
    <w:qFormat/>
    <w:uiPriority w:val="0"/>
    <w:pPr>
      <w:framePr w:wrap="around"/>
      <w:spacing w:after="160" w:line="240" w:lineRule="auto"/>
    </w:pPr>
    <w:rPr>
      <w:sz w:val="24"/>
    </w:rPr>
  </w:style>
  <w:style w:type="paragraph" w:customStyle="1" w:styleId="90">
    <w:name w:val="封面标准文稿编辑信息"/>
    <w:basedOn w:val="89"/>
    <w:qFormat/>
    <w:uiPriority w:val="0"/>
    <w:pPr>
      <w:framePr w:wrap="around"/>
      <w:spacing w:before="180" w:line="180" w:lineRule="exact"/>
    </w:pPr>
    <w:rPr>
      <w:sz w:val="21"/>
    </w:r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标识"/>
    <w:basedOn w:val="1"/>
    <w:next w:val="2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3">
    <w:name w:val="附录标题"/>
    <w:basedOn w:val="24"/>
    <w:next w:val="24"/>
    <w:qFormat/>
    <w:uiPriority w:val="0"/>
    <w:pPr>
      <w:ind w:firstLine="0" w:firstLineChars="0"/>
      <w:jc w:val="center"/>
    </w:pPr>
    <w:rPr>
      <w:rFonts w:ascii="黑体" w:eastAsia="黑体"/>
    </w:rPr>
  </w:style>
  <w:style w:type="paragraph" w:customStyle="1" w:styleId="94">
    <w:name w:val="附录表标号"/>
    <w:basedOn w:val="1"/>
    <w:next w:val="2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95">
    <w:name w:val="附录表标题"/>
    <w:basedOn w:val="1"/>
    <w:next w:val="24"/>
    <w:qFormat/>
    <w:uiPriority w:val="0"/>
    <w:pPr>
      <w:numPr>
        <w:ilvl w:val="1"/>
        <w:numId w:val="12"/>
      </w:numPr>
      <w:tabs>
        <w:tab w:val="left" w:pos="0"/>
        <w:tab w:val="left" w:pos="180"/>
      </w:tabs>
      <w:spacing w:before="50" w:beforeLines="50" w:after="50" w:afterLines="50"/>
      <w:jc w:val="center"/>
    </w:pPr>
    <w:rPr>
      <w:rFonts w:ascii="黑体" w:eastAsia="黑体"/>
      <w:szCs w:val="21"/>
    </w:rPr>
  </w:style>
  <w:style w:type="paragraph" w:customStyle="1" w:styleId="96">
    <w:name w:val="附录二级条标题"/>
    <w:basedOn w:val="1"/>
    <w:next w:val="24"/>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7">
    <w:name w:val="附录二级无"/>
    <w:basedOn w:val="96"/>
    <w:qFormat/>
    <w:uiPriority w:val="0"/>
    <w:pPr>
      <w:tabs>
        <w:tab w:val="clear" w:pos="360"/>
      </w:tabs>
      <w:spacing w:before="0" w:beforeLines="0" w:after="0" w:afterLines="0"/>
    </w:pPr>
    <w:rPr>
      <w:rFonts w:ascii="宋体" w:eastAsia="宋体"/>
      <w:szCs w:val="21"/>
    </w:rPr>
  </w:style>
  <w:style w:type="paragraph" w:customStyle="1" w:styleId="98">
    <w:name w:val="附录公式"/>
    <w:basedOn w:val="24"/>
    <w:next w:val="24"/>
    <w:link w:val="99"/>
    <w:qFormat/>
    <w:uiPriority w:val="0"/>
  </w:style>
  <w:style w:type="character" w:customStyle="1" w:styleId="99">
    <w:name w:val="附录公式 Char"/>
    <w:basedOn w:val="48"/>
    <w:link w:val="98"/>
    <w:qFormat/>
    <w:uiPriority w:val="0"/>
    <w:rPr>
      <w:rFonts w:ascii="宋体"/>
      <w:sz w:val="21"/>
      <w:lang w:val="en-US" w:eastAsia="zh-CN" w:bidi="ar-SA"/>
    </w:rPr>
  </w:style>
  <w:style w:type="paragraph" w:customStyle="1" w:styleId="100">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101">
    <w:name w:val="附录三级条标题"/>
    <w:basedOn w:val="96"/>
    <w:next w:val="24"/>
    <w:qFormat/>
    <w:uiPriority w:val="0"/>
    <w:pPr>
      <w:numPr>
        <w:ilvl w:val="4"/>
      </w:numPr>
      <w:outlineLvl w:val="4"/>
    </w:pPr>
  </w:style>
  <w:style w:type="paragraph" w:customStyle="1" w:styleId="102">
    <w:name w:val="附录三级无"/>
    <w:basedOn w:val="101"/>
    <w:qFormat/>
    <w:uiPriority w:val="0"/>
    <w:pPr>
      <w:tabs>
        <w:tab w:val="clear" w:pos="360"/>
      </w:tabs>
      <w:spacing w:before="0" w:beforeLines="0" w:after="0" w:afterLines="0"/>
    </w:pPr>
    <w:rPr>
      <w:rFonts w:ascii="宋体" w:eastAsia="宋体"/>
      <w:szCs w:val="21"/>
    </w:rPr>
  </w:style>
  <w:style w:type="paragraph" w:customStyle="1" w:styleId="103">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04">
    <w:name w:val="附录四级条标题"/>
    <w:basedOn w:val="101"/>
    <w:next w:val="24"/>
    <w:qFormat/>
    <w:uiPriority w:val="0"/>
    <w:pPr>
      <w:numPr>
        <w:ilvl w:val="5"/>
      </w:numPr>
      <w:outlineLvl w:val="5"/>
    </w:pPr>
  </w:style>
  <w:style w:type="paragraph" w:customStyle="1" w:styleId="105">
    <w:name w:val="附录四级无"/>
    <w:basedOn w:val="104"/>
    <w:qFormat/>
    <w:uiPriority w:val="0"/>
    <w:pPr>
      <w:tabs>
        <w:tab w:val="clear" w:pos="360"/>
      </w:tabs>
      <w:spacing w:before="0" w:beforeLines="0" w:after="0" w:afterLines="0"/>
    </w:pPr>
    <w:rPr>
      <w:rFonts w:ascii="宋体" w:eastAsia="宋体"/>
      <w:szCs w:val="21"/>
    </w:rPr>
  </w:style>
  <w:style w:type="paragraph" w:customStyle="1" w:styleId="106">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7">
    <w:name w:val="附录图标题"/>
    <w:basedOn w:val="1"/>
    <w:next w:val="24"/>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08">
    <w:name w:val="附录五级条标题"/>
    <w:basedOn w:val="104"/>
    <w:next w:val="24"/>
    <w:qFormat/>
    <w:uiPriority w:val="0"/>
    <w:pPr>
      <w:numPr>
        <w:ilvl w:val="6"/>
      </w:numPr>
      <w:outlineLvl w:val="6"/>
    </w:pPr>
  </w:style>
  <w:style w:type="paragraph" w:customStyle="1" w:styleId="109">
    <w:name w:val="附录五级无"/>
    <w:basedOn w:val="108"/>
    <w:qFormat/>
    <w:uiPriority w:val="0"/>
    <w:pPr>
      <w:tabs>
        <w:tab w:val="clear" w:pos="360"/>
      </w:tabs>
      <w:spacing w:before="0" w:beforeLines="0" w:after="0" w:afterLines="0"/>
    </w:pPr>
    <w:rPr>
      <w:rFonts w:ascii="宋体" w:eastAsia="宋体"/>
      <w:szCs w:val="21"/>
    </w:rPr>
  </w:style>
  <w:style w:type="paragraph" w:customStyle="1" w:styleId="110">
    <w:name w:val="附录章标题"/>
    <w:next w:val="24"/>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附录一级条标题"/>
    <w:basedOn w:val="110"/>
    <w:next w:val="24"/>
    <w:qFormat/>
    <w:uiPriority w:val="0"/>
    <w:pPr>
      <w:numPr>
        <w:ilvl w:val="2"/>
      </w:numPr>
      <w:autoSpaceDN w:val="0"/>
      <w:spacing w:before="50" w:beforeLines="50" w:after="50" w:afterLines="50"/>
      <w:outlineLvl w:val="2"/>
    </w:pPr>
  </w:style>
  <w:style w:type="paragraph" w:customStyle="1" w:styleId="112">
    <w:name w:val="附录一级无"/>
    <w:basedOn w:val="111"/>
    <w:qFormat/>
    <w:uiPriority w:val="0"/>
    <w:pPr>
      <w:tabs>
        <w:tab w:val="clear" w:pos="360"/>
      </w:tabs>
      <w:spacing w:before="0" w:beforeLines="0" w:after="0" w:afterLines="0"/>
    </w:pPr>
    <w:rPr>
      <w:rFonts w:ascii="宋体" w:eastAsia="宋体"/>
      <w:szCs w:val="21"/>
    </w:rPr>
  </w:style>
  <w:style w:type="paragraph" w:customStyle="1" w:styleId="113">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1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7">
    <w:name w:val="其他标准标志"/>
    <w:basedOn w:val="74"/>
    <w:qFormat/>
    <w:uiPriority w:val="0"/>
    <w:pPr>
      <w:framePr w:w="6101" w:wrap="around" w:vAnchor="page" w:hAnchor="page" w:x="4673" w:y="942"/>
    </w:pPr>
    <w:rPr>
      <w:w w:val="130"/>
    </w:rPr>
  </w:style>
  <w:style w:type="paragraph" w:customStyle="1" w:styleId="11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9">
    <w:name w:val="其他发布部门"/>
    <w:basedOn w:val="82"/>
    <w:qFormat/>
    <w:uiPriority w:val="0"/>
    <w:pPr>
      <w:framePr w:wrap="around" w:y="15310"/>
      <w:spacing w:line="0" w:lineRule="atLeast"/>
    </w:pPr>
    <w:rPr>
      <w:rFonts w:ascii="黑体" w:eastAsia="黑体"/>
      <w:b w:val="0"/>
    </w:rPr>
  </w:style>
  <w:style w:type="paragraph" w:customStyle="1" w:styleId="120">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1">
    <w:name w:val="三级无"/>
    <w:basedOn w:val="59"/>
    <w:qFormat/>
    <w:uiPriority w:val="0"/>
    <w:pPr>
      <w:spacing w:before="0" w:beforeLines="0" w:after="0" w:afterLines="0"/>
    </w:pPr>
    <w:rPr>
      <w:rFonts w:ascii="宋体" w:eastAsia="宋体"/>
    </w:rPr>
  </w:style>
  <w:style w:type="paragraph" w:customStyle="1" w:styleId="122">
    <w:name w:val="实施日期"/>
    <w:basedOn w:val="83"/>
    <w:qFormat/>
    <w:uiPriority w:val="0"/>
    <w:pPr>
      <w:framePr w:wrap="around" w:vAnchor="page" w:hAnchor="text"/>
      <w:jc w:val="right"/>
    </w:pPr>
  </w:style>
  <w:style w:type="paragraph" w:customStyle="1" w:styleId="123">
    <w:name w:val="示例后文字"/>
    <w:basedOn w:val="24"/>
    <w:next w:val="24"/>
    <w:qFormat/>
    <w:uiPriority w:val="0"/>
    <w:pPr>
      <w:ind w:firstLine="360"/>
    </w:pPr>
    <w:rPr>
      <w:sz w:val="18"/>
    </w:rPr>
  </w:style>
  <w:style w:type="paragraph" w:customStyle="1" w:styleId="124">
    <w:name w:val="首示例"/>
    <w:next w:val="24"/>
    <w:link w:val="125"/>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25">
    <w:name w:val="首示例 Char"/>
    <w:link w:val="124"/>
    <w:qFormat/>
    <w:uiPriority w:val="0"/>
    <w:rPr>
      <w:rFonts w:ascii="宋体" w:hAnsi="宋体"/>
      <w:kern w:val="2"/>
      <w:sz w:val="18"/>
      <w:szCs w:val="18"/>
    </w:rPr>
  </w:style>
  <w:style w:type="paragraph" w:customStyle="1" w:styleId="126">
    <w:name w:val="四级无"/>
    <w:basedOn w:val="63"/>
    <w:qFormat/>
    <w:uiPriority w:val="0"/>
    <w:pPr>
      <w:spacing w:before="0" w:beforeLines="0" w:after="0" w:afterLines="0"/>
    </w:pPr>
    <w:rPr>
      <w:rFonts w:ascii="宋体" w:eastAsia="宋体"/>
    </w:rPr>
  </w:style>
  <w:style w:type="paragraph" w:customStyle="1" w:styleId="127">
    <w:name w:val="条文脚注"/>
    <w:basedOn w:val="25"/>
    <w:qFormat/>
    <w:uiPriority w:val="0"/>
    <w:pPr>
      <w:numPr>
        <w:ilvl w:val="0"/>
        <w:numId w:val="0"/>
      </w:numPr>
      <w:jc w:val="both"/>
    </w:pPr>
  </w:style>
  <w:style w:type="paragraph" w:customStyle="1" w:styleId="128">
    <w:name w:val="图标脚注说明"/>
    <w:basedOn w:val="24"/>
    <w:qFormat/>
    <w:uiPriority w:val="0"/>
    <w:pPr>
      <w:ind w:left="840" w:hanging="420" w:firstLineChars="0"/>
    </w:pPr>
    <w:rPr>
      <w:sz w:val="18"/>
      <w:szCs w:val="18"/>
    </w:rPr>
  </w:style>
  <w:style w:type="paragraph" w:customStyle="1" w:styleId="129">
    <w:name w:val="图表脚注说明"/>
    <w:basedOn w:val="1"/>
    <w:qFormat/>
    <w:uiPriority w:val="0"/>
    <w:pPr>
      <w:numPr>
        <w:ilvl w:val="0"/>
        <w:numId w:val="16"/>
      </w:numPr>
    </w:pPr>
    <w:rPr>
      <w:rFonts w:ascii="宋体"/>
      <w:sz w:val="18"/>
      <w:szCs w:val="18"/>
    </w:rPr>
  </w:style>
  <w:style w:type="paragraph" w:customStyle="1" w:styleId="130">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2">
    <w:name w:val="五级无"/>
    <w:basedOn w:val="64"/>
    <w:qFormat/>
    <w:uiPriority w:val="0"/>
    <w:pPr>
      <w:spacing w:before="0" w:beforeLines="0" w:after="0" w:afterLines="0"/>
    </w:pPr>
    <w:rPr>
      <w:rFonts w:ascii="宋体" w:eastAsia="宋体"/>
    </w:rPr>
  </w:style>
  <w:style w:type="paragraph" w:customStyle="1" w:styleId="133">
    <w:name w:val="一级无"/>
    <w:basedOn w:val="50"/>
    <w:qFormat/>
    <w:uiPriority w:val="0"/>
    <w:pPr>
      <w:spacing w:before="0" w:beforeLines="0" w:after="0" w:afterLines="0"/>
    </w:pPr>
    <w:rPr>
      <w:rFonts w:ascii="宋体" w:eastAsia="宋体"/>
    </w:rPr>
  </w:style>
  <w:style w:type="paragraph" w:customStyle="1" w:styleId="134">
    <w:name w:val="正文表标题"/>
    <w:next w:val="24"/>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5">
    <w:name w:val="正文公式编号制表符"/>
    <w:basedOn w:val="24"/>
    <w:next w:val="24"/>
    <w:qFormat/>
    <w:uiPriority w:val="0"/>
    <w:pPr>
      <w:ind w:firstLine="0" w:firstLineChars="0"/>
    </w:pPr>
  </w:style>
  <w:style w:type="paragraph" w:customStyle="1" w:styleId="136">
    <w:name w:val="正文图标题"/>
    <w:next w:val="24"/>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37">
    <w:name w:val="终结线"/>
    <w:basedOn w:val="1"/>
    <w:qFormat/>
    <w:uiPriority w:val="0"/>
    <w:pPr>
      <w:framePr w:hSpace="181" w:vSpace="181" w:wrap="around" w:vAnchor="text" w:hAnchor="margin" w:xAlign="center" w:y="285"/>
    </w:pPr>
  </w:style>
  <w:style w:type="paragraph" w:customStyle="1" w:styleId="138">
    <w:name w:val="其他发布日期"/>
    <w:basedOn w:val="83"/>
    <w:qFormat/>
    <w:uiPriority w:val="0"/>
    <w:pPr>
      <w:framePr w:wrap="around" w:vAnchor="page" w:hAnchor="text" w:x="1419"/>
    </w:pPr>
  </w:style>
  <w:style w:type="paragraph" w:customStyle="1" w:styleId="139">
    <w:name w:val="其他实施日期"/>
    <w:basedOn w:val="122"/>
    <w:qFormat/>
    <w:uiPriority w:val="0"/>
    <w:pPr>
      <w:framePr w:wrap="around"/>
    </w:pPr>
  </w:style>
  <w:style w:type="paragraph" w:customStyle="1" w:styleId="140">
    <w:name w:val="封面标准名称2"/>
    <w:basedOn w:val="86"/>
    <w:qFormat/>
    <w:uiPriority w:val="0"/>
    <w:pPr>
      <w:framePr w:wrap="around" w:y="4469"/>
      <w:spacing w:before="630" w:beforeLines="630"/>
    </w:pPr>
  </w:style>
  <w:style w:type="paragraph" w:customStyle="1" w:styleId="141">
    <w:name w:val="封面标准英文名称2"/>
    <w:basedOn w:val="87"/>
    <w:qFormat/>
    <w:uiPriority w:val="0"/>
    <w:pPr>
      <w:framePr w:wrap="around" w:y="4469"/>
    </w:pPr>
  </w:style>
  <w:style w:type="paragraph" w:customStyle="1" w:styleId="142">
    <w:name w:val="封面一致性程度标识2"/>
    <w:basedOn w:val="88"/>
    <w:qFormat/>
    <w:uiPriority w:val="0"/>
    <w:pPr>
      <w:framePr w:wrap="around" w:y="4469"/>
    </w:pPr>
  </w:style>
  <w:style w:type="paragraph" w:customStyle="1" w:styleId="143">
    <w:name w:val="封面标准文稿类别2"/>
    <w:basedOn w:val="89"/>
    <w:qFormat/>
    <w:uiPriority w:val="0"/>
    <w:pPr>
      <w:framePr w:wrap="around" w:y="4469"/>
    </w:pPr>
  </w:style>
  <w:style w:type="paragraph" w:customStyle="1" w:styleId="144">
    <w:name w:val="封面标准文稿编辑信息2"/>
    <w:basedOn w:val="90"/>
    <w:qFormat/>
    <w:uiPriority w:val="0"/>
    <w:pPr>
      <w:framePr w:wrap="around" w:y="4469"/>
    </w:pPr>
  </w:style>
  <w:style w:type="paragraph" w:customStyle="1" w:styleId="145">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14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47">
    <w:name w:val="Default"/>
    <w:qFormat/>
    <w:uiPriority w:val="0"/>
    <w:pPr>
      <w:widowControl w:val="0"/>
      <w:autoSpaceDE w:val="0"/>
      <w:autoSpaceDN w:val="0"/>
      <w:adjustRightInd w:val="0"/>
    </w:pPr>
    <w:rPr>
      <w:rFonts w:ascii="宋体" w:hAnsi="Times New Roman" w:eastAsia="宋体" w:cs="宋体"/>
      <w:lang w:val="en-US" w:eastAsia="zh-CN" w:bidi="ar-SA"/>
    </w:rPr>
  </w:style>
  <w:style w:type="paragraph" w:styleId="148">
    <w:name w:val="List Paragraph"/>
    <w:basedOn w:val="1"/>
    <w:qFormat/>
    <w:uiPriority w:val="34"/>
    <w:pPr>
      <w:ind w:firstLine="420" w:firstLineChars="200"/>
    </w:pPr>
  </w:style>
  <w:style w:type="paragraph" w:customStyle="1" w:styleId="149">
    <w:name w:val="TOC 标题1"/>
    <w:basedOn w:val="3"/>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styleId="150">
    <w:name w:val="Placeholder Text"/>
    <w:semiHidden/>
    <w:qFormat/>
    <w:uiPriority w:val="99"/>
    <w:rPr>
      <w:color w:val="808080"/>
    </w:rPr>
  </w:style>
  <w:style w:type="paragraph" w:customStyle="1" w:styleId="151">
    <w:name w:val="列出段落2"/>
    <w:basedOn w:val="1"/>
    <w:qFormat/>
    <w:uiPriority w:val="99"/>
    <w:pPr>
      <w:ind w:firstLine="420" w:firstLineChars="200"/>
    </w:pPr>
    <w:rPr>
      <w:rFonts w:ascii="Calibri" w:hAnsi="Calibri" w:cs="黑体"/>
      <w:szCs w:val="22"/>
    </w:rPr>
  </w:style>
  <w:style w:type="paragraph" w:customStyle="1" w:styleId="152">
    <w:name w:val="WPSOffice手动目录 1"/>
    <w:qFormat/>
    <w:uiPriority w:val="0"/>
    <w:rPr>
      <w:rFonts w:ascii="Times New Roman" w:hAnsi="Times New Roman" w:eastAsia="宋体" w:cs="Times New Roman"/>
      <w:lang w:val="en-US" w:eastAsia="zh-CN" w:bidi="ar-SA"/>
    </w:rPr>
  </w:style>
  <w:style w:type="paragraph" w:customStyle="1" w:styleId="153">
    <w:name w:val="WPSOffice手动目录 2"/>
    <w:qFormat/>
    <w:uiPriority w:val="0"/>
    <w:pPr>
      <w:ind w:left="200" w:leftChars="200"/>
    </w:pPr>
    <w:rPr>
      <w:rFonts w:ascii="Times New Roman" w:hAnsi="Times New Roman" w:eastAsia="宋体" w:cs="Times New Roman"/>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45</Pages>
  <Words>26197</Words>
  <Characters>30152</Characters>
  <Lines>1</Lines>
  <Paragraphs>1</Paragraphs>
  <TotalTime>3</TotalTime>
  <ScaleCrop>false</ScaleCrop>
  <LinksUpToDate>false</LinksUpToDate>
  <CharactersWithSpaces>30878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2022-11-02T03:48:00Z</dcterms:created>
  <dc:creator>CNIS</dc:creator>
  <cp:lastModifiedBy>Dai</cp:lastModifiedBy>
  <cp:lastPrinted>2023-04-28T07:26:00Z</cp:lastPrinted>
  <dcterms:modified xsi:type="dcterms:W3CDTF">2023-05-29T07:39:49Z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472565DE57814C3FACECD022C4162D0A</vt:lpwstr>
  </property>
</Properties>
</file>