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087"/>
        </w:tabs>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附件2</w:t>
      </w:r>
    </w:p>
    <w:p>
      <w:pPr>
        <w:spacing w:afterLines="0" w:line="560" w:lineRule="exact"/>
        <w:jc w:val="center"/>
        <w:outlineLvl w:val="9"/>
        <w:rPr>
          <w:rFonts w:hint="eastAsia" w:ascii="宋体" w:hAnsi="宋体" w:eastAsia="宋体" w:cs="宋体"/>
          <w:b/>
          <w:bCs/>
          <w:sz w:val="44"/>
          <w:szCs w:val="44"/>
          <w:lang w:val="en-US" w:eastAsia="zh-CN"/>
        </w:rPr>
      </w:pPr>
    </w:p>
    <w:p>
      <w:pPr>
        <w:spacing w:afterLines="0" w:line="560" w:lineRule="exact"/>
        <w:jc w:val="center"/>
        <w:outlineLvl w:val="9"/>
        <w:rPr>
          <w:rFonts w:hint="eastAsia" w:ascii="宋体" w:hAnsi="宋体" w:eastAsia="宋体" w:cs="宋体"/>
          <w:b/>
          <w:bCs/>
          <w:sz w:val="44"/>
          <w:szCs w:val="44"/>
          <w:lang w:val="en-US" w:eastAsia="zh-CN"/>
        </w:rPr>
      </w:pPr>
      <w:bookmarkStart w:id="0" w:name="_GoBack"/>
      <w:bookmarkEnd w:id="0"/>
    </w:p>
    <w:p>
      <w:pPr>
        <w:spacing w:afterLines="0" w:line="56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关于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深圳市公共租赁住房申请家庭</w:t>
      </w:r>
      <w:r>
        <w:rPr>
          <w:rFonts w:hint="eastAsia" w:ascii="方正小标宋简体" w:hAnsi="方正小标宋简体" w:eastAsia="方正小标宋简体" w:cs="方正小标宋简体"/>
          <w:b w:val="0"/>
          <w:bCs w:val="0"/>
          <w:sz w:val="44"/>
          <w:szCs w:val="44"/>
          <w:highlight w:val="none"/>
        </w:rPr>
        <w:t>经济状况核对</w:t>
      </w:r>
      <w:r>
        <w:rPr>
          <w:rFonts w:hint="eastAsia" w:ascii="方正小标宋简体" w:hAnsi="方正小标宋简体" w:eastAsia="方正小标宋简体" w:cs="方正小标宋简体"/>
          <w:b w:val="0"/>
          <w:bCs w:val="0"/>
          <w:sz w:val="44"/>
          <w:szCs w:val="44"/>
          <w:highlight w:val="none"/>
          <w:lang w:eastAsia="zh-CN"/>
        </w:rPr>
        <w:t>和认定</w:t>
      </w:r>
      <w:r>
        <w:rPr>
          <w:rFonts w:hint="eastAsia" w:ascii="方正小标宋简体" w:hAnsi="方正小标宋简体" w:eastAsia="方正小标宋简体" w:cs="方正小标宋简体"/>
          <w:b w:val="0"/>
          <w:bCs w:val="0"/>
          <w:sz w:val="44"/>
          <w:szCs w:val="44"/>
          <w:highlight w:val="none"/>
        </w:rPr>
        <w:t>实施细则</w:t>
      </w:r>
      <w:r>
        <w:rPr>
          <w:rFonts w:hint="eastAsia" w:ascii="方正小标宋简体" w:hAnsi="方正小标宋简体" w:eastAsia="方正小标宋简体" w:cs="方正小标宋简体"/>
          <w:b w:val="0"/>
          <w:bCs w:val="0"/>
          <w:sz w:val="44"/>
          <w:szCs w:val="44"/>
          <w:highlight w:val="none"/>
          <w:lang w:eastAsia="zh-CN"/>
        </w:rPr>
        <w:t>（征求意见</w:t>
      </w:r>
      <w:r>
        <w:rPr>
          <w:rFonts w:hint="eastAsia" w:ascii="方正小标宋简体" w:hAnsi="方正小标宋简体" w:eastAsia="方正小标宋简体" w:cs="方正小标宋简体"/>
          <w:b w:val="0"/>
          <w:bCs w:val="0"/>
          <w:sz w:val="44"/>
          <w:szCs w:val="44"/>
          <w:highlight w:val="none"/>
          <w:lang w:val="en-US" w:eastAsia="zh-CN"/>
        </w:rPr>
        <w:t>稿</w:t>
      </w:r>
      <w:r>
        <w:rPr>
          <w:rFonts w:hint="eastAsia" w:ascii="方正小标宋简体" w:hAnsi="方正小标宋简体" w:eastAsia="方正小标宋简体" w:cs="方正小标宋简体"/>
          <w:b w:val="0"/>
          <w:bCs w:val="0"/>
          <w:sz w:val="44"/>
          <w:szCs w:val="44"/>
          <w:highlight w:val="none"/>
          <w:lang w:eastAsia="zh-CN"/>
        </w:rPr>
        <w:t>）》</w:t>
      </w:r>
    </w:p>
    <w:p>
      <w:pPr>
        <w:spacing w:afterLines="0" w:line="560" w:lineRule="exact"/>
        <w:jc w:val="center"/>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的起草说明</w:t>
      </w:r>
    </w:p>
    <w:p>
      <w:pPr>
        <w:spacing w:afterLines="0" w:line="560" w:lineRule="exact"/>
        <w:outlineLvl w:val="9"/>
        <w:rPr>
          <w:rFonts w:hint="eastAsia" w:ascii="仿宋" w:hAnsi="仿宋" w:eastAsia="仿宋" w:cs="仿宋"/>
          <w:sz w:val="32"/>
          <w:lang w:val="en-US" w:eastAsia="zh-CN"/>
        </w:rPr>
      </w:pP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为了规范我市公共租赁住房申请家庭经济状况的核对和认定工作，根据《深圳市保障性住房条例》《深圳市居民经济状况核对办法》等有关规定，市住房建设局、市民政局起草了《深圳市公共租赁住房申请家庭经济状况核对和认定实施细则（征求意见稿）》，现就有关情况说明如下：</w:t>
      </w:r>
    </w:p>
    <w:p>
      <w:pPr>
        <w:keepNext w:val="0"/>
        <w:keepLines w:val="0"/>
        <w:pageBreakBefore w:val="0"/>
        <w:numPr>
          <w:ilvl w:val="0"/>
          <w:numId w:val="1"/>
        </w:numPr>
        <w:tabs>
          <w:tab w:val="left" w:pos="420"/>
        </w:tabs>
        <w:kinsoku/>
        <w:wordWrap/>
        <w:overflowPunct/>
        <w:topLinePunct w:val="0"/>
        <w:autoSpaceDE/>
        <w:autoSpaceDN/>
        <w:bidi w:val="0"/>
        <w:adjustRightInd/>
        <w:snapToGrid/>
        <w:spacing w:afterLines="0" w:line="560" w:lineRule="exact"/>
        <w:ind w:leftChars="0" w:firstLine="632" w:firstLineChars="200"/>
        <w:textAlignment w:val="auto"/>
        <w:outlineLvl w:val="1"/>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val="en-US" w:eastAsia="zh-CN"/>
        </w:rPr>
        <w:t>起草的必要性</w:t>
      </w:r>
    </w:p>
    <w:p>
      <w:pPr>
        <w:spacing w:line="578"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rPr>
        <w:t>一是贯彻党中央、国务院</w:t>
      </w:r>
      <w:r>
        <w:rPr>
          <w:rFonts w:hint="eastAsia" w:ascii="仿宋_GB2312" w:hAnsi="仿宋_GB2312" w:eastAsia="仿宋_GB2312" w:cs="仿宋_GB2312"/>
          <w:b w:val="0"/>
          <w:bCs w:val="0"/>
          <w:color w:val="auto"/>
          <w:sz w:val="32"/>
          <w:szCs w:val="32"/>
          <w:lang w:val="en-US" w:eastAsia="zh-CN"/>
        </w:rPr>
        <w:t>关于</w:t>
      </w:r>
      <w:r>
        <w:rPr>
          <w:rFonts w:hint="eastAsia" w:ascii="仿宋_GB2312" w:hAnsi="仿宋_GB2312" w:eastAsia="仿宋_GB2312" w:cs="仿宋_GB2312"/>
          <w:b w:val="0"/>
          <w:bCs w:val="0"/>
          <w:color w:val="auto"/>
          <w:sz w:val="32"/>
          <w:szCs w:val="32"/>
        </w:rPr>
        <w:t>完善住房保障体系的决策部署，</w:t>
      </w:r>
      <w:r>
        <w:rPr>
          <w:rFonts w:hint="eastAsia" w:ascii="仿宋_GB2312" w:hAnsi="仿宋_GB2312" w:eastAsia="仿宋_GB2312" w:cs="仿宋_GB2312"/>
          <w:color w:val="auto"/>
          <w:sz w:val="32"/>
          <w:szCs w:val="32"/>
          <w:u w:val="none"/>
          <w:lang w:val="en-US" w:eastAsia="zh-CN"/>
        </w:rPr>
        <w:t>落实住房和城乡建设部关于公共租赁住房管理的工作要求。</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32"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二是规范</w:t>
      </w:r>
      <w:r>
        <w:rPr>
          <w:rFonts w:hint="eastAsia" w:ascii="仿宋_GB2312" w:hAnsi="仿宋_GB2312" w:eastAsia="仿宋_GB2312" w:cs="仿宋_GB2312"/>
          <w:sz w:val="32"/>
        </w:rPr>
        <w:t>公共租赁住房申请家庭经济状况核对认定</w:t>
      </w:r>
      <w:r>
        <w:rPr>
          <w:rFonts w:hint="eastAsia" w:ascii="仿宋_GB2312" w:hAnsi="仿宋_GB2312" w:eastAsia="仿宋_GB2312" w:cs="仿宋_GB2312"/>
          <w:sz w:val="32"/>
          <w:lang w:val="en-US" w:eastAsia="zh-CN"/>
        </w:rPr>
        <w:t>的具体工作内容、工作流程及</w:t>
      </w:r>
      <w:r>
        <w:rPr>
          <w:rFonts w:hint="eastAsia" w:ascii="仿宋_GB2312" w:hAnsi="仿宋_GB2312" w:eastAsia="仿宋_GB2312" w:cs="仿宋_GB2312"/>
          <w:kern w:val="2"/>
          <w:sz w:val="32"/>
          <w:szCs w:val="24"/>
          <w:lang w:val="en-US" w:eastAsia="zh-CN" w:bidi="ar-SA"/>
        </w:rPr>
        <w:t>相关部门职责等内容，精准实施基本住房保障工作。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32" w:firstLineChars="200"/>
        <w:jc w:val="both"/>
        <w:textAlignment w:val="auto"/>
        <w:outlineLvl w:val="1"/>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二、主要内容</w:t>
      </w:r>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after="0" w:afterLines="0" w:line="560" w:lineRule="exact"/>
        <w:ind w:left="10" w:leftChars="5" w:firstLine="632" w:firstLineChars="200"/>
        <w:jc w:val="left"/>
        <w:textAlignment w:val="auto"/>
        <w:outlineLvl w:val="1"/>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（一）关于家庭收入范围</w:t>
      </w:r>
    </w:p>
    <w:p>
      <w:pPr>
        <w:widowControl w:val="0"/>
        <w:numPr>
          <w:ilvl w:val="-1"/>
          <w:numId w:val="0"/>
        </w:numPr>
        <w:spacing w:after="0" w:afterLines="0" w:line="560" w:lineRule="exact"/>
        <w:ind w:firstLine="632" w:firstLineChars="200"/>
        <w:jc w:val="both"/>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根据民政部《最低生活保障审核确认办法》（民发〔2021〕57号）《广东省最低生活保障家庭经济状况核对和生活状况评估认定办法》（粤民规字〔2019〕9号）</w:t>
      </w:r>
      <w:r>
        <w:rPr>
          <w:rFonts w:hint="default" w:ascii="仿宋_GB2312" w:hAnsi="仿宋_GB2312" w:eastAsia="仿宋_GB2312" w:cs="仿宋_GB2312"/>
          <w:kern w:val="2"/>
          <w:sz w:val="32"/>
          <w:szCs w:val="24"/>
          <w:lang w:val="en-US" w:eastAsia="zh-CN" w:bidi="ar-SA"/>
        </w:rPr>
        <w:t>等有关</w:t>
      </w:r>
      <w:r>
        <w:rPr>
          <w:rFonts w:hint="eastAsia" w:ascii="仿宋_GB2312" w:hAnsi="仿宋_GB2312" w:eastAsia="仿宋_GB2312" w:cs="仿宋_GB2312"/>
          <w:kern w:val="2"/>
          <w:sz w:val="32"/>
          <w:szCs w:val="24"/>
          <w:lang w:val="en-US" w:eastAsia="zh-CN" w:bidi="ar-SA"/>
        </w:rPr>
        <w:t>规定，对核对对象的家庭收入范围进一步细化，规定家庭收入主要包括</w:t>
      </w:r>
      <w:r>
        <w:rPr>
          <w:rFonts w:hint="eastAsia" w:ascii="仿宋_GB2312" w:hAnsi="仿宋_GB2312" w:eastAsia="仿宋_GB2312" w:cs="仿宋_GB2312"/>
          <w:sz w:val="32"/>
        </w:rPr>
        <w:t>工资性收入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经营净收入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财产净收入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转移净收入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并在此基础上明确了优待金、</w:t>
      </w:r>
      <w:r>
        <w:rPr>
          <w:rFonts w:hint="eastAsia" w:ascii="仿宋_GB2312" w:hAnsi="仿宋_GB2312" w:eastAsia="仿宋_GB2312" w:cs="仿宋_GB2312"/>
          <w:sz w:val="32"/>
        </w:rPr>
        <w:t>奖学金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城乡居民基本养老保险基础养老金</w:t>
      </w:r>
      <w:r>
        <w:rPr>
          <w:rFonts w:hint="eastAsia" w:ascii="仿宋_GB2312" w:hAnsi="仿宋_GB2312" w:eastAsia="仿宋_GB2312" w:cs="仿宋_GB2312"/>
          <w:sz w:val="32"/>
          <w:lang w:val="en-US" w:eastAsia="zh-CN"/>
        </w:rPr>
        <w:t>等八类不计入家庭收入项</w:t>
      </w:r>
      <w:r>
        <w:rPr>
          <w:rFonts w:hint="eastAsia" w:ascii="仿宋_GB2312" w:hAnsi="仿宋_GB2312" w:eastAsia="仿宋_GB2312" w:cs="仿宋_GB2312"/>
          <w:kern w:val="2"/>
          <w:sz w:val="32"/>
          <w:szCs w:val="24"/>
          <w:lang w:val="en-US" w:eastAsia="zh-CN" w:bidi="ar-SA"/>
        </w:rPr>
        <w:t>。</w:t>
      </w:r>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after="0" w:afterLines="0" w:line="560" w:lineRule="exact"/>
        <w:ind w:left="10" w:leftChars="5" w:firstLine="632" w:firstLineChars="200"/>
        <w:jc w:val="left"/>
        <w:textAlignment w:val="auto"/>
        <w:outlineLvl w:val="1"/>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（二）关于家庭财产范围</w:t>
      </w:r>
    </w:p>
    <w:p>
      <w:pPr>
        <w:widowControl w:val="0"/>
        <w:numPr>
          <w:ilvl w:val="0"/>
          <w:numId w:val="0"/>
        </w:numPr>
        <w:spacing w:after="0" w:afterLines="0" w:line="560" w:lineRule="exact"/>
        <w:ind w:firstLine="632" w:firstLineChars="200"/>
        <w:jc w:val="both"/>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《深圳市居民经济状况核对办法》</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color w:val="auto"/>
          <w:sz w:val="32"/>
          <w:szCs w:val="24"/>
          <w:u w:val="none"/>
          <w:lang w:val="en-US" w:eastAsia="zh-CN"/>
        </w:rPr>
        <w:t>以下简称《</w:t>
      </w:r>
      <w:r>
        <w:rPr>
          <w:rFonts w:hint="eastAsia" w:ascii="仿宋_GB2312" w:hAnsi="仿宋_GB2312" w:eastAsia="仿宋_GB2312" w:cs="仿宋_GB2312"/>
          <w:sz w:val="32"/>
          <w:szCs w:val="24"/>
          <w:u w:val="none"/>
          <w:lang w:val="en-US" w:eastAsia="zh-CN"/>
        </w:rPr>
        <w:t>核对</w:t>
      </w:r>
      <w:r>
        <w:rPr>
          <w:rFonts w:hint="eastAsia" w:ascii="仿宋_GB2312" w:hAnsi="仿宋_GB2312" w:eastAsia="仿宋_GB2312" w:cs="仿宋_GB2312"/>
          <w:color w:val="auto"/>
          <w:sz w:val="32"/>
          <w:szCs w:val="24"/>
          <w:u w:val="none"/>
          <w:lang w:val="en-US" w:eastAsia="zh-CN"/>
        </w:rPr>
        <w:t>办法》</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kern w:val="2"/>
          <w:sz w:val="32"/>
          <w:szCs w:val="24"/>
          <w:lang w:val="en-US" w:eastAsia="zh-CN" w:bidi="ar-SA"/>
        </w:rPr>
        <w:t>明确规定财产包括实物财产、货币财产，本细则作为《核对办法》的配套文件，沿用《核对办法》关于财产的定义，并以最新发布的《广东省人民政府办公厅关于印发广东省最低生活保障边缘家庭和支出型困难家庭救助办法的通知》（粤府办〔2022〕3号）为依据，结合我市核对工作实际，规定家庭财产范围为核对对象拥有（含接受继承、赠与）的全部实物财产和货币财产，包括房屋、车辆、银行存款、证券、基金、商业保险、互联网金融资产等。</w:t>
      </w:r>
    </w:p>
    <w:p>
      <w:pPr>
        <w:keepNext w:val="0"/>
        <w:keepLines w:val="0"/>
        <w:pageBreakBefore w:val="0"/>
        <w:numPr>
          <w:ilvl w:val="-1"/>
          <w:numId w:val="0"/>
        </w:numPr>
        <w:tabs>
          <w:tab w:val="left" w:pos="0"/>
        </w:tabs>
        <w:kinsoku/>
        <w:wordWrap/>
        <w:overflowPunct/>
        <w:topLinePunct w:val="0"/>
        <w:autoSpaceDE/>
        <w:autoSpaceDN/>
        <w:bidi w:val="0"/>
        <w:adjustRightInd/>
        <w:snapToGrid/>
        <w:spacing w:afterLines="0" w:line="560" w:lineRule="exact"/>
        <w:ind w:left="10" w:leftChars="5" w:firstLine="632" w:firstLineChars="200"/>
        <w:textAlignment w:val="auto"/>
        <w:outlineLvl w:val="1"/>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（三）关于核对和认定程序</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核对机构向区住房主管部门出具居民家庭经济状况核对报告，核对报告中载明收入、财产的组成和具体金额。区住房主管部门结合核对报告，对核对对象的住房保障资格进行审核；对于审核不合格的，将以书面方式告知核对对象。核对对象对核对结果没有异议的，根据《核对办法》的有关规定，住房主管部门将核对结果作为审批的依据。</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同时，为保证住房保障对象的合法权益，实现住房保障精准化管理，如核对对象对经济状况核对结果存在异议，可以向区住房主管部门提出复核申请。根据《核对办法》“核对对象只能申请复核一次，法律、法规、规章另有规定的除外”的规定，复核报告将作为核对对象的收入财产核对和认定的最终结果。</w:t>
      </w:r>
    </w:p>
    <w:p>
      <w:pPr>
        <w:keepNext w:val="0"/>
        <w:keepLines w:val="0"/>
        <w:pageBreakBefore w:val="0"/>
        <w:numPr>
          <w:ilvl w:val="-1"/>
          <w:numId w:val="0"/>
        </w:numPr>
        <w:tabs>
          <w:tab w:val="left" w:pos="0"/>
        </w:tabs>
        <w:kinsoku/>
        <w:wordWrap/>
        <w:overflowPunct/>
        <w:topLinePunct w:val="0"/>
        <w:autoSpaceDE/>
        <w:autoSpaceDN/>
        <w:bidi w:val="0"/>
        <w:adjustRightInd/>
        <w:snapToGrid/>
        <w:spacing w:afterLines="0" w:line="560" w:lineRule="exact"/>
        <w:ind w:left="10" w:leftChars="5" w:firstLine="632" w:firstLineChars="200"/>
        <w:textAlignment w:val="auto"/>
        <w:outlineLvl w:val="1"/>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（四）关于分散供养特困人员、最低生活保障对象、最低生活保障边缘家庭以及支出型困难家庭的审核程序</w:t>
      </w:r>
    </w:p>
    <w:p>
      <w:pPr>
        <w:widowControl w:val="0"/>
        <w:numPr>
          <w:ilvl w:val="0"/>
          <w:numId w:val="0"/>
        </w:numPr>
        <w:spacing w:after="0" w:afterLines="0" w:line="560" w:lineRule="exact"/>
        <w:ind w:firstLine="632"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我市分散供养特困人员、最低生活保障对象、最低生活保障边缘家庭以及支出型困难家庭，在经民政部门认定时已进行了家庭经济状况核对。上述群体在申请住房保障时，区住房主管部门无需委托核对机构对其经济状况重复核对。</w:t>
      </w:r>
    </w:p>
    <w:p>
      <w:pPr>
        <w:widowControl w:val="0"/>
        <w:spacing w:after="0" w:afterLines="0" w:line="560" w:lineRule="exact"/>
        <w:ind w:firstLine="632" w:firstLineChars="200"/>
        <w:jc w:val="both"/>
        <w:rPr>
          <w:rFonts w:hint="eastAsia" w:ascii="仿宋_GB2312" w:hAnsi="仿宋_GB2312" w:eastAsia="仿宋_GB2312" w:cs="仿宋_GB2312"/>
          <w:kern w:val="2"/>
          <w:sz w:val="44"/>
          <w:szCs w:val="20"/>
          <w:lang w:val="en-US" w:eastAsia="zh-CN" w:bidi="ar-SA"/>
        </w:rPr>
      </w:pPr>
      <w:r>
        <w:rPr>
          <w:rFonts w:hint="eastAsia" w:ascii="仿宋_GB2312" w:hAnsi="仿宋_GB2312" w:eastAsia="仿宋_GB2312" w:cs="仿宋_GB2312"/>
          <w:kern w:val="2"/>
          <w:sz w:val="32"/>
          <w:szCs w:val="24"/>
          <w:lang w:val="en-US" w:eastAsia="zh-CN" w:bidi="ar-SA"/>
        </w:rPr>
        <w:t>特此说明。</w:t>
      </w:r>
    </w:p>
    <w:p>
      <w:pPr>
        <w:spacing w:afterLines="0" w:line="560" w:lineRule="exact"/>
      </w:pPr>
    </w:p>
    <w:sectPr>
      <w:footerReference r:id="rId3" w:type="default"/>
      <w:pgSz w:w="11906" w:h="16838"/>
      <w:pgMar w:top="2041" w:right="1531" w:bottom="1871" w:left="1588" w:header="851" w:footer="1400"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 w:cs="Times New Roman"/>
        <w:kern w:val="2"/>
        <w:sz w:val="18"/>
        <w:szCs w:val="24"/>
        <w:lang w:val="en-US" w:eastAsia="zh-CN" w:bidi="ar-SA"/>
      </w:rPr>
    </w:pPr>
    <w:r>
      <w:rPr>
        <w:rFonts w:ascii="Calibri" w:hAnsi="Calibri" w:eastAsia="仿宋"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Calibri" w:hAnsi="Calibri" w:eastAsia="仿宋" w:cs="Times New Roman"/>
                              <w:kern w:val="2"/>
                              <w:sz w:val="18"/>
                              <w:szCs w:val="2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仿宋" w:cs="Times New Roman"/>
                        <w:kern w:val="2"/>
                        <w:sz w:val="18"/>
                        <w:szCs w:val="2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1</w:t>
                    </w:r>
                    <w:r>
                      <w:rPr>
                        <w:rFonts w:hint="eastAsia" w:ascii="宋体" w:hAnsi="宋体" w:eastAsia="宋体" w:cs="宋体"/>
                        <w:kern w:val="2"/>
                        <w:sz w:val="28"/>
                        <w:szCs w:val="4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C110"/>
    <w:multiLevelType w:val="singleLevel"/>
    <w:tmpl w:val="1E5CC1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mY5ZjcwYmUzNDJlOTJmNGY5MzI4YTdlZjY1OGEifQ=="/>
  </w:docVars>
  <w:rsids>
    <w:rsidRoot w:val="00000000"/>
    <w:rsid w:val="00473031"/>
    <w:rsid w:val="0156126F"/>
    <w:rsid w:val="01C7188A"/>
    <w:rsid w:val="0D171594"/>
    <w:rsid w:val="106A5AA4"/>
    <w:rsid w:val="11946FE0"/>
    <w:rsid w:val="128D6A7B"/>
    <w:rsid w:val="13FA068E"/>
    <w:rsid w:val="1B4F21D1"/>
    <w:rsid w:val="1E9B0CC0"/>
    <w:rsid w:val="1FD004F5"/>
    <w:rsid w:val="29B2135C"/>
    <w:rsid w:val="29FFC572"/>
    <w:rsid w:val="2A102562"/>
    <w:rsid w:val="2A444A48"/>
    <w:rsid w:val="2B3D1F5C"/>
    <w:rsid w:val="32186662"/>
    <w:rsid w:val="354B1CC4"/>
    <w:rsid w:val="3EAB0813"/>
    <w:rsid w:val="3FDC56C6"/>
    <w:rsid w:val="452847AC"/>
    <w:rsid w:val="47B40579"/>
    <w:rsid w:val="49446BA2"/>
    <w:rsid w:val="4CB54DC9"/>
    <w:rsid w:val="4DDF5100"/>
    <w:rsid w:val="50B67110"/>
    <w:rsid w:val="564B6B7E"/>
    <w:rsid w:val="5BD4723A"/>
    <w:rsid w:val="5DFA2E75"/>
    <w:rsid w:val="5E9D17E6"/>
    <w:rsid w:val="612E0D1E"/>
    <w:rsid w:val="65A16BAA"/>
    <w:rsid w:val="677F4CA6"/>
    <w:rsid w:val="6BBAB0E1"/>
    <w:rsid w:val="6D5B2E7B"/>
    <w:rsid w:val="6DFDF8FD"/>
    <w:rsid w:val="7B2F55DB"/>
    <w:rsid w:val="7BBB568D"/>
    <w:rsid w:val="7DA443FE"/>
    <w:rsid w:val="8BAC4C95"/>
    <w:rsid w:val="D7F35563"/>
    <w:rsid w:val="DFB9012A"/>
    <w:rsid w:val="EF7FDF83"/>
    <w:rsid w:val="FDC61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afterAutospacing="0"/>
    </w:pPr>
  </w:style>
  <w:style w:type="paragraph" w:styleId="3">
    <w:name w:val="Body Text First Indent"/>
    <w:basedOn w:val="2"/>
    <w:qFormat/>
    <w:uiPriority w:val="0"/>
    <w:pPr>
      <w:widowControl w:val="0"/>
      <w:spacing w:after="120"/>
      <w:ind w:firstLine="100" w:firstLineChars="100"/>
      <w:jc w:val="both"/>
    </w:pPr>
    <w:rPr>
      <w:rFonts w:ascii="Calibri" w:hAnsi="Calibri" w:eastAsia="文星简小标宋" w:cs="Times New Roman"/>
      <w:kern w:val="2"/>
      <w:sz w:val="44"/>
      <w:szCs w:val="20"/>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1160</Words>
  <Characters>1172</Characters>
  <Lines>0</Lines>
  <Paragraphs>0</Paragraphs>
  <TotalTime>1</TotalTime>
  <ScaleCrop>false</ScaleCrop>
  <LinksUpToDate>false</LinksUpToDate>
  <CharactersWithSpaces>1172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C</cp:lastModifiedBy>
  <dcterms:modified xsi:type="dcterms:W3CDTF">2023-05-29T10:46:07Z</dcterms:modified>
  <dc:title>关于《深圳市公共租赁住房申请家庭经济状况核对和认定实施细则（征求意见稿）》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23F2AFD9C8A54C41B18E7F68CA2CF625</vt:lpwstr>
  </property>
</Properties>
</file>