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期知识产权质押融资入园惠企活动议程</w:t>
      </w:r>
    </w:p>
    <w:p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4"/>
        <w:tblW w:w="8297" w:type="dxa"/>
        <w:tblInd w:w="1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695"/>
        <w:gridCol w:w="29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Cs/>
                <w:color w:val="424242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培训时间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-SA"/>
              </w:rPr>
              <w:t>2023年5月16日（周二）14:30-17:00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培训地址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</w:rPr>
              <w:t>深圳市福田区华富街道莲花一村社区彩田路7018号新浩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/>
              </w:rPr>
              <w:t>e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</w:rPr>
              <w:t>都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/>
              </w:rPr>
              <w:t>B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</w:rPr>
              <w:t>座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sz w:val="24"/>
                <w:lang w:val="en-US" w:eastAsia="zh-CN"/>
              </w:rPr>
              <w:t>科创e站一楼路演厅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时间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bCs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议程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主讲单位/主讲人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14:00-14:30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签到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0-1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  <w:lang w:eastAsia="zh-CN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主持人</w:t>
            </w: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开场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5-1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领导</w:t>
            </w:r>
            <w:r>
              <w:rPr>
                <w:rStyle w:val="6"/>
                <w:rFonts w:hint="default" w:ascii="仿宋" w:hAnsi="仿宋" w:eastAsia="仿宋" w:cs="仿宋"/>
                <w:color w:val="424242"/>
              </w:rPr>
              <w:t>致辞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深圳市知识产权局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-15: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惠企政策宣讲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福田区科创局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-15: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市场展望：知识产权金融服务助力创新发展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平安集团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-15: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b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上台</w:t>
            </w: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签约</w:t>
            </w:r>
            <w:r>
              <w:rPr>
                <w:rStyle w:val="6"/>
                <w:rFonts w:hint="default" w:ascii="仿宋" w:hAnsi="仿宋" w:eastAsia="仿宋" w:cs="仿宋"/>
                <w:color w:val="424242"/>
              </w:rPr>
              <w:t>：平安&amp;超凡</w:t>
            </w: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签订知识产权质押融资银企合作协议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平安银行</w:t>
            </w: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与</w:t>
            </w:r>
            <w:r>
              <w:rPr>
                <w:rStyle w:val="6"/>
                <w:rFonts w:hint="default" w:ascii="仿宋" w:hAnsi="仿宋" w:eastAsia="仿宋" w:cs="仿宋"/>
                <w:color w:val="424242"/>
              </w:rPr>
              <w:t>超凡知识产权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15: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产品发布：超凡x平安专利贷产品发布宣讲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平安银行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-1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数字赋能：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深圳市知识产权金融公共服务平台</w:t>
            </w: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服务介绍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深圳市知识产权金融协会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-16:</w:t>
            </w: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沙龙分享：全视角下，高价值专利培育与布局指南（拟）</w:t>
            </w:r>
          </w:p>
        </w:tc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default" w:ascii="仿宋" w:hAnsi="仿宋" w:eastAsia="仿宋" w:cs="仿宋"/>
                <w:color w:val="424242"/>
              </w:rPr>
              <w:t>超凡知识产权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16:30-16:55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现场银企对接及互动交流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424242"/>
                <w:kern w:val="0"/>
                <w:sz w:val="24"/>
                <w:szCs w:val="24"/>
                <w:lang w:val="en-US" w:eastAsia="zh-CN" w:bidi="ar"/>
              </w:rPr>
              <w:t>16:55-17:00</w:t>
            </w:r>
          </w:p>
        </w:tc>
        <w:tc>
          <w:tcPr>
            <w:tcW w:w="6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default" w:ascii="仿宋" w:hAnsi="仿宋" w:eastAsia="仿宋" w:cs="仿宋"/>
                <w:color w:val="424242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lang w:val="en-US" w:eastAsia="zh-CN"/>
              </w:rPr>
              <w:t>活动总结</w:t>
            </w:r>
          </w:p>
        </w:tc>
      </w:tr>
    </w:tbl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drawing>
          <wp:inline distT="0" distB="0" distL="114300" distR="114300">
            <wp:extent cx="1885950" cy="1885950"/>
            <wp:effectExtent l="0" t="0" r="0" b="0"/>
            <wp:docPr id="1" name="图片 1" descr="a74660161527b1fc135b89d2b58900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4660161527b1fc135b89d2b58900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0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E0334"/>
    <w:rsid w:val="61CE0334"/>
    <w:rsid w:val="FFBF9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0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2023-05-12T18:17:00Z</dcterms:created>
  <dc:creator>WANGQW</dc:creator>
  <cp:lastModifiedBy>WANGQW</cp:lastModifiedBy>
  <dcterms:modified xsi:type="dcterms:W3CDTF">2023-05-12T11:53:27Z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