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7" w:line="219" w:lineRule="auto"/>
        <w:jc w:val="center"/>
        <w:rPr>
          <w:rFonts w:ascii="宋体" w:hAnsi="宋体" w:cs="宋体"/>
          <w:b/>
          <w:bCs/>
          <w:spacing w:val="-16"/>
          <w:sz w:val="28"/>
          <w:szCs w:val="28"/>
        </w:rPr>
      </w:pPr>
      <w:bookmarkStart w:id="0" w:name="_Toc410738974"/>
      <w:bookmarkStart w:id="1" w:name="_Toc416770251"/>
      <w:bookmarkStart w:id="2" w:name="_Toc410736175"/>
      <w:bookmarkStart w:id="3" w:name="_Toc379872472"/>
      <w:bookmarkStart w:id="4" w:name="_Toc416771361"/>
      <w:bookmarkStart w:id="5" w:name="_Toc504568710"/>
      <w:bookmarkStart w:id="17" w:name="_GoBack"/>
      <w:bookmarkEnd w:id="17"/>
      <w:r>
        <w:rPr>
          <w:rFonts w:ascii="宋体" w:hAnsi="宋体" w:cs="宋体"/>
          <w:b/>
          <w:bCs/>
          <w:spacing w:val="-14"/>
          <w:sz w:val="28"/>
          <w:szCs w:val="28"/>
        </w:rPr>
        <w:t>广东省第三届职业技能大赛深圳</w:t>
      </w:r>
      <w:r>
        <w:rPr>
          <w:rFonts w:ascii="宋体" w:hAnsi="宋体" w:cs="宋体"/>
          <w:b/>
          <w:bCs/>
          <w:spacing w:val="-16"/>
          <w:sz w:val="28"/>
          <w:szCs w:val="28"/>
        </w:rPr>
        <w:t>集中比赛</w:t>
      </w:r>
    </w:p>
    <w:p>
      <w:pPr>
        <w:spacing w:before="147" w:line="219" w:lineRule="auto"/>
        <w:jc w:val="center"/>
        <w:rPr>
          <w:rFonts w:hint="eastAsia" w:ascii="宋体" w:hAnsi="宋体" w:cs="宋体"/>
          <w:sz w:val="28"/>
          <w:szCs w:val="28"/>
        </w:rPr>
      </w:pPr>
      <w:r>
        <w:rPr>
          <w:rFonts w:hint="eastAsia" w:ascii="宋体" w:hAnsi="宋体" w:cs="宋体"/>
          <w:b/>
          <w:bCs/>
          <w:color w:val="auto"/>
          <w:spacing w:val="-16"/>
          <w:sz w:val="28"/>
          <w:szCs w:val="28"/>
          <w:lang w:eastAsia="zh-CN"/>
        </w:rPr>
        <w:t>数字建造项目</w:t>
      </w:r>
      <w:r>
        <w:rPr>
          <w:rFonts w:ascii="宋体" w:hAnsi="宋体" w:cs="宋体"/>
          <w:b/>
          <w:bCs/>
          <w:color w:val="auto"/>
          <w:spacing w:val="-16"/>
          <w:sz w:val="28"/>
          <w:szCs w:val="28"/>
        </w:rPr>
        <w:t>设备设</w:t>
      </w:r>
      <w:r>
        <w:rPr>
          <w:rFonts w:ascii="宋体" w:hAnsi="宋体" w:cs="宋体"/>
          <w:b/>
          <w:bCs/>
          <w:spacing w:val="-16"/>
          <w:sz w:val="28"/>
          <w:szCs w:val="28"/>
        </w:rPr>
        <w:t>施支持单位遴选</w:t>
      </w:r>
      <w:r>
        <w:rPr>
          <w:rFonts w:hint="eastAsia" w:ascii="宋体" w:hAnsi="宋体" w:cs="宋体"/>
          <w:b/>
          <w:bCs/>
          <w:spacing w:val="-16"/>
          <w:sz w:val="28"/>
          <w:szCs w:val="28"/>
        </w:rPr>
        <w:t>公告</w:t>
      </w:r>
    </w:p>
    <w:p>
      <w:pPr>
        <w:spacing w:line="360" w:lineRule="auto"/>
        <w:rPr>
          <w:rFonts w:ascii="宋体" w:hAnsi="宋体"/>
          <w:b/>
          <w:sz w:val="21"/>
          <w:szCs w:val="21"/>
        </w:rPr>
      </w:pPr>
    </w:p>
    <w:p>
      <w:pPr>
        <w:spacing w:line="360" w:lineRule="auto"/>
        <w:rPr>
          <w:rFonts w:ascii="宋体" w:hAnsi="宋体"/>
          <w:b/>
          <w:sz w:val="21"/>
          <w:szCs w:val="21"/>
        </w:rPr>
      </w:pPr>
      <w:r>
        <w:rPr>
          <w:rFonts w:hint="eastAsia" w:ascii="宋体" w:hAnsi="宋体"/>
          <w:b/>
          <w:sz w:val="21"/>
          <w:szCs w:val="21"/>
        </w:rPr>
        <w:t>一、</w:t>
      </w:r>
      <w:r>
        <w:rPr>
          <w:rFonts w:ascii="宋体" w:hAnsi="宋体"/>
          <w:b/>
          <w:sz w:val="21"/>
          <w:szCs w:val="21"/>
        </w:rPr>
        <w:t>项目</w:t>
      </w:r>
      <w:r>
        <w:rPr>
          <w:rFonts w:hint="eastAsia" w:ascii="宋体" w:hAnsi="宋体"/>
          <w:b/>
          <w:sz w:val="21"/>
          <w:szCs w:val="21"/>
        </w:rPr>
        <w:t>描述</w:t>
      </w:r>
    </w:p>
    <w:p>
      <w:pPr>
        <w:snapToGrid w:val="0"/>
        <w:spacing w:line="360" w:lineRule="auto"/>
        <w:ind w:firstLine="421" w:firstLineChars="200"/>
        <w:rPr>
          <w:rFonts w:ascii="宋体" w:hAnsi="宋体" w:cs="宋体"/>
          <w:sz w:val="21"/>
          <w:szCs w:val="21"/>
        </w:rPr>
      </w:pPr>
      <w:r>
        <w:rPr>
          <w:rFonts w:hint="eastAsia" w:ascii="宋体" w:hAnsi="宋体" w:cs="宋体"/>
          <w:b/>
          <w:bCs/>
          <w:sz w:val="21"/>
          <w:szCs w:val="21"/>
        </w:rPr>
        <w:t>1、</w:t>
      </w:r>
      <w:r>
        <w:rPr>
          <w:rFonts w:ascii="宋体" w:hAnsi="宋体" w:cs="宋体"/>
          <w:b/>
          <w:bCs/>
          <w:sz w:val="21"/>
          <w:szCs w:val="21"/>
        </w:rPr>
        <w:t>项目名称</w:t>
      </w:r>
      <w:r>
        <w:rPr>
          <w:rFonts w:hint="eastAsia" w:ascii="宋体" w:hAnsi="宋体" w:cs="宋体"/>
          <w:b/>
          <w:bCs/>
          <w:sz w:val="21"/>
          <w:szCs w:val="21"/>
        </w:rPr>
        <w:t>：</w:t>
      </w:r>
      <w:r>
        <w:rPr>
          <w:rFonts w:hint="eastAsia" w:ascii="宋体" w:hAnsi="宋体" w:cs="宋体"/>
          <w:sz w:val="21"/>
          <w:szCs w:val="21"/>
        </w:rPr>
        <w:t>广东省第三届职业技能大赛深圳集中比</w:t>
      </w:r>
      <w:r>
        <w:rPr>
          <w:rFonts w:hint="eastAsia" w:ascii="宋体" w:hAnsi="宋体" w:cs="宋体"/>
          <w:sz w:val="21"/>
          <w:szCs w:val="21"/>
          <w:lang w:eastAsia="zh-CN"/>
        </w:rPr>
        <w:t>数字建造</w:t>
      </w:r>
      <w:r>
        <w:rPr>
          <w:rFonts w:hint="eastAsia" w:ascii="宋体" w:hAnsi="宋体" w:cs="宋体"/>
          <w:sz w:val="21"/>
          <w:szCs w:val="21"/>
        </w:rPr>
        <w:t>项目设备设施支持单位遴选。</w:t>
      </w:r>
    </w:p>
    <w:p>
      <w:pPr>
        <w:snapToGrid w:val="0"/>
        <w:spacing w:line="360" w:lineRule="auto"/>
        <w:ind w:firstLine="421" w:firstLineChars="200"/>
        <w:rPr>
          <w:rFonts w:ascii="宋体" w:hAnsi="宋体" w:cs="宋体"/>
          <w:sz w:val="21"/>
          <w:szCs w:val="21"/>
        </w:rPr>
      </w:pPr>
      <w:r>
        <w:rPr>
          <w:rFonts w:hint="eastAsia" w:ascii="宋体" w:hAnsi="宋体" w:cs="宋体"/>
          <w:b/>
          <w:bCs/>
          <w:sz w:val="21"/>
          <w:szCs w:val="21"/>
        </w:rPr>
        <w:t>2、</w:t>
      </w:r>
      <w:r>
        <w:rPr>
          <w:rFonts w:ascii="宋体" w:hAnsi="宋体" w:cs="宋体"/>
          <w:b/>
          <w:bCs/>
          <w:sz w:val="21"/>
          <w:szCs w:val="21"/>
        </w:rPr>
        <w:t>项目概况</w:t>
      </w:r>
      <w:r>
        <w:rPr>
          <w:rFonts w:hint="eastAsia" w:ascii="宋体" w:hAnsi="宋体" w:cs="宋体"/>
          <w:b/>
          <w:bCs/>
          <w:sz w:val="21"/>
          <w:szCs w:val="21"/>
        </w:rPr>
        <w:t>：</w:t>
      </w:r>
      <w:r>
        <w:rPr>
          <w:rFonts w:hint="eastAsia" w:ascii="宋体" w:hAnsi="宋体" w:cs="宋体"/>
          <w:sz w:val="21"/>
          <w:szCs w:val="21"/>
        </w:rPr>
        <w:t>广东省第三届职业技能大赛深圳集中比赛计划将于</w:t>
      </w:r>
      <w:r>
        <w:rPr>
          <w:rFonts w:ascii="宋体" w:hAnsi="宋体" w:cs="宋体"/>
          <w:sz w:val="21"/>
          <w:szCs w:val="21"/>
        </w:rPr>
        <w:t>2023年</w:t>
      </w:r>
      <w:r>
        <w:rPr>
          <w:rFonts w:hint="eastAsia" w:ascii="宋体" w:hAnsi="宋体" w:cs="宋体"/>
          <w:sz w:val="21"/>
          <w:szCs w:val="21"/>
        </w:rPr>
        <w:t>5</w:t>
      </w:r>
      <w:r>
        <w:rPr>
          <w:rFonts w:ascii="宋体" w:hAnsi="宋体" w:cs="宋体"/>
          <w:sz w:val="21"/>
          <w:szCs w:val="21"/>
        </w:rPr>
        <w:t>月</w:t>
      </w:r>
      <w:r>
        <w:rPr>
          <w:rFonts w:hint="eastAsia" w:ascii="宋体" w:hAnsi="宋体" w:cs="宋体"/>
          <w:sz w:val="21"/>
          <w:szCs w:val="21"/>
        </w:rPr>
        <w:t>中旬</w:t>
      </w:r>
      <w:r>
        <w:rPr>
          <w:rFonts w:ascii="宋体" w:hAnsi="宋体" w:cs="宋体"/>
          <w:sz w:val="21"/>
          <w:szCs w:val="21"/>
        </w:rPr>
        <w:t>在</w:t>
      </w:r>
      <w:r>
        <w:rPr>
          <w:rFonts w:hint="eastAsia" w:ascii="宋体" w:hAnsi="宋体" w:cs="宋体"/>
          <w:sz w:val="21"/>
          <w:szCs w:val="21"/>
        </w:rPr>
        <w:t>深圳会展中心</w:t>
      </w:r>
      <w:r>
        <w:rPr>
          <w:rFonts w:ascii="宋体" w:hAnsi="宋体" w:cs="宋体"/>
          <w:sz w:val="21"/>
          <w:szCs w:val="21"/>
        </w:rPr>
        <w:t>举行，</w:t>
      </w:r>
      <w:r>
        <w:rPr>
          <w:rFonts w:hint="eastAsia" w:ascii="宋体" w:hAnsi="宋体" w:cs="宋体"/>
          <w:sz w:val="21"/>
          <w:szCs w:val="21"/>
          <w:lang w:eastAsia="zh-CN"/>
        </w:rPr>
        <w:t>数字建造</w:t>
      </w:r>
      <w:r>
        <w:rPr>
          <w:rFonts w:ascii="宋体" w:hAnsi="宋体" w:cs="宋体"/>
          <w:sz w:val="21"/>
          <w:szCs w:val="21"/>
        </w:rPr>
        <w:t>项目赛事实施保障单位为</w:t>
      </w:r>
      <w:r>
        <w:rPr>
          <w:rFonts w:hint="eastAsia" w:ascii="宋体" w:hAnsi="宋体" w:cs="宋体"/>
          <w:sz w:val="21"/>
          <w:szCs w:val="21"/>
          <w:lang w:eastAsia="zh-CN"/>
        </w:rPr>
        <w:t>深圳市装饰行业协会</w:t>
      </w:r>
      <w:r>
        <w:rPr>
          <w:rFonts w:ascii="宋体" w:hAnsi="宋体" w:cs="宋体"/>
          <w:sz w:val="21"/>
          <w:szCs w:val="21"/>
        </w:rPr>
        <w:t>。为保障赛事按计划顺利开展、扩大赛事影响力、节约办赛资金并给予支持单位全面展示企业实力机会，现公开遴选</w:t>
      </w:r>
      <w:r>
        <w:rPr>
          <w:rFonts w:hint="eastAsia" w:ascii="宋体" w:hAnsi="宋体" w:cs="宋体"/>
          <w:sz w:val="21"/>
          <w:szCs w:val="21"/>
          <w:lang w:eastAsia="zh-CN"/>
        </w:rPr>
        <w:t>数字建造</w:t>
      </w:r>
      <w:r>
        <w:rPr>
          <w:rFonts w:hint="eastAsia" w:ascii="宋体" w:hAnsi="宋体" w:cs="宋体"/>
          <w:sz w:val="21"/>
          <w:szCs w:val="21"/>
        </w:rPr>
        <w:t>项目竞赛</w:t>
      </w:r>
      <w:r>
        <w:rPr>
          <w:rFonts w:ascii="宋体" w:hAnsi="宋体" w:cs="宋体"/>
          <w:sz w:val="21"/>
          <w:szCs w:val="21"/>
        </w:rPr>
        <w:t>设备支持单位。</w:t>
      </w:r>
    </w:p>
    <w:p>
      <w:pPr>
        <w:snapToGrid w:val="0"/>
        <w:spacing w:line="360" w:lineRule="auto"/>
        <w:ind w:firstLine="421" w:firstLineChars="200"/>
        <w:rPr>
          <w:rFonts w:hint="eastAsia" w:ascii="宋体" w:hAnsi="宋体"/>
          <w:b/>
          <w:bCs/>
          <w:sz w:val="21"/>
          <w:szCs w:val="21"/>
        </w:rPr>
      </w:pPr>
      <w:r>
        <w:rPr>
          <w:rFonts w:hint="eastAsia" w:ascii="宋体" w:hAnsi="宋体" w:cs="宋体"/>
          <w:b/>
          <w:bCs/>
          <w:sz w:val="21"/>
          <w:szCs w:val="21"/>
        </w:rPr>
        <w:t>3、标的内容及数量</w:t>
      </w:r>
      <w:r>
        <w:rPr>
          <w:rFonts w:hint="eastAsia" w:ascii="宋体" w:hAnsi="宋体"/>
          <w:b/>
          <w:bCs/>
          <w:sz w:val="21"/>
          <w:szCs w:val="21"/>
        </w:rPr>
        <w:t>：</w:t>
      </w:r>
    </w:p>
    <w:tbl>
      <w:tblPr>
        <w:tblStyle w:val="3"/>
        <w:tblW w:w="5000" w:type="pct"/>
        <w:jc w:val="center"/>
        <w:tblLayout w:type="fixed"/>
        <w:tblCellMar>
          <w:top w:w="0" w:type="dxa"/>
          <w:left w:w="108" w:type="dxa"/>
          <w:bottom w:w="0" w:type="dxa"/>
          <w:right w:w="108" w:type="dxa"/>
        </w:tblCellMar>
      </w:tblPr>
      <w:tblGrid>
        <w:gridCol w:w="534"/>
        <w:gridCol w:w="1924"/>
        <w:gridCol w:w="6014"/>
        <w:gridCol w:w="958"/>
      </w:tblGrid>
      <w:tr>
        <w:tblPrEx>
          <w:tblCellMar>
            <w:top w:w="0" w:type="dxa"/>
            <w:left w:w="108" w:type="dxa"/>
            <w:bottom w:w="0" w:type="dxa"/>
            <w:right w:w="108" w:type="dxa"/>
          </w:tblCellMar>
        </w:tblPrEx>
        <w:trPr>
          <w:trHeight w:val="397" w:hRule="atLeast"/>
          <w:jc w:val="center"/>
        </w:trPr>
        <w:tc>
          <w:tcPr>
            <w:tcW w:w="283"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仿宋_GB2312"/>
                <w:b/>
                <w:bCs/>
                <w:sz w:val="21"/>
                <w:szCs w:val="21"/>
              </w:rPr>
            </w:pPr>
            <w:r>
              <w:rPr>
                <w:rFonts w:hint="eastAsia" w:ascii="宋体" w:hAnsi="宋体" w:cs="仿宋_GB2312"/>
                <w:b/>
                <w:bCs/>
                <w:sz w:val="21"/>
                <w:szCs w:val="21"/>
              </w:rPr>
              <w:t>序</w:t>
            </w:r>
            <w:r>
              <w:rPr>
                <w:rFonts w:ascii="宋体" w:hAnsi="宋体" w:cs="仿宋_GB2312"/>
                <w:b/>
                <w:bCs/>
                <w:sz w:val="21"/>
                <w:szCs w:val="21"/>
              </w:rPr>
              <w:t>号</w:t>
            </w:r>
          </w:p>
        </w:tc>
        <w:tc>
          <w:tcPr>
            <w:tcW w:w="1020" w:type="pct"/>
            <w:tcBorders>
              <w:top w:val="single" w:color="auto" w:sz="4" w:space="0"/>
              <w:left w:val="single" w:color="auto" w:sz="4" w:space="0"/>
              <w:bottom w:val="single" w:color="auto" w:sz="4" w:space="0"/>
              <w:right w:val="single" w:color="auto" w:sz="4" w:space="0"/>
            </w:tcBorders>
            <w:noWrap/>
            <w:vAlign w:val="center"/>
          </w:tcPr>
          <w:p>
            <w:pPr>
              <w:snapToGrid w:val="0"/>
              <w:jc w:val="center"/>
              <w:rPr>
                <w:rFonts w:hint="eastAsia" w:ascii="宋体" w:hAnsi="宋体" w:eastAsia="宋体" w:cs="仿宋_GB2312"/>
                <w:b/>
                <w:bCs/>
                <w:sz w:val="21"/>
                <w:szCs w:val="21"/>
                <w:lang w:eastAsia="zh-CN"/>
              </w:rPr>
            </w:pPr>
            <w:r>
              <w:rPr>
                <w:rFonts w:hint="eastAsia" w:ascii="宋体" w:hAnsi="宋体" w:cs="仿宋_GB2312"/>
                <w:b/>
                <w:bCs/>
                <w:sz w:val="21"/>
                <w:szCs w:val="21"/>
                <w:lang w:eastAsia="zh-CN"/>
              </w:rPr>
              <w:t>包组名称</w:t>
            </w:r>
          </w:p>
        </w:tc>
        <w:tc>
          <w:tcPr>
            <w:tcW w:w="3188" w:type="pct"/>
            <w:tcBorders>
              <w:top w:val="single" w:color="auto" w:sz="4" w:space="0"/>
              <w:left w:val="nil"/>
              <w:bottom w:val="single" w:color="auto" w:sz="4" w:space="0"/>
              <w:right w:val="single" w:color="auto" w:sz="4" w:space="0"/>
            </w:tcBorders>
            <w:noWrap/>
            <w:vAlign w:val="center"/>
          </w:tcPr>
          <w:p>
            <w:pPr>
              <w:snapToGrid w:val="0"/>
              <w:jc w:val="center"/>
              <w:rPr>
                <w:rFonts w:hint="eastAsia" w:ascii="宋体" w:hAnsi="宋体" w:eastAsia="宋体" w:cs="仿宋_GB2312"/>
                <w:b/>
                <w:bCs/>
                <w:sz w:val="21"/>
                <w:szCs w:val="21"/>
                <w:lang w:eastAsia="zh-CN"/>
              </w:rPr>
            </w:pPr>
            <w:r>
              <w:rPr>
                <w:rFonts w:hint="eastAsia" w:ascii="宋体" w:hAnsi="宋体" w:cs="仿宋_GB2312"/>
                <w:b/>
                <w:bCs/>
                <w:sz w:val="21"/>
                <w:szCs w:val="21"/>
                <w:lang w:eastAsia="zh-CN"/>
              </w:rPr>
              <w:t>产品名称</w:t>
            </w:r>
          </w:p>
        </w:tc>
        <w:tc>
          <w:tcPr>
            <w:tcW w:w="507" w:type="pct"/>
            <w:tcBorders>
              <w:top w:val="single" w:color="auto" w:sz="4" w:space="0"/>
              <w:left w:val="nil"/>
              <w:bottom w:val="single" w:color="auto" w:sz="4" w:space="0"/>
              <w:right w:val="single" w:color="auto" w:sz="4" w:space="0"/>
            </w:tcBorders>
            <w:noWrap/>
            <w:vAlign w:val="center"/>
          </w:tcPr>
          <w:p>
            <w:pPr>
              <w:snapToGrid w:val="0"/>
              <w:jc w:val="center"/>
              <w:rPr>
                <w:rFonts w:ascii="宋体" w:hAnsi="宋体" w:cs="仿宋_GB2312"/>
                <w:b/>
                <w:bCs/>
                <w:sz w:val="21"/>
                <w:szCs w:val="21"/>
              </w:rPr>
            </w:pPr>
            <w:r>
              <w:rPr>
                <w:rFonts w:hint="eastAsia" w:ascii="宋体" w:hAnsi="宋体" w:cs="仿宋_GB2312"/>
                <w:b/>
                <w:bCs/>
                <w:sz w:val="21"/>
                <w:szCs w:val="21"/>
              </w:rPr>
              <w:t>数量</w:t>
            </w:r>
          </w:p>
          <w:p>
            <w:pPr>
              <w:snapToGrid w:val="0"/>
              <w:jc w:val="center"/>
              <w:rPr>
                <w:rFonts w:ascii="宋体" w:hAnsi="宋体" w:cs="仿宋_GB2312"/>
                <w:b/>
                <w:bCs/>
                <w:sz w:val="21"/>
                <w:szCs w:val="21"/>
              </w:rPr>
            </w:pPr>
            <w:r>
              <w:rPr>
                <w:rFonts w:hint="eastAsia" w:ascii="宋体" w:hAnsi="宋体" w:cs="仿宋_GB2312"/>
                <w:b/>
                <w:bCs/>
                <w:sz w:val="21"/>
                <w:szCs w:val="21"/>
              </w:rPr>
              <w:t>（节点）</w:t>
            </w:r>
          </w:p>
        </w:tc>
      </w:tr>
      <w:tr>
        <w:tblPrEx>
          <w:tblCellMar>
            <w:top w:w="0" w:type="dxa"/>
            <w:left w:w="108" w:type="dxa"/>
            <w:bottom w:w="0" w:type="dxa"/>
            <w:right w:w="108" w:type="dxa"/>
          </w:tblCellMar>
        </w:tblPrEx>
        <w:trPr>
          <w:trHeight w:val="397" w:hRule="atLeast"/>
          <w:jc w:val="center"/>
        </w:trPr>
        <w:tc>
          <w:tcPr>
            <w:tcW w:w="283" w:type="pct"/>
            <w:tcBorders>
              <w:top w:val="single" w:color="auto" w:sz="4" w:space="0"/>
              <w:left w:val="single" w:color="auto" w:sz="4" w:space="0"/>
              <w:bottom w:val="single" w:color="auto" w:sz="4" w:space="0"/>
              <w:right w:val="single" w:color="auto" w:sz="4" w:space="0"/>
            </w:tcBorders>
            <w:noWrap w:val="0"/>
            <w:vAlign w:val="center"/>
          </w:tcPr>
          <w:p>
            <w:pPr>
              <w:numPr>
                <w:ilvl w:val="0"/>
                <w:numId w:val="1"/>
              </w:numPr>
              <w:snapToGrid w:val="0"/>
              <w:jc w:val="center"/>
              <w:rPr>
                <w:rFonts w:hint="eastAsia" w:ascii="宋体" w:hAnsi="宋体" w:cs="仿宋_GB2312"/>
                <w:sz w:val="21"/>
                <w:szCs w:val="21"/>
                <w:shd w:val="clear" w:color="auto" w:fill="FFFFFF"/>
              </w:rPr>
            </w:pPr>
          </w:p>
        </w:tc>
        <w:tc>
          <w:tcPr>
            <w:tcW w:w="1020" w:type="pct"/>
            <w:tcBorders>
              <w:top w:val="single" w:color="auto" w:sz="4" w:space="0"/>
              <w:left w:val="single" w:color="auto" w:sz="4" w:space="0"/>
              <w:bottom w:val="single" w:color="auto" w:sz="4" w:space="0"/>
              <w:right w:val="single" w:color="auto" w:sz="4" w:space="0"/>
            </w:tcBorders>
            <w:noWrap/>
            <w:vAlign w:val="center"/>
          </w:tcPr>
          <w:p>
            <w:pPr>
              <w:snapToGrid w:val="0"/>
              <w:jc w:val="center"/>
              <w:rPr>
                <w:rFonts w:hint="eastAsia" w:ascii="宋体" w:hAnsi="宋体" w:cs="仿宋_GB2312"/>
                <w:sz w:val="21"/>
                <w:szCs w:val="21"/>
              </w:rPr>
            </w:pPr>
            <w:r>
              <w:rPr>
                <w:rFonts w:hint="eastAsia"/>
                <w:color w:val="000000"/>
                <w:sz w:val="21"/>
                <w:szCs w:val="21"/>
                <w:lang w:eastAsia="zh-CN"/>
              </w:rPr>
              <w:t>子包</w:t>
            </w:r>
            <w:r>
              <w:rPr>
                <w:rFonts w:hint="eastAsia"/>
                <w:color w:val="000000"/>
                <w:sz w:val="21"/>
                <w:szCs w:val="21"/>
                <w:lang w:val="en-US" w:eastAsia="zh-CN"/>
              </w:rPr>
              <w:t>1-</w:t>
            </w:r>
            <w:r>
              <w:rPr>
                <w:rFonts w:hint="eastAsia"/>
                <w:color w:val="000000"/>
                <w:sz w:val="21"/>
                <w:szCs w:val="21"/>
              </w:rPr>
              <w:t>建模软件</w:t>
            </w:r>
          </w:p>
        </w:tc>
        <w:tc>
          <w:tcPr>
            <w:tcW w:w="3188" w:type="pct"/>
            <w:tcBorders>
              <w:top w:val="single" w:color="auto" w:sz="4" w:space="0"/>
              <w:left w:val="nil"/>
              <w:bottom w:val="single" w:color="auto" w:sz="4" w:space="0"/>
              <w:right w:val="single" w:color="auto" w:sz="4" w:space="0"/>
            </w:tcBorders>
            <w:noWrap/>
            <w:vAlign w:val="center"/>
          </w:tcPr>
          <w:p>
            <w:pPr>
              <w:snapToGrid w:val="0"/>
              <w:rPr>
                <w:rFonts w:hint="eastAsia"/>
                <w:color w:val="000000"/>
                <w:sz w:val="21"/>
                <w:szCs w:val="21"/>
              </w:rPr>
            </w:pPr>
            <w:r>
              <w:rPr>
                <w:rFonts w:hint="eastAsia"/>
                <w:color w:val="000000"/>
                <w:sz w:val="21"/>
                <w:szCs w:val="21"/>
              </w:rPr>
              <w:t>建模软件</w:t>
            </w:r>
          </w:p>
        </w:tc>
        <w:tc>
          <w:tcPr>
            <w:tcW w:w="507" w:type="pct"/>
            <w:tcBorders>
              <w:top w:val="single" w:color="auto" w:sz="4" w:space="0"/>
              <w:left w:val="nil"/>
              <w:bottom w:val="single" w:color="auto" w:sz="4" w:space="0"/>
              <w:right w:val="single" w:color="auto" w:sz="4" w:space="0"/>
            </w:tcBorders>
            <w:noWrap/>
            <w:vAlign w:val="center"/>
          </w:tcPr>
          <w:p>
            <w:pPr>
              <w:snapToGrid w:val="0"/>
              <w:jc w:val="center"/>
              <w:rPr>
                <w:rFonts w:hint="eastAsia" w:ascii="宋体" w:hAnsi="宋体" w:cs="仿宋_GB2312"/>
                <w:sz w:val="21"/>
                <w:szCs w:val="21"/>
              </w:rPr>
            </w:pPr>
            <w:r>
              <w:rPr>
                <w:rFonts w:hint="eastAsia" w:ascii="宋体" w:hAnsi="宋体" w:cs="仿宋_GB2312"/>
                <w:sz w:val="21"/>
                <w:szCs w:val="21"/>
              </w:rPr>
              <w:t>20</w:t>
            </w:r>
          </w:p>
        </w:tc>
      </w:tr>
      <w:tr>
        <w:tblPrEx>
          <w:tblCellMar>
            <w:top w:w="0" w:type="dxa"/>
            <w:left w:w="108" w:type="dxa"/>
            <w:bottom w:w="0" w:type="dxa"/>
            <w:right w:w="108" w:type="dxa"/>
          </w:tblCellMar>
        </w:tblPrEx>
        <w:trPr>
          <w:trHeight w:val="397" w:hRule="atLeast"/>
          <w:jc w:val="center"/>
        </w:trPr>
        <w:tc>
          <w:tcPr>
            <w:tcW w:w="283" w:type="pct"/>
            <w:tcBorders>
              <w:top w:val="single" w:color="auto" w:sz="4" w:space="0"/>
              <w:left w:val="single" w:color="auto" w:sz="4" w:space="0"/>
              <w:bottom w:val="single" w:color="auto" w:sz="4" w:space="0"/>
              <w:right w:val="single" w:color="auto" w:sz="4" w:space="0"/>
            </w:tcBorders>
            <w:noWrap w:val="0"/>
            <w:vAlign w:val="center"/>
          </w:tcPr>
          <w:p>
            <w:pPr>
              <w:numPr>
                <w:ilvl w:val="0"/>
                <w:numId w:val="1"/>
              </w:numPr>
              <w:snapToGrid w:val="0"/>
              <w:jc w:val="center"/>
              <w:rPr>
                <w:rFonts w:ascii="宋体" w:hAnsi="宋体" w:cs="仿宋_GB2312"/>
                <w:sz w:val="21"/>
                <w:szCs w:val="21"/>
                <w:shd w:val="clear" w:color="auto" w:fill="FFFFFF"/>
              </w:rPr>
            </w:pPr>
          </w:p>
        </w:tc>
        <w:tc>
          <w:tcPr>
            <w:tcW w:w="1020" w:type="pct"/>
            <w:tcBorders>
              <w:top w:val="single" w:color="auto" w:sz="4" w:space="0"/>
              <w:left w:val="single" w:color="auto" w:sz="4" w:space="0"/>
              <w:bottom w:val="single" w:color="auto" w:sz="4" w:space="0"/>
              <w:right w:val="single" w:color="auto" w:sz="4" w:space="0"/>
            </w:tcBorders>
            <w:noWrap/>
            <w:vAlign w:val="center"/>
          </w:tcPr>
          <w:p>
            <w:pPr>
              <w:snapToGrid w:val="0"/>
              <w:jc w:val="center"/>
              <w:rPr>
                <w:rFonts w:hint="eastAsia" w:ascii="宋体" w:hAnsi="宋体" w:cs="仿宋_GB2312"/>
                <w:sz w:val="21"/>
                <w:szCs w:val="21"/>
              </w:rPr>
            </w:pPr>
            <w:r>
              <w:rPr>
                <w:rFonts w:hint="eastAsia"/>
                <w:color w:val="000000"/>
                <w:sz w:val="21"/>
                <w:szCs w:val="21"/>
                <w:lang w:eastAsia="zh-CN"/>
              </w:rPr>
              <w:t>子包</w:t>
            </w:r>
            <w:r>
              <w:rPr>
                <w:rFonts w:hint="eastAsia"/>
                <w:color w:val="000000"/>
                <w:sz w:val="21"/>
                <w:szCs w:val="21"/>
                <w:lang w:val="en-US" w:eastAsia="zh-CN"/>
              </w:rPr>
              <w:t>2-</w:t>
            </w:r>
            <w:r>
              <w:rPr>
                <w:rFonts w:hint="eastAsia"/>
                <w:color w:val="000000"/>
                <w:sz w:val="21"/>
                <w:szCs w:val="21"/>
              </w:rPr>
              <w:t>可视化和模型协调软件</w:t>
            </w:r>
          </w:p>
        </w:tc>
        <w:tc>
          <w:tcPr>
            <w:tcW w:w="3188" w:type="pct"/>
            <w:tcBorders>
              <w:top w:val="single" w:color="auto" w:sz="4" w:space="0"/>
              <w:left w:val="nil"/>
              <w:bottom w:val="single" w:color="auto" w:sz="4" w:space="0"/>
              <w:right w:val="single" w:color="auto" w:sz="4" w:space="0"/>
            </w:tcBorders>
            <w:noWrap/>
            <w:vAlign w:val="center"/>
          </w:tcPr>
          <w:p>
            <w:pPr>
              <w:snapToGrid w:val="0"/>
              <w:rPr>
                <w:rFonts w:hint="eastAsia" w:ascii="宋体" w:hAnsi="宋体" w:cs="仿宋_GB2312"/>
                <w:sz w:val="21"/>
                <w:szCs w:val="21"/>
              </w:rPr>
            </w:pPr>
            <w:r>
              <w:rPr>
                <w:rFonts w:hint="eastAsia"/>
                <w:color w:val="000000"/>
                <w:sz w:val="21"/>
                <w:szCs w:val="21"/>
              </w:rPr>
              <w:t>可视化和模型协调软件</w:t>
            </w:r>
          </w:p>
        </w:tc>
        <w:tc>
          <w:tcPr>
            <w:tcW w:w="507" w:type="pct"/>
            <w:tcBorders>
              <w:top w:val="single" w:color="auto" w:sz="4" w:space="0"/>
              <w:left w:val="nil"/>
              <w:bottom w:val="single" w:color="auto" w:sz="4" w:space="0"/>
              <w:right w:val="single" w:color="auto" w:sz="4" w:space="0"/>
            </w:tcBorders>
            <w:noWrap/>
            <w:vAlign w:val="center"/>
          </w:tcPr>
          <w:p>
            <w:pPr>
              <w:snapToGrid w:val="0"/>
              <w:jc w:val="center"/>
              <w:rPr>
                <w:rFonts w:hint="eastAsia" w:ascii="宋体" w:hAnsi="宋体" w:cs="仿宋_GB2312"/>
                <w:sz w:val="21"/>
                <w:szCs w:val="21"/>
              </w:rPr>
            </w:pPr>
            <w:r>
              <w:rPr>
                <w:rFonts w:hint="eastAsia" w:ascii="宋体" w:hAnsi="宋体" w:cs="仿宋_GB2312"/>
                <w:sz w:val="21"/>
                <w:szCs w:val="21"/>
              </w:rPr>
              <w:t>20</w:t>
            </w:r>
          </w:p>
        </w:tc>
      </w:tr>
      <w:tr>
        <w:tblPrEx>
          <w:tblCellMar>
            <w:top w:w="0" w:type="dxa"/>
            <w:left w:w="108" w:type="dxa"/>
            <w:bottom w:w="0" w:type="dxa"/>
            <w:right w:w="108" w:type="dxa"/>
          </w:tblCellMar>
        </w:tblPrEx>
        <w:trPr>
          <w:trHeight w:val="397" w:hRule="atLeast"/>
          <w:jc w:val="center"/>
        </w:trPr>
        <w:tc>
          <w:tcPr>
            <w:tcW w:w="283" w:type="pct"/>
            <w:tcBorders>
              <w:top w:val="single" w:color="auto" w:sz="4" w:space="0"/>
              <w:left w:val="single" w:color="auto" w:sz="4" w:space="0"/>
              <w:bottom w:val="single" w:color="auto" w:sz="4" w:space="0"/>
              <w:right w:val="single" w:color="auto" w:sz="4" w:space="0"/>
            </w:tcBorders>
            <w:noWrap w:val="0"/>
            <w:vAlign w:val="center"/>
          </w:tcPr>
          <w:p>
            <w:pPr>
              <w:numPr>
                <w:ilvl w:val="0"/>
                <w:numId w:val="1"/>
              </w:numPr>
              <w:snapToGrid w:val="0"/>
              <w:jc w:val="center"/>
              <w:rPr>
                <w:rFonts w:ascii="宋体" w:hAnsi="宋体" w:cs="仿宋_GB2312"/>
                <w:sz w:val="21"/>
                <w:szCs w:val="21"/>
                <w:shd w:val="clear" w:color="auto" w:fill="FFFFFF"/>
              </w:rPr>
            </w:pPr>
          </w:p>
        </w:tc>
        <w:tc>
          <w:tcPr>
            <w:tcW w:w="1020" w:type="pct"/>
            <w:tcBorders>
              <w:top w:val="single" w:color="auto" w:sz="4" w:space="0"/>
              <w:left w:val="single" w:color="auto" w:sz="4" w:space="0"/>
              <w:bottom w:val="single" w:color="auto" w:sz="4" w:space="0"/>
              <w:right w:val="single" w:color="auto" w:sz="4" w:space="0"/>
            </w:tcBorders>
            <w:noWrap/>
            <w:vAlign w:val="center"/>
          </w:tcPr>
          <w:p>
            <w:pPr>
              <w:snapToGrid w:val="0"/>
              <w:jc w:val="center"/>
              <w:rPr>
                <w:rFonts w:hint="eastAsia" w:ascii="宋体" w:hAnsi="宋体" w:cs="仿宋_GB2312"/>
                <w:sz w:val="21"/>
                <w:szCs w:val="21"/>
              </w:rPr>
            </w:pPr>
            <w:r>
              <w:rPr>
                <w:rFonts w:hint="eastAsia"/>
                <w:color w:val="000000"/>
                <w:sz w:val="21"/>
                <w:szCs w:val="21"/>
                <w:lang w:eastAsia="zh-CN"/>
              </w:rPr>
              <w:t>子包</w:t>
            </w:r>
            <w:r>
              <w:rPr>
                <w:rFonts w:hint="eastAsia"/>
                <w:color w:val="000000"/>
                <w:sz w:val="21"/>
                <w:szCs w:val="21"/>
                <w:lang w:val="en-US" w:eastAsia="zh-CN"/>
              </w:rPr>
              <w:t>3-</w:t>
            </w:r>
            <w:r>
              <w:rPr>
                <w:rFonts w:hint="eastAsia"/>
                <w:color w:val="000000"/>
                <w:sz w:val="21"/>
                <w:szCs w:val="21"/>
              </w:rPr>
              <w:t>云协作平台</w:t>
            </w:r>
          </w:p>
        </w:tc>
        <w:tc>
          <w:tcPr>
            <w:tcW w:w="3188" w:type="pct"/>
            <w:tcBorders>
              <w:top w:val="single" w:color="auto" w:sz="4" w:space="0"/>
              <w:left w:val="nil"/>
              <w:bottom w:val="single" w:color="auto" w:sz="4" w:space="0"/>
              <w:right w:val="single" w:color="auto" w:sz="4" w:space="0"/>
            </w:tcBorders>
            <w:noWrap/>
            <w:vAlign w:val="center"/>
          </w:tcPr>
          <w:p>
            <w:pPr>
              <w:snapToGrid w:val="0"/>
              <w:rPr>
                <w:rFonts w:hint="eastAsia" w:ascii="宋体" w:hAnsi="宋体" w:cs="仿宋_GB2312"/>
                <w:sz w:val="21"/>
                <w:szCs w:val="21"/>
              </w:rPr>
            </w:pPr>
            <w:r>
              <w:rPr>
                <w:rFonts w:hint="eastAsia"/>
                <w:color w:val="000000"/>
                <w:sz w:val="21"/>
                <w:szCs w:val="21"/>
              </w:rPr>
              <w:t>云协作平台</w:t>
            </w:r>
          </w:p>
        </w:tc>
        <w:tc>
          <w:tcPr>
            <w:tcW w:w="507" w:type="pct"/>
            <w:tcBorders>
              <w:top w:val="single" w:color="auto" w:sz="4" w:space="0"/>
              <w:left w:val="nil"/>
              <w:bottom w:val="single" w:color="auto" w:sz="4" w:space="0"/>
              <w:right w:val="single" w:color="auto" w:sz="4" w:space="0"/>
            </w:tcBorders>
            <w:noWrap/>
            <w:vAlign w:val="center"/>
          </w:tcPr>
          <w:p>
            <w:pPr>
              <w:snapToGrid w:val="0"/>
              <w:jc w:val="center"/>
              <w:rPr>
                <w:rFonts w:hint="eastAsia" w:ascii="宋体" w:hAnsi="宋体" w:cs="仿宋_GB2312"/>
                <w:sz w:val="21"/>
                <w:szCs w:val="21"/>
              </w:rPr>
            </w:pPr>
            <w:r>
              <w:rPr>
                <w:rFonts w:hint="eastAsia" w:ascii="宋体" w:hAnsi="宋体" w:cs="仿宋_GB2312"/>
                <w:sz w:val="21"/>
                <w:szCs w:val="21"/>
              </w:rPr>
              <w:t>20</w:t>
            </w:r>
          </w:p>
        </w:tc>
      </w:tr>
    </w:tbl>
    <w:p>
      <w:pPr>
        <w:pStyle w:val="2"/>
      </w:pPr>
    </w:p>
    <w:p>
      <w:pPr>
        <w:snapToGrid w:val="0"/>
        <w:spacing w:before="120" w:beforeLines="50" w:line="360" w:lineRule="auto"/>
        <w:ind w:firstLine="421" w:firstLineChars="200"/>
        <w:rPr>
          <w:rFonts w:ascii="宋体" w:hAnsi="宋体" w:cs="宋体"/>
          <w:sz w:val="21"/>
          <w:szCs w:val="21"/>
        </w:rPr>
      </w:pPr>
      <w:bookmarkStart w:id="6" w:name="_Hlk130808062"/>
      <w:bookmarkStart w:id="7" w:name="_Toc414367656"/>
      <w:r>
        <w:rPr>
          <w:rFonts w:ascii="宋体" w:hAnsi="宋体" w:cs="宋体"/>
          <w:b/>
          <w:bCs/>
          <w:sz w:val="21"/>
          <w:szCs w:val="21"/>
        </w:rPr>
        <w:t>4</w:t>
      </w:r>
      <w:r>
        <w:rPr>
          <w:rFonts w:hint="eastAsia" w:ascii="宋体" w:hAnsi="宋体" w:cs="宋体"/>
          <w:b/>
          <w:bCs/>
          <w:sz w:val="21"/>
          <w:szCs w:val="21"/>
        </w:rPr>
        <w:t>、</w:t>
      </w:r>
      <w:r>
        <w:rPr>
          <w:rFonts w:ascii="宋体" w:hAnsi="宋体" w:cs="宋体"/>
          <w:b/>
          <w:bCs/>
          <w:sz w:val="21"/>
          <w:szCs w:val="21"/>
        </w:rPr>
        <w:t>遴选方式：</w:t>
      </w:r>
      <w:r>
        <w:rPr>
          <w:rFonts w:ascii="宋体" w:hAnsi="宋体" w:cs="宋体"/>
          <w:sz w:val="21"/>
          <w:szCs w:val="21"/>
        </w:rPr>
        <w:t>公开征集</w:t>
      </w:r>
      <w:r>
        <w:rPr>
          <w:rFonts w:hint="eastAsia" w:ascii="宋体" w:hAnsi="宋体" w:cs="宋体"/>
          <w:sz w:val="21"/>
          <w:szCs w:val="21"/>
        </w:rPr>
        <w:t>。</w:t>
      </w:r>
    </w:p>
    <w:bookmarkEnd w:id="6"/>
    <w:p>
      <w:pPr>
        <w:snapToGrid w:val="0"/>
        <w:spacing w:line="360" w:lineRule="auto"/>
        <w:ind w:firstLine="421" w:firstLineChars="200"/>
        <w:rPr>
          <w:rFonts w:ascii="宋体" w:hAnsi="宋体" w:cs="宋体"/>
          <w:sz w:val="21"/>
          <w:szCs w:val="21"/>
        </w:rPr>
      </w:pPr>
      <w:r>
        <w:rPr>
          <w:rFonts w:hint="eastAsia" w:ascii="宋体" w:hAnsi="宋体" w:cs="宋体"/>
          <w:b/>
          <w:bCs/>
          <w:sz w:val="21"/>
          <w:szCs w:val="21"/>
        </w:rPr>
        <w:t>5、</w:t>
      </w:r>
      <w:r>
        <w:rPr>
          <w:rFonts w:ascii="宋体" w:hAnsi="宋体" w:cs="宋体"/>
          <w:b/>
          <w:bCs/>
          <w:sz w:val="21"/>
          <w:szCs w:val="21"/>
        </w:rPr>
        <w:t>合同履行期限：</w:t>
      </w:r>
      <w:r>
        <w:rPr>
          <w:rFonts w:ascii="宋体" w:hAnsi="宋体" w:cs="宋体"/>
          <w:sz w:val="21"/>
          <w:szCs w:val="21"/>
        </w:rPr>
        <w:t>自合同</w:t>
      </w:r>
      <w:r>
        <w:rPr>
          <w:rFonts w:hint="eastAsia" w:ascii="宋体" w:hAnsi="宋体" w:cs="宋体"/>
          <w:sz w:val="21"/>
          <w:szCs w:val="21"/>
        </w:rPr>
        <w:t>签订之日</w:t>
      </w:r>
      <w:r>
        <w:rPr>
          <w:rFonts w:ascii="宋体" w:hAnsi="宋体" w:cs="宋体"/>
          <w:sz w:val="21"/>
          <w:szCs w:val="21"/>
        </w:rPr>
        <w:t>起至“</w:t>
      </w:r>
      <w:r>
        <w:rPr>
          <w:rFonts w:hint="eastAsia" w:ascii="宋体" w:hAnsi="宋体" w:cs="宋体"/>
          <w:sz w:val="21"/>
          <w:szCs w:val="21"/>
        </w:rPr>
        <w:t>广东省第三届职业技能大赛深圳集中比赛</w:t>
      </w:r>
      <w:r>
        <w:rPr>
          <w:rFonts w:ascii="宋体" w:hAnsi="宋体" w:cs="宋体"/>
          <w:sz w:val="21"/>
          <w:szCs w:val="21"/>
        </w:rPr>
        <w:t>”</w:t>
      </w:r>
      <w:r>
        <w:rPr>
          <w:rFonts w:hint="eastAsia" w:ascii="宋体" w:hAnsi="宋体" w:cs="宋体"/>
          <w:sz w:val="21"/>
          <w:szCs w:val="21"/>
        </w:rPr>
        <w:t>结束</w:t>
      </w:r>
      <w:r>
        <w:rPr>
          <w:rFonts w:ascii="宋体" w:hAnsi="宋体" w:cs="宋体"/>
          <w:sz w:val="21"/>
          <w:szCs w:val="21"/>
        </w:rPr>
        <w:t>。</w:t>
      </w:r>
    </w:p>
    <w:p>
      <w:pPr>
        <w:snapToGrid w:val="0"/>
        <w:spacing w:line="360" w:lineRule="auto"/>
        <w:ind w:firstLine="421" w:firstLineChars="200"/>
        <w:rPr>
          <w:rFonts w:ascii="宋体" w:hAnsi="宋体" w:cs="宋体"/>
          <w:sz w:val="21"/>
          <w:szCs w:val="21"/>
        </w:rPr>
      </w:pPr>
      <w:r>
        <w:rPr>
          <w:rFonts w:hint="eastAsia" w:ascii="宋体" w:hAnsi="宋体" w:cs="宋体"/>
          <w:b/>
          <w:bCs/>
          <w:sz w:val="21"/>
          <w:szCs w:val="21"/>
        </w:rPr>
        <w:t>6、投标说明：</w:t>
      </w:r>
      <w:r>
        <w:rPr>
          <w:rFonts w:hint="eastAsia" w:ascii="宋体" w:hAnsi="宋体" w:cs="宋体"/>
          <w:sz w:val="21"/>
          <w:szCs w:val="21"/>
        </w:rPr>
        <w:t>本项目共分</w:t>
      </w:r>
      <w:r>
        <w:rPr>
          <w:rFonts w:hint="eastAsia" w:ascii="宋体" w:hAnsi="宋体" w:cs="宋体"/>
          <w:sz w:val="21"/>
          <w:szCs w:val="21"/>
          <w:lang w:val="en-US" w:eastAsia="zh-CN"/>
        </w:rPr>
        <w:t>3</w:t>
      </w:r>
      <w:r>
        <w:rPr>
          <w:rFonts w:hint="eastAsia" w:ascii="宋体" w:hAnsi="宋体" w:cs="宋体"/>
          <w:sz w:val="21"/>
          <w:szCs w:val="21"/>
        </w:rPr>
        <w:t>个包组，投标人可兼投兼中，合格的投标人应对所投包组内所有采购货物和服务进行投标响应，不允许只对所投包组内部分货物和服务进行投标响应。</w:t>
      </w:r>
    </w:p>
    <w:p>
      <w:pPr>
        <w:spacing w:line="360" w:lineRule="auto"/>
        <w:rPr>
          <w:rFonts w:ascii="宋体" w:hAnsi="宋体"/>
          <w:b/>
          <w:sz w:val="21"/>
          <w:szCs w:val="21"/>
        </w:rPr>
      </w:pPr>
      <w:r>
        <w:rPr>
          <w:rFonts w:hint="eastAsia" w:ascii="宋体" w:hAnsi="宋体"/>
          <w:b/>
          <w:sz w:val="21"/>
          <w:szCs w:val="21"/>
        </w:rPr>
        <w:t>二</w:t>
      </w:r>
      <w:r>
        <w:rPr>
          <w:rFonts w:ascii="宋体" w:hAnsi="宋体"/>
          <w:b/>
          <w:sz w:val="21"/>
          <w:szCs w:val="21"/>
        </w:rPr>
        <w:t>、</w:t>
      </w:r>
      <w:r>
        <w:rPr>
          <w:rFonts w:hint="eastAsia" w:ascii="宋体" w:hAnsi="宋体"/>
          <w:b/>
          <w:sz w:val="21"/>
          <w:szCs w:val="21"/>
        </w:rPr>
        <w:t>参加遴选的竞赛设备设施支持单位资格要求</w:t>
      </w:r>
    </w:p>
    <w:p>
      <w:pPr>
        <w:snapToGrid w:val="0"/>
        <w:spacing w:line="360" w:lineRule="auto"/>
        <w:ind w:firstLine="420" w:firstLineChars="200"/>
        <w:rPr>
          <w:rFonts w:ascii="宋体" w:hAnsi="宋体" w:cs="宋体"/>
          <w:sz w:val="21"/>
          <w:szCs w:val="21"/>
        </w:rPr>
      </w:pPr>
      <w:r>
        <w:rPr>
          <w:rFonts w:ascii="宋体" w:hAnsi="宋体" w:cs="宋体"/>
          <w:sz w:val="21"/>
          <w:szCs w:val="21"/>
        </w:rPr>
        <w:t>1、应具备</w:t>
      </w:r>
      <w:r>
        <w:rPr>
          <w:rFonts w:hint="eastAsia" w:ascii="宋体" w:hAnsi="宋体" w:cs="宋体"/>
          <w:sz w:val="21"/>
          <w:szCs w:val="21"/>
          <w:lang w:eastAsia="zh-CN"/>
        </w:rPr>
        <w:t>《中华人民共和国政府采购法》</w:t>
      </w:r>
      <w:r>
        <w:rPr>
          <w:rFonts w:ascii="宋体" w:hAnsi="宋体" w:cs="宋体"/>
          <w:sz w:val="21"/>
          <w:szCs w:val="21"/>
        </w:rPr>
        <w:t>第二十二条规定的条件：</w:t>
      </w:r>
    </w:p>
    <w:p>
      <w:pPr>
        <w:spacing w:line="360" w:lineRule="auto"/>
        <w:ind w:firstLine="420" w:firstLineChars="200"/>
        <w:rPr>
          <w:rFonts w:ascii="宋体" w:hAnsi="宋体"/>
          <w:sz w:val="21"/>
          <w:szCs w:val="21"/>
        </w:rPr>
      </w:pPr>
      <w:r>
        <w:rPr>
          <w:rFonts w:hint="eastAsia" w:ascii="宋体" w:hAnsi="宋体"/>
          <w:sz w:val="21"/>
          <w:szCs w:val="21"/>
        </w:rPr>
        <w:t>（1）具有独立承担民事责任的能力；</w:t>
      </w:r>
    </w:p>
    <w:p>
      <w:pPr>
        <w:spacing w:line="360" w:lineRule="auto"/>
        <w:ind w:firstLine="420" w:firstLineChars="200"/>
        <w:rPr>
          <w:rFonts w:ascii="宋体" w:hAnsi="宋体"/>
          <w:sz w:val="21"/>
          <w:szCs w:val="21"/>
        </w:rPr>
      </w:pPr>
      <w:r>
        <w:rPr>
          <w:rFonts w:hint="eastAsia" w:ascii="宋体" w:hAnsi="宋体"/>
          <w:sz w:val="21"/>
          <w:szCs w:val="21"/>
        </w:rPr>
        <w:t>（2）具有良好的商业信誉和健全的财务会计制度；</w:t>
      </w:r>
    </w:p>
    <w:p>
      <w:pPr>
        <w:spacing w:line="360" w:lineRule="auto"/>
        <w:ind w:firstLine="420" w:firstLineChars="200"/>
        <w:rPr>
          <w:rFonts w:ascii="宋体" w:hAnsi="宋体"/>
          <w:sz w:val="21"/>
          <w:szCs w:val="21"/>
        </w:rPr>
      </w:pPr>
      <w:r>
        <w:rPr>
          <w:rFonts w:hint="eastAsia" w:ascii="宋体" w:hAnsi="宋体"/>
          <w:sz w:val="21"/>
          <w:szCs w:val="21"/>
        </w:rPr>
        <w:t>（3）具有履行合同所必需的设备和专业技术能力；</w:t>
      </w:r>
    </w:p>
    <w:p>
      <w:pPr>
        <w:spacing w:line="360" w:lineRule="auto"/>
        <w:ind w:firstLine="420" w:firstLineChars="200"/>
        <w:rPr>
          <w:rFonts w:ascii="宋体" w:hAnsi="宋体"/>
          <w:sz w:val="21"/>
          <w:szCs w:val="21"/>
        </w:rPr>
      </w:pPr>
      <w:r>
        <w:rPr>
          <w:rFonts w:hint="eastAsia" w:ascii="宋体" w:hAnsi="宋体"/>
          <w:sz w:val="21"/>
          <w:szCs w:val="21"/>
        </w:rPr>
        <w:t>（4）具有依法缴纳税收和社会保障资金的良好记录；</w:t>
      </w:r>
    </w:p>
    <w:p>
      <w:pPr>
        <w:spacing w:line="360" w:lineRule="auto"/>
        <w:ind w:firstLine="420" w:firstLineChars="200"/>
        <w:rPr>
          <w:rFonts w:ascii="宋体" w:hAnsi="宋体"/>
          <w:sz w:val="21"/>
          <w:szCs w:val="21"/>
        </w:rPr>
      </w:pPr>
      <w:r>
        <w:rPr>
          <w:rFonts w:hint="eastAsia" w:ascii="宋体" w:hAnsi="宋体"/>
          <w:sz w:val="21"/>
          <w:szCs w:val="21"/>
        </w:rPr>
        <w:t>（5）参加本项目采购活动前3年内在经营活动中没有重大违法记录。</w:t>
      </w:r>
    </w:p>
    <w:p>
      <w:pPr>
        <w:snapToGrid w:val="0"/>
        <w:spacing w:line="360" w:lineRule="auto"/>
        <w:ind w:firstLine="420" w:firstLineChars="200"/>
        <w:rPr>
          <w:rFonts w:ascii="宋体" w:hAnsi="宋体" w:cs="宋体"/>
          <w:sz w:val="21"/>
          <w:szCs w:val="21"/>
        </w:rPr>
      </w:pPr>
      <w:r>
        <w:rPr>
          <w:rFonts w:hint="eastAsia" w:ascii="宋体" w:hAnsi="宋体"/>
          <w:sz w:val="21"/>
          <w:szCs w:val="21"/>
        </w:rPr>
        <w:t>（6）符合法律、行政法规规定的其他条件。</w:t>
      </w:r>
    </w:p>
    <w:p>
      <w:pPr>
        <w:snapToGrid w:val="0"/>
        <w:spacing w:line="360" w:lineRule="auto"/>
        <w:ind w:firstLine="420" w:firstLineChars="200"/>
        <w:rPr>
          <w:rFonts w:ascii="宋体" w:hAnsi="宋体" w:cs="宋体"/>
          <w:sz w:val="21"/>
          <w:szCs w:val="21"/>
        </w:rPr>
      </w:pPr>
      <w:r>
        <w:rPr>
          <w:rFonts w:hint="eastAsia" w:ascii="宋体" w:hAnsi="宋体" w:cs="宋体"/>
          <w:sz w:val="21"/>
          <w:szCs w:val="21"/>
        </w:rPr>
        <w:t>2</w:t>
      </w:r>
      <w:r>
        <w:rPr>
          <w:rFonts w:ascii="宋体" w:hAnsi="宋体" w:cs="宋体"/>
          <w:sz w:val="21"/>
          <w:szCs w:val="21"/>
        </w:rPr>
        <w:t>、参选单位及法人代表没有被列入失信被执行人、重大税收违法案件当事人名单、政府采购严重违法失信行为记录名单；</w:t>
      </w:r>
    </w:p>
    <w:p>
      <w:pPr>
        <w:snapToGrid w:val="0"/>
        <w:spacing w:line="360" w:lineRule="auto"/>
        <w:ind w:firstLine="420" w:firstLineChars="200"/>
        <w:rPr>
          <w:rFonts w:ascii="宋体" w:hAnsi="宋体" w:cs="宋体"/>
          <w:sz w:val="21"/>
          <w:szCs w:val="21"/>
        </w:rPr>
      </w:pPr>
      <w:r>
        <w:rPr>
          <w:rFonts w:hint="eastAsia" w:ascii="宋体" w:hAnsi="宋体" w:cs="宋体"/>
          <w:sz w:val="21"/>
          <w:szCs w:val="21"/>
        </w:rPr>
        <w:t>3</w:t>
      </w:r>
      <w:r>
        <w:rPr>
          <w:rFonts w:ascii="宋体" w:hAnsi="宋体" w:cs="宋体"/>
          <w:sz w:val="21"/>
          <w:szCs w:val="21"/>
        </w:rPr>
        <w:t>、本项目</w:t>
      </w:r>
      <w:r>
        <w:rPr>
          <w:rFonts w:hint="eastAsia" w:ascii="宋体" w:hAnsi="宋体" w:cs="宋体"/>
          <w:sz w:val="21"/>
          <w:szCs w:val="21"/>
        </w:rPr>
        <w:t>不</w:t>
      </w:r>
      <w:r>
        <w:rPr>
          <w:rFonts w:ascii="宋体" w:hAnsi="宋体" w:cs="宋体"/>
          <w:sz w:val="21"/>
          <w:szCs w:val="21"/>
        </w:rPr>
        <w:t>允许联合体参选。</w:t>
      </w:r>
    </w:p>
    <w:p>
      <w:pPr>
        <w:snapToGrid w:val="0"/>
        <w:spacing w:line="360" w:lineRule="auto"/>
        <w:ind w:firstLine="420" w:firstLineChars="200"/>
        <w:rPr>
          <w:rFonts w:ascii="宋体" w:hAnsi="宋体" w:cs="宋体"/>
          <w:sz w:val="21"/>
          <w:szCs w:val="21"/>
        </w:rPr>
      </w:pPr>
      <w:r>
        <w:rPr>
          <w:rFonts w:hint="eastAsia" w:ascii="宋体" w:hAnsi="宋体" w:cs="宋体"/>
          <w:sz w:val="21"/>
          <w:szCs w:val="21"/>
        </w:rPr>
        <w:t>4</w:t>
      </w:r>
      <w:r>
        <w:rPr>
          <w:rFonts w:ascii="宋体" w:hAnsi="宋体" w:cs="宋体"/>
          <w:sz w:val="21"/>
          <w:szCs w:val="21"/>
        </w:rPr>
        <w:t>、本项目对设备支持单位资格的特别要求，须符合下列条件之一：</w:t>
      </w:r>
    </w:p>
    <w:p>
      <w:pPr>
        <w:snapToGrid w:val="0"/>
        <w:spacing w:line="360" w:lineRule="auto"/>
        <w:ind w:firstLine="420" w:firstLineChars="200"/>
        <w:rPr>
          <w:rFonts w:ascii="宋体" w:hAnsi="宋体" w:cs="宋体"/>
          <w:sz w:val="21"/>
          <w:szCs w:val="21"/>
        </w:rPr>
      </w:pPr>
      <w:r>
        <w:rPr>
          <w:rFonts w:hint="eastAsia" w:ascii="宋体" w:hAnsi="宋体" w:cs="宋体"/>
          <w:sz w:val="21"/>
          <w:szCs w:val="21"/>
        </w:rPr>
        <w:t>（1）</w:t>
      </w:r>
      <w:r>
        <w:rPr>
          <w:rFonts w:ascii="宋体" w:hAnsi="宋体" w:cs="宋体"/>
          <w:sz w:val="21"/>
          <w:szCs w:val="21"/>
        </w:rPr>
        <w:t>在产业行业中有较大影响力、声誉良好的知名品牌企业；</w:t>
      </w:r>
    </w:p>
    <w:p>
      <w:pPr>
        <w:snapToGrid w:val="0"/>
        <w:spacing w:line="360" w:lineRule="auto"/>
        <w:ind w:firstLine="420" w:firstLineChars="200"/>
        <w:rPr>
          <w:rFonts w:ascii="宋体" w:hAnsi="宋体" w:cs="宋体"/>
          <w:sz w:val="21"/>
          <w:szCs w:val="21"/>
        </w:rPr>
      </w:pPr>
      <w:r>
        <w:rPr>
          <w:rFonts w:hint="eastAsia" w:ascii="宋体" w:hAnsi="宋体" w:cs="宋体"/>
          <w:sz w:val="21"/>
          <w:szCs w:val="21"/>
        </w:rPr>
        <w:t>（2）</w:t>
      </w:r>
      <w:r>
        <w:rPr>
          <w:rFonts w:ascii="宋体" w:hAnsi="宋体" w:cs="宋体"/>
          <w:sz w:val="21"/>
          <w:szCs w:val="21"/>
        </w:rPr>
        <w:t>有参与世界技能大赛等国际技能赛事、国家级一类、二类职业技能大赛经验；</w:t>
      </w:r>
    </w:p>
    <w:p>
      <w:pPr>
        <w:snapToGrid w:val="0"/>
        <w:spacing w:line="360" w:lineRule="auto"/>
        <w:ind w:firstLine="420" w:firstLineChars="200"/>
        <w:rPr>
          <w:rFonts w:ascii="宋体" w:hAnsi="宋体" w:cs="宋体"/>
          <w:sz w:val="21"/>
          <w:szCs w:val="21"/>
        </w:rPr>
      </w:pPr>
      <w:r>
        <w:rPr>
          <w:rFonts w:hint="eastAsia" w:ascii="宋体" w:hAnsi="宋体" w:cs="宋体"/>
          <w:sz w:val="21"/>
          <w:szCs w:val="21"/>
        </w:rPr>
        <w:t>（3</w:t>
      </w:r>
      <w:r>
        <w:rPr>
          <w:rFonts w:ascii="宋体" w:hAnsi="宋体" w:cs="宋体"/>
          <w:sz w:val="21"/>
          <w:szCs w:val="21"/>
        </w:rPr>
        <w:t>)与实施保障单位建立长期良好校企合作关系，为技能人才培养做出积极贡献；</w:t>
      </w:r>
    </w:p>
    <w:p>
      <w:pPr>
        <w:snapToGrid w:val="0"/>
        <w:spacing w:line="360" w:lineRule="auto"/>
        <w:ind w:firstLine="420" w:firstLineChars="200"/>
        <w:rPr>
          <w:rFonts w:ascii="宋体" w:hAnsi="宋体" w:cs="宋体"/>
          <w:sz w:val="21"/>
          <w:szCs w:val="21"/>
        </w:rPr>
      </w:pPr>
      <w:r>
        <w:rPr>
          <w:rFonts w:hint="eastAsia" w:ascii="宋体" w:hAnsi="宋体" w:cs="宋体"/>
          <w:sz w:val="21"/>
          <w:szCs w:val="21"/>
        </w:rPr>
        <w:t>（4）</w:t>
      </w:r>
      <w:r>
        <w:rPr>
          <w:rFonts w:ascii="宋体" w:hAnsi="宋体" w:cs="宋体"/>
          <w:sz w:val="21"/>
          <w:szCs w:val="21"/>
        </w:rPr>
        <w:t>能提供满足</w:t>
      </w:r>
      <w:r>
        <w:rPr>
          <w:rFonts w:hint="eastAsia" w:ascii="宋体" w:hAnsi="宋体" w:cs="宋体"/>
          <w:sz w:val="21"/>
          <w:szCs w:val="21"/>
        </w:rPr>
        <w:t>广东省第三届职业技能大赛深圳集中比赛</w:t>
      </w:r>
      <w:r>
        <w:rPr>
          <w:rFonts w:hint="eastAsia" w:ascii="宋体" w:hAnsi="宋体" w:cs="宋体"/>
          <w:sz w:val="21"/>
          <w:szCs w:val="21"/>
          <w:lang w:eastAsia="zh-CN"/>
        </w:rPr>
        <w:t>数字建造</w:t>
      </w:r>
      <w:r>
        <w:rPr>
          <w:rFonts w:ascii="宋体" w:hAnsi="宋体" w:cs="宋体"/>
          <w:sz w:val="21"/>
          <w:szCs w:val="21"/>
        </w:rPr>
        <w:t>项目技术文件要求的产品、技术和服务，无知识产权纠纷。</w:t>
      </w:r>
    </w:p>
    <w:p>
      <w:pPr>
        <w:snapToGrid w:val="0"/>
        <w:spacing w:line="360" w:lineRule="auto"/>
        <w:rPr>
          <w:rFonts w:ascii="宋体" w:hAnsi="宋体" w:cs="宋体"/>
          <w:b/>
          <w:sz w:val="21"/>
          <w:szCs w:val="21"/>
        </w:rPr>
      </w:pPr>
      <w:r>
        <w:rPr>
          <w:rFonts w:hint="eastAsia" w:ascii="宋体" w:hAnsi="宋体" w:cs="宋体"/>
          <w:b/>
          <w:sz w:val="21"/>
          <w:szCs w:val="21"/>
        </w:rPr>
        <w:t>三、公告媒体</w:t>
      </w:r>
    </w:p>
    <w:p>
      <w:pPr>
        <w:snapToGrid w:val="0"/>
        <w:spacing w:line="360" w:lineRule="auto"/>
        <w:ind w:firstLine="420" w:firstLineChars="200"/>
        <w:rPr>
          <w:rFonts w:ascii="宋体" w:hAnsi="宋体"/>
          <w:sz w:val="21"/>
          <w:szCs w:val="21"/>
        </w:rPr>
      </w:pPr>
      <w:r>
        <w:rPr>
          <w:rFonts w:hint="eastAsia" w:ascii="宋体" w:hAnsi="宋体" w:cs="宋体"/>
          <w:sz w:val="21"/>
          <w:szCs w:val="21"/>
        </w:rPr>
        <w:t>大赛执委会办公室所在单位（深圳市人社局）官网、采购人（保障单位）官网。</w:t>
      </w:r>
    </w:p>
    <w:p>
      <w:pPr>
        <w:snapToGrid w:val="0"/>
        <w:spacing w:line="360" w:lineRule="auto"/>
        <w:rPr>
          <w:rFonts w:ascii="宋体" w:hAnsi="宋体" w:cs="宋体"/>
          <w:b/>
          <w:bCs/>
          <w:sz w:val="21"/>
          <w:szCs w:val="21"/>
        </w:rPr>
      </w:pPr>
      <w:r>
        <w:rPr>
          <w:rFonts w:hint="eastAsia" w:ascii="宋体" w:hAnsi="宋体" w:cs="宋体"/>
          <w:b/>
          <w:bCs/>
          <w:sz w:val="21"/>
          <w:szCs w:val="21"/>
        </w:rPr>
        <w:t>四、公告期限</w:t>
      </w:r>
    </w:p>
    <w:p>
      <w:pPr>
        <w:snapToGrid w:val="0"/>
        <w:spacing w:line="360" w:lineRule="auto"/>
        <w:ind w:firstLine="420" w:firstLineChars="200"/>
        <w:rPr>
          <w:rFonts w:ascii="宋体" w:hAnsi="宋体"/>
          <w:sz w:val="21"/>
          <w:szCs w:val="21"/>
        </w:rPr>
      </w:pPr>
      <w:r>
        <w:rPr>
          <w:rFonts w:hint="eastAsia" w:ascii="宋体" w:hAnsi="宋体"/>
          <w:sz w:val="21"/>
          <w:szCs w:val="21"/>
        </w:rPr>
        <w:t>自本公告发布之日起7天。</w:t>
      </w:r>
    </w:p>
    <w:p>
      <w:pPr>
        <w:snapToGrid w:val="0"/>
        <w:spacing w:line="360" w:lineRule="auto"/>
        <w:rPr>
          <w:rFonts w:ascii="宋体" w:hAnsi="宋体" w:cs="宋体"/>
          <w:b/>
          <w:bCs/>
          <w:sz w:val="21"/>
          <w:szCs w:val="21"/>
        </w:rPr>
      </w:pPr>
      <w:r>
        <w:rPr>
          <w:rFonts w:hint="eastAsia" w:ascii="宋体" w:hAnsi="宋体" w:cs="宋体"/>
          <w:b/>
          <w:bCs/>
          <w:sz w:val="21"/>
          <w:szCs w:val="21"/>
        </w:rPr>
        <w:t>五、本次遴选报名、询问，请按以下方式联系</w:t>
      </w:r>
    </w:p>
    <w:p>
      <w:pPr>
        <w:tabs>
          <w:tab w:val="left" w:pos="3398"/>
        </w:tabs>
        <w:snapToGrid w:val="0"/>
        <w:spacing w:line="360" w:lineRule="auto"/>
        <w:ind w:left="410" w:leftChars="205"/>
        <w:rPr>
          <w:rFonts w:ascii="宋体" w:hAnsi="宋体" w:cs="宋体"/>
          <w:sz w:val="21"/>
          <w:szCs w:val="21"/>
        </w:rPr>
      </w:pPr>
      <w:r>
        <w:rPr>
          <w:rFonts w:hint="eastAsia" w:ascii="宋体" w:hAnsi="宋体" w:cs="宋体"/>
          <w:sz w:val="21"/>
          <w:szCs w:val="21"/>
        </w:rPr>
        <w:t>实施保障单位信息</w:t>
      </w:r>
    </w:p>
    <w:p>
      <w:pPr>
        <w:tabs>
          <w:tab w:val="left" w:pos="3398"/>
        </w:tabs>
        <w:snapToGrid w:val="0"/>
        <w:spacing w:line="360" w:lineRule="auto"/>
        <w:ind w:left="410" w:leftChars="205"/>
        <w:rPr>
          <w:rFonts w:hint="eastAsia" w:ascii="宋体" w:hAnsi="宋体" w:eastAsia="宋体" w:cs="宋体"/>
          <w:sz w:val="21"/>
          <w:szCs w:val="21"/>
          <w:lang w:eastAsia="zh-CN"/>
        </w:rPr>
      </w:pPr>
      <w:r>
        <w:rPr>
          <w:rFonts w:hint="eastAsia" w:ascii="宋体" w:hAnsi="宋体" w:cs="宋体"/>
          <w:sz w:val="21"/>
          <w:szCs w:val="21"/>
        </w:rPr>
        <w:t>名称：</w:t>
      </w:r>
      <w:r>
        <w:rPr>
          <w:rFonts w:hint="eastAsia" w:ascii="宋体" w:hAnsi="宋体" w:cs="宋体"/>
          <w:sz w:val="21"/>
          <w:szCs w:val="21"/>
          <w:lang w:eastAsia="zh-CN"/>
        </w:rPr>
        <w:t>深圳市装饰行业协会</w:t>
      </w:r>
    </w:p>
    <w:p>
      <w:pPr>
        <w:tabs>
          <w:tab w:val="left" w:pos="3398"/>
        </w:tabs>
        <w:snapToGrid w:val="0"/>
        <w:spacing w:line="360" w:lineRule="auto"/>
        <w:ind w:left="410" w:leftChars="205"/>
        <w:rPr>
          <w:rFonts w:hint="default" w:ascii="宋体" w:hAnsi="宋体" w:eastAsia="宋体" w:cs="宋体"/>
          <w:sz w:val="21"/>
          <w:szCs w:val="21"/>
          <w:lang w:val="en-US" w:eastAsia="zh-CN"/>
        </w:rPr>
      </w:pPr>
      <w:r>
        <w:rPr>
          <w:rFonts w:hint="eastAsia" w:ascii="宋体" w:hAnsi="宋体" w:cs="宋体"/>
          <w:sz w:val="21"/>
          <w:szCs w:val="21"/>
        </w:rPr>
        <w:t>地址：</w:t>
      </w:r>
      <w:r>
        <w:rPr>
          <w:rFonts w:hint="eastAsia" w:ascii="宋体" w:hAnsi="宋体" w:cs="宋体"/>
          <w:sz w:val="21"/>
          <w:szCs w:val="21"/>
          <w:lang w:eastAsia="zh-CN"/>
        </w:rPr>
        <w:t>深圳市福田保税区广兰道六号深装总大厦</w:t>
      </w:r>
      <w:r>
        <w:rPr>
          <w:rFonts w:hint="eastAsia" w:ascii="宋体" w:hAnsi="宋体" w:cs="宋体"/>
          <w:sz w:val="21"/>
          <w:szCs w:val="21"/>
          <w:lang w:val="en-US" w:eastAsia="zh-CN"/>
        </w:rPr>
        <w:t>A420</w:t>
      </w:r>
    </w:p>
    <w:p>
      <w:pPr>
        <w:tabs>
          <w:tab w:val="left" w:pos="3398"/>
        </w:tabs>
        <w:snapToGrid w:val="0"/>
        <w:spacing w:line="360" w:lineRule="auto"/>
        <w:ind w:left="410" w:leftChars="205"/>
        <w:rPr>
          <w:rFonts w:hint="eastAsia" w:ascii="宋体" w:hAnsi="宋体" w:eastAsia="宋体" w:cs="宋体"/>
          <w:sz w:val="21"/>
          <w:szCs w:val="21"/>
          <w:lang w:eastAsia="zh-CN"/>
        </w:rPr>
      </w:pPr>
      <w:r>
        <w:rPr>
          <w:rFonts w:hint="eastAsia" w:ascii="宋体" w:hAnsi="宋体" w:cs="宋体"/>
          <w:sz w:val="21"/>
          <w:szCs w:val="21"/>
        </w:rPr>
        <w:t>联系人：</w:t>
      </w:r>
      <w:r>
        <w:rPr>
          <w:rFonts w:hint="eastAsia" w:ascii="宋体" w:hAnsi="宋体" w:cs="宋体"/>
          <w:sz w:val="21"/>
          <w:szCs w:val="21"/>
          <w:lang w:eastAsia="zh-CN"/>
        </w:rPr>
        <w:t>莫老师</w:t>
      </w:r>
    </w:p>
    <w:p>
      <w:pPr>
        <w:tabs>
          <w:tab w:val="left" w:pos="3398"/>
        </w:tabs>
        <w:snapToGrid w:val="0"/>
        <w:spacing w:line="360" w:lineRule="auto"/>
        <w:ind w:left="410" w:leftChars="205"/>
        <w:rPr>
          <w:rFonts w:hint="default" w:ascii="宋体" w:hAnsi="宋体" w:eastAsia="宋体" w:cs="宋体"/>
          <w:sz w:val="21"/>
          <w:szCs w:val="21"/>
          <w:lang w:val="en-US" w:eastAsia="zh-CN"/>
        </w:rPr>
      </w:pPr>
      <w:r>
        <w:rPr>
          <w:rFonts w:hint="eastAsia" w:ascii="宋体" w:hAnsi="宋体" w:cs="宋体"/>
          <w:sz w:val="21"/>
          <w:szCs w:val="21"/>
        </w:rPr>
        <w:t>联系方式：</w:t>
      </w:r>
      <w:r>
        <w:rPr>
          <w:rFonts w:hint="eastAsia" w:ascii="宋体" w:hAnsi="宋体" w:cs="宋体"/>
          <w:sz w:val="21"/>
          <w:szCs w:val="21"/>
          <w:lang w:val="en-US" w:eastAsia="zh-CN"/>
        </w:rPr>
        <w:t>13715214442</w:t>
      </w:r>
    </w:p>
    <w:p>
      <w:pPr>
        <w:pStyle w:val="2"/>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报名要求：将营业执照电子版（加盖公章）于</w:t>
      </w:r>
      <w:r>
        <w:rPr>
          <w:rFonts w:ascii="宋体" w:hAnsi="宋体"/>
          <w:szCs w:val="21"/>
        </w:rPr>
        <w:t>4</w:t>
      </w:r>
      <w:r>
        <w:rPr>
          <w:rFonts w:hint="eastAsia" w:ascii="宋体" w:hAnsi="宋体"/>
          <w:szCs w:val="21"/>
        </w:rPr>
        <w:t>月</w:t>
      </w:r>
      <w:r>
        <w:rPr>
          <w:rFonts w:ascii="宋体" w:hAnsi="宋体"/>
          <w:szCs w:val="21"/>
        </w:rPr>
        <w:t>7</w:t>
      </w:r>
      <w:r>
        <w:rPr>
          <w:rFonts w:hint="eastAsia" w:ascii="宋体" w:hAnsi="宋体"/>
          <w:szCs w:val="21"/>
        </w:rPr>
        <w:t>日前发送至邮箱（</w:t>
      </w:r>
      <w:r>
        <w:rPr>
          <w:rFonts w:hint="eastAsia" w:ascii="宋体" w:hAnsi="宋体"/>
          <w:szCs w:val="21"/>
          <w:lang w:val="en-US" w:eastAsia="zh-CN"/>
        </w:rPr>
        <w:t>3366208030@qq.com</w:t>
      </w:r>
      <w:r>
        <w:rPr>
          <w:rFonts w:hint="eastAsia" w:ascii="宋体" w:hAnsi="宋体"/>
          <w:szCs w:val="21"/>
        </w:rPr>
        <w:t>）并通过电话确定方为报名成功。</w:t>
      </w:r>
    </w:p>
    <w:p>
      <w:pPr>
        <w:snapToGrid w:val="0"/>
        <w:spacing w:before="120" w:beforeLines="50" w:after="120" w:afterLines="50" w:line="360" w:lineRule="auto"/>
        <w:rPr>
          <w:rFonts w:ascii="宋体" w:hAnsi="宋体" w:cs="宋体"/>
          <w:b/>
          <w:bCs/>
          <w:sz w:val="21"/>
          <w:szCs w:val="21"/>
        </w:rPr>
      </w:pPr>
      <w:r>
        <w:rPr>
          <w:rFonts w:hint="eastAsia" w:ascii="宋体" w:hAnsi="宋体"/>
          <w:b/>
          <w:sz w:val="21"/>
          <w:szCs w:val="21"/>
        </w:rPr>
        <w:t>六、</w:t>
      </w:r>
      <w:r>
        <w:rPr>
          <w:rFonts w:hint="eastAsia" w:ascii="宋体" w:hAnsi="宋体" w:cs="宋体"/>
          <w:b/>
          <w:bCs/>
          <w:sz w:val="21"/>
          <w:szCs w:val="21"/>
        </w:rPr>
        <w:t>提交响应文件截止时间、开标时间和地点</w:t>
      </w:r>
    </w:p>
    <w:p>
      <w:pPr>
        <w:snapToGrid w:val="0"/>
        <w:spacing w:line="360" w:lineRule="auto"/>
        <w:ind w:firstLine="420" w:firstLineChars="200"/>
        <w:rPr>
          <w:rFonts w:ascii="宋体" w:hAnsi="宋体"/>
          <w:bCs/>
          <w:sz w:val="21"/>
          <w:szCs w:val="21"/>
        </w:rPr>
      </w:pPr>
      <w:r>
        <w:rPr>
          <w:rFonts w:hint="eastAsia" w:ascii="宋体" w:hAnsi="宋体"/>
          <w:bCs/>
          <w:sz w:val="21"/>
          <w:szCs w:val="21"/>
        </w:rPr>
        <w:t>1、响应文件递交截止时间：202</w:t>
      </w:r>
      <w:r>
        <w:rPr>
          <w:rFonts w:ascii="宋体" w:hAnsi="宋体"/>
          <w:bCs/>
          <w:sz w:val="21"/>
          <w:szCs w:val="21"/>
        </w:rPr>
        <w:t>3</w:t>
      </w:r>
      <w:r>
        <w:rPr>
          <w:rFonts w:hint="eastAsia" w:ascii="宋体" w:hAnsi="宋体"/>
          <w:bCs/>
          <w:sz w:val="21"/>
          <w:szCs w:val="21"/>
        </w:rPr>
        <w:t>年</w:t>
      </w:r>
      <w:r>
        <w:rPr>
          <w:rFonts w:ascii="宋体" w:hAnsi="宋体"/>
          <w:bCs/>
          <w:sz w:val="21"/>
          <w:szCs w:val="21"/>
        </w:rPr>
        <w:t>4</w:t>
      </w:r>
      <w:r>
        <w:rPr>
          <w:rFonts w:hint="eastAsia" w:ascii="宋体" w:hAnsi="宋体"/>
          <w:bCs/>
          <w:sz w:val="21"/>
          <w:szCs w:val="21"/>
        </w:rPr>
        <w:t>月</w:t>
      </w:r>
      <w:r>
        <w:rPr>
          <w:rFonts w:ascii="宋体" w:hAnsi="宋体"/>
          <w:bCs/>
          <w:sz w:val="21"/>
          <w:szCs w:val="21"/>
        </w:rPr>
        <w:t>10</w:t>
      </w:r>
      <w:r>
        <w:rPr>
          <w:rFonts w:hint="eastAsia" w:ascii="宋体" w:hAnsi="宋体"/>
          <w:bCs/>
          <w:sz w:val="21"/>
          <w:szCs w:val="21"/>
        </w:rPr>
        <w:t>日14时30分（北京时间）。</w:t>
      </w:r>
    </w:p>
    <w:p>
      <w:pPr>
        <w:snapToGrid w:val="0"/>
        <w:spacing w:line="360" w:lineRule="auto"/>
        <w:ind w:firstLine="420" w:firstLineChars="200"/>
        <w:rPr>
          <w:rFonts w:ascii="宋体" w:hAnsi="宋体"/>
          <w:bCs/>
          <w:sz w:val="21"/>
          <w:szCs w:val="21"/>
        </w:rPr>
      </w:pPr>
      <w:r>
        <w:rPr>
          <w:rFonts w:hint="eastAsia" w:ascii="宋体" w:hAnsi="宋体"/>
          <w:bCs/>
          <w:sz w:val="21"/>
          <w:szCs w:val="21"/>
        </w:rPr>
        <w:t>2、响应文件送达地点：</w:t>
      </w:r>
      <w:r>
        <w:rPr>
          <w:rFonts w:hint="eastAsia" w:ascii="宋体" w:hAnsi="宋体" w:cs="宋体"/>
          <w:sz w:val="21"/>
          <w:szCs w:val="21"/>
          <w:lang w:eastAsia="zh-CN"/>
        </w:rPr>
        <w:t>深圳市福田保税区广兰道六号深装总大厦</w:t>
      </w:r>
      <w:r>
        <w:rPr>
          <w:rFonts w:hint="eastAsia" w:ascii="宋体" w:hAnsi="宋体" w:cs="宋体"/>
          <w:sz w:val="21"/>
          <w:szCs w:val="21"/>
          <w:lang w:val="en-US" w:eastAsia="zh-CN"/>
        </w:rPr>
        <w:t>A420</w:t>
      </w:r>
      <w:r>
        <w:rPr>
          <w:rFonts w:hint="eastAsia" w:ascii="宋体" w:hAnsi="宋体"/>
          <w:bCs/>
          <w:sz w:val="21"/>
          <w:szCs w:val="21"/>
        </w:rPr>
        <w:t>。</w:t>
      </w:r>
    </w:p>
    <w:p>
      <w:pPr>
        <w:snapToGrid w:val="0"/>
        <w:spacing w:line="360" w:lineRule="auto"/>
        <w:ind w:firstLine="420" w:firstLineChars="200"/>
        <w:rPr>
          <w:rFonts w:ascii="宋体" w:hAnsi="宋体"/>
          <w:bCs/>
          <w:sz w:val="21"/>
          <w:szCs w:val="21"/>
        </w:rPr>
      </w:pPr>
      <w:r>
        <w:rPr>
          <w:rFonts w:hint="eastAsia" w:ascii="宋体" w:hAnsi="宋体"/>
          <w:bCs/>
          <w:sz w:val="21"/>
          <w:szCs w:val="21"/>
        </w:rPr>
        <w:t>3、开标时间：202</w:t>
      </w:r>
      <w:r>
        <w:rPr>
          <w:rFonts w:ascii="宋体" w:hAnsi="宋体"/>
          <w:bCs/>
          <w:sz w:val="21"/>
          <w:szCs w:val="21"/>
        </w:rPr>
        <w:t>3</w:t>
      </w:r>
      <w:r>
        <w:rPr>
          <w:rFonts w:hint="eastAsia" w:ascii="宋体" w:hAnsi="宋体"/>
          <w:bCs/>
          <w:sz w:val="21"/>
          <w:szCs w:val="21"/>
        </w:rPr>
        <w:t>年</w:t>
      </w:r>
      <w:r>
        <w:rPr>
          <w:rFonts w:ascii="宋体" w:hAnsi="宋体"/>
          <w:bCs/>
          <w:sz w:val="21"/>
          <w:szCs w:val="21"/>
        </w:rPr>
        <w:t>4</w:t>
      </w:r>
      <w:r>
        <w:rPr>
          <w:rFonts w:hint="eastAsia" w:ascii="宋体" w:hAnsi="宋体"/>
          <w:bCs/>
          <w:sz w:val="21"/>
          <w:szCs w:val="21"/>
        </w:rPr>
        <w:t>月</w:t>
      </w:r>
      <w:r>
        <w:rPr>
          <w:rFonts w:ascii="宋体" w:hAnsi="宋体"/>
          <w:bCs/>
          <w:sz w:val="21"/>
          <w:szCs w:val="21"/>
        </w:rPr>
        <w:t>10</w:t>
      </w:r>
      <w:r>
        <w:rPr>
          <w:rFonts w:hint="eastAsia" w:ascii="宋体" w:hAnsi="宋体"/>
          <w:bCs/>
          <w:sz w:val="21"/>
          <w:szCs w:val="21"/>
        </w:rPr>
        <w:t>日14时30分（北京时间）。</w:t>
      </w:r>
    </w:p>
    <w:p>
      <w:pPr>
        <w:snapToGrid w:val="0"/>
        <w:spacing w:line="360" w:lineRule="auto"/>
        <w:ind w:firstLine="420" w:firstLineChars="200"/>
        <w:rPr>
          <w:rFonts w:ascii="宋体" w:hAnsi="宋体"/>
          <w:sz w:val="21"/>
          <w:szCs w:val="21"/>
        </w:rPr>
      </w:pPr>
      <w:r>
        <w:rPr>
          <w:rFonts w:hint="eastAsia" w:ascii="宋体" w:hAnsi="宋体"/>
          <w:bCs/>
          <w:sz w:val="21"/>
          <w:szCs w:val="21"/>
        </w:rPr>
        <w:t>4、开标地点：</w:t>
      </w:r>
      <w:r>
        <w:rPr>
          <w:rFonts w:hint="eastAsia" w:ascii="宋体" w:hAnsi="宋体" w:cs="宋体"/>
          <w:sz w:val="21"/>
          <w:szCs w:val="21"/>
          <w:lang w:eastAsia="zh-CN"/>
        </w:rPr>
        <w:t>深圳市福田保税区广兰道六号深装总大厦</w:t>
      </w:r>
      <w:r>
        <w:rPr>
          <w:rFonts w:hint="eastAsia" w:ascii="宋体" w:hAnsi="宋体" w:cs="宋体"/>
          <w:sz w:val="21"/>
          <w:szCs w:val="21"/>
          <w:lang w:val="en-US" w:eastAsia="zh-CN"/>
        </w:rPr>
        <w:t>A420深圳市装饰行业协会会议室</w:t>
      </w:r>
      <w:r>
        <w:rPr>
          <w:rFonts w:hint="eastAsia" w:ascii="宋体" w:hAnsi="宋体" w:cs="宋体"/>
          <w:sz w:val="21"/>
          <w:szCs w:val="21"/>
        </w:rPr>
        <w:t>。</w:t>
      </w:r>
    </w:p>
    <w:p>
      <w:pPr>
        <w:spacing w:line="360" w:lineRule="auto"/>
        <w:rPr>
          <w:rFonts w:ascii="宋体" w:hAnsi="宋体"/>
          <w:b/>
          <w:sz w:val="21"/>
          <w:szCs w:val="21"/>
        </w:rPr>
      </w:pPr>
      <w:bookmarkStart w:id="8" w:name="_Toc410738973"/>
      <w:bookmarkStart w:id="9" w:name="_Toc504568709"/>
      <w:bookmarkStart w:id="10" w:name="_Toc379872471"/>
      <w:bookmarkStart w:id="11" w:name="_Toc416770249"/>
      <w:bookmarkStart w:id="12" w:name="_Toc416771359"/>
      <w:bookmarkStart w:id="13" w:name="_Toc410736174"/>
      <w:bookmarkStart w:id="14" w:name="_Toc416770210"/>
      <w:bookmarkStart w:id="15" w:name="_Toc416771320"/>
      <w:r>
        <w:rPr>
          <w:rFonts w:hint="eastAsia" w:ascii="宋体" w:hAnsi="宋体"/>
          <w:b/>
          <w:sz w:val="21"/>
          <w:szCs w:val="21"/>
        </w:rPr>
        <w:t>七、采购人需求</w:t>
      </w:r>
      <w:bookmarkEnd w:id="8"/>
      <w:bookmarkEnd w:id="9"/>
      <w:bookmarkEnd w:id="10"/>
      <w:bookmarkEnd w:id="11"/>
      <w:bookmarkEnd w:id="12"/>
      <w:bookmarkEnd w:id="13"/>
    </w:p>
    <w:bookmarkEnd w:id="14"/>
    <w:bookmarkEnd w:id="15"/>
    <w:p>
      <w:pPr>
        <w:snapToGrid w:val="0"/>
        <w:spacing w:before="120" w:beforeLines="50" w:line="360" w:lineRule="auto"/>
        <w:ind w:firstLine="421" w:firstLineChars="200"/>
        <w:rPr>
          <w:rFonts w:hint="eastAsia" w:ascii="宋体" w:hAnsi="宋体" w:cs="宋体"/>
          <w:b/>
          <w:bCs/>
          <w:sz w:val="21"/>
          <w:szCs w:val="21"/>
        </w:rPr>
      </w:pPr>
      <w:r>
        <w:rPr>
          <w:rFonts w:hint="eastAsia" w:ascii="宋体" w:hAnsi="宋体" w:cs="宋体"/>
          <w:b/>
          <w:bCs/>
          <w:sz w:val="21"/>
          <w:szCs w:val="21"/>
        </w:rPr>
        <w:t>1、技术要求：</w:t>
      </w:r>
    </w:p>
    <w:tbl>
      <w:tblPr>
        <w:tblStyle w:val="3"/>
        <w:tblW w:w="5000" w:type="pct"/>
        <w:jc w:val="center"/>
        <w:tblLayout w:type="fixed"/>
        <w:tblCellMar>
          <w:top w:w="0" w:type="dxa"/>
          <w:left w:w="108" w:type="dxa"/>
          <w:bottom w:w="0" w:type="dxa"/>
          <w:right w:w="108" w:type="dxa"/>
        </w:tblCellMar>
      </w:tblPr>
      <w:tblGrid>
        <w:gridCol w:w="534"/>
        <w:gridCol w:w="709"/>
        <w:gridCol w:w="7229"/>
        <w:gridCol w:w="958"/>
      </w:tblGrid>
      <w:tr>
        <w:tblPrEx>
          <w:tblCellMar>
            <w:top w:w="0" w:type="dxa"/>
            <w:left w:w="108" w:type="dxa"/>
            <w:bottom w:w="0" w:type="dxa"/>
            <w:right w:w="108" w:type="dxa"/>
          </w:tblCellMar>
        </w:tblPrEx>
        <w:trPr>
          <w:trHeight w:val="397" w:hRule="atLeast"/>
          <w:jc w:val="center"/>
        </w:trPr>
        <w:tc>
          <w:tcPr>
            <w:tcW w:w="283"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仿宋_GB2312"/>
                <w:b/>
                <w:bCs/>
                <w:sz w:val="21"/>
                <w:szCs w:val="21"/>
              </w:rPr>
            </w:pPr>
            <w:r>
              <w:rPr>
                <w:rFonts w:hint="eastAsia" w:ascii="宋体" w:hAnsi="宋体" w:cs="仿宋_GB2312"/>
                <w:b/>
                <w:bCs/>
                <w:sz w:val="21"/>
                <w:szCs w:val="21"/>
              </w:rPr>
              <w:t>序</w:t>
            </w:r>
            <w:r>
              <w:rPr>
                <w:rFonts w:ascii="宋体" w:hAnsi="宋体" w:cs="仿宋_GB2312"/>
                <w:b/>
                <w:bCs/>
                <w:sz w:val="21"/>
                <w:szCs w:val="21"/>
              </w:rPr>
              <w:t>号</w:t>
            </w:r>
          </w:p>
        </w:tc>
        <w:tc>
          <w:tcPr>
            <w:tcW w:w="375" w:type="pct"/>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hAnsi="宋体" w:cs="仿宋_GB2312"/>
                <w:b/>
                <w:bCs/>
                <w:sz w:val="21"/>
                <w:szCs w:val="21"/>
              </w:rPr>
            </w:pPr>
            <w:r>
              <w:rPr>
                <w:rFonts w:hint="eastAsia" w:ascii="宋体" w:hAnsi="宋体" w:cs="仿宋_GB2312"/>
                <w:b/>
                <w:bCs/>
                <w:sz w:val="21"/>
                <w:szCs w:val="21"/>
                <w:lang w:eastAsia="zh-CN"/>
              </w:rPr>
              <w:t>产品</w:t>
            </w:r>
            <w:r>
              <w:rPr>
                <w:rFonts w:hint="eastAsia" w:ascii="宋体" w:hAnsi="宋体" w:cs="仿宋_GB2312"/>
                <w:b/>
                <w:bCs/>
                <w:sz w:val="21"/>
                <w:szCs w:val="21"/>
              </w:rPr>
              <w:t>名称</w:t>
            </w:r>
          </w:p>
        </w:tc>
        <w:tc>
          <w:tcPr>
            <w:tcW w:w="3832" w:type="pct"/>
            <w:tcBorders>
              <w:top w:val="single" w:color="auto" w:sz="4" w:space="0"/>
              <w:left w:val="nil"/>
              <w:bottom w:val="single" w:color="auto" w:sz="4" w:space="0"/>
              <w:right w:val="single" w:color="auto" w:sz="4" w:space="0"/>
            </w:tcBorders>
            <w:noWrap/>
            <w:vAlign w:val="center"/>
          </w:tcPr>
          <w:p>
            <w:pPr>
              <w:snapToGrid w:val="0"/>
              <w:jc w:val="center"/>
              <w:rPr>
                <w:rFonts w:hint="eastAsia" w:ascii="宋体" w:hAnsi="宋体" w:cs="仿宋_GB2312"/>
                <w:b/>
                <w:bCs/>
                <w:sz w:val="21"/>
                <w:szCs w:val="21"/>
              </w:rPr>
            </w:pPr>
            <w:r>
              <w:rPr>
                <w:rFonts w:hint="eastAsia" w:hAnsi="宋体"/>
                <w:b/>
                <w:bCs/>
                <w:sz w:val="21"/>
                <w:szCs w:val="21"/>
              </w:rPr>
              <w:t>技术要求</w:t>
            </w:r>
          </w:p>
        </w:tc>
        <w:tc>
          <w:tcPr>
            <w:tcW w:w="507" w:type="pct"/>
            <w:tcBorders>
              <w:top w:val="single" w:color="auto" w:sz="4" w:space="0"/>
              <w:left w:val="nil"/>
              <w:bottom w:val="single" w:color="auto" w:sz="4" w:space="0"/>
              <w:right w:val="single" w:color="auto" w:sz="4" w:space="0"/>
            </w:tcBorders>
            <w:noWrap/>
            <w:vAlign w:val="center"/>
          </w:tcPr>
          <w:p>
            <w:pPr>
              <w:snapToGrid w:val="0"/>
              <w:jc w:val="center"/>
              <w:rPr>
                <w:rFonts w:ascii="宋体" w:hAnsi="宋体" w:cs="仿宋_GB2312"/>
                <w:b/>
                <w:bCs/>
                <w:sz w:val="21"/>
                <w:szCs w:val="21"/>
              </w:rPr>
            </w:pPr>
            <w:r>
              <w:rPr>
                <w:rFonts w:hint="eastAsia" w:ascii="宋体" w:hAnsi="宋体" w:cs="仿宋_GB2312"/>
                <w:b/>
                <w:bCs/>
                <w:sz w:val="21"/>
                <w:szCs w:val="21"/>
              </w:rPr>
              <w:t>数量</w:t>
            </w:r>
          </w:p>
          <w:p>
            <w:pPr>
              <w:snapToGrid w:val="0"/>
              <w:jc w:val="center"/>
              <w:rPr>
                <w:rFonts w:ascii="宋体" w:hAnsi="宋体" w:cs="仿宋_GB2312"/>
                <w:b/>
                <w:bCs/>
                <w:sz w:val="21"/>
                <w:szCs w:val="21"/>
              </w:rPr>
            </w:pPr>
            <w:r>
              <w:rPr>
                <w:rFonts w:hint="eastAsia" w:ascii="宋体" w:hAnsi="宋体" w:cs="仿宋_GB2312"/>
                <w:b/>
                <w:bCs/>
                <w:sz w:val="21"/>
                <w:szCs w:val="21"/>
              </w:rPr>
              <w:t>（节点）</w:t>
            </w:r>
          </w:p>
        </w:tc>
      </w:tr>
      <w:tr>
        <w:tblPrEx>
          <w:tblCellMar>
            <w:top w:w="0" w:type="dxa"/>
            <w:left w:w="108" w:type="dxa"/>
            <w:bottom w:w="0" w:type="dxa"/>
            <w:right w:w="108" w:type="dxa"/>
          </w:tblCellMar>
        </w:tblPrEx>
        <w:trPr>
          <w:trHeight w:val="397" w:hRule="atLeast"/>
          <w:jc w:val="center"/>
        </w:trPr>
        <w:tc>
          <w:tcPr>
            <w:tcW w:w="283" w:type="pct"/>
            <w:tcBorders>
              <w:top w:val="single" w:color="auto" w:sz="4" w:space="0"/>
              <w:left w:val="single" w:color="auto" w:sz="4" w:space="0"/>
              <w:bottom w:val="single" w:color="auto" w:sz="4" w:space="0"/>
              <w:right w:val="single" w:color="auto" w:sz="4" w:space="0"/>
            </w:tcBorders>
            <w:noWrap w:val="0"/>
            <w:vAlign w:val="center"/>
          </w:tcPr>
          <w:p>
            <w:pPr>
              <w:numPr>
                <w:ilvl w:val="0"/>
                <w:numId w:val="1"/>
              </w:numPr>
              <w:snapToGrid w:val="0"/>
              <w:jc w:val="center"/>
              <w:rPr>
                <w:rFonts w:hint="eastAsia" w:ascii="宋体" w:hAnsi="宋体" w:cs="仿宋_GB2312"/>
                <w:sz w:val="21"/>
                <w:szCs w:val="21"/>
                <w:shd w:val="clear" w:color="auto" w:fill="FFFFFF"/>
              </w:rPr>
            </w:pPr>
          </w:p>
        </w:tc>
        <w:tc>
          <w:tcPr>
            <w:tcW w:w="375" w:type="pct"/>
            <w:tcBorders>
              <w:top w:val="single" w:color="auto" w:sz="4" w:space="0"/>
              <w:left w:val="single" w:color="auto" w:sz="4" w:space="0"/>
              <w:bottom w:val="single" w:color="auto" w:sz="4" w:space="0"/>
              <w:right w:val="single" w:color="auto" w:sz="4" w:space="0"/>
            </w:tcBorders>
            <w:noWrap/>
            <w:vAlign w:val="center"/>
          </w:tcPr>
          <w:p>
            <w:pPr>
              <w:snapToGrid w:val="0"/>
              <w:jc w:val="center"/>
              <w:rPr>
                <w:rFonts w:hint="eastAsia" w:ascii="宋体" w:hAnsi="宋体" w:cs="仿宋_GB2312"/>
                <w:sz w:val="21"/>
                <w:szCs w:val="21"/>
              </w:rPr>
            </w:pPr>
            <w:r>
              <w:rPr>
                <w:rFonts w:hint="eastAsia"/>
                <w:color w:val="000000"/>
                <w:sz w:val="21"/>
                <w:szCs w:val="21"/>
              </w:rPr>
              <w:t>建模软件</w:t>
            </w:r>
          </w:p>
        </w:tc>
        <w:tc>
          <w:tcPr>
            <w:tcW w:w="3832" w:type="pct"/>
            <w:tcBorders>
              <w:top w:val="single" w:color="auto" w:sz="4" w:space="0"/>
              <w:left w:val="nil"/>
              <w:bottom w:val="single" w:color="auto" w:sz="4" w:space="0"/>
              <w:right w:val="single" w:color="auto" w:sz="4" w:space="0"/>
            </w:tcBorders>
            <w:noWrap/>
            <w:vAlign w:val="center"/>
          </w:tcPr>
          <w:p>
            <w:pPr>
              <w:snapToGrid w:val="0"/>
              <w:rPr>
                <w:b/>
                <w:bCs/>
                <w:color w:val="000000"/>
                <w:sz w:val="21"/>
                <w:szCs w:val="21"/>
              </w:rPr>
            </w:pPr>
            <w:r>
              <w:rPr>
                <w:rFonts w:hint="eastAsia"/>
                <w:b/>
                <w:bCs/>
                <w:color w:val="000000"/>
                <w:sz w:val="21"/>
                <w:szCs w:val="21"/>
              </w:rPr>
              <w:t>本届数字建造项目比赛提供建模软件及赛场技术支持服务，建模软件必须是世界技能大赛该赛项的比赛软件，能满足建筑、结构、机电等专业的模型创建与编辑等以下功能：</w:t>
            </w:r>
          </w:p>
          <w:p>
            <w:pPr>
              <w:snapToGrid w:val="0"/>
              <w:rPr>
                <w:color w:val="000000"/>
                <w:sz w:val="21"/>
                <w:szCs w:val="21"/>
              </w:rPr>
            </w:pPr>
            <w:r>
              <w:rPr>
                <w:rFonts w:hint="eastAsia"/>
                <w:color w:val="000000"/>
                <w:sz w:val="21"/>
                <w:szCs w:val="21"/>
              </w:rPr>
              <w:t xml:space="preserve">1. 软件可以创建标高轴网； </w:t>
            </w:r>
          </w:p>
          <w:p>
            <w:pPr>
              <w:snapToGrid w:val="0"/>
              <w:rPr>
                <w:color w:val="000000"/>
                <w:sz w:val="21"/>
                <w:szCs w:val="21"/>
              </w:rPr>
            </w:pPr>
            <w:r>
              <w:rPr>
                <w:rFonts w:hint="eastAsia"/>
                <w:color w:val="000000"/>
                <w:sz w:val="21"/>
                <w:szCs w:val="21"/>
              </w:rPr>
              <w:t xml:space="preserve">2. 可以创建墙、门、窗、楼板、柱、屋顶、天花板、幕墙、栏杆、坡道、楼梯等构件样式，并把构件放置到随意位置； </w:t>
            </w:r>
          </w:p>
          <w:p>
            <w:pPr>
              <w:snapToGrid w:val="0"/>
              <w:rPr>
                <w:color w:val="000000"/>
                <w:sz w:val="21"/>
                <w:szCs w:val="21"/>
              </w:rPr>
            </w:pPr>
            <w:r>
              <w:rPr>
                <w:rFonts w:hint="eastAsia"/>
                <w:color w:val="000000"/>
                <w:sz w:val="21"/>
                <w:szCs w:val="21"/>
              </w:rPr>
              <w:t>3. 可以创建梁、板、柱、基础、钢结构、钢筋等构件样式，并把构件放置到随意位置；</w:t>
            </w:r>
          </w:p>
          <w:p>
            <w:pPr>
              <w:snapToGrid w:val="0"/>
              <w:rPr>
                <w:color w:val="000000"/>
                <w:sz w:val="21"/>
                <w:szCs w:val="21"/>
              </w:rPr>
            </w:pPr>
            <w:r>
              <w:rPr>
                <w:rFonts w:hint="eastAsia"/>
                <w:color w:val="000000"/>
                <w:sz w:val="21"/>
                <w:szCs w:val="21"/>
              </w:rPr>
              <w:t xml:space="preserve">4. 可以创建给排水、电气、通风等多专业的管道、管件、管道附件、设备等构件； </w:t>
            </w:r>
          </w:p>
          <w:p>
            <w:pPr>
              <w:snapToGrid w:val="0"/>
              <w:rPr>
                <w:color w:val="000000"/>
                <w:sz w:val="21"/>
                <w:szCs w:val="21"/>
              </w:rPr>
            </w:pPr>
            <w:r>
              <w:rPr>
                <w:rFonts w:hint="eastAsia"/>
                <w:color w:val="000000"/>
                <w:sz w:val="21"/>
                <w:szCs w:val="21"/>
              </w:rPr>
              <w:t xml:space="preserve">5. 在软件中可以对构件属性进行编辑，包括构造层，尺寸，材质与外观等； </w:t>
            </w:r>
          </w:p>
          <w:p>
            <w:pPr>
              <w:snapToGrid w:val="0"/>
              <w:rPr>
                <w:color w:val="000000"/>
                <w:sz w:val="21"/>
                <w:szCs w:val="21"/>
              </w:rPr>
            </w:pPr>
            <w:r>
              <w:rPr>
                <w:rFonts w:hint="eastAsia"/>
                <w:color w:val="000000"/>
                <w:sz w:val="21"/>
                <w:szCs w:val="21"/>
              </w:rPr>
              <w:t>6. 可以创建参数化构件，能够自由构思设计，创建外形，可以通过参数调节构件形态；</w:t>
            </w:r>
          </w:p>
          <w:p>
            <w:pPr>
              <w:snapToGrid w:val="0"/>
              <w:rPr>
                <w:color w:val="000000"/>
                <w:sz w:val="21"/>
                <w:szCs w:val="21"/>
              </w:rPr>
            </w:pPr>
            <w:r>
              <w:rPr>
                <w:rFonts w:hint="eastAsia"/>
                <w:color w:val="000000"/>
                <w:sz w:val="21"/>
                <w:szCs w:val="21"/>
              </w:rPr>
              <w:t xml:space="preserve">7. 可支持多用户协作建模，进行工作共享； </w:t>
            </w:r>
          </w:p>
          <w:p>
            <w:pPr>
              <w:snapToGrid w:val="0"/>
              <w:rPr>
                <w:color w:val="000000"/>
                <w:sz w:val="21"/>
                <w:szCs w:val="21"/>
              </w:rPr>
            </w:pPr>
            <w:r>
              <w:rPr>
                <w:rFonts w:hint="eastAsia"/>
                <w:color w:val="000000"/>
                <w:sz w:val="21"/>
                <w:szCs w:val="21"/>
              </w:rPr>
              <w:t xml:space="preserve">8. 支持任意角度对已生成模型进行二维和三维观察，可以自由调节模型视觉样式，设置视图显示内容； </w:t>
            </w:r>
          </w:p>
          <w:p>
            <w:pPr>
              <w:snapToGrid w:val="0"/>
              <w:rPr>
                <w:color w:val="000000"/>
                <w:sz w:val="21"/>
                <w:szCs w:val="21"/>
              </w:rPr>
            </w:pPr>
            <w:r>
              <w:rPr>
                <w:rFonts w:hint="eastAsia"/>
                <w:color w:val="000000"/>
                <w:sz w:val="21"/>
                <w:szCs w:val="21"/>
              </w:rPr>
              <w:t>9. 可以生成随意位置的平、立、剖面图</w:t>
            </w:r>
            <w:r>
              <w:rPr>
                <w:color w:val="000000"/>
                <w:sz w:val="21"/>
                <w:szCs w:val="21"/>
              </w:rPr>
              <w:t>;</w:t>
            </w:r>
          </w:p>
          <w:p>
            <w:pPr>
              <w:snapToGrid w:val="0"/>
              <w:rPr>
                <w:color w:val="000000"/>
                <w:sz w:val="21"/>
                <w:szCs w:val="21"/>
              </w:rPr>
            </w:pPr>
            <w:r>
              <w:rPr>
                <w:rFonts w:hint="eastAsia"/>
                <w:color w:val="000000"/>
                <w:sz w:val="21"/>
                <w:szCs w:val="21"/>
              </w:rPr>
              <w:t xml:space="preserve">10. 能够生成高质量渲染效果图； </w:t>
            </w:r>
          </w:p>
          <w:p>
            <w:pPr>
              <w:snapToGrid w:val="0"/>
              <w:rPr>
                <w:rFonts w:hint="eastAsia"/>
                <w:color w:val="000000"/>
                <w:sz w:val="21"/>
                <w:szCs w:val="21"/>
              </w:rPr>
            </w:pPr>
            <w:r>
              <w:rPr>
                <w:rFonts w:hint="eastAsia"/>
                <w:color w:val="000000"/>
                <w:sz w:val="21"/>
                <w:szCs w:val="21"/>
              </w:rPr>
              <w:t xml:space="preserve">11. 构件所有数据可以实时联动； </w:t>
            </w:r>
          </w:p>
        </w:tc>
        <w:tc>
          <w:tcPr>
            <w:tcW w:w="507" w:type="pct"/>
            <w:tcBorders>
              <w:top w:val="single" w:color="auto" w:sz="4" w:space="0"/>
              <w:left w:val="nil"/>
              <w:bottom w:val="single" w:color="auto" w:sz="4" w:space="0"/>
              <w:right w:val="single" w:color="auto" w:sz="4" w:space="0"/>
            </w:tcBorders>
            <w:noWrap/>
            <w:vAlign w:val="center"/>
          </w:tcPr>
          <w:p>
            <w:pPr>
              <w:snapToGrid w:val="0"/>
              <w:jc w:val="center"/>
              <w:rPr>
                <w:rFonts w:hint="eastAsia" w:ascii="宋体" w:hAnsi="宋体" w:cs="仿宋_GB2312"/>
                <w:sz w:val="21"/>
                <w:szCs w:val="21"/>
              </w:rPr>
            </w:pPr>
            <w:r>
              <w:rPr>
                <w:rFonts w:hint="eastAsia" w:ascii="宋体" w:hAnsi="宋体" w:cs="仿宋_GB2312"/>
                <w:sz w:val="21"/>
                <w:szCs w:val="21"/>
              </w:rPr>
              <w:t>20</w:t>
            </w:r>
          </w:p>
        </w:tc>
      </w:tr>
      <w:tr>
        <w:tblPrEx>
          <w:tblCellMar>
            <w:top w:w="0" w:type="dxa"/>
            <w:left w:w="108" w:type="dxa"/>
            <w:bottom w:w="0" w:type="dxa"/>
            <w:right w:w="108" w:type="dxa"/>
          </w:tblCellMar>
        </w:tblPrEx>
        <w:trPr>
          <w:trHeight w:val="397" w:hRule="atLeast"/>
          <w:jc w:val="center"/>
        </w:trPr>
        <w:tc>
          <w:tcPr>
            <w:tcW w:w="283" w:type="pct"/>
            <w:tcBorders>
              <w:top w:val="single" w:color="auto" w:sz="4" w:space="0"/>
              <w:left w:val="single" w:color="auto" w:sz="4" w:space="0"/>
              <w:bottom w:val="single" w:color="auto" w:sz="4" w:space="0"/>
              <w:right w:val="single" w:color="auto" w:sz="4" w:space="0"/>
            </w:tcBorders>
            <w:noWrap w:val="0"/>
            <w:vAlign w:val="center"/>
          </w:tcPr>
          <w:p>
            <w:pPr>
              <w:numPr>
                <w:ilvl w:val="0"/>
                <w:numId w:val="1"/>
              </w:numPr>
              <w:snapToGrid w:val="0"/>
              <w:jc w:val="center"/>
              <w:rPr>
                <w:rFonts w:ascii="宋体" w:hAnsi="宋体" w:cs="仿宋_GB2312"/>
                <w:sz w:val="21"/>
                <w:szCs w:val="21"/>
                <w:shd w:val="clear" w:color="auto" w:fill="FFFFFF"/>
              </w:rPr>
            </w:pPr>
          </w:p>
        </w:tc>
        <w:tc>
          <w:tcPr>
            <w:tcW w:w="375" w:type="pct"/>
            <w:tcBorders>
              <w:top w:val="single" w:color="auto" w:sz="4" w:space="0"/>
              <w:left w:val="single" w:color="auto" w:sz="4" w:space="0"/>
              <w:bottom w:val="single" w:color="auto" w:sz="4" w:space="0"/>
              <w:right w:val="single" w:color="auto" w:sz="4" w:space="0"/>
            </w:tcBorders>
            <w:noWrap/>
            <w:vAlign w:val="center"/>
          </w:tcPr>
          <w:p>
            <w:pPr>
              <w:snapToGrid w:val="0"/>
              <w:jc w:val="center"/>
              <w:rPr>
                <w:rFonts w:hint="eastAsia" w:ascii="宋体" w:hAnsi="宋体" w:cs="仿宋_GB2312"/>
                <w:sz w:val="21"/>
                <w:szCs w:val="21"/>
              </w:rPr>
            </w:pPr>
            <w:r>
              <w:rPr>
                <w:rFonts w:hint="eastAsia"/>
                <w:color w:val="000000"/>
                <w:sz w:val="21"/>
                <w:szCs w:val="21"/>
              </w:rPr>
              <w:t>可视化和模型协调软件</w:t>
            </w:r>
          </w:p>
        </w:tc>
        <w:tc>
          <w:tcPr>
            <w:tcW w:w="3832" w:type="pct"/>
            <w:tcBorders>
              <w:top w:val="single" w:color="auto" w:sz="4" w:space="0"/>
              <w:left w:val="nil"/>
              <w:bottom w:val="single" w:color="auto" w:sz="4" w:space="0"/>
              <w:right w:val="single" w:color="auto" w:sz="4" w:space="0"/>
            </w:tcBorders>
            <w:noWrap/>
            <w:vAlign w:val="center"/>
          </w:tcPr>
          <w:p>
            <w:pPr>
              <w:snapToGrid w:val="0"/>
              <w:rPr>
                <w:b/>
                <w:bCs/>
                <w:color w:val="000000"/>
                <w:sz w:val="21"/>
                <w:szCs w:val="21"/>
              </w:rPr>
            </w:pPr>
            <w:r>
              <w:rPr>
                <w:rFonts w:hint="eastAsia"/>
                <w:b/>
                <w:bCs/>
                <w:color w:val="000000"/>
                <w:sz w:val="21"/>
                <w:szCs w:val="21"/>
              </w:rPr>
              <w:t>为本届数字建造项目比赛提供可视化和模型协调软件及赛场技术支持服务，可视化和模型协调软件必须是世界技能大赛该赛项的比赛软件，能实现多专业模型整合、碰撞检测、分享、审阅、漫游、4D施工模拟等以下功能：</w:t>
            </w:r>
          </w:p>
          <w:p>
            <w:pPr>
              <w:snapToGrid w:val="0"/>
              <w:rPr>
                <w:color w:val="000000"/>
                <w:sz w:val="21"/>
                <w:szCs w:val="21"/>
              </w:rPr>
            </w:pPr>
            <w:r>
              <w:rPr>
                <w:rFonts w:hint="eastAsia"/>
                <w:color w:val="000000"/>
                <w:sz w:val="21"/>
                <w:szCs w:val="21"/>
              </w:rPr>
              <w:t xml:space="preserve">1. 支持项目设计与建筑专业人士将各自的成果集成至同一个同步的建筑信息模型中； </w:t>
            </w:r>
          </w:p>
          <w:p>
            <w:pPr>
              <w:snapToGrid w:val="0"/>
              <w:rPr>
                <w:color w:val="000000"/>
                <w:sz w:val="21"/>
                <w:szCs w:val="21"/>
              </w:rPr>
            </w:pPr>
            <w:r>
              <w:rPr>
                <w:rFonts w:hint="eastAsia"/>
                <w:color w:val="000000"/>
                <w:sz w:val="21"/>
                <w:szCs w:val="21"/>
              </w:rPr>
              <w:t xml:space="preserve">2. 支持三维项目模型中潜在冲突进行有效的辨别、检查与报告； </w:t>
            </w:r>
          </w:p>
          <w:p>
            <w:pPr>
              <w:snapToGrid w:val="0"/>
              <w:rPr>
                <w:color w:val="000000"/>
                <w:sz w:val="21"/>
                <w:szCs w:val="21"/>
              </w:rPr>
            </w:pPr>
            <w:r>
              <w:rPr>
                <w:rFonts w:hint="eastAsia"/>
                <w:color w:val="000000"/>
                <w:sz w:val="21"/>
                <w:szCs w:val="21"/>
              </w:rPr>
              <w:t xml:space="preserve">3. 支持实时的可视化，漫游并探索复杂的三维模型以及其中包含的所有项目信息； </w:t>
            </w:r>
          </w:p>
          <w:p>
            <w:pPr>
              <w:snapToGrid w:val="0"/>
              <w:rPr>
                <w:rFonts w:hint="eastAsia" w:ascii="宋体" w:hAnsi="宋体" w:cs="仿宋_GB2312"/>
                <w:sz w:val="21"/>
                <w:szCs w:val="21"/>
              </w:rPr>
            </w:pPr>
            <w:r>
              <w:rPr>
                <w:rFonts w:hint="eastAsia"/>
                <w:color w:val="000000"/>
                <w:sz w:val="21"/>
                <w:szCs w:val="21"/>
              </w:rPr>
              <w:t>4.支持将三维模型与项目进度表动态链接，通过交互式、逼真的渲染图和漫游动画来查看其未来的工作成果。</w:t>
            </w:r>
          </w:p>
        </w:tc>
        <w:tc>
          <w:tcPr>
            <w:tcW w:w="507" w:type="pct"/>
            <w:tcBorders>
              <w:top w:val="single" w:color="auto" w:sz="4" w:space="0"/>
              <w:left w:val="nil"/>
              <w:bottom w:val="single" w:color="auto" w:sz="4" w:space="0"/>
              <w:right w:val="single" w:color="auto" w:sz="4" w:space="0"/>
            </w:tcBorders>
            <w:noWrap/>
            <w:vAlign w:val="center"/>
          </w:tcPr>
          <w:p>
            <w:pPr>
              <w:snapToGrid w:val="0"/>
              <w:jc w:val="center"/>
              <w:rPr>
                <w:rFonts w:hint="eastAsia" w:ascii="宋体" w:hAnsi="宋体" w:cs="仿宋_GB2312"/>
                <w:sz w:val="21"/>
                <w:szCs w:val="21"/>
              </w:rPr>
            </w:pPr>
            <w:r>
              <w:rPr>
                <w:rFonts w:hint="eastAsia" w:ascii="宋体" w:hAnsi="宋体" w:cs="仿宋_GB2312"/>
                <w:sz w:val="21"/>
                <w:szCs w:val="21"/>
              </w:rPr>
              <w:t>20</w:t>
            </w:r>
          </w:p>
        </w:tc>
      </w:tr>
      <w:tr>
        <w:tblPrEx>
          <w:tblCellMar>
            <w:top w:w="0" w:type="dxa"/>
            <w:left w:w="108" w:type="dxa"/>
            <w:bottom w:w="0" w:type="dxa"/>
            <w:right w:w="108" w:type="dxa"/>
          </w:tblCellMar>
        </w:tblPrEx>
        <w:trPr>
          <w:trHeight w:val="397" w:hRule="atLeast"/>
          <w:jc w:val="center"/>
        </w:trPr>
        <w:tc>
          <w:tcPr>
            <w:tcW w:w="283" w:type="pct"/>
            <w:tcBorders>
              <w:top w:val="single" w:color="auto" w:sz="4" w:space="0"/>
              <w:left w:val="single" w:color="auto" w:sz="4" w:space="0"/>
              <w:bottom w:val="single" w:color="auto" w:sz="4" w:space="0"/>
              <w:right w:val="single" w:color="auto" w:sz="4" w:space="0"/>
            </w:tcBorders>
            <w:noWrap w:val="0"/>
            <w:vAlign w:val="center"/>
          </w:tcPr>
          <w:p>
            <w:pPr>
              <w:numPr>
                <w:ilvl w:val="0"/>
                <w:numId w:val="1"/>
              </w:numPr>
              <w:snapToGrid w:val="0"/>
              <w:jc w:val="center"/>
              <w:rPr>
                <w:rFonts w:ascii="宋体" w:hAnsi="宋体" w:cs="仿宋_GB2312"/>
                <w:sz w:val="21"/>
                <w:szCs w:val="21"/>
                <w:shd w:val="clear" w:color="auto" w:fill="FFFFFF"/>
              </w:rPr>
            </w:pPr>
          </w:p>
        </w:tc>
        <w:tc>
          <w:tcPr>
            <w:tcW w:w="375" w:type="pct"/>
            <w:tcBorders>
              <w:top w:val="single" w:color="auto" w:sz="4" w:space="0"/>
              <w:left w:val="single" w:color="auto" w:sz="4" w:space="0"/>
              <w:bottom w:val="single" w:color="auto" w:sz="4" w:space="0"/>
              <w:right w:val="single" w:color="auto" w:sz="4" w:space="0"/>
            </w:tcBorders>
            <w:noWrap/>
            <w:vAlign w:val="center"/>
          </w:tcPr>
          <w:p>
            <w:pPr>
              <w:snapToGrid w:val="0"/>
              <w:jc w:val="center"/>
              <w:rPr>
                <w:rFonts w:hint="eastAsia" w:ascii="宋体" w:hAnsi="宋体" w:cs="仿宋_GB2312"/>
                <w:sz w:val="21"/>
                <w:szCs w:val="21"/>
              </w:rPr>
            </w:pPr>
            <w:r>
              <w:rPr>
                <w:rFonts w:hint="eastAsia"/>
                <w:color w:val="000000"/>
                <w:sz w:val="21"/>
                <w:szCs w:val="21"/>
              </w:rPr>
              <w:t>云协作平台</w:t>
            </w:r>
          </w:p>
        </w:tc>
        <w:tc>
          <w:tcPr>
            <w:tcW w:w="3832" w:type="pct"/>
            <w:tcBorders>
              <w:top w:val="single" w:color="auto" w:sz="4" w:space="0"/>
              <w:left w:val="nil"/>
              <w:bottom w:val="single" w:color="auto" w:sz="4" w:space="0"/>
              <w:right w:val="single" w:color="auto" w:sz="4" w:space="0"/>
            </w:tcBorders>
            <w:noWrap/>
            <w:vAlign w:val="center"/>
          </w:tcPr>
          <w:p>
            <w:pPr>
              <w:snapToGrid w:val="0"/>
              <w:rPr>
                <w:b/>
                <w:bCs/>
                <w:color w:val="000000"/>
                <w:sz w:val="21"/>
                <w:szCs w:val="21"/>
              </w:rPr>
            </w:pPr>
            <w:r>
              <w:rPr>
                <w:rFonts w:hint="eastAsia"/>
                <w:b/>
                <w:bCs/>
                <w:color w:val="000000"/>
                <w:sz w:val="21"/>
                <w:szCs w:val="21"/>
              </w:rPr>
              <w:t>为数字建造项目比赛提供云协作平台、技术支持及参赛选手云协作平台功能培训等服务，云协作平台必须是有独立知识产权的国产品牌</w:t>
            </w:r>
            <w:r>
              <w:rPr>
                <w:rFonts w:hint="eastAsia"/>
                <w:color w:val="000000"/>
                <w:sz w:val="21"/>
                <w:szCs w:val="21"/>
              </w:rPr>
              <w:t>，</w:t>
            </w:r>
            <w:r>
              <w:rPr>
                <w:rFonts w:hint="eastAsia"/>
                <w:b/>
                <w:bCs/>
                <w:color w:val="000000"/>
                <w:sz w:val="21"/>
                <w:szCs w:val="21"/>
              </w:rPr>
              <w:t>与世界技能大赛该赛项的比赛用云协作平台具有相似功能，能实现跨组织、多人员、多专业协同工作等以下功能：</w:t>
            </w:r>
          </w:p>
          <w:p>
            <w:pPr>
              <w:snapToGrid w:val="0"/>
              <w:rPr>
                <w:color w:val="000000"/>
                <w:sz w:val="21"/>
                <w:szCs w:val="21"/>
              </w:rPr>
            </w:pPr>
            <w:r>
              <w:rPr>
                <w:rFonts w:hint="eastAsia"/>
                <w:color w:val="000000"/>
                <w:sz w:val="21"/>
                <w:szCs w:val="21"/>
              </w:rPr>
              <w:t>1.云协作平台支持参赛选手按照比赛项目发布的B</w:t>
            </w:r>
            <w:r>
              <w:rPr>
                <w:color w:val="000000"/>
                <w:sz w:val="21"/>
                <w:szCs w:val="21"/>
              </w:rPr>
              <w:t>IM</w:t>
            </w:r>
            <w:r>
              <w:rPr>
                <w:rFonts w:hint="eastAsia"/>
                <w:color w:val="000000"/>
                <w:sz w:val="21"/>
                <w:szCs w:val="21"/>
              </w:rPr>
              <w:t>执行计划（B</w:t>
            </w:r>
            <w:r>
              <w:rPr>
                <w:color w:val="000000"/>
                <w:sz w:val="21"/>
                <w:szCs w:val="21"/>
              </w:rPr>
              <w:t>EP</w:t>
            </w:r>
            <w:r>
              <w:rPr>
                <w:rFonts w:hint="eastAsia"/>
                <w:color w:val="000000"/>
                <w:sz w:val="21"/>
                <w:szCs w:val="21"/>
              </w:rPr>
              <w:t>）要求在比赛系统中搭建公共数据环境（C</w:t>
            </w:r>
            <w:r>
              <w:rPr>
                <w:color w:val="000000"/>
                <w:sz w:val="21"/>
                <w:szCs w:val="21"/>
              </w:rPr>
              <w:t>DE</w:t>
            </w:r>
            <w:r>
              <w:rPr>
                <w:rFonts w:hint="eastAsia"/>
                <w:color w:val="000000"/>
                <w:sz w:val="21"/>
                <w:szCs w:val="21"/>
              </w:rPr>
              <w:t>），包括创建比赛项目、创建工作组织和项目管理团队、建立文件夹管理体系等；</w:t>
            </w:r>
          </w:p>
          <w:p>
            <w:pPr>
              <w:snapToGrid w:val="0"/>
              <w:rPr>
                <w:color w:val="000000"/>
                <w:sz w:val="21"/>
                <w:szCs w:val="21"/>
              </w:rPr>
            </w:pPr>
            <w:r>
              <w:rPr>
                <w:rFonts w:hint="eastAsia"/>
                <w:color w:val="000000"/>
                <w:sz w:val="21"/>
                <w:szCs w:val="21"/>
              </w:rPr>
              <w:t xml:space="preserve">2.文档管理模块可在云端存储和管理比赛项目全生命期中的文档、图纸、模型等所有项目数据，支持按组织、项目生命周期等不同维度创建文档目录，灵活分类管理。提供浏览、下载、创建、修改、删除、权限设置多种细粒度的权限控制，可针对任一层级文件夹，对组织或成员进行灵活授权，支持批量新增或修改授权。 </w:t>
            </w:r>
          </w:p>
          <w:p>
            <w:pPr>
              <w:snapToGrid w:val="0"/>
              <w:rPr>
                <w:color w:val="000000"/>
                <w:sz w:val="21"/>
                <w:szCs w:val="21"/>
              </w:rPr>
            </w:pPr>
            <w:r>
              <w:rPr>
                <w:rFonts w:hint="eastAsia"/>
                <w:color w:val="000000"/>
                <w:sz w:val="21"/>
                <w:szCs w:val="21"/>
              </w:rPr>
              <w:t>3.进度、质量、安全等任务流程模块根据比赛项目需求，可进行文件共享、图纸会审、变更处理、现场质量安全问题等工作流的创建与管理，支持个性化模板配置。可设置任务起止时间、指派任务执行人、任务即时提醒、项目成员在线讨论、任务流程自动流转等功能，随时了解任务进展，使任务得到有效跟踪和处理。</w:t>
            </w:r>
          </w:p>
          <w:p>
            <w:pPr>
              <w:snapToGrid w:val="0"/>
              <w:rPr>
                <w:color w:val="000000"/>
                <w:sz w:val="21"/>
                <w:szCs w:val="21"/>
              </w:rPr>
            </w:pPr>
            <w:r>
              <w:rPr>
                <w:rFonts w:hint="eastAsia"/>
                <w:color w:val="000000"/>
                <w:sz w:val="21"/>
                <w:szCs w:val="21"/>
              </w:rPr>
              <w:t xml:space="preserve">4.BIM协作模块支持比赛项目多专业模型在线集成浏览，自由剖切、过滤筛选、查看构件属性信息、漫游行走，具有良好的浏览体验，可以进行问题批注与沟通。 </w:t>
            </w:r>
          </w:p>
          <w:p>
            <w:pPr>
              <w:snapToGrid w:val="0"/>
              <w:rPr>
                <w:rFonts w:hint="eastAsia" w:ascii="宋体" w:hAnsi="宋体" w:cs="仿宋_GB2312"/>
                <w:sz w:val="21"/>
                <w:szCs w:val="21"/>
              </w:rPr>
            </w:pPr>
            <w:r>
              <w:rPr>
                <w:rFonts w:hint="eastAsia"/>
                <w:color w:val="000000"/>
                <w:sz w:val="21"/>
                <w:szCs w:val="21"/>
              </w:rPr>
              <w:t>5.动态留痕可以查看文档、任务等动态更新，通过文档的操作痕迹，可以看到文件被上传、下载、预览、分享的状态，各类操作均留痕，便于追溯。</w:t>
            </w:r>
          </w:p>
        </w:tc>
        <w:tc>
          <w:tcPr>
            <w:tcW w:w="507" w:type="pct"/>
            <w:tcBorders>
              <w:top w:val="single" w:color="auto" w:sz="4" w:space="0"/>
              <w:left w:val="nil"/>
              <w:bottom w:val="single" w:color="auto" w:sz="4" w:space="0"/>
              <w:right w:val="single" w:color="auto" w:sz="4" w:space="0"/>
            </w:tcBorders>
            <w:noWrap/>
            <w:vAlign w:val="center"/>
          </w:tcPr>
          <w:p>
            <w:pPr>
              <w:snapToGrid w:val="0"/>
              <w:jc w:val="center"/>
              <w:rPr>
                <w:rFonts w:hint="eastAsia" w:ascii="宋体" w:hAnsi="宋体" w:cs="仿宋_GB2312"/>
                <w:sz w:val="21"/>
                <w:szCs w:val="21"/>
              </w:rPr>
            </w:pPr>
            <w:r>
              <w:rPr>
                <w:rFonts w:hint="eastAsia" w:ascii="宋体" w:hAnsi="宋体" w:cs="仿宋_GB2312"/>
                <w:sz w:val="21"/>
                <w:szCs w:val="21"/>
              </w:rPr>
              <w:t>20</w:t>
            </w:r>
          </w:p>
        </w:tc>
      </w:tr>
      <w:tr>
        <w:tblPrEx>
          <w:tblCellMar>
            <w:top w:w="0" w:type="dxa"/>
            <w:left w:w="108" w:type="dxa"/>
            <w:bottom w:w="0" w:type="dxa"/>
            <w:right w:w="108" w:type="dxa"/>
          </w:tblCellMar>
        </w:tblPrEx>
        <w:trPr>
          <w:trHeight w:val="397" w:hRule="atLeast"/>
          <w:jc w:val="center"/>
        </w:trPr>
        <w:tc>
          <w:tcPr>
            <w:tcW w:w="283" w:type="pct"/>
            <w:tcBorders>
              <w:top w:val="single" w:color="auto" w:sz="4" w:space="0"/>
              <w:left w:val="single" w:color="auto" w:sz="4" w:space="0"/>
              <w:bottom w:val="single" w:color="auto" w:sz="4" w:space="0"/>
              <w:right w:val="single" w:color="auto" w:sz="4" w:space="0"/>
            </w:tcBorders>
            <w:noWrap w:val="0"/>
            <w:vAlign w:val="center"/>
          </w:tcPr>
          <w:p>
            <w:pPr>
              <w:numPr>
                <w:ilvl w:val="0"/>
                <w:numId w:val="1"/>
              </w:numPr>
              <w:snapToGrid w:val="0"/>
              <w:jc w:val="center"/>
              <w:rPr>
                <w:rFonts w:ascii="宋体" w:hAnsi="宋体" w:cs="仿宋_GB2312"/>
                <w:sz w:val="21"/>
                <w:szCs w:val="21"/>
                <w:shd w:val="clear" w:color="auto" w:fill="FFFFFF"/>
              </w:rPr>
            </w:pPr>
          </w:p>
        </w:tc>
        <w:tc>
          <w:tcPr>
            <w:tcW w:w="375"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outlineLvl w:val="1"/>
              <w:rPr>
                <w:rFonts w:hint="eastAsia" w:ascii="宋体" w:hAnsi="宋体" w:cs="仿宋_GB2312"/>
                <w:sz w:val="21"/>
                <w:szCs w:val="21"/>
                <w:lang w:val="en-US" w:eastAsia="zh-CN" w:bidi="ar-SA"/>
              </w:rPr>
            </w:pPr>
            <w:r>
              <w:rPr>
                <w:rFonts w:hint="eastAsia" w:ascii="宋体" w:hAnsi="宋体" w:cs="仿宋_GB2312"/>
                <w:szCs w:val="21"/>
              </w:rPr>
              <w:t>现场设备设施的维护和技术支持</w:t>
            </w:r>
          </w:p>
        </w:tc>
        <w:tc>
          <w:tcPr>
            <w:tcW w:w="3832" w:type="pct"/>
            <w:tcBorders>
              <w:top w:val="single" w:color="auto" w:sz="4" w:space="0"/>
              <w:left w:val="nil"/>
              <w:bottom w:val="single" w:color="auto" w:sz="4" w:space="0"/>
              <w:right w:val="single" w:color="auto" w:sz="4" w:space="0"/>
            </w:tcBorders>
            <w:noWrap/>
            <w:vAlign w:val="center"/>
          </w:tcPr>
          <w:p>
            <w:pPr>
              <w:snapToGrid w:val="0"/>
              <w:jc w:val="center"/>
              <w:rPr>
                <w:rFonts w:hint="eastAsia" w:ascii="宋体" w:hAnsi="宋体" w:eastAsia="宋体" w:cs="仿宋_GB2312"/>
                <w:sz w:val="21"/>
                <w:szCs w:val="21"/>
                <w:lang w:val="en-US" w:eastAsia="zh-CN" w:bidi="ar-SA"/>
              </w:rPr>
            </w:pPr>
            <w:r>
              <w:rPr>
                <w:rFonts w:hint="eastAsia" w:hAnsi="宋体" w:eastAsia="宋体"/>
                <w:szCs w:val="21"/>
              </w:rPr>
              <w:t>有该赛项比赛技术支持经验</w:t>
            </w:r>
            <w:r>
              <w:rPr>
                <w:rFonts w:hint="eastAsia" w:hAnsi="宋体" w:eastAsia="宋体"/>
                <w:szCs w:val="21"/>
                <w:lang w:eastAsia="zh-CN"/>
              </w:rPr>
              <w:t>的</w:t>
            </w:r>
            <w:r>
              <w:rPr>
                <w:rFonts w:hint="eastAsia" w:hAnsi="宋体" w:eastAsia="宋体"/>
                <w:szCs w:val="21"/>
                <w:lang w:val="en-US" w:eastAsia="zh-CN"/>
              </w:rPr>
              <w:t>人员</w:t>
            </w:r>
            <w:r>
              <w:rPr>
                <w:rFonts w:hint="eastAsia" w:hAnsi="宋体" w:eastAsia="宋体"/>
                <w:szCs w:val="21"/>
              </w:rPr>
              <w:t>进行技术支持</w:t>
            </w:r>
          </w:p>
        </w:tc>
        <w:tc>
          <w:tcPr>
            <w:tcW w:w="507" w:type="pct"/>
            <w:tcBorders>
              <w:top w:val="single" w:color="auto" w:sz="4" w:space="0"/>
              <w:left w:val="nil"/>
              <w:bottom w:val="single" w:color="auto" w:sz="4" w:space="0"/>
              <w:right w:val="single" w:color="auto" w:sz="4" w:space="0"/>
            </w:tcBorders>
            <w:noWrap/>
            <w:vAlign w:val="center"/>
          </w:tcPr>
          <w:p>
            <w:pPr>
              <w:snapToGrid w:val="0"/>
              <w:jc w:val="center"/>
              <w:rPr>
                <w:rFonts w:hint="eastAsia" w:ascii="宋体" w:hAnsi="宋体" w:cs="仿宋_GB2312"/>
                <w:sz w:val="21"/>
                <w:szCs w:val="21"/>
                <w:lang w:val="en-US" w:eastAsia="zh-CN" w:bidi="ar-SA"/>
              </w:rPr>
            </w:pPr>
            <w:r>
              <w:rPr>
                <w:rFonts w:hint="eastAsia" w:ascii="宋体" w:hAnsi="宋体" w:cs="仿宋_GB2312"/>
                <w:sz w:val="21"/>
                <w:szCs w:val="21"/>
                <w:lang w:val="en-US" w:eastAsia="zh-CN"/>
              </w:rPr>
              <w:t>2人</w:t>
            </w:r>
          </w:p>
        </w:tc>
      </w:tr>
    </w:tbl>
    <w:p>
      <w:pPr>
        <w:pStyle w:val="2"/>
      </w:pPr>
    </w:p>
    <w:p>
      <w:pPr>
        <w:spacing w:before="240" w:beforeLines="100" w:after="120" w:afterLines="50" w:line="360" w:lineRule="auto"/>
        <w:ind w:firstLine="421" w:firstLineChars="200"/>
        <w:outlineLvl w:val="1"/>
        <w:rPr>
          <w:rFonts w:ascii="宋体" w:hAnsi="宋体" w:cs="宋体"/>
          <w:b/>
          <w:bCs/>
          <w:sz w:val="21"/>
          <w:szCs w:val="21"/>
        </w:rPr>
      </w:pPr>
      <w:bookmarkStart w:id="16" w:name="_Toc414367659"/>
      <w:r>
        <w:rPr>
          <w:rFonts w:hint="eastAsia" w:ascii="宋体" w:hAnsi="宋体" w:cs="宋体"/>
          <w:b/>
          <w:bCs/>
          <w:sz w:val="21"/>
          <w:szCs w:val="21"/>
        </w:rPr>
        <w:t>2、商务要求</w:t>
      </w:r>
    </w:p>
    <w:p>
      <w:pPr>
        <w:pStyle w:val="2"/>
        <w:spacing w:line="360" w:lineRule="auto"/>
        <w:ind w:firstLine="420" w:firstLineChars="200"/>
        <w:rPr>
          <w:rFonts w:ascii="宋体" w:hAnsi="宋体" w:cs="宋体"/>
          <w:szCs w:val="21"/>
        </w:rPr>
      </w:pPr>
      <w:r>
        <w:rPr>
          <w:rFonts w:hint="eastAsia" w:ascii="宋体" w:hAnsi="宋体" w:cs="宋体"/>
          <w:szCs w:val="21"/>
        </w:rPr>
        <w:t>（1）交货时间：2</w:t>
      </w:r>
      <w:r>
        <w:rPr>
          <w:rFonts w:ascii="宋体" w:hAnsi="宋体" w:cs="宋体"/>
          <w:szCs w:val="21"/>
        </w:rPr>
        <w:t>023</w:t>
      </w:r>
      <w:r>
        <w:rPr>
          <w:rFonts w:hint="eastAsia" w:ascii="宋体" w:hAnsi="宋体" w:cs="宋体"/>
          <w:szCs w:val="21"/>
        </w:rPr>
        <w:t>年</w:t>
      </w:r>
      <w:r>
        <w:rPr>
          <w:rFonts w:ascii="宋体" w:hAnsi="宋体" w:cs="宋体"/>
          <w:szCs w:val="21"/>
        </w:rPr>
        <w:t>5</w:t>
      </w:r>
      <w:r>
        <w:rPr>
          <w:rFonts w:hint="eastAsia" w:ascii="宋体" w:hAnsi="宋体" w:cs="宋体"/>
          <w:szCs w:val="21"/>
        </w:rPr>
        <w:t>月</w:t>
      </w:r>
      <w:r>
        <w:rPr>
          <w:rFonts w:hint="eastAsia" w:ascii="宋体" w:hAnsi="宋体" w:cs="宋体"/>
          <w:szCs w:val="21"/>
          <w:lang w:val="en-US" w:eastAsia="zh-CN"/>
        </w:rPr>
        <w:t>14</w:t>
      </w:r>
      <w:r>
        <w:rPr>
          <w:rFonts w:hint="eastAsia" w:ascii="宋体" w:hAnsi="宋体" w:cs="宋体"/>
          <w:szCs w:val="21"/>
        </w:rPr>
        <w:t>号之前</w:t>
      </w:r>
    </w:p>
    <w:p>
      <w:pPr>
        <w:pStyle w:val="2"/>
        <w:spacing w:line="360" w:lineRule="auto"/>
        <w:ind w:firstLine="420" w:firstLineChars="200"/>
        <w:rPr>
          <w:rFonts w:ascii="宋体" w:hAnsi="宋体" w:cs="宋体"/>
          <w:bCs/>
          <w:szCs w:val="21"/>
        </w:rPr>
      </w:pPr>
      <w:r>
        <w:rPr>
          <w:rFonts w:hint="eastAsia" w:ascii="宋体" w:hAnsi="宋体" w:cs="宋体"/>
          <w:szCs w:val="21"/>
        </w:rPr>
        <w:t>（2）交货地点：采购人指定地点</w:t>
      </w:r>
      <w:r>
        <w:rPr>
          <w:rFonts w:hint="eastAsia" w:ascii="宋体" w:hAnsi="宋体" w:cs="宋体"/>
          <w:bCs/>
          <w:szCs w:val="21"/>
        </w:rPr>
        <w:t>。</w:t>
      </w:r>
    </w:p>
    <w:p>
      <w:pPr>
        <w:pStyle w:val="2"/>
        <w:spacing w:line="360" w:lineRule="auto"/>
        <w:ind w:firstLine="420" w:firstLineChars="200"/>
        <w:rPr>
          <w:rFonts w:ascii="宋体" w:hAnsi="宋体" w:cs="宋体"/>
          <w:szCs w:val="21"/>
        </w:rPr>
      </w:pPr>
      <w:r>
        <w:rPr>
          <w:rFonts w:hint="eastAsia" w:ascii="宋体" w:hAnsi="宋体" w:cs="宋体"/>
          <w:szCs w:val="21"/>
        </w:rPr>
        <w:t>（3）</w:t>
      </w:r>
      <w:r>
        <w:rPr>
          <w:rFonts w:hint="eastAsia" w:ascii="宋体" w:hAnsi="宋体" w:cs="宋体"/>
          <w:bCs/>
          <w:szCs w:val="21"/>
        </w:rPr>
        <w:t>免费提供本遴选文件中所述的竞赛设备设施使用服务及伴随技术支持服务</w:t>
      </w:r>
      <w:r>
        <w:rPr>
          <w:rFonts w:hint="eastAsia" w:ascii="宋体" w:hAnsi="宋体" w:cs="宋体"/>
          <w:szCs w:val="21"/>
        </w:rPr>
        <w:t>。</w:t>
      </w:r>
    </w:p>
    <w:p>
      <w:pPr>
        <w:pStyle w:val="2"/>
        <w:spacing w:line="360" w:lineRule="auto"/>
        <w:ind w:firstLine="210" w:firstLineChars="100"/>
        <w:rPr>
          <w:rFonts w:ascii="宋体" w:hAnsi="宋体" w:cs="宋体"/>
          <w:szCs w:val="21"/>
        </w:rPr>
      </w:pPr>
      <w:r>
        <w:rPr>
          <w:rFonts w:hint="eastAsia" w:ascii="宋体" w:hAnsi="宋体" w:cs="宋体"/>
          <w:szCs w:val="21"/>
        </w:rPr>
        <w:t>★（4）中选单位的相应权益由第三届广东省技能大赛执委会在组委会的指导下统一拟定、兑现。</w:t>
      </w:r>
    </w:p>
    <w:p>
      <w:pPr>
        <w:pStyle w:val="2"/>
        <w:spacing w:line="360" w:lineRule="auto"/>
        <w:ind w:firstLine="210" w:firstLineChars="100"/>
        <w:rPr>
          <w:rFonts w:ascii="宋体" w:hAnsi="宋体"/>
          <w:szCs w:val="21"/>
        </w:rPr>
      </w:pPr>
      <w:r>
        <w:rPr>
          <w:rFonts w:hint="eastAsia" w:ascii="宋体" w:hAnsi="宋体"/>
          <w:szCs w:val="21"/>
        </w:rPr>
        <w:t>★（5）中选单位负责提供本遴选（招标）文件中所述竞赛设备设施（设备设施权属赛前、赛中、赛后不发生变更）的运输、安装、调试，确保达到竞赛要求，因此而产生的费用由中选单位负责；</w:t>
      </w:r>
    </w:p>
    <w:p>
      <w:pPr>
        <w:pStyle w:val="2"/>
        <w:spacing w:line="360" w:lineRule="auto"/>
        <w:ind w:firstLine="210" w:firstLineChars="100"/>
        <w:rPr>
          <w:rFonts w:ascii="宋体" w:hAnsi="宋体"/>
          <w:szCs w:val="21"/>
        </w:rPr>
      </w:pPr>
      <w:r>
        <w:rPr>
          <w:rFonts w:hint="eastAsia" w:ascii="宋体" w:hAnsi="宋体"/>
          <w:szCs w:val="21"/>
        </w:rPr>
        <w:t>★（6）负责竞赛现场仪器设备设施的维护和技术支持，并配备两名或以上技术人员，配备赛事备用件；</w:t>
      </w:r>
    </w:p>
    <w:p>
      <w:pPr>
        <w:pStyle w:val="2"/>
        <w:spacing w:line="360" w:lineRule="auto"/>
        <w:ind w:firstLine="420" w:firstLineChars="200"/>
        <w:rPr>
          <w:rFonts w:ascii="宋体" w:hAnsi="宋体"/>
          <w:szCs w:val="21"/>
        </w:rPr>
      </w:pPr>
      <w:r>
        <w:rPr>
          <w:rFonts w:hint="eastAsia" w:ascii="宋体" w:hAnsi="宋体"/>
          <w:szCs w:val="21"/>
        </w:rPr>
        <w:t>（7）按组委会或执委会要求，免费为实施保障单位、各参赛队等提供赛前技术培训；免费提供完整齐备的设备操作技术手册及使用注意事项等与比赛相关的资料；</w:t>
      </w:r>
    </w:p>
    <w:p>
      <w:pPr>
        <w:pStyle w:val="2"/>
        <w:spacing w:line="360" w:lineRule="auto"/>
        <w:ind w:firstLine="420" w:firstLineChars="200"/>
        <w:rPr>
          <w:rFonts w:ascii="宋体" w:hAnsi="宋体"/>
          <w:szCs w:val="21"/>
        </w:rPr>
      </w:pPr>
      <w:r>
        <w:rPr>
          <w:rFonts w:hint="eastAsia" w:ascii="宋体" w:hAnsi="宋体"/>
          <w:szCs w:val="21"/>
        </w:rPr>
        <w:t>（8）确保按时保质提供所承诺的设备设施及服务，保障赛事正常运行</w:t>
      </w:r>
      <w:bookmarkEnd w:id="16"/>
      <w:r>
        <w:rPr>
          <w:rFonts w:hint="eastAsia" w:ascii="宋体" w:hAnsi="宋体"/>
          <w:szCs w:val="21"/>
        </w:rPr>
        <w:t>。</w:t>
      </w:r>
    </w:p>
    <w:p>
      <w:pPr>
        <w:pStyle w:val="2"/>
        <w:rPr>
          <w:rFonts w:ascii="宋体" w:hAnsi="宋体" w:cs="TimesNewRomanPSMT"/>
          <w:b/>
          <w:szCs w:val="21"/>
        </w:rPr>
      </w:pPr>
      <w:r>
        <w:rPr>
          <w:rFonts w:hint="eastAsia" w:ascii="宋体" w:hAnsi="宋体" w:cs="TimesNewRomanPSMT"/>
          <w:b/>
          <w:szCs w:val="21"/>
        </w:rPr>
        <w:t>八、评分标准和权重</w:t>
      </w:r>
    </w:p>
    <w:p>
      <w:pPr>
        <w:spacing w:before="240" w:beforeLines="100" w:after="120" w:afterLines="50" w:line="360" w:lineRule="auto"/>
        <w:ind w:firstLine="421" w:firstLineChars="200"/>
        <w:outlineLvl w:val="1"/>
        <w:rPr>
          <w:rFonts w:ascii="宋体" w:hAnsi="宋体" w:cs="宋体"/>
          <w:b/>
          <w:bCs/>
          <w:sz w:val="21"/>
          <w:szCs w:val="21"/>
        </w:rPr>
      </w:pPr>
      <w:r>
        <w:rPr>
          <w:rFonts w:hint="eastAsia" w:ascii="宋体" w:hAnsi="宋体" w:cs="宋体"/>
          <w:b/>
          <w:bCs/>
          <w:sz w:val="21"/>
          <w:szCs w:val="21"/>
        </w:rPr>
        <w:t>1、评分标准</w:t>
      </w:r>
    </w:p>
    <w:p>
      <w:pPr>
        <w:pStyle w:val="2"/>
        <w:spacing w:line="360" w:lineRule="auto"/>
        <w:ind w:firstLine="420" w:firstLineChars="200"/>
        <w:rPr>
          <w:rFonts w:ascii="宋体" w:hAnsi="宋体"/>
          <w:szCs w:val="21"/>
        </w:rPr>
      </w:pPr>
      <w:r>
        <w:rPr>
          <w:rFonts w:hint="eastAsia" w:ascii="宋体" w:hAnsi="宋体"/>
          <w:szCs w:val="21"/>
        </w:rPr>
        <w:t>评委对响应文件的技术及商务响应情况进行评分。评分采用量化综合评分方法。评委根据通过资格、符合性评审供应商的响应文件，并逐项列出响应文件的全部响应偏差。评分应考虑到响应文件与遴选文件之间的细微偏差。细微偏差是指响应文件在实质上响应遴选文件要求，但在个别地方存在漏项或者提供了不完整的技术信息和数据等情况，并且补正这些遗漏或者不完整不会对其他供应商造成不公平的结果。细微偏差不影响响应文件的有效性。在详细评审时对细微偏差作不利于该供应商的量化。</w:t>
      </w:r>
    </w:p>
    <w:p>
      <w:pPr>
        <w:pStyle w:val="2"/>
        <w:spacing w:line="360" w:lineRule="auto"/>
        <w:ind w:firstLine="420" w:firstLineChars="200"/>
        <w:rPr>
          <w:rFonts w:ascii="宋体" w:hAnsi="宋体"/>
          <w:szCs w:val="21"/>
        </w:rPr>
      </w:pPr>
      <w:r>
        <w:rPr>
          <w:rFonts w:hint="eastAsia" w:ascii="宋体" w:hAnsi="宋体"/>
          <w:szCs w:val="21"/>
        </w:rPr>
        <w:t>综合得分=技术得分+商务得分。</w:t>
      </w:r>
    </w:p>
    <w:p>
      <w:pPr>
        <w:pStyle w:val="2"/>
        <w:spacing w:line="360" w:lineRule="auto"/>
        <w:ind w:firstLine="420" w:firstLineChars="200"/>
        <w:rPr>
          <w:rFonts w:ascii="宋体" w:hAnsi="宋体"/>
          <w:szCs w:val="21"/>
        </w:rPr>
      </w:pPr>
      <w:r>
        <w:rPr>
          <w:rFonts w:hint="eastAsia" w:ascii="宋体" w:hAnsi="宋体"/>
          <w:szCs w:val="21"/>
        </w:rPr>
        <w:t>评审内容详见技术（商务）响应评审表，计算公式（四舍五入保留两位小数）：</w:t>
      </w:r>
    </w:p>
    <w:p>
      <w:pPr>
        <w:pStyle w:val="2"/>
        <w:spacing w:line="360" w:lineRule="auto"/>
        <w:ind w:firstLine="420" w:firstLineChars="200"/>
        <w:rPr>
          <w:rFonts w:ascii="宋体" w:hAnsi="宋体"/>
          <w:szCs w:val="21"/>
        </w:rPr>
      </w:pPr>
      <w:r>
        <w:rPr>
          <w:rFonts w:hint="eastAsia" w:ascii="宋体" w:hAnsi="宋体"/>
          <w:szCs w:val="21"/>
        </w:rPr>
        <w:t>技术（商务）得分=各子项得分之和；子项评分=各评委子项评分总和÷评委人数。</w:t>
      </w:r>
    </w:p>
    <w:p>
      <w:pPr>
        <w:pStyle w:val="2"/>
        <w:spacing w:line="360" w:lineRule="auto"/>
        <w:ind w:firstLine="420" w:firstLineChars="200"/>
        <w:rPr>
          <w:rFonts w:ascii="宋体" w:hAnsi="宋体"/>
          <w:szCs w:val="21"/>
        </w:rPr>
      </w:pPr>
      <w:r>
        <w:rPr>
          <w:rFonts w:hint="eastAsia" w:ascii="宋体" w:hAnsi="宋体"/>
          <w:szCs w:val="21"/>
        </w:rPr>
        <w:t>评审委员会根据响应供应商最终得分高低排定名次，推荐1名中选候选人。</w:t>
      </w:r>
    </w:p>
    <w:p>
      <w:pPr>
        <w:spacing w:before="240" w:beforeLines="100" w:after="120" w:afterLines="50" w:line="360" w:lineRule="auto"/>
        <w:ind w:firstLine="421" w:firstLineChars="200"/>
        <w:outlineLvl w:val="1"/>
        <w:rPr>
          <w:rFonts w:ascii="宋体" w:hAnsi="宋体" w:cs="宋体"/>
          <w:b/>
          <w:bCs/>
          <w:sz w:val="21"/>
          <w:szCs w:val="21"/>
        </w:rPr>
      </w:pPr>
      <w:r>
        <w:rPr>
          <w:rFonts w:hint="eastAsia" w:ascii="宋体" w:hAnsi="宋体" w:cs="宋体"/>
          <w:b/>
          <w:bCs/>
          <w:sz w:val="21"/>
          <w:szCs w:val="21"/>
        </w:rPr>
        <w:t>2、权重分配</w:t>
      </w:r>
    </w:p>
    <w:tbl>
      <w:tblPr>
        <w:tblStyle w:val="3"/>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3446"/>
        <w:gridCol w:w="2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 w:val="21"/>
                <w:szCs w:val="21"/>
              </w:rPr>
            </w:pPr>
            <w:r>
              <w:rPr>
                <w:rFonts w:hint="eastAsia" w:ascii="宋体" w:hAnsi="宋体"/>
                <w:b/>
                <w:sz w:val="21"/>
                <w:szCs w:val="21"/>
              </w:rPr>
              <w:t>评分项目</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 w:val="21"/>
                <w:szCs w:val="21"/>
              </w:rPr>
            </w:pPr>
            <w:r>
              <w:rPr>
                <w:rFonts w:hint="eastAsia" w:ascii="宋体" w:hAnsi="宋体"/>
                <w:b/>
                <w:sz w:val="21"/>
                <w:szCs w:val="21"/>
              </w:rPr>
              <w:t>技术部分</w:t>
            </w:r>
          </w:p>
        </w:tc>
        <w:tc>
          <w:tcPr>
            <w:tcW w:w="28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 w:val="21"/>
                <w:szCs w:val="21"/>
              </w:rPr>
            </w:pPr>
            <w:r>
              <w:rPr>
                <w:rFonts w:hint="eastAsia" w:ascii="宋体" w:hAnsi="宋体"/>
                <w:b/>
                <w:sz w:val="21"/>
                <w:szCs w:val="21"/>
              </w:rPr>
              <w:t>商务部分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1"/>
                <w:szCs w:val="21"/>
              </w:rPr>
            </w:pPr>
            <w:r>
              <w:rPr>
                <w:rFonts w:hint="eastAsia" w:ascii="宋体" w:hAnsi="宋体"/>
                <w:sz w:val="21"/>
                <w:szCs w:val="21"/>
              </w:rPr>
              <w:t>权重</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1"/>
                <w:szCs w:val="21"/>
              </w:rPr>
            </w:pPr>
            <w:r>
              <w:rPr>
                <w:rFonts w:hint="eastAsia" w:ascii="宋体" w:hAnsi="宋体"/>
                <w:sz w:val="21"/>
                <w:szCs w:val="21"/>
              </w:rPr>
              <w:t>70%</w:t>
            </w:r>
          </w:p>
        </w:tc>
        <w:tc>
          <w:tcPr>
            <w:tcW w:w="28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1"/>
                <w:szCs w:val="21"/>
              </w:rPr>
            </w:pPr>
            <w:r>
              <w:rPr>
                <w:rFonts w:hint="eastAsia" w:ascii="宋体" w:hAnsi="宋体"/>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1"/>
                <w:szCs w:val="21"/>
              </w:rPr>
            </w:pPr>
            <w:r>
              <w:rPr>
                <w:rFonts w:hint="eastAsia" w:ascii="宋体" w:hAnsi="宋体"/>
                <w:sz w:val="21"/>
                <w:szCs w:val="21"/>
              </w:rPr>
              <w:t>满分</w:t>
            </w:r>
          </w:p>
        </w:tc>
        <w:tc>
          <w:tcPr>
            <w:tcW w:w="34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1"/>
                <w:szCs w:val="21"/>
              </w:rPr>
            </w:pPr>
            <w:r>
              <w:rPr>
                <w:rFonts w:hint="eastAsia" w:ascii="宋体" w:hAnsi="宋体"/>
                <w:sz w:val="21"/>
                <w:szCs w:val="21"/>
              </w:rPr>
              <w:t>70分</w:t>
            </w:r>
          </w:p>
        </w:tc>
        <w:tc>
          <w:tcPr>
            <w:tcW w:w="28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1"/>
                <w:szCs w:val="21"/>
              </w:rPr>
            </w:pPr>
            <w:r>
              <w:rPr>
                <w:rFonts w:hint="eastAsia" w:ascii="宋体" w:hAnsi="宋体"/>
                <w:sz w:val="21"/>
                <w:szCs w:val="21"/>
              </w:rPr>
              <w:t>30分</w:t>
            </w:r>
          </w:p>
        </w:tc>
      </w:tr>
    </w:tbl>
    <w:p>
      <w:pPr>
        <w:spacing w:before="120" w:beforeLines="50" w:line="360" w:lineRule="auto"/>
        <w:ind w:firstLine="420" w:firstLineChars="200"/>
        <w:rPr>
          <w:rFonts w:ascii="宋体" w:hAnsi="宋体" w:cs="宋体"/>
          <w:sz w:val="21"/>
          <w:szCs w:val="21"/>
        </w:rPr>
      </w:pPr>
      <w:r>
        <w:rPr>
          <w:rFonts w:hint="eastAsia" w:ascii="宋体" w:hAnsi="宋体" w:cs="宋体"/>
          <w:sz w:val="21"/>
          <w:szCs w:val="21"/>
        </w:rPr>
        <w:t>本评审文件包括以下评审过程中所需文件附表：</w:t>
      </w:r>
    </w:p>
    <w:p>
      <w:pPr>
        <w:spacing w:line="360" w:lineRule="auto"/>
        <w:ind w:firstLine="420" w:firstLineChars="200"/>
        <w:rPr>
          <w:rFonts w:ascii="宋体" w:hAnsi="宋体" w:cs="宋体"/>
          <w:sz w:val="21"/>
          <w:szCs w:val="21"/>
        </w:rPr>
      </w:pPr>
      <w:r>
        <w:rPr>
          <w:rFonts w:hint="eastAsia" w:ascii="宋体" w:hAnsi="宋体" w:cs="宋体"/>
          <w:sz w:val="21"/>
          <w:szCs w:val="21"/>
        </w:rPr>
        <w:t>附表1</w:t>
      </w:r>
      <w:r>
        <w:rPr>
          <w:rFonts w:ascii="宋体" w:hAnsi="宋体" w:cs="宋体"/>
          <w:sz w:val="21"/>
          <w:szCs w:val="21"/>
        </w:rPr>
        <w:t xml:space="preserve"> </w:t>
      </w:r>
      <w:r>
        <w:rPr>
          <w:rFonts w:hint="eastAsia" w:ascii="宋体" w:hAnsi="宋体" w:cs="宋体"/>
          <w:sz w:val="21"/>
          <w:szCs w:val="21"/>
        </w:rPr>
        <w:t>技术响应性评审表</w:t>
      </w:r>
    </w:p>
    <w:p>
      <w:pPr>
        <w:spacing w:line="360" w:lineRule="auto"/>
        <w:ind w:firstLine="420" w:firstLineChars="200"/>
        <w:rPr>
          <w:rFonts w:ascii="宋体" w:hAnsi="宋体" w:cs="宋体"/>
          <w:sz w:val="21"/>
          <w:szCs w:val="21"/>
        </w:rPr>
      </w:pPr>
      <w:r>
        <w:rPr>
          <w:rFonts w:hint="eastAsia" w:ascii="宋体" w:hAnsi="宋体" w:cs="宋体"/>
          <w:sz w:val="21"/>
          <w:szCs w:val="21"/>
        </w:rPr>
        <w:t>附表2</w:t>
      </w:r>
      <w:r>
        <w:rPr>
          <w:rFonts w:ascii="宋体" w:hAnsi="宋体" w:cs="宋体"/>
          <w:sz w:val="21"/>
          <w:szCs w:val="21"/>
        </w:rPr>
        <w:t xml:space="preserve"> </w:t>
      </w:r>
      <w:r>
        <w:rPr>
          <w:rFonts w:hint="eastAsia" w:ascii="宋体" w:hAnsi="宋体" w:cs="宋体"/>
          <w:sz w:val="21"/>
          <w:szCs w:val="21"/>
        </w:rPr>
        <w:t>商务响应性评审表</w:t>
      </w:r>
    </w:p>
    <w:p>
      <w:pPr>
        <w:pStyle w:val="2"/>
        <w:rPr>
          <w:rFonts w:ascii="宋体" w:hAnsi="宋体"/>
          <w:szCs w:val="21"/>
        </w:rPr>
      </w:pPr>
    </w:p>
    <w:p>
      <w:pPr>
        <w:rPr>
          <w:rFonts w:hint="eastAsia" w:ascii="宋体" w:hAnsi="宋体"/>
          <w:b/>
          <w:bCs/>
          <w:szCs w:val="21"/>
        </w:rPr>
      </w:pPr>
      <w:r>
        <w:rPr>
          <w:rFonts w:ascii="宋体" w:hAnsi="宋体" w:cs="宋体"/>
          <w:b/>
          <w:sz w:val="21"/>
          <w:szCs w:val="21"/>
        </w:rPr>
        <w:br w:type="page"/>
      </w:r>
      <w:r>
        <w:rPr>
          <w:rFonts w:hint="eastAsia" w:ascii="宋体" w:hAnsi="宋体" w:cs="宋体"/>
          <w:b/>
          <w:sz w:val="24"/>
          <w:szCs w:val="28"/>
        </w:rPr>
        <w:t>附表1：技术响应性评审表</w:t>
      </w:r>
    </w:p>
    <w:p>
      <w:pPr>
        <w:snapToGrid w:val="0"/>
        <w:spacing w:before="120" w:beforeLines="50" w:after="120" w:afterLines="50"/>
        <w:jc w:val="center"/>
        <w:outlineLvl w:val="2"/>
        <w:rPr>
          <w:rFonts w:hint="eastAsia" w:ascii="宋体" w:hAnsi="宋体" w:cs="宋体"/>
          <w:b/>
          <w:sz w:val="24"/>
          <w:szCs w:val="28"/>
        </w:rPr>
      </w:pPr>
      <w:r>
        <w:rPr>
          <w:rFonts w:hint="eastAsia" w:ascii="宋体" w:hAnsi="宋体" w:cs="宋体"/>
          <w:b/>
          <w:sz w:val="24"/>
          <w:szCs w:val="28"/>
        </w:rPr>
        <w:t>技术评分（</w:t>
      </w:r>
      <w:r>
        <w:rPr>
          <w:rFonts w:ascii="宋体" w:hAnsi="宋体" w:cs="宋体"/>
          <w:b/>
          <w:sz w:val="24"/>
          <w:szCs w:val="28"/>
        </w:rPr>
        <w:t>7</w:t>
      </w:r>
      <w:r>
        <w:rPr>
          <w:rFonts w:hint="eastAsia" w:ascii="宋体" w:hAnsi="宋体" w:cs="宋体"/>
          <w:b/>
          <w:sz w:val="24"/>
          <w:szCs w:val="28"/>
        </w:rPr>
        <w:t>0分）</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765"/>
        <w:gridCol w:w="6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BFBFBF"/>
            <w:noWrap w:val="0"/>
            <w:vAlign w:val="center"/>
          </w:tcPr>
          <w:p>
            <w:pPr>
              <w:jc w:val="center"/>
              <w:rPr>
                <w:rFonts w:ascii="宋体" w:hAnsi="宋体"/>
                <w:b/>
                <w:bCs/>
                <w:sz w:val="22"/>
                <w:szCs w:val="24"/>
              </w:rPr>
            </w:pPr>
            <w:r>
              <w:rPr>
                <w:rFonts w:hint="eastAsia" w:ascii="宋体" w:hAnsi="宋体"/>
                <w:b/>
                <w:bCs/>
                <w:sz w:val="22"/>
                <w:szCs w:val="24"/>
              </w:rPr>
              <w:t>序号</w:t>
            </w:r>
          </w:p>
        </w:tc>
        <w:tc>
          <w:tcPr>
            <w:tcW w:w="1418" w:type="dxa"/>
            <w:tcBorders>
              <w:top w:val="single" w:color="auto" w:sz="4" w:space="0"/>
              <w:left w:val="single" w:color="auto" w:sz="4" w:space="0"/>
              <w:bottom w:val="single" w:color="auto" w:sz="4" w:space="0"/>
              <w:right w:val="single" w:color="auto" w:sz="4" w:space="0"/>
            </w:tcBorders>
            <w:shd w:val="clear" w:color="auto" w:fill="BFBFBF"/>
            <w:noWrap w:val="0"/>
            <w:vAlign w:val="center"/>
          </w:tcPr>
          <w:p>
            <w:pPr>
              <w:jc w:val="center"/>
              <w:rPr>
                <w:rFonts w:ascii="宋体" w:hAnsi="宋体"/>
                <w:b/>
                <w:bCs/>
                <w:sz w:val="22"/>
                <w:szCs w:val="24"/>
              </w:rPr>
            </w:pPr>
            <w:r>
              <w:rPr>
                <w:rFonts w:hint="eastAsia" w:ascii="宋体" w:hAnsi="宋体"/>
                <w:b/>
                <w:bCs/>
                <w:sz w:val="22"/>
                <w:szCs w:val="24"/>
              </w:rPr>
              <w:t>评审分项</w:t>
            </w:r>
          </w:p>
        </w:tc>
        <w:tc>
          <w:tcPr>
            <w:tcW w:w="765" w:type="dxa"/>
            <w:tcBorders>
              <w:top w:val="single" w:color="auto" w:sz="4" w:space="0"/>
              <w:left w:val="single" w:color="auto" w:sz="4" w:space="0"/>
              <w:bottom w:val="single" w:color="auto" w:sz="4" w:space="0"/>
              <w:right w:val="single" w:color="auto" w:sz="4" w:space="0"/>
            </w:tcBorders>
            <w:shd w:val="clear" w:color="auto" w:fill="BFBFBF"/>
            <w:noWrap w:val="0"/>
            <w:vAlign w:val="center"/>
          </w:tcPr>
          <w:p>
            <w:pPr>
              <w:jc w:val="center"/>
              <w:rPr>
                <w:rFonts w:ascii="宋体" w:hAnsi="宋体"/>
                <w:b/>
                <w:bCs/>
                <w:sz w:val="22"/>
                <w:szCs w:val="24"/>
              </w:rPr>
            </w:pPr>
            <w:r>
              <w:rPr>
                <w:rFonts w:hint="eastAsia" w:ascii="宋体" w:hAnsi="宋体"/>
                <w:b/>
                <w:bCs/>
                <w:sz w:val="22"/>
                <w:szCs w:val="24"/>
              </w:rPr>
              <w:t>分值</w:t>
            </w:r>
          </w:p>
        </w:tc>
        <w:tc>
          <w:tcPr>
            <w:tcW w:w="6284" w:type="dxa"/>
            <w:tcBorders>
              <w:top w:val="single" w:color="auto" w:sz="4" w:space="0"/>
              <w:left w:val="single" w:color="auto" w:sz="4" w:space="0"/>
              <w:bottom w:val="single" w:color="auto" w:sz="4" w:space="0"/>
              <w:right w:val="single" w:color="auto" w:sz="4" w:space="0"/>
            </w:tcBorders>
            <w:shd w:val="clear" w:color="auto" w:fill="BFBFBF"/>
            <w:noWrap w:val="0"/>
            <w:vAlign w:val="center"/>
          </w:tcPr>
          <w:p>
            <w:pPr>
              <w:jc w:val="center"/>
              <w:rPr>
                <w:rFonts w:ascii="宋体" w:hAnsi="宋体"/>
                <w:b/>
                <w:bCs/>
                <w:sz w:val="22"/>
                <w:szCs w:val="24"/>
              </w:rPr>
            </w:pPr>
            <w:r>
              <w:rPr>
                <w:rFonts w:hint="eastAsia" w:ascii="宋体" w:hAnsi="宋体"/>
                <w:b/>
                <w:bCs/>
                <w:sz w:val="22"/>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sz w:val="22"/>
                <w:szCs w:val="24"/>
              </w:rPr>
            </w:pPr>
            <w:r>
              <w:rPr>
                <w:rFonts w:hint="eastAsia" w:ascii="宋体" w:hAnsi="宋体" w:cs="宋体"/>
                <w:sz w:val="22"/>
                <w:szCs w:val="24"/>
              </w:rPr>
              <w:t>1</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2"/>
                <w:szCs w:val="24"/>
              </w:rPr>
            </w:pPr>
            <w:r>
              <w:rPr>
                <w:rFonts w:hint="eastAsia" w:ascii="宋体" w:hAnsi="宋体"/>
                <w:sz w:val="22"/>
                <w:szCs w:val="24"/>
              </w:rPr>
              <w:t>技术服务响应程度</w:t>
            </w:r>
          </w:p>
        </w:tc>
        <w:tc>
          <w:tcPr>
            <w:tcW w:w="765" w:type="dxa"/>
            <w:tcBorders>
              <w:top w:val="single" w:color="auto" w:sz="4" w:space="0"/>
              <w:left w:val="single" w:color="auto" w:sz="4" w:space="0"/>
              <w:bottom w:val="single" w:color="auto" w:sz="4" w:space="0"/>
              <w:right w:val="single" w:color="auto" w:sz="4" w:space="0"/>
            </w:tcBorders>
            <w:noWrap w:val="0"/>
            <w:vAlign w:val="center"/>
          </w:tcPr>
          <w:p>
            <w:pPr>
              <w:pStyle w:val="5"/>
              <w:kinsoku w:val="0"/>
              <w:overflowPunct w:val="0"/>
              <w:spacing w:before="149"/>
              <w:rPr>
                <w:rFonts w:hAnsi="宋体"/>
                <w:sz w:val="22"/>
              </w:rPr>
            </w:pPr>
            <w:r>
              <w:rPr>
                <w:rFonts w:hAnsi="宋体"/>
                <w:sz w:val="22"/>
              </w:rPr>
              <w:t>20</w:t>
            </w:r>
            <w:r>
              <w:rPr>
                <w:rFonts w:hint="eastAsia" w:hAnsi="宋体"/>
                <w:sz w:val="22"/>
              </w:rPr>
              <w:t>分</w:t>
            </w:r>
          </w:p>
        </w:tc>
        <w:tc>
          <w:tcPr>
            <w:tcW w:w="628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2"/>
                <w:szCs w:val="24"/>
              </w:rPr>
            </w:pPr>
            <w:r>
              <w:rPr>
                <w:rFonts w:hint="eastAsia" w:ascii="宋体" w:hAnsi="宋体" w:cs="宋体"/>
                <w:sz w:val="22"/>
                <w:szCs w:val="24"/>
              </w:rPr>
              <w:t>根据所提供的服务参数响应情况进行评审，完全满足或优于得20分，每有一项不满足或负偏离扣2分，扣完为止。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sz w:val="22"/>
                <w:szCs w:val="24"/>
              </w:rPr>
            </w:pPr>
            <w:r>
              <w:rPr>
                <w:rFonts w:hint="eastAsia" w:ascii="宋体" w:hAnsi="宋体" w:cs="宋体"/>
                <w:sz w:val="22"/>
                <w:szCs w:val="24"/>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2"/>
                <w:szCs w:val="24"/>
              </w:rPr>
            </w:pPr>
            <w:r>
              <w:rPr>
                <w:rFonts w:hint="eastAsia" w:ascii="宋体" w:hAnsi="宋体" w:cs="宋体"/>
                <w:sz w:val="22"/>
                <w:szCs w:val="24"/>
              </w:rPr>
              <w:t>供应商提供服务及设备的标准性、实用性与先进性情况</w:t>
            </w:r>
          </w:p>
        </w:tc>
        <w:tc>
          <w:tcPr>
            <w:tcW w:w="765" w:type="dxa"/>
            <w:tcBorders>
              <w:top w:val="single" w:color="auto" w:sz="4" w:space="0"/>
              <w:left w:val="single" w:color="auto" w:sz="4" w:space="0"/>
              <w:bottom w:val="single" w:color="auto" w:sz="4" w:space="0"/>
              <w:right w:val="single" w:color="auto" w:sz="4" w:space="0"/>
            </w:tcBorders>
            <w:noWrap w:val="0"/>
            <w:vAlign w:val="center"/>
          </w:tcPr>
          <w:p>
            <w:pPr>
              <w:pStyle w:val="5"/>
              <w:kinsoku w:val="0"/>
              <w:overflowPunct w:val="0"/>
              <w:rPr>
                <w:rFonts w:hAnsi="宋体"/>
                <w:sz w:val="22"/>
              </w:rPr>
            </w:pPr>
            <w:r>
              <w:rPr>
                <w:rFonts w:hint="eastAsia" w:hAnsi="宋体"/>
                <w:sz w:val="22"/>
              </w:rPr>
              <w:t>2</w:t>
            </w:r>
            <w:r>
              <w:rPr>
                <w:rFonts w:hAnsi="宋体"/>
                <w:sz w:val="22"/>
              </w:rPr>
              <w:t>0</w:t>
            </w:r>
            <w:r>
              <w:rPr>
                <w:rFonts w:hint="eastAsia" w:hAnsi="宋体"/>
                <w:sz w:val="22"/>
              </w:rPr>
              <w:t>分</w:t>
            </w:r>
          </w:p>
        </w:tc>
        <w:tc>
          <w:tcPr>
            <w:tcW w:w="62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2"/>
                <w:szCs w:val="24"/>
              </w:rPr>
            </w:pPr>
            <w:r>
              <w:rPr>
                <w:rFonts w:hint="eastAsia" w:ascii="宋体" w:hAnsi="宋体" w:cs="宋体"/>
                <w:sz w:val="22"/>
                <w:szCs w:val="24"/>
              </w:rPr>
              <w:t>提供服务及设备的标准性、实用性与先进性高，优于用户需求，得20分；</w:t>
            </w:r>
          </w:p>
          <w:p>
            <w:pPr>
              <w:rPr>
                <w:rFonts w:hint="eastAsia" w:ascii="宋体" w:hAnsi="宋体" w:cs="宋体"/>
                <w:sz w:val="22"/>
                <w:szCs w:val="24"/>
              </w:rPr>
            </w:pPr>
            <w:r>
              <w:rPr>
                <w:rFonts w:hint="eastAsia" w:ascii="宋体" w:hAnsi="宋体" w:cs="宋体"/>
                <w:sz w:val="22"/>
                <w:szCs w:val="24"/>
              </w:rPr>
              <w:t>提供服务及设备的标准性、实用性与先进性较高，符合用户需求，得15分；</w:t>
            </w:r>
          </w:p>
          <w:p>
            <w:pPr>
              <w:rPr>
                <w:rFonts w:hint="eastAsia" w:ascii="宋体" w:hAnsi="宋体" w:cs="宋体"/>
                <w:sz w:val="22"/>
                <w:szCs w:val="24"/>
              </w:rPr>
            </w:pPr>
            <w:r>
              <w:rPr>
                <w:rFonts w:hint="eastAsia" w:ascii="宋体" w:hAnsi="宋体" w:cs="宋体"/>
                <w:sz w:val="22"/>
                <w:szCs w:val="24"/>
              </w:rPr>
              <w:t>提供服务及设备的标准性、实用性与先进性一般，符合用户需求，得5分；</w:t>
            </w:r>
          </w:p>
          <w:p>
            <w:pPr>
              <w:rPr>
                <w:rFonts w:ascii="宋体" w:hAnsi="宋体" w:cs="宋体"/>
                <w:sz w:val="22"/>
                <w:szCs w:val="24"/>
              </w:rPr>
            </w:pPr>
            <w:r>
              <w:rPr>
                <w:rFonts w:hint="eastAsia" w:ascii="宋体" w:hAnsi="宋体" w:cs="宋体"/>
                <w:sz w:val="22"/>
                <w:szCs w:val="24"/>
              </w:rPr>
              <w:t>其他情况不得分。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 w:val="22"/>
                <w:szCs w:val="24"/>
              </w:rPr>
            </w:pPr>
            <w:r>
              <w:rPr>
                <w:rFonts w:hint="eastAsia" w:ascii="宋体" w:hAnsi="宋体" w:cs="宋体"/>
                <w:sz w:val="22"/>
                <w:szCs w:val="24"/>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2"/>
                <w:szCs w:val="24"/>
              </w:rPr>
            </w:pPr>
            <w:r>
              <w:rPr>
                <w:rFonts w:hint="eastAsia" w:ascii="宋体" w:hAnsi="宋体" w:cs="宋体"/>
                <w:sz w:val="22"/>
                <w:szCs w:val="24"/>
              </w:rPr>
              <w:t>响应供应商</w:t>
            </w:r>
            <w:r>
              <w:rPr>
                <w:rFonts w:hint="eastAsia" w:ascii="宋体" w:hAnsi="宋体"/>
                <w:sz w:val="22"/>
                <w:szCs w:val="24"/>
              </w:rPr>
              <w:t>在世界技能竞赛及全国行业赛或省一类比赛中的产品应用经验</w:t>
            </w:r>
          </w:p>
        </w:tc>
        <w:tc>
          <w:tcPr>
            <w:tcW w:w="765" w:type="dxa"/>
            <w:tcBorders>
              <w:top w:val="single" w:color="auto" w:sz="4" w:space="0"/>
              <w:left w:val="single" w:color="auto" w:sz="4" w:space="0"/>
              <w:bottom w:val="single" w:color="auto" w:sz="4" w:space="0"/>
              <w:right w:val="single" w:color="auto" w:sz="4" w:space="0"/>
            </w:tcBorders>
            <w:noWrap w:val="0"/>
            <w:vAlign w:val="center"/>
          </w:tcPr>
          <w:p>
            <w:pPr>
              <w:pStyle w:val="5"/>
              <w:kinsoku w:val="0"/>
              <w:overflowPunct w:val="0"/>
              <w:rPr>
                <w:rFonts w:hAnsi="宋体"/>
                <w:sz w:val="22"/>
              </w:rPr>
            </w:pPr>
            <w:r>
              <w:rPr>
                <w:rFonts w:hint="eastAsia" w:hAnsi="宋体"/>
                <w:sz w:val="22"/>
              </w:rPr>
              <w:t>2</w:t>
            </w:r>
            <w:r>
              <w:rPr>
                <w:rFonts w:hAnsi="宋体"/>
                <w:sz w:val="22"/>
              </w:rPr>
              <w:t>0</w:t>
            </w:r>
            <w:r>
              <w:rPr>
                <w:rFonts w:hint="eastAsia" w:hAnsi="宋体"/>
                <w:sz w:val="22"/>
              </w:rPr>
              <w:t>分</w:t>
            </w:r>
          </w:p>
        </w:tc>
        <w:tc>
          <w:tcPr>
            <w:tcW w:w="62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2"/>
                <w:szCs w:val="24"/>
              </w:rPr>
            </w:pPr>
            <w:r>
              <w:rPr>
                <w:rFonts w:hint="eastAsia" w:ascii="宋体" w:hAnsi="宋体" w:cs="宋体"/>
                <w:sz w:val="22"/>
                <w:szCs w:val="24"/>
              </w:rPr>
              <w:t>根据响应供应商（或其上属集团公司/母公司）所投产品和服务的比赛应用经验情况进行评审（以下分项只需各提供一个，同一分项提供多个不重复计分）：</w:t>
            </w:r>
          </w:p>
          <w:p>
            <w:pPr>
              <w:rPr>
                <w:rFonts w:hint="eastAsia" w:ascii="宋体" w:hAnsi="宋体" w:cs="宋体"/>
                <w:sz w:val="22"/>
                <w:szCs w:val="24"/>
              </w:rPr>
            </w:pPr>
            <w:r>
              <w:rPr>
                <w:rFonts w:hint="eastAsia" w:ascii="宋体" w:hAnsi="宋体" w:cs="宋体"/>
                <w:sz w:val="22"/>
                <w:szCs w:val="24"/>
              </w:rPr>
              <w:t>（1）曾应用于世界技能竞赛中的，得8分；</w:t>
            </w:r>
          </w:p>
          <w:p>
            <w:pPr>
              <w:rPr>
                <w:rFonts w:hint="eastAsia" w:ascii="宋体" w:hAnsi="宋体" w:cs="宋体"/>
                <w:sz w:val="22"/>
                <w:szCs w:val="24"/>
              </w:rPr>
            </w:pPr>
            <w:r>
              <w:rPr>
                <w:rFonts w:hint="eastAsia" w:ascii="宋体" w:hAnsi="宋体" w:cs="宋体"/>
                <w:sz w:val="22"/>
                <w:szCs w:val="24"/>
              </w:rPr>
              <w:t>（2）曾应用于国家级赛中的，得6分；</w:t>
            </w:r>
          </w:p>
          <w:p>
            <w:pPr>
              <w:rPr>
                <w:rFonts w:hint="eastAsia" w:ascii="宋体" w:hAnsi="宋体" w:cs="宋体"/>
                <w:sz w:val="22"/>
                <w:szCs w:val="24"/>
              </w:rPr>
            </w:pPr>
            <w:r>
              <w:rPr>
                <w:rFonts w:hint="eastAsia" w:ascii="宋体" w:hAnsi="宋体" w:cs="宋体"/>
                <w:sz w:val="22"/>
                <w:szCs w:val="24"/>
              </w:rPr>
              <w:t>（3）曾应用于全国行业赛中的，得4分；</w:t>
            </w:r>
          </w:p>
          <w:p>
            <w:pPr>
              <w:rPr>
                <w:rFonts w:hint="eastAsia" w:ascii="宋体" w:hAnsi="宋体" w:cs="宋体"/>
                <w:sz w:val="22"/>
                <w:szCs w:val="24"/>
              </w:rPr>
            </w:pPr>
            <w:r>
              <w:rPr>
                <w:rFonts w:hint="eastAsia" w:ascii="宋体" w:hAnsi="宋体" w:cs="宋体"/>
                <w:sz w:val="22"/>
                <w:szCs w:val="24"/>
              </w:rPr>
              <w:t>（3）曾应用于省一类比赛中的，得2分；</w:t>
            </w:r>
          </w:p>
          <w:p>
            <w:pPr>
              <w:rPr>
                <w:rFonts w:ascii="宋体" w:hAnsi="宋体" w:cs="宋体"/>
                <w:sz w:val="22"/>
                <w:szCs w:val="24"/>
              </w:rPr>
            </w:pPr>
            <w:r>
              <w:rPr>
                <w:rFonts w:hint="eastAsia" w:ascii="宋体" w:hAnsi="宋体" w:cs="宋体"/>
                <w:sz w:val="22"/>
                <w:szCs w:val="24"/>
              </w:rPr>
              <w:t>注：本项最高20分，每提供1项证明材料得到对应等级分数。证明材料复印件加盖公章，不提供不得分。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sz w:val="22"/>
                <w:szCs w:val="24"/>
              </w:rPr>
            </w:pPr>
            <w:r>
              <w:rPr>
                <w:rFonts w:hint="eastAsia" w:ascii="宋体" w:hAnsi="宋体" w:cs="宋体"/>
                <w:sz w:val="22"/>
                <w:szCs w:val="24"/>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2"/>
                <w:szCs w:val="24"/>
              </w:rPr>
            </w:pPr>
            <w:r>
              <w:rPr>
                <w:rFonts w:hint="eastAsia" w:ascii="宋体" w:hAnsi="宋体"/>
                <w:sz w:val="22"/>
                <w:szCs w:val="24"/>
              </w:rPr>
              <w:t>技术培训服务方案（培训人员综合素质、行业培训服务经验、培训目标等方面情况）</w:t>
            </w:r>
          </w:p>
        </w:tc>
        <w:tc>
          <w:tcPr>
            <w:tcW w:w="765" w:type="dxa"/>
            <w:tcBorders>
              <w:top w:val="single" w:color="auto" w:sz="4" w:space="0"/>
              <w:left w:val="single" w:color="auto" w:sz="4" w:space="0"/>
              <w:bottom w:val="single" w:color="auto" w:sz="4" w:space="0"/>
              <w:right w:val="single" w:color="auto" w:sz="4" w:space="0"/>
            </w:tcBorders>
            <w:noWrap w:val="0"/>
            <w:vAlign w:val="center"/>
          </w:tcPr>
          <w:p>
            <w:pPr>
              <w:pStyle w:val="5"/>
              <w:kinsoku w:val="0"/>
              <w:overflowPunct w:val="0"/>
              <w:rPr>
                <w:rFonts w:hAnsi="宋体"/>
                <w:sz w:val="22"/>
              </w:rPr>
            </w:pPr>
            <w:r>
              <w:rPr>
                <w:rFonts w:hAnsi="宋体"/>
                <w:sz w:val="22"/>
              </w:rPr>
              <w:t>10</w:t>
            </w:r>
            <w:r>
              <w:rPr>
                <w:rFonts w:hint="eastAsia" w:hAnsi="宋体"/>
                <w:sz w:val="22"/>
              </w:rPr>
              <w:t>分</w:t>
            </w:r>
          </w:p>
        </w:tc>
        <w:tc>
          <w:tcPr>
            <w:tcW w:w="628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2"/>
                <w:szCs w:val="24"/>
              </w:rPr>
            </w:pPr>
            <w:r>
              <w:rPr>
                <w:rFonts w:hint="eastAsia" w:ascii="宋体" w:hAnsi="宋体" w:cs="宋体"/>
                <w:sz w:val="22"/>
                <w:szCs w:val="24"/>
              </w:rPr>
              <w:t>根据响应供应商（或其上属集团公司/母公司）提供的技术培训服务方案进行评审：</w:t>
            </w:r>
          </w:p>
          <w:p>
            <w:pPr>
              <w:rPr>
                <w:rFonts w:hint="eastAsia" w:ascii="宋体" w:hAnsi="宋体" w:cs="宋体"/>
                <w:sz w:val="22"/>
                <w:szCs w:val="24"/>
              </w:rPr>
            </w:pPr>
            <w:r>
              <w:rPr>
                <w:rFonts w:hint="eastAsia" w:ascii="宋体" w:hAnsi="宋体" w:cs="宋体"/>
                <w:sz w:val="22"/>
                <w:szCs w:val="24"/>
              </w:rPr>
              <w:t>方案详细合理，有利于开展本项目，得10分；</w:t>
            </w:r>
          </w:p>
          <w:p>
            <w:pPr>
              <w:rPr>
                <w:rFonts w:hint="eastAsia" w:ascii="宋体" w:hAnsi="宋体" w:cs="宋体"/>
                <w:sz w:val="22"/>
                <w:szCs w:val="24"/>
              </w:rPr>
            </w:pPr>
            <w:r>
              <w:rPr>
                <w:rFonts w:hint="eastAsia" w:ascii="宋体" w:hAnsi="宋体" w:cs="宋体"/>
                <w:sz w:val="22"/>
                <w:szCs w:val="24"/>
              </w:rPr>
              <w:t>方案较详细合理，较有利于开展本项目，得7分；</w:t>
            </w:r>
          </w:p>
          <w:p>
            <w:pPr>
              <w:rPr>
                <w:rFonts w:hint="eastAsia" w:ascii="宋体" w:hAnsi="宋体" w:cs="宋体"/>
                <w:sz w:val="22"/>
                <w:szCs w:val="24"/>
              </w:rPr>
            </w:pPr>
            <w:r>
              <w:rPr>
                <w:rFonts w:hint="eastAsia" w:ascii="宋体" w:hAnsi="宋体" w:cs="宋体"/>
                <w:sz w:val="22"/>
                <w:szCs w:val="24"/>
              </w:rPr>
              <w:t>方案设置一般，合理性一般，基本满足项目需求，得4分；</w:t>
            </w:r>
          </w:p>
          <w:p>
            <w:pPr>
              <w:rPr>
                <w:rFonts w:hint="eastAsia" w:ascii="宋体" w:hAnsi="宋体" w:cs="宋体"/>
                <w:sz w:val="22"/>
                <w:szCs w:val="24"/>
              </w:rPr>
            </w:pPr>
            <w:r>
              <w:rPr>
                <w:rFonts w:hint="eastAsia" w:ascii="宋体" w:hAnsi="宋体" w:cs="宋体"/>
                <w:sz w:val="22"/>
                <w:szCs w:val="24"/>
              </w:rPr>
              <w:t>方案设置较差，与项目需求部分偏离，得1分；</w:t>
            </w:r>
          </w:p>
          <w:p>
            <w:pPr>
              <w:rPr>
                <w:rFonts w:ascii="宋体" w:hAnsi="宋体" w:cs="宋体"/>
                <w:sz w:val="22"/>
                <w:szCs w:val="24"/>
              </w:rPr>
            </w:pPr>
            <w:r>
              <w:rPr>
                <w:rFonts w:hint="eastAsia" w:ascii="宋体" w:hAnsi="宋体" w:cs="宋体"/>
                <w:sz w:val="22"/>
                <w:szCs w:val="24"/>
              </w:rPr>
              <w:t>其他情况不得分。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23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 w:val="22"/>
                <w:szCs w:val="24"/>
              </w:rPr>
            </w:pPr>
            <w:r>
              <w:rPr>
                <w:rFonts w:hint="eastAsia" w:ascii="宋体" w:hAnsi="宋体"/>
                <w:bCs/>
                <w:sz w:val="22"/>
                <w:szCs w:val="24"/>
              </w:rPr>
              <w:t>合计</w:t>
            </w:r>
          </w:p>
        </w:tc>
        <w:tc>
          <w:tcPr>
            <w:tcW w:w="704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sz w:val="22"/>
                <w:szCs w:val="24"/>
              </w:rPr>
            </w:pPr>
            <w:r>
              <w:rPr>
                <w:rFonts w:ascii="宋体" w:hAnsi="宋体"/>
                <w:bCs/>
                <w:sz w:val="22"/>
                <w:szCs w:val="24"/>
              </w:rPr>
              <w:t>70</w:t>
            </w:r>
            <w:r>
              <w:rPr>
                <w:rFonts w:hint="eastAsia" w:ascii="宋体" w:hAnsi="宋体"/>
                <w:bCs/>
                <w:sz w:val="22"/>
                <w:szCs w:val="24"/>
              </w:rPr>
              <w:t>分</w:t>
            </w:r>
          </w:p>
        </w:tc>
      </w:tr>
    </w:tbl>
    <w:p>
      <w:pP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注：1、遴选文件要求提交的与评价指标体系相关的各类有效资料，响应供应商如未按要求提交的，该项评分为零分。</w:t>
      </w:r>
    </w:p>
    <w:p>
      <w:pP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2、技术、商务评分：各评委的评分的算术平均值即为该供应商的技术评分或商务评分（四舍五入后，小数点后保留两位有效数）。</w:t>
      </w:r>
    </w:p>
    <w:p>
      <w:pPr>
        <w:pStyle w:val="2"/>
      </w:pPr>
    </w:p>
    <w:p>
      <w:pPr>
        <w:pStyle w:val="2"/>
      </w:pPr>
    </w:p>
    <w:p>
      <w:pPr>
        <w:pStyle w:val="2"/>
        <w:rPr>
          <w:rFonts w:hint="eastAsia" w:ascii="宋体" w:hAnsi="宋体"/>
          <w:sz w:val="20"/>
        </w:rPr>
      </w:pPr>
    </w:p>
    <w:p>
      <w:pPr>
        <w:rPr>
          <w:rFonts w:hint="eastAsia" w:ascii="宋体" w:hAnsi="宋体"/>
          <w:bCs/>
          <w:sz w:val="18"/>
        </w:rPr>
      </w:pPr>
      <w:r>
        <w:rPr>
          <w:rFonts w:hint="eastAsia" w:ascii="宋体" w:hAnsi="宋体" w:cs="宋体"/>
          <w:b/>
          <w:sz w:val="24"/>
          <w:szCs w:val="28"/>
        </w:rPr>
        <w:t>附表</w:t>
      </w:r>
      <w:r>
        <w:rPr>
          <w:rFonts w:ascii="宋体" w:hAnsi="宋体" w:cs="宋体"/>
          <w:b/>
          <w:sz w:val="24"/>
          <w:szCs w:val="28"/>
        </w:rPr>
        <w:t>2</w:t>
      </w:r>
      <w:r>
        <w:rPr>
          <w:rFonts w:hint="eastAsia" w:ascii="宋体" w:hAnsi="宋体" w:cs="宋体"/>
          <w:b/>
          <w:sz w:val="24"/>
          <w:szCs w:val="28"/>
        </w:rPr>
        <w:t>、商务响应性评审表</w:t>
      </w:r>
    </w:p>
    <w:p>
      <w:pPr>
        <w:snapToGrid w:val="0"/>
        <w:spacing w:before="120" w:beforeLines="50" w:after="120" w:afterLines="50"/>
        <w:jc w:val="center"/>
        <w:outlineLvl w:val="2"/>
        <w:rPr>
          <w:rFonts w:hint="eastAsia" w:ascii="宋体" w:hAnsi="宋体" w:cs="宋体"/>
          <w:b/>
          <w:sz w:val="24"/>
          <w:szCs w:val="28"/>
        </w:rPr>
      </w:pPr>
      <w:r>
        <w:rPr>
          <w:rFonts w:hint="eastAsia" w:ascii="宋体" w:hAnsi="宋体" w:cs="宋体"/>
          <w:b/>
          <w:sz w:val="24"/>
          <w:szCs w:val="28"/>
        </w:rPr>
        <w:t>商务评分 （</w:t>
      </w:r>
      <w:r>
        <w:rPr>
          <w:rFonts w:ascii="宋体" w:hAnsi="宋体" w:cs="宋体"/>
          <w:b/>
          <w:sz w:val="24"/>
          <w:szCs w:val="28"/>
        </w:rPr>
        <w:t>3</w:t>
      </w:r>
      <w:r>
        <w:rPr>
          <w:rFonts w:hint="eastAsia" w:ascii="宋体" w:hAnsi="宋体" w:cs="宋体"/>
          <w:b/>
          <w:sz w:val="24"/>
          <w:szCs w:val="28"/>
        </w:rPr>
        <w:t>0分）</w:t>
      </w:r>
    </w:p>
    <w:tbl>
      <w:tblPr>
        <w:tblStyle w:val="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17"/>
        <w:gridCol w:w="1546"/>
        <w:gridCol w:w="851"/>
        <w:gridCol w:w="623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94" w:hRule="atLeast"/>
          <w:jc w:val="center"/>
        </w:trPr>
        <w:tc>
          <w:tcPr>
            <w:tcW w:w="717" w:type="dxa"/>
            <w:tcBorders>
              <w:top w:val="single" w:color="auto" w:sz="2" w:space="0"/>
              <w:left w:val="single" w:color="auto" w:sz="2" w:space="0"/>
              <w:bottom w:val="single" w:color="auto" w:sz="2" w:space="0"/>
              <w:right w:val="single" w:color="auto" w:sz="4" w:space="0"/>
            </w:tcBorders>
            <w:shd w:val="clear" w:color="auto" w:fill="BFBFBF"/>
            <w:noWrap w:val="0"/>
            <w:vAlign w:val="center"/>
          </w:tcPr>
          <w:p>
            <w:pPr>
              <w:jc w:val="center"/>
              <w:rPr>
                <w:rFonts w:hint="eastAsia" w:ascii="宋体" w:hAnsi="宋体" w:cs="宋体"/>
                <w:b/>
                <w:sz w:val="22"/>
                <w:szCs w:val="24"/>
              </w:rPr>
            </w:pPr>
            <w:r>
              <w:rPr>
                <w:rFonts w:hint="eastAsia" w:ascii="宋体" w:hAnsi="宋体" w:cs="宋体"/>
                <w:b/>
                <w:sz w:val="22"/>
                <w:szCs w:val="24"/>
              </w:rPr>
              <w:t>序号</w:t>
            </w:r>
          </w:p>
        </w:tc>
        <w:tc>
          <w:tcPr>
            <w:tcW w:w="1546" w:type="dxa"/>
            <w:tcBorders>
              <w:top w:val="single" w:color="auto" w:sz="2" w:space="0"/>
              <w:left w:val="single" w:color="auto" w:sz="4" w:space="0"/>
              <w:bottom w:val="single" w:color="auto" w:sz="2" w:space="0"/>
              <w:right w:val="single" w:color="auto" w:sz="2" w:space="0"/>
            </w:tcBorders>
            <w:shd w:val="clear" w:color="auto" w:fill="BFBFBF"/>
            <w:noWrap w:val="0"/>
            <w:vAlign w:val="center"/>
          </w:tcPr>
          <w:p>
            <w:pPr>
              <w:jc w:val="center"/>
              <w:rPr>
                <w:rFonts w:hint="eastAsia" w:ascii="宋体" w:hAnsi="宋体" w:cs="宋体"/>
                <w:b/>
                <w:sz w:val="22"/>
                <w:szCs w:val="24"/>
              </w:rPr>
            </w:pPr>
            <w:r>
              <w:rPr>
                <w:rFonts w:hint="eastAsia" w:ascii="宋体" w:hAnsi="宋体" w:cs="宋体"/>
                <w:b/>
                <w:sz w:val="22"/>
                <w:szCs w:val="24"/>
              </w:rPr>
              <w:t>评审内容</w:t>
            </w:r>
          </w:p>
        </w:tc>
        <w:tc>
          <w:tcPr>
            <w:tcW w:w="851" w:type="dxa"/>
            <w:tcBorders>
              <w:top w:val="single" w:color="auto" w:sz="4" w:space="0"/>
              <w:left w:val="single" w:color="auto" w:sz="2" w:space="0"/>
              <w:right w:val="single" w:color="auto" w:sz="2" w:space="0"/>
            </w:tcBorders>
            <w:shd w:val="clear" w:color="auto" w:fill="BFBFBF"/>
            <w:noWrap w:val="0"/>
            <w:vAlign w:val="center"/>
          </w:tcPr>
          <w:p>
            <w:pPr>
              <w:jc w:val="center"/>
              <w:rPr>
                <w:rFonts w:hint="eastAsia" w:ascii="宋体" w:hAnsi="宋体" w:cs="宋体"/>
                <w:b/>
                <w:sz w:val="22"/>
                <w:szCs w:val="24"/>
              </w:rPr>
            </w:pPr>
            <w:r>
              <w:rPr>
                <w:rFonts w:hint="eastAsia" w:ascii="宋体" w:hAnsi="宋体" w:cs="宋体"/>
                <w:b/>
                <w:sz w:val="22"/>
                <w:szCs w:val="24"/>
              </w:rPr>
              <w:t>分值</w:t>
            </w:r>
          </w:p>
        </w:tc>
        <w:tc>
          <w:tcPr>
            <w:tcW w:w="6237" w:type="dxa"/>
            <w:tcBorders>
              <w:top w:val="single" w:color="auto" w:sz="4" w:space="0"/>
              <w:left w:val="single" w:color="auto" w:sz="4" w:space="0"/>
              <w:right w:val="single" w:color="auto" w:sz="2" w:space="0"/>
            </w:tcBorders>
            <w:shd w:val="clear" w:color="auto" w:fill="BFBFBF"/>
            <w:noWrap w:val="0"/>
            <w:vAlign w:val="center"/>
          </w:tcPr>
          <w:p>
            <w:pPr>
              <w:jc w:val="center"/>
              <w:rPr>
                <w:rFonts w:hint="eastAsia" w:ascii="宋体" w:hAnsi="宋体" w:cs="宋体"/>
                <w:b/>
                <w:sz w:val="22"/>
                <w:szCs w:val="24"/>
              </w:rPr>
            </w:pPr>
            <w:r>
              <w:rPr>
                <w:rFonts w:hint="eastAsia" w:ascii="宋体" w:hAnsi="宋体" w:cs="宋体"/>
                <w:b/>
                <w:sz w:val="22"/>
                <w:szCs w:val="24"/>
              </w:rPr>
              <w:t>评审标准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97" w:hRule="atLeast"/>
          <w:jc w:val="center"/>
        </w:trPr>
        <w:tc>
          <w:tcPr>
            <w:tcW w:w="717" w:type="dxa"/>
            <w:tcBorders>
              <w:top w:val="single" w:color="auto" w:sz="2" w:space="0"/>
              <w:left w:val="single" w:color="auto" w:sz="2" w:space="0"/>
              <w:bottom w:val="single" w:color="auto" w:sz="2" w:space="0"/>
              <w:right w:val="single" w:color="auto" w:sz="4" w:space="0"/>
            </w:tcBorders>
            <w:noWrap w:val="0"/>
            <w:vAlign w:val="center"/>
          </w:tcPr>
          <w:p>
            <w:pPr>
              <w:widowControl/>
              <w:jc w:val="center"/>
              <w:rPr>
                <w:rFonts w:ascii="宋体" w:hAnsi="宋体" w:cs="宋体"/>
                <w:sz w:val="22"/>
                <w:szCs w:val="24"/>
              </w:rPr>
            </w:pPr>
            <w:r>
              <w:rPr>
                <w:rFonts w:hint="eastAsia" w:ascii="宋体" w:hAnsi="宋体" w:cs="宋体"/>
                <w:sz w:val="22"/>
                <w:szCs w:val="24"/>
              </w:rPr>
              <w:t>1</w:t>
            </w:r>
          </w:p>
        </w:tc>
        <w:tc>
          <w:tcPr>
            <w:tcW w:w="1546" w:type="dxa"/>
            <w:tcBorders>
              <w:top w:val="single" w:color="auto" w:sz="2" w:space="0"/>
              <w:left w:val="single" w:color="auto" w:sz="4" w:space="0"/>
              <w:bottom w:val="single" w:color="auto" w:sz="2" w:space="0"/>
              <w:right w:val="single" w:color="auto" w:sz="2" w:space="0"/>
            </w:tcBorders>
            <w:noWrap w:val="0"/>
            <w:vAlign w:val="center"/>
          </w:tcPr>
          <w:p>
            <w:pPr>
              <w:pStyle w:val="5"/>
              <w:kinsoku w:val="0"/>
              <w:overflowPunct w:val="0"/>
              <w:ind w:right="116"/>
              <w:jc w:val="center"/>
              <w:rPr>
                <w:rFonts w:hAnsi="宋体"/>
                <w:sz w:val="22"/>
              </w:rPr>
            </w:pPr>
            <w:r>
              <w:rPr>
                <w:rFonts w:hint="eastAsia" w:hAnsi="宋体"/>
                <w:sz w:val="22"/>
              </w:rPr>
              <w:t>本地综合服务支撑能力</w:t>
            </w:r>
          </w:p>
        </w:tc>
        <w:tc>
          <w:tcPr>
            <w:tcW w:w="851" w:type="dxa"/>
            <w:tcBorders>
              <w:top w:val="single" w:color="auto" w:sz="4" w:space="0"/>
              <w:left w:val="single" w:color="auto" w:sz="2" w:space="0"/>
              <w:right w:val="single" w:color="auto" w:sz="2" w:space="0"/>
            </w:tcBorders>
            <w:noWrap w:val="0"/>
            <w:vAlign w:val="center"/>
          </w:tcPr>
          <w:p>
            <w:pPr>
              <w:pStyle w:val="5"/>
              <w:kinsoku w:val="0"/>
              <w:overflowPunct w:val="0"/>
              <w:jc w:val="center"/>
              <w:rPr>
                <w:rFonts w:hAnsi="宋体"/>
                <w:sz w:val="22"/>
              </w:rPr>
            </w:pPr>
            <w:r>
              <w:rPr>
                <w:rFonts w:hAnsi="宋体"/>
                <w:sz w:val="22"/>
              </w:rPr>
              <w:t>4</w:t>
            </w:r>
            <w:r>
              <w:rPr>
                <w:rFonts w:hint="eastAsia" w:hAnsi="宋体"/>
                <w:sz w:val="22"/>
              </w:rPr>
              <w:t>分</w:t>
            </w:r>
          </w:p>
        </w:tc>
        <w:tc>
          <w:tcPr>
            <w:tcW w:w="6237" w:type="dxa"/>
            <w:tcBorders>
              <w:top w:val="single" w:color="auto" w:sz="4" w:space="0"/>
              <w:left w:val="single" w:color="auto" w:sz="4" w:space="0"/>
              <w:right w:val="single" w:color="auto" w:sz="2" w:space="0"/>
            </w:tcBorders>
            <w:noWrap w:val="0"/>
            <w:vAlign w:val="center"/>
          </w:tcPr>
          <w:p>
            <w:pPr>
              <w:pStyle w:val="5"/>
              <w:kinsoku w:val="0"/>
              <w:overflowPunct w:val="0"/>
              <w:spacing w:before="25"/>
              <w:ind w:right="95"/>
              <w:rPr>
                <w:rFonts w:hint="eastAsia" w:hAnsi="宋体"/>
                <w:sz w:val="22"/>
                <w:szCs w:val="21"/>
              </w:rPr>
            </w:pPr>
            <w:r>
              <w:rPr>
                <w:rFonts w:hint="eastAsia" w:hAnsi="宋体"/>
                <w:sz w:val="22"/>
              </w:rPr>
              <w:t>响应供应商（或其上属集团公司/母公司）</w:t>
            </w:r>
            <w:r>
              <w:rPr>
                <w:rFonts w:hint="eastAsia" w:hAnsi="宋体"/>
                <w:sz w:val="22"/>
                <w:szCs w:val="21"/>
              </w:rPr>
              <w:t>在深圳市内有长期稳定的服务机构的，得4分；广东省内的，得2分；其他情况不得分。</w:t>
            </w:r>
          </w:p>
          <w:p>
            <w:pPr>
              <w:pStyle w:val="5"/>
              <w:kinsoku w:val="0"/>
              <w:overflowPunct w:val="0"/>
              <w:spacing w:before="25"/>
              <w:ind w:right="95"/>
              <w:rPr>
                <w:rFonts w:hAnsi="宋体"/>
                <w:spacing w:val="-30"/>
                <w:sz w:val="22"/>
              </w:rPr>
            </w:pPr>
            <w:r>
              <w:rPr>
                <w:rFonts w:hint="eastAsia" w:hAnsi="宋体"/>
                <w:sz w:val="22"/>
                <w:szCs w:val="21"/>
              </w:rPr>
              <w:t>注：提供注册证明或产权证明或租赁合同复印件加盖公章，不提供不得分。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830" w:hRule="atLeast"/>
          <w:jc w:val="center"/>
        </w:trPr>
        <w:tc>
          <w:tcPr>
            <w:tcW w:w="717" w:type="dxa"/>
            <w:tcBorders>
              <w:top w:val="single" w:color="auto" w:sz="2" w:space="0"/>
              <w:left w:val="single" w:color="auto" w:sz="2" w:space="0"/>
              <w:bottom w:val="single" w:color="auto" w:sz="2" w:space="0"/>
              <w:right w:val="single" w:color="auto" w:sz="4" w:space="0"/>
            </w:tcBorders>
            <w:noWrap w:val="0"/>
            <w:vAlign w:val="center"/>
          </w:tcPr>
          <w:p>
            <w:pPr>
              <w:widowControl/>
              <w:jc w:val="center"/>
              <w:rPr>
                <w:rFonts w:hint="eastAsia" w:ascii="宋体" w:hAnsi="宋体" w:cs="宋体"/>
                <w:sz w:val="22"/>
                <w:szCs w:val="24"/>
              </w:rPr>
            </w:pPr>
            <w:r>
              <w:rPr>
                <w:rFonts w:hint="eastAsia" w:ascii="宋体" w:hAnsi="宋体" w:cs="宋体"/>
                <w:sz w:val="22"/>
                <w:szCs w:val="24"/>
              </w:rPr>
              <w:t>2</w:t>
            </w:r>
          </w:p>
        </w:tc>
        <w:tc>
          <w:tcPr>
            <w:tcW w:w="1546" w:type="dxa"/>
            <w:tcBorders>
              <w:top w:val="single" w:color="auto" w:sz="2" w:space="0"/>
              <w:left w:val="single" w:color="auto" w:sz="4" w:space="0"/>
              <w:bottom w:val="single" w:color="auto" w:sz="2" w:space="0"/>
              <w:right w:val="single" w:color="auto" w:sz="2" w:space="0"/>
            </w:tcBorders>
            <w:noWrap w:val="0"/>
            <w:vAlign w:val="center"/>
          </w:tcPr>
          <w:p>
            <w:pPr>
              <w:pStyle w:val="5"/>
              <w:kinsoku w:val="0"/>
              <w:overflowPunct w:val="0"/>
              <w:ind w:right="98"/>
              <w:jc w:val="center"/>
              <w:rPr>
                <w:rFonts w:hAnsi="宋体"/>
                <w:sz w:val="22"/>
              </w:rPr>
            </w:pPr>
            <w:r>
              <w:rPr>
                <w:rFonts w:hint="eastAsia" w:hAnsi="宋体"/>
                <w:sz w:val="22"/>
              </w:rPr>
              <w:t>同类项目业绩</w:t>
            </w:r>
          </w:p>
        </w:tc>
        <w:tc>
          <w:tcPr>
            <w:tcW w:w="851" w:type="dxa"/>
            <w:tcBorders>
              <w:top w:val="single" w:color="auto" w:sz="4" w:space="0"/>
              <w:left w:val="single" w:color="auto" w:sz="2" w:space="0"/>
              <w:right w:val="single" w:color="auto" w:sz="2" w:space="0"/>
            </w:tcBorders>
            <w:noWrap w:val="0"/>
            <w:vAlign w:val="center"/>
          </w:tcPr>
          <w:p>
            <w:pPr>
              <w:pStyle w:val="5"/>
              <w:kinsoku w:val="0"/>
              <w:overflowPunct w:val="0"/>
              <w:jc w:val="center"/>
              <w:rPr>
                <w:rFonts w:hAnsi="宋体"/>
                <w:sz w:val="22"/>
              </w:rPr>
            </w:pPr>
            <w:r>
              <w:rPr>
                <w:rFonts w:hint="eastAsia" w:hAnsi="宋体"/>
                <w:sz w:val="22"/>
              </w:rPr>
              <w:t>6分</w:t>
            </w:r>
          </w:p>
        </w:tc>
        <w:tc>
          <w:tcPr>
            <w:tcW w:w="6237" w:type="dxa"/>
            <w:tcBorders>
              <w:top w:val="single" w:color="auto" w:sz="4" w:space="0"/>
              <w:left w:val="single" w:color="auto" w:sz="4" w:space="0"/>
              <w:right w:val="single" w:color="auto" w:sz="2" w:space="0"/>
            </w:tcBorders>
            <w:noWrap w:val="0"/>
            <w:vAlign w:val="center"/>
          </w:tcPr>
          <w:p>
            <w:pPr>
              <w:rPr>
                <w:rFonts w:ascii="宋体" w:hAnsi="宋体" w:cs="宋体"/>
                <w:sz w:val="22"/>
                <w:szCs w:val="24"/>
              </w:rPr>
            </w:pPr>
            <w:r>
              <w:rPr>
                <w:rFonts w:hint="eastAsia" w:ascii="宋体" w:hAnsi="宋体" w:cs="宋体"/>
                <w:sz w:val="22"/>
                <w:szCs w:val="24"/>
              </w:rPr>
              <w:t>响应供应商（或其上属集团公司/母公司）</w:t>
            </w:r>
            <w:r>
              <w:rPr>
                <w:rFonts w:ascii="宋体" w:hAnsi="宋体" w:cs="宋体"/>
                <w:sz w:val="22"/>
                <w:szCs w:val="24"/>
              </w:rPr>
              <w:t>自2018年以来（以签订时间为准）承接过同类</w:t>
            </w:r>
            <w:r>
              <w:rPr>
                <w:rFonts w:hint="eastAsia" w:ascii="宋体" w:hAnsi="宋体" w:cs="宋体"/>
                <w:sz w:val="22"/>
                <w:szCs w:val="24"/>
              </w:rPr>
              <w:t>设备设施支持</w:t>
            </w:r>
            <w:r>
              <w:rPr>
                <w:rFonts w:ascii="宋体" w:hAnsi="宋体" w:cs="宋体"/>
                <w:sz w:val="22"/>
                <w:szCs w:val="24"/>
              </w:rPr>
              <w:t>项目，每提供一项得</w:t>
            </w:r>
            <w:r>
              <w:rPr>
                <w:rFonts w:hint="eastAsia" w:ascii="宋体" w:hAnsi="宋体" w:cs="宋体"/>
                <w:sz w:val="22"/>
                <w:szCs w:val="24"/>
              </w:rPr>
              <w:t>2</w:t>
            </w:r>
            <w:r>
              <w:rPr>
                <w:rFonts w:ascii="宋体" w:hAnsi="宋体" w:cs="宋体"/>
                <w:sz w:val="22"/>
                <w:szCs w:val="24"/>
              </w:rPr>
              <w:t>分，最高</w:t>
            </w:r>
            <w:r>
              <w:rPr>
                <w:rFonts w:hint="eastAsia" w:ascii="宋体" w:hAnsi="宋体" w:cs="宋体"/>
                <w:sz w:val="22"/>
                <w:szCs w:val="24"/>
              </w:rPr>
              <w:t>6</w:t>
            </w:r>
            <w:r>
              <w:rPr>
                <w:rFonts w:ascii="宋体" w:hAnsi="宋体" w:cs="宋体"/>
                <w:sz w:val="22"/>
                <w:szCs w:val="24"/>
              </w:rPr>
              <w:t>分。</w:t>
            </w:r>
          </w:p>
          <w:p>
            <w:pPr>
              <w:pStyle w:val="5"/>
              <w:kinsoku w:val="0"/>
              <w:overflowPunct w:val="0"/>
              <w:spacing w:before="25"/>
              <w:ind w:right="95"/>
              <w:rPr>
                <w:rFonts w:hint="eastAsia" w:hAnsi="宋体"/>
                <w:sz w:val="22"/>
                <w:szCs w:val="21"/>
              </w:rPr>
            </w:pPr>
            <w:r>
              <w:rPr>
                <w:rFonts w:hAnsi="宋体"/>
                <w:sz w:val="22"/>
                <w:szCs w:val="21"/>
              </w:rPr>
              <w:t>注：提供</w:t>
            </w:r>
            <w:r>
              <w:rPr>
                <w:rFonts w:hint="eastAsia" w:hAnsi="宋体"/>
                <w:sz w:val="22"/>
                <w:szCs w:val="21"/>
              </w:rPr>
              <w:t>中标通知书和</w:t>
            </w:r>
            <w:r>
              <w:rPr>
                <w:rFonts w:hint="eastAsia" w:hAnsi="宋体"/>
                <w:b/>
                <w:sz w:val="22"/>
              </w:rPr>
              <w:t>合同关键页</w:t>
            </w:r>
            <w:r>
              <w:rPr>
                <w:rFonts w:hint="eastAsia" w:hAnsi="宋体"/>
                <w:sz w:val="22"/>
              </w:rPr>
              <w:t>（含签订合同双方的单位名称、合同项目名称、项目金额与含签订合同双方的落款盖章、签订日期的关键页）复印件</w:t>
            </w:r>
            <w:r>
              <w:rPr>
                <w:rFonts w:hAnsi="宋体"/>
                <w:sz w:val="22"/>
                <w:szCs w:val="21"/>
              </w:rPr>
              <w:t>加盖公章，不提供不得分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73" w:hRule="atLeast"/>
          <w:jc w:val="center"/>
        </w:trPr>
        <w:tc>
          <w:tcPr>
            <w:tcW w:w="717" w:type="dxa"/>
            <w:tcBorders>
              <w:top w:val="single" w:color="auto" w:sz="2" w:space="0"/>
              <w:left w:val="single" w:color="auto" w:sz="2" w:space="0"/>
              <w:bottom w:val="single" w:color="auto" w:sz="2" w:space="0"/>
              <w:right w:val="single" w:color="auto" w:sz="4" w:space="0"/>
            </w:tcBorders>
            <w:noWrap w:val="0"/>
            <w:vAlign w:val="center"/>
          </w:tcPr>
          <w:p>
            <w:pPr>
              <w:widowControl/>
              <w:jc w:val="center"/>
              <w:rPr>
                <w:rFonts w:hint="eastAsia" w:ascii="宋体" w:hAnsi="宋体" w:cs="宋体"/>
                <w:sz w:val="22"/>
                <w:szCs w:val="24"/>
              </w:rPr>
            </w:pPr>
            <w:r>
              <w:rPr>
                <w:rFonts w:hint="eastAsia" w:ascii="宋体" w:hAnsi="宋体" w:cs="宋体"/>
                <w:sz w:val="22"/>
                <w:szCs w:val="24"/>
              </w:rPr>
              <w:t>3</w:t>
            </w:r>
          </w:p>
        </w:tc>
        <w:tc>
          <w:tcPr>
            <w:tcW w:w="1546" w:type="dxa"/>
            <w:tcBorders>
              <w:top w:val="single" w:color="auto" w:sz="2" w:space="0"/>
              <w:left w:val="single" w:color="auto" w:sz="4" w:space="0"/>
              <w:bottom w:val="single" w:color="auto" w:sz="2" w:space="0"/>
              <w:right w:val="single" w:color="auto" w:sz="2" w:space="0"/>
            </w:tcBorders>
            <w:noWrap w:val="0"/>
            <w:vAlign w:val="center"/>
          </w:tcPr>
          <w:p>
            <w:pPr>
              <w:pStyle w:val="5"/>
              <w:kinsoku w:val="0"/>
              <w:overflowPunct w:val="0"/>
              <w:ind w:right="98"/>
              <w:jc w:val="center"/>
              <w:rPr>
                <w:rFonts w:hAnsi="宋体"/>
                <w:sz w:val="22"/>
              </w:rPr>
            </w:pPr>
            <w:r>
              <w:rPr>
                <w:rFonts w:hint="eastAsia" w:hAnsi="宋体"/>
                <w:sz w:val="22"/>
              </w:rPr>
              <w:t>企业竞赛服务实力经验</w:t>
            </w:r>
          </w:p>
        </w:tc>
        <w:tc>
          <w:tcPr>
            <w:tcW w:w="851" w:type="dxa"/>
            <w:tcBorders>
              <w:top w:val="single" w:color="auto" w:sz="4" w:space="0"/>
              <w:left w:val="single" w:color="auto" w:sz="2" w:space="0"/>
              <w:right w:val="single" w:color="auto" w:sz="2" w:space="0"/>
            </w:tcBorders>
            <w:noWrap w:val="0"/>
            <w:vAlign w:val="center"/>
          </w:tcPr>
          <w:p>
            <w:pPr>
              <w:pStyle w:val="5"/>
              <w:kinsoku w:val="0"/>
              <w:overflowPunct w:val="0"/>
              <w:jc w:val="center"/>
              <w:rPr>
                <w:rFonts w:hAnsi="宋体"/>
                <w:sz w:val="22"/>
              </w:rPr>
            </w:pPr>
            <w:r>
              <w:rPr>
                <w:rFonts w:hint="eastAsia" w:hAnsi="宋体"/>
                <w:sz w:val="22"/>
              </w:rPr>
              <w:t>4分</w:t>
            </w:r>
          </w:p>
        </w:tc>
        <w:tc>
          <w:tcPr>
            <w:tcW w:w="6237" w:type="dxa"/>
            <w:tcBorders>
              <w:top w:val="single" w:color="auto" w:sz="4" w:space="0"/>
              <w:left w:val="single" w:color="auto" w:sz="4" w:space="0"/>
              <w:right w:val="single" w:color="auto" w:sz="2" w:space="0"/>
            </w:tcBorders>
            <w:noWrap w:val="0"/>
            <w:vAlign w:val="center"/>
          </w:tcPr>
          <w:p>
            <w:pPr>
              <w:pStyle w:val="5"/>
              <w:kinsoku w:val="0"/>
              <w:overflowPunct w:val="0"/>
              <w:spacing w:before="25"/>
              <w:ind w:right="95"/>
              <w:rPr>
                <w:rFonts w:hAnsi="宋体"/>
                <w:sz w:val="22"/>
                <w:szCs w:val="21"/>
              </w:rPr>
            </w:pPr>
            <w:r>
              <w:rPr>
                <w:rFonts w:hint="eastAsia" w:hAnsi="宋体"/>
                <w:sz w:val="22"/>
                <w:szCs w:val="21"/>
              </w:rPr>
              <w:t>响应供应商</w:t>
            </w:r>
            <w:r>
              <w:rPr>
                <w:rFonts w:hint="eastAsia" w:hAnsi="宋体"/>
                <w:sz w:val="22"/>
              </w:rPr>
              <w:t>（或其上属集团公司/母公司）</w:t>
            </w:r>
            <w:r>
              <w:rPr>
                <w:rFonts w:hint="eastAsia" w:hAnsi="宋体"/>
                <w:sz w:val="22"/>
                <w:szCs w:val="21"/>
              </w:rPr>
              <w:t>有支持过类似数字建造职业技能竞赛或省级以及数字建造大赛并获得人社部门至少2次表彰的，每提供1个得2分，最多得4分。提供竞赛服务获得表彰的证明材料。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643" w:hRule="atLeast"/>
          <w:jc w:val="center"/>
        </w:trPr>
        <w:tc>
          <w:tcPr>
            <w:tcW w:w="717" w:type="dxa"/>
            <w:tcBorders>
              <w:top w:val="single" w:color="auto" w:sz="2" w:space="0"/>
              <w:left w:val="single" w:color="auto" w:sz="2" w:space="0"/>
              <w:bottom w:val="single" w:color="auto" w:sz="2" w:space="0"/>
              <w:right w:val="single" w:color="auto" w:sz="4" w:space="0"/>
            </w:tcBorders>
            <w:noWrap w:val="0"/>
            <w:vAlign w:val="center"/>
          </w:tcPr>
          <w:p>
            <w:pPr>
              <w:widowControl/>
              <w:jc w:val="center"/>
              <w:rPr>
                <w:rFonts w:hint="eastAsia" w:ascii="宋体" w:hAnsi="宋体" w:cs="宋体"/>
                <w:sz w:val="22"/>
                <w:szCs w:val="24"/>
              </w:rPr>
            </w:pPr>
            <w:r>
              <w:rPr>
                <w:rFonts w:hint="eastAsia" w:ascii="宋体" w:hAnsi="宋体" w:cs="宋体"/>
                <w:sz w:val="22"/>
                <w:szCs w:val="24"/>
              </w:rPr>
              <w:t>4</w:t>
            </w:r>
          </w:p>
        </w:tc>
        <w:tc>
          <w:tcPr>
            <w:tcW w:w="1546" w:type="dxa"/>
            <w:tcBorders>
              <w:top w:val="single" w:color="auto" w:sz="2" w:space="0"/>
              <w:left w:val="single" w:color="auto" w:sz="4" w:space="0"/>
              <w:bottom w:val="single" w:color="auto" w:sz="2" w:space="0"/>
              <w:right w:val="single" w:color="auto" w:sz="2" w:space="0"/>
            </w:tcBorders>
            <w:noWrap w:val="0"/>
            <w:vAlign w:val="center"/>
          </w:tcPr>
          <w:p>
            <w:pPr>
              <w:pStyle w:val="5"/>
              <w:kinsoku w:val="0"/>
              <w:overflowPunct w:val="0"/>
              <w:spacing w:before="1"/>
              <w:ind w:right="98"/>
              <w:jc w:val="center"/>
              <w:rPr>
                <w:rFonts w:hint="eastAsia" w:hAnsi="宋体"/>
                <w:sz w:val="22"/>
              </w:rPr>
            </w:pPr>
            <w:r>
              <w:rPr>
                <w:rFonts w:hint="eastAsia" w:hAnsi="宋体"/>
                <w:sz w:val="22"/>
              </w:rPr>
              <w:t>企业认证</w:t>
            </w:r>
          </w:p>
        </w:tc>
        <w:tc>
          <w:tcPr>
            <w:tcW w:w="851" w:type="dxa"/>
            <w:tcBorders>
              <w:top w:val="single" w:color="auto" w:sz="4" w:space="0"/>
              <w:left w:val="single" w:color="auto" w:sz="2" w:space="0"/>
              <w:right w:val="single" w:color="auto" w:sz="2" w:space="0"/>
            </w:tcBorders>
            <w:noWrap w:val="0"/>
            <w:vAlign w:val="center"/>
          </w:tcPr>
          <w:p>
            <w:pPr>
              <w:pStyle w:val="5"/>
              <w:kinsoku w:val="0"/>
              <w:overflowPunct w:val="0"/>
              <w:spacing w:before="1"/>
              <w:jc w:val="center"/>
              <w:rPr>
                <w:rFonts w:hAnsi="宋体"/>
                <w:sz w:val="22"/>
              </w:rPr>
            </w:pPr>
            <w:r>
              <w:rPr>
                <w:rFonts w:hint="eastAsia" w:hAnsi="宋体"/>
                <w:sz w:val="22"/>
              </w:rPr>
              <w:t>4分</w:t>
            </w:r>
          </w:p>
        </w:tc>
        <w:tc>
          <w:tcPr>
            <w:tcW w:w="6237" w:type="dxa"/>
            <w:tcBorders>
              <w:top w:val="single" w:color="auto" w:sz="4" w:space="0"/>
              <w:left w:val="single" w:color="auto" w:sz="4" w:space="0"/>
              <w:right w:val="single" w:color="auto" w:sz="2" w:space="0"/>
            </w:tcBorders>
            <w:noWrap w:val="0"/>
            <w:vAlign w:val="center"/>
          </w:tcPr>
          <w:p>
            <w:pPr>
              <w:pStyle w:val="5"/>
              <w:kinsoku w:val="0"/>
              <w:overflowPunct w:val="0"/>
              <w:spacing w:before="25"/>
              <w:ind w:right="95"/>
              <w:rPr>
                <w:rFonts w:hint="eastAsia" w:hAnsi="宋体"/>
                <w:sz w:val="22"/>
                <w:szCs w:val="21"/>
              </w:rPr>
            </w:pPr>
            <w:r>
              <w:rPr>
                <w:rFonts w:hint="eastAsia" w:hAnsi="宋体"/>
                <w:sz w:val="22"/>
              </w:rPr>
              <w:t>响应供应商（或其上属集团公司/母公司）</w:t>
            </w:r>
            <w:r>
              <w:rPr>
                <w:rFonts w:hint="eastAsia" w:hAnsi="宋体"/>
                <w:sz w:val="22"/>
                <w:szCs w:val="21"/>
              </w:rPr>
              <w:t>具备质量管理体系认证证书/信息技术服务管理体系认证证书，</w:t>
            </w:r>
            <w:r>
              <w:rPr>
                <w:rFonts w:hAnsi="宋体"/>
                <w:sz w:val="22"/>
              </w:rPr>
              <w:t>提供一</w:t>
            </w:r>
            <w:r>
              <w:rPr>
                <w:rFonts w:hint="eastAsia" w:hAnsi="宋体"/>
                <w:sz w:val="22"/>
              </w:rPr>
              <w:t>个</w:t>
            </w:r>
            <w:r>
              <w:rPr>
                <w:rFonts w:hAnsi="宋体"/>
                <w:sz w:val="22"/>
              </w:rPr>
              <w:t>得</w:t>
            </w:r>
            <w:r>
              <w:rPr>
                <w:rFonts w:hint="eastAsia" w:hAnsi="宋体"/>
                <w:sz w:val="22"/>
              </w:rPr>
              <w:t>2</w:t>
            </w:r>
            <w:r>
              <w:rPr>
                <w:rFonts w:hAnsi="宋体"/>
                <w:sz w:val="22"/>
              </w:rPr>
              <w:t>分，最高</w:t>
            </w:r>
            <w:r>
              <w:rPr>
                <w:rFonts w:hint="eastAsia" w:hAnsi="宋体"/>
                <w:sz w:val="22"/>
              </w:rPr>
              <w:t>4</w:t>
            </w:r>
            <w:r>
              <w:rPr>
                <w:rFonts w:hAnsi="宋体"/>
                <w:sz w:val="22"/>
              </w:rPr>
              <w:t>分。</w:t>
            </w:r>
          </w:p>
          <w:p>
            <w:pPr>
              <w:pStyle w:val="5"/>
              <w:kinsoku w:val="0"/>
              <w:overflowPunct w:val="0"/>
              <w:spacing w:before="25"/>
              <w:ind w:right="95"/>
              <w:rPr>
                <w:rFonts w:hint="eastAsia" w:hAnsi="宋体"/>
                <w:sz w:val="22"/>
                <w:szCs w:val="21"/>
              </w:rPr>
            </w:pPr>
            <w:r>
              <w:rPr>
                <w:rFonts w:hint="eastAsia" w:hAnsi="宋体"/>
                <w:sz w:val="22"/>
                <w:szCs w:val="21"/>
              </w:rPr>
              <w:t>注：提供证书复印件加盖公章，以及全国认证认可信息公共服务平台（cx.cnca.cn）网站公布截图，且证书状态须为“有效”，不提供不得分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123" w:hRule="atLeast"/>
          <w:jc w:val="center"/>
        </w:trPr>
        <w:tc>
          <w:tcPr>
            <w:tcW w:w="717" w:type="dxa"/>
            <w:tcBorders>
              <w:top w:val="single" w:color="auto" w:sz="2" w:space="0"/>
              <w:left w:val="single" w:color="auto" w:sz="2" w:space="0"/>
              <w:bottom w:val="single" w:color="auto" w:sz="2" w:space="0"/>
              <w:right w:val="single" w:color="auto" w:sz="4" w:space="0"/>
            </w:tcBorders>
            <w:noWrap w:val="0"/>
            <w:vAlign w:val="center"/>
          </w:tcPr>
          <w:p>
            <w:pPr>
              <w:widowControl/>
              <w:jc w:val="center"/>
              <w:rPr>
                <w:rFonts w:hint="eastAsia" w:ascii="宋体" w:hAnsi="宋体" w:cs="宋体"/>
                <w:sz w:val="22"/>
                <w:szCs w:val="24"/>
              </w:rPr>
            </w:pPr>
            <w:r>
              <w:rPr>
                <w:rFonts w:hint="eastAsia" w:ascii="宋体" w:hAnsi="宋体" w:cs="宋体"/>
                <w:sz w:val="22"/>
                <w:szCs w:val="24"/>
              </w:rPr>
              <w:t>5</w:t>
            </w:r>
          </w:p>
        </w:tc>
        <w:tc>
          <w:tcPr>
            <w:tcW w:w="1546" w:type="dxa"/>
            <w:tcBorders>
              <w:top w:val="single" w:color="auto" w:sz="2" w:space="0"/>
              <w:left w:val="single" w:color="auto" w:sz="4" w:space="0"/>
              <w:bottom w:val="single" w:color="auto" w:sz="2" w:space="0"/>
              <w:right w:val="single" w:color="auto" w:sz="2" w:space="0"/>
            </w:tcBorders>
            <w:noWrap w:val="0"/>
            <w:vAlign w:val="center"/>
          </w:tcPr>
          <w:p>
            <w:pPr>
              <w:pStyle w:val="5"/>
              <w:kinsoku w:val="0"/>
              <w:overflowPunct w:val="0"/>
              <w:ind w:right="98"/>
              <w:jc w:val="center"/>
              <w:rPr>
                <w:rFonts w:hint="eastAsia" w:hAnsi="宋体"/>
                <w:sz w:val="22"/>
              </w:rPr>
            </w:pPr>
            <w:r>
              <w:rPr>
                <w:rFonts w:hint="eastAsia" w:hAnsi="宋体"/>
                <w:sz w:val="22"/>
              </w:rPr>
              <w:t>企业团队</w:t>
            </w:r>
          </w:p>
        </w:tc>
        <w:tc>
          <w:tcPr>
            <w:tcW w:w="851" w:type="dxa"/>
            <w:tcBorders>
              <w:top w:val="single" w:color="auto" w:sz="4" w:space="0"/>
              <w:left w:val="single" w:color="auto" w:sz="2" w:space="0"/>
              <w:right w:val="single" w:color="auto" w:sz="2" w:space="0"/>
            </w:tcBorders>
            <w:noWrap w:val="0"/>
            <w:vAlign w:val="center"/>
          </w:tcPr>
          <w:p>
            <w:pPr>
              <w:pStyle w:val="5"/>
              <w:kinsoku w:val="0"/>
              <w:overflowPunct w:val="0"/>
              <w:jc w:val="center"/>
              <w:rPr>
                <w:rFonts w:hAnsi="宋体"/>
                <w:sz w:val="22"/>
              </w:rPr>
            </w:pPr>
            <w:r>
              <w:rPr>
                <w:rFonts w:hint="eastAsia" w:hAnsi="宋体"/>
                <w:sz w:val="22"/>
              </w:rPr>
              <w:t>12分</w:t>
            </w:r>
          </w:p>
        </w:tc>
        <w:tc>
          <w:tcPr>
            <w:tcW w:w="6237" w:type="dxa"/>
            <w:tcBorders>
              <w:top w:val="single" w:color="auto" w:sz="4" w:space="0"/>
              <w:left w:val="single" w:color="auto" w:sz="4" w:space="0"/>
              <w:right w:val="single" w:color="auto" w:sz="2" w:space="0"/>
            </w:tcBorders>
            <w:noWrap w:val="0"/>
            <w:vAlign w:val="center"/>
          </w:tcPr>
          <w:p>
            <w:pPr>
              <w:pStyle w:val="5"/>
              <w:kinsoku w:val="0"/>
              <w:overflowPunct w:val="0"/>
              <w:spacing w:before="25"/>
              <w:ind w:right="95"/>
              <w:rPr>
                <w:rFonts w:hint="eastAsia" w:hAnsi="宋体"/>
                <w:sz w:val="22"/>
              </w:rPr>
            </w:pPr>
            <w:r>
              <w:rPr>
                <w:rFonts w:hint="eastAsia" w:hAnsi="宋体"/>
                <w:sz w:val="22"/>
              </w:rPr>
              <w:t>根据响应供应商（或其上属集团公司/母公司）</w:t>
            </w:r>
            <w:r>
              <w:rPr>
                <w:rFonts w:hint="eastAsia" w:hAnsi="宋体"/>
                <w:sz w:val="22"/>
                <w:szCs w:val="21"/>
              </w:rPr>
              <w:t>投入本项目的团队实力进行评审：</w:t>
            </w:r>
          </w:p>
          <w:p>
            <w:pPr>
              <w:pStyle w:val="5"/>
              <w:kinsoku w:val="0"/>
              <w:overflowPunct w:val="0"/>
              <w:spacing w:before="25"/>
              <w:ind w:right="95"/>
              <w:rPr>
                <w:rFonts w:hint="eastAsia" w:hAnsi="宋体"/>
                <w:sz w:val="22"/>
                <w:szCs w:val="21"/>
              </w:rPr>
            </w:pPr>
            <w:r>
              <w:rPr>
                <w:rFonts w:hint="eastAsia" w:hAnsi="宋体"/>
                <w:sz w:val="22"/>
                <w:szCs w:val="21"/>
              </w:rPr>
              <w:t>1、提供具有工程师资质人员负责项目实施的，每个证书得2分，最多得6分。</w:t>
            </w:r>
          </w:p>
          <w:p>
            <w:pPr>
              <w:pStyle w:val="5"/>
              <w:kinsoku w:val="0"/>
              <w:overflowPunct w:val="0"/>
              <w:spacing w:before="25"/>
              <w:ind w:right="95"/>
              <w:rPr>
                <w:rFonts w:hint="eastAsia" w:hAnsi="宋体"/>
                <w:sz w:val="22"/>
                <w:szCs w:val="21"/>
              </w:rPr>
            </w:pPr>
            <w:r>
              <w:rPr>
                <w:rFonts w:hint="eastAsia" w:hAnsi="宋体"/>
                <w:sz w:val="22"/>
                <w:szCs w:val="21"/>
              </w:rPr>
              <w:t>2、整体实施团队实力评价</w:t>
            </w:r>
          </w:p>
          <w:p>
            <w:pPr>
              <w:pStyle w:val="5"/>
              <w:kinsoku w:val="0"/>
              <w:overflowPunct w:val="0"/>
              <w:spacing w:before="25"/>
              <w:ind w:right="95"/>
              <w:rPr>
                <w:rFonts w:hint="eastAsia" w:hAnsi="宋体"/>
                <w:sz w:val="22"/>
                <w:szCs w:val="21"/>
              </w:rPr>
            </w:pPr>
            <w:r>
              <w:rPr>
                <w:rFonts w:hint="eastAsia" w:hAnsi="宋体"/>
                <w:sz w:val="22"/>
                <w:szCs w:val="21"/>
              </w:rPr>
              <w:t>投入人员充足，资质高，经验丰富的，得6分；</w:t>
            </w:r>
          </w:p>
          <w:p>
            <w:pPr>
              <w:pStyle w:val="5"/>
              <w:kinsoku w:val="0"/>
              <w:overflowPunct w:val="0"/>
              <w:spacing w:before="25"/>
              <w:ind w:right="95"/>
              <w:rPr>
                <w:rFonts w:hint="eastAsia" w:hAnsi="宋体"/>
                <w:sz w:val="22"/>
                <w:szCs w:val="21"/>
              </w:rPr>
            </w:pPr>
            <w:r>
              <w:rPr>
                <w:rFonts w:hint="eastAsia" w:hAnsi="宋体"/>
                <w:sz w:val="22"/>
                <w:szCs w:val="21"/>
              </w:rPr>
              <w:t>投入人员充足，资质较高，经验较丰富的，得3分；</w:t>
            </w:r>
          </w:p>
          <w:p>
            <w:pPr>
              <w:pStyle w:val="5"/>
              <w:kinsoku w:val="0"/>
              <w:overflowPunct w:val="0"/>
              <w:spacing w:before="25"/>
              <w:ind w:right="95"/>
              <w:rPr>
                <w:rFonts w:hint="eastAsia" w:hAnsi="宋体"/>
                <w:sz w:val="22"/>
                <w:szCs w:val="21"/>
              </w:rPr>
            </w:pPr>
            <w:r>
              <w:rPr>
                <w:rFonts w:hint="eastAsia" w:hAnsi="宋体"/>
                <w:sz w:val="22"/>
                <w:szCs w:val="21"/>
              </w:rPr>
              <w:t>投入人员较充足，资质和经验一般的，得1分</w:t>
            </w:r>
          </w:p>
          <w:p>
            <w:pPr>
              <w:pStyle w:val="5"/>
              <w:kinsoku w:val="0"/>
              <w:overflowPunct w:val="0"/>
              <w:spacing w:before="25"/>
              <w:ind w:right="95"/>
              <w:rPr>
                <w:rFonts w:hint="eastAsia" w:hAnsi="宋体"/>
                <w:sz w:val="22"/>
                <w:szCs w:val="21"/>
              </w:rPr>
            </w:pPr>
            <w:r>
              <w:rPr>
                <w:rFonts w:hint="eastAsia" w:hAnsi="宋体"/>
                <w:sz w:val="22"/>
                <w:szCs w:val="21"/>
              </w:rPr>
              <w:t>注：提供上述人员相关资质学历证明材料以及响应截止日前三个月内任意一个月的参保证明材料复印件加盖公章，不提供社保不得分。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61" w:hRule="atLeast"/>
          <w:jc w:val="center"/>
        </w:trPr>
        <w:tc>
          <w:tcPr>
            <w:tcW w:w="2263" w:type="dxa"/>
            <w:gridSpan w:val="2"/>
            <w:tcBorders>
              <w:top w:val="single" w:color="auto" w:sz="2" w:space="0"/>
              <w:left w:val="single" w:color="auto" w:sz="2" w:space="0"/>
              <w:bottom w:val="single" w:color="auto" w:sz="4" w:space="0"/>
              <w:right w:val="single" w:color="auto" w:sz="4" w:space="0"/>
            </w:tcBorders>
            <w:noWrap w:val="0"/>
            <w:vAlign w:val="center"/>
          </w:tcPr>
          <w:p>
            <w:pPr>
              <w:jc w:val="center"/>
              <w:rPr>
                <w:rFonts w:hint="eastAsia" w:ascii="宋体" w:hAnsi="宋体" w:cs="宋体"/>
                <w:sz w:val="22"/>
                <w:szCs w:val="24"/>
              </w:rPr>
            </w:pPr>
            <w:r>
              <w:rPr>
                <w:rFonts w:hint="eastAsia" w:ascii="宋体" w:hAnsi="宋体" w:cs="宋体"/>
                <w:sz w:val="22"/>
                <w:szCs w:val="24"/>
              </w:rPr>
              <w:t>合计</w:t>
            </w:r>
          </w:p>
        </w:tc>
        <w:tc>
          <w:tcPr>
            <w:tcW w:w="7088" w:type="dxa"/>
            <w:gridSpan w:val="2"/>
            <w:tcBorders>
              <w:top w:val="single" w:color="auto" w:sz="2" w:space="0"/>
              <w:left w:val="single" w:color="auto" w:sz="4" w:space="0"/>
              <w:right w:val="single" w:color="auto" w:sz="2" w:space="0"/>
            </w:tcBorders>
            <w:noWrap w:val="0"/>
            <w:vAlign w:val="center"/>
          </w:tcPr>
          <w:p>
            <w:pPr>
              <w:jc w:val="center"/>
              <w:rPr>
                <w:rFonts w:hint="eastAsia" w:ascii="宋体" w:hAnsi="宋体" w:cs="宋体"/>
                <w:sz w:val="22"/>
                <w:szCs w:val="24"/>
              </w:rPr>
            </w:pPr>
            <w:r>
              <w:rPr>
                <w:rFonts w:ascii="宋体" w:hAnsi="宋体" w:cs="宋体"/>
                <w:sz w:val="22"/>
                <w:szCs w:val="24"/>
              </w:rPr>
              <w:t>30</w:t>
            </w:r>
            <w:r>
              <w:rPr>
                <w:rFonts w:hint="eastAsia" w:ascii="宋体" w:hAnsi="宋体" w:cs="宋体"/>
                <w:sz w:val="22"/>
                <w:szCs w:val="24"/>
              </w:rPr>
              <w:t>分</w:t>
            </w:r>
          </w:p>
        </w:tc>
      </w:tr>
    </w:tbl>
    <w:p>
      <w:pP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注：1、遴选文件要求提交的与评价指标体系相关的各类有效资料，响应供应商如未按要求提交的，该项评分为零分。</w:t>
      </w:r>
    </w:p>
    <w:p>
      <w:pPr>
        <w:ind w:firstLine="411" w:firstLineChars="196"/>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2、技术、商务评分：各评委的评分的算术平均值即为该供应商的技术评分或商务评分（四舍五入后，小数点后保留两位有效数）。</w:t>
      </w:r>
    </w:p>
    <w:p>
      <w:pPr>
        <w:spacing w:line="276" w:lineRule="auto"/>
        <w:ind w:firstLine="411" w:firstLineChars="196"/>
        <w:rPr>
          <w:rFonts w:ascii="宋体" w:hAnsi="宋体"/>
          <w:sz w:val="21"/>
          <w:szCs w:val="21"/>
        </w:rPr>
      </w:pPr>
    </w:p>
    <w:p>
      <w:pPr>
        <w:spacing w:line="360" w:lineRule="auto"/>
        <w:ind w:firstLine="411" w:firstLineChars="196"/>
        <w:rPr>
          <w:rFonts w:ascii="宋体" w:hAnsi="宋体" w:cs="Arial"/>
          <w:sz w:val="21"/>
          <w:szCs w:val="21"/>
        </w:rPr>
      </w:pPr>
    </w:p>
    <w:bookmarkEnd w:id="0"/>
    <w:bookmarkEnd w:id="1"/>
    <w:bookmarkEnd w:id="2"/>
    <w:bookmarkEnd w:id="3"/>
    <w:bookmarkEnd w:id="4"/>
    <w:bookmarkEnd w:id="5"/>
    <w:bookmarkEnd w:id="7"/>
    <w:p>
      <w:pPr>
        <w:spacing w:line="360" w:lineRule="auto"/>
        <w:ind w:firstLine="411" w:firstLineChars="196"/>
        <w:rPr>
          <w:rFonts w:hint="eastAsia" w:ascii="宋体" w:hAnsi="宋体" w:cs="Arial"/>
          <w:sz w:val="21"/>
          <w:szCs w:val="21"/>
        </w:rPr>
      </w:pPr>
    </w:p>
    <w:p/>
    <w:sectPr>
      <w:footerReference r:id="rId3" w:type="default"/>
      <w:pgSz w:w="11907" w:h="16839"/>
      <w:pgMar w:top="1560" w:right="1417" w:bottom="1276" w:left="1276" w:header="851" w:footer="62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TimesNewRomanPSMT">
    <w:altName w:val="DejaVu Sans"/>
    <w:panose1 w:val="00000000000000000000"/>
    <w:charset w:val="86"/>
    <w:family w:val="auto"/>
    <w:pitch w:val="default"/>
    <w:sig w:usb0="00000000" w:usb1="00000000" w:usb2="0000001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pBdr>
      <w:jc w:val="center"/>
      <w:rPr>
        <w:rFonts w:hint="eastAsia"/>
        <w:sz w:val="21"/>
        <w:szCs w:val="21"/>
      </w:rPr>
    </w:pPr>
    <w:r>
      <w:rPr>
        <w:rFonts w:cs="Tahoma"/>
        <w:b/>
        <w:sz w:val="21"/>
        <w:szCs w:val="21"/>
      </w:rPr>
      <w:fldChar w:fldCharType="begin"/>
    </w:r>
    <w:r>
      <w:rPr>
        <w:rFonts w:cs="Tahoma"/>
        <w:b/>
        <w:sz w:val="21"/>
        <w:szCs w:val="21"/>
      </w:rPr>
      <w:instrText xml:space="preserve"> PAGE   \* MERGEFORMAT </w:instrText>
    </w:r>
    <w:r>
      <w:rPr>
        <w:rFonts w:cs="Tahoma"/>
        <w:b/>
        <w:sz w:val="21"/>
        <w:szCs w:val="21"/>
      </w:rPr>
      <w:fldChar w:fldCharType="separate"/>
    </w:r>
    <w:r>
      <w:rPr>
        <w:sz w:val="21"/>
        <w:szCs w:val="21"/>
      </w:rPr>
      <w:t>4</w:t>
    </w:r>
    <w:r>
      <w:rPr>
        <w:rFonts w:cs="Tahoma"/>
        <w:b/>
        <w:sz w:val="21"/>
        <w:szCs w:val="21"/>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802EE6"/>
    <w:multiLevelType w:val="singleLevel"/>
    <w:tmpl w:val="34802EE6"/>
    <w:lvl w:ilvl="0" w:tentative="0">
      <w:start w:val="1"/>
      <w:numFmt w:val="decimal"/>
      <w:lvlText w:val="%1"/>
      <w:lvlJc w:val="center"/>
      <w:pPr>
        <w:tabs>
          <w:tab w:val="left" w:pos="227"/>
        </w:tabs>
        <w:ind w:left="0" w:firstLine="225"/>
      </w:pPr>
      <w:rPr>
        <w:rFonts w:hint="default"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xMjU2NTAzOTM1YzU1YWIwMzQ2NDUyMjE4YjJhYzMifQ=="/>
  </w:docVars>
  <w:rsids>
    <w:rsidRoot w:val="7B9A1838"/>
    <w:rsid w:val="775BEBD4"/>
    <w:rsid w:val="78321F1A"/>
    <w:rsid w:val="7B9A1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Times New Roman" w:hAnsi="Times New Roman" w:eastAsia="宋体" w:cs="Times New Roman"/>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
    <w:name w:val="Table Paragraph"/>
    <w:basedOn w:val="1"/>
    <w:qFormat/>
    <w:uiPriority w:val="1"/>
    <w:rPr>
      <w:rFonts w:ascii="宋体" w:cs="宋体"/>
      <w:sz w:val="24"/>
      <w:szCs w:val="24"/>
    </w:rPr>
  </w:style>
  <w:style w:type="paragraph" w:customStyle="1" w:styleId="6">
    <w:name w:val="页脚2"/>
    <w:basedOn w:val="1"/>
    <w:qFormat/>
    <w:uiPriority w:val="0"/>
    <w:pPr>
      <w:widowControl/>
      <w:pBdr>
        <w:top w:val="single" w:color="auto" w:sz="6" w:space="0"/>
      </w:pBdr>
      <w:jc w:val="right"/>
      <w:textAlignment w:val="center"/>
    </w:pPr>
    <w:rPr>
      <w:rFonts w:ascii="宋体" w:hAnsi="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4883</Words>
  <Characters>5011</Characters>
  <Lines>0</Lines>
  <Paragraphs>0</Paragraphs>
  <TotalTime>21</TotalTime>
  <ScaleCrop>false</ScaleCrop>
  <LinksUpToDate>false</LinksUpToDate>
  <CharactersWithSpaces>5045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2023-03-31T12:09:00Z</dcterms:created>
  <dc:creator>邬彬城</dc:creator>
  <cp:lastModifiedBy>rsj</cp:lastModifiedBy>
  <dcterms:modified xsi:type="dcterms:W3CDTF">2023-05-08T16:32:56Z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4901D9748CDC43308CCBB2FB4462BD84</vt:lpwstr>
  </property>
</Properties>
</file>