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560" w:lineRule="exact"/>
        <w:jc w:val="center"/>
        <w:rPr>
          <w:rFonts w:hint="eastAsia" w:ascii="宋体" w:hAnsi="宋体" w:eastAsia="宋体" w:cs="宋体"/>
          <w:b/>
          <w:bCs/>
          <w:sz w:val="44"/>
          <w:szCs w:val="44"/>
          <w:lang w:eastAsia="zh-CN"/>
        </w:rPr>
      </w:pPr>
    </w:p>
    <w:p>
      <w:pPr>
        <w:keepNext w:val="0"/>
        <w:keepLines w:val="0"/>
        <w:widowControl/>
        <w:suppressLineNumbers w:val="0"/>
        <w:spacing w:line="560" w:lineRule="exact"/>
        <w:jc w:val="center"/>
        <w:rPr>
          <w:rFonts w:hint="eastAsia" w:ascii="宋体" w:hAnsi="宋体" w:eastAsia="宋体" w:cs="宋体"/>
          <w:b/>
          <w:bCs/>
          <w:sz w:val="44"/>
          <w:szCs w:val="44"/>
          <w:lang w:eastAsia="zh-CN"/>
        </w:rPr>
      </w:pPr>
    </w:p>
    <w:p>
      <w:pPr>
        <w:jc w:val="both"/>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附件</w:t>
      </w:r>
      <w:r>
        <w:rPr>
          <w:rFonts w:hint="eastAsia" w:ascii="黑体" w:hAnsi="黑体" w:eastAsia="黑体" w:cs="黑体"/>
          <w:b/>
          <w:bCs/>
          <w:sz w:val="32"/>
          <w:szCs w:val="32"/>
          <w:lang w:val="en-US" w:eastAsia="zh-CN"/>
        </w:rPr>
        <w:t xml:space="preserve"> </w:t>
      </w:r>
      <w:bookmarkStart w:id="0" w:name="_GoBack"/>
      <w:bookmarkEnd w:id="0"/>
    </w:p>
    <w:p>
      <w:pPr>
        <w:jc w:val="center"/>
        <w:rPr>
          <w:rFonts w:hint="eastAsia" w:ascii="宋体" w:hAnsi="宋体" w:eastAsia="宋体" w:cs="宋体"/>
          <w:b/>
          <w:bCs/>
          <w:sz w:val="44"/>
          <w:szCs w:val="44"/>
          <w:lang w:eastAsia="zh-CN"/>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重大行政决策事项和听证事项目录</w:t>
      </w:r>
    </w:p>
    <w:tbl>
      <w:tblPr>
        <w:tblStyle w:val="3"/>
        <w:tblW w:w="13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6678"/>
        <w:gridCol w:w="2547"/>
        <w:gridCol w:w="1491"/>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130" w:type="dxa"/>
            <w:noWrap w:val="0"/>
            <w:vAlign w:val="center"/>
          </w:tcPr>
          <w:p>
            <w:pPr>
              <w:spacing w:line="240" w:lineRule="auto"/>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序号</w:t>
            </w:r>
          </w:p>
        </w:tc>
        <w:tc>
          <w:tcPr>
            <w:tcW w:w="6678" w:type="dxa"/>
            <w:noWrap w:val="0"/>
            <w:vAlign w:val="center"/>
          </w:tcPr>
          <w:p>
            <w:pPr>
              <w:spacing w:line="240" w:lineRule="auto"/>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决策事项名称</w:t>
            </w:r>
          </w:p>
        </w:tc>
        <w:tc>
          <w:tcPr>
            <w:tcW w:w="2547" w:type="dxa"/>
            <w:noWrap w:val="0"/>
            <w:vAlign w:val="center"/>
          </w:tcPr>
          <w:p>
            <w:pPr>
              <w:spacing w:line="240" w:lineRule="auto"/>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组织承办部门</w:t>
            </w:r>
          </w:p>
        </w:tc>
        <w:tc>
          <w:tcPr>
            <w:tcW w:w="1491" w:type="dxa"/>
            <w:noWrap w:val="0"/>
            <w:vAlign w:val="center"/>
          </w:tcPr>
          <w:p>
            <w:pPr>
              <w:spacing w:line="400" w:lineRule="exact"/>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决策时间计划</w:t>
            </w:r>
          </w:p>
        </w:tc>
        <w:tc>
          <w:tcPr>
            <w:tcW w:w="1793" w:type="dxa"/>
            <w:noWrap w:val="0"/>
            <w:vAlign w:val="center"/>
          </w:tcPr>
          <w:p>
            <w:pPr>
              <w:spacing w:line="240" w:lineRule="auto"/>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130" w:type="dxa"/>
            <w:noWrap w:val="0"/>
            <w:vAlign w:val="center"/>
          </w:tcPr>
          <w:p>
            <w:pPr>
              <w:keepNext w:val="0"/>
              <w:keepLines w:val="0"/>
              <w:widowControl/>
              <w:suppressLineNumbers w:val="0"/>
              <w:jc w:val="center"/>
              <w:rPr>
                <w:rFonts w:hint="default" w:ascii="仿宋_GB2312" w:hAnsi="Calibri" w:eastAsia="仿宋_GB2312" w:cs="仿宋_GB2312"/>
                <w:i w:val="0"/>
                <w:caps w:val="0"/>
                <w:spacing w:val="0"/>
                <w:kern w:val="0"/>
                <w:sz w:val="32"/>
                <w:szCs w:val="32"/>
                <w:shd w:val="clear" w:color="auto" w:fill="FFFFFF"/>
                <w:lang w:val="en-US" w:eastAsia="zh-CN" w:bidi="ar"/>
              </w:rPr>
            </w:pPr>
            <w:r>
              <w:rPr>
                <w:rFonts w:hint="eastAsia" w:ascii="仿宋_GB2312" w:eastAsia="仿宋_GB2312" w:cs="仿宋_GB2312"/>
                <w:i w:val="0"/>
                <w:caps w:val="0"/>
                <w:spacing w:val="0"/>
                <w:kern w:val="0"/>
                <w:sz w:val="32"/>
                <w:szCs w:val="32"/>
                <w:shd w:val="clear" w:color="auto" w:fill="FFFFFF"/>
                <w:lang w:val="en-US" w:eastAsia="zh-CN" w:bidi="ar"/>
              </w:rPr>
              <w:t>1</w:t>
            </w:r>
          </w:p>
        </w:tc>
        <w:tc>
          <w:tcPr>
            <w:tcW w:w="6678" w:type="dxa"/>
            <w:noWrap w:val="0"/>
            <w:vAlign w:val="center"/>
          </w:tcPr>
          <w:p>
            <w:pPr>
              <w:keepNext w:val="0"/>
              <w:keepLines w:val="0"/>
              <w:widowControl/>
              <w:suppressLineNumbers w:val="0"/>
              <w:jc w:val="center"/>
              <w:rPr>
                <w:rFonts w:hint="eastAsia" w:ascii="仿宋_GB2312" w:hAnsi="Calibri" w:eastAsia="仿宋_GB2312" w:cs="仿宋_GB2312"/>
                <w:i w:val="0"/>
                <w:caps w:val="0"/>
                <w:spacing w:val="0"/>
                <w:kern w:val="0"/>
                <w:sz w:val="32"/>
                <w:szCs w:val="32"/>
                <w:shd w:val="clear" w:color="auto" w:fill="FFFFFF"/>
                <w:lang w:val="en-US" w:eastAsia="zh-CN" w:bidi="ar"/>
              </w:rPr>
            </w:pPr>
            <w:r>
              <w:rPr>
                <w:rFonts w:hint="eastAsia" w:ascii="仿宋_GB2312" w:hAnsi="Calibri" w:eastAsia="仿宋_GB2312" w:cs="仿宋_GB2312"/>
                <w:i w:val="0"/>
                <w:caps w:val="0"/>
                <w:spacing w:val="0"/>
                <w:kern w:val="0"/>
                <w:sz w:val="32"/>
                <w:szCs w:val="32"/>
                <w:shd w:val="clear" w:color="auto" w:fill="FFFFFF"/>
                <w:lang w:val="en-US" w:eastAsia="zh-CN" w:bidi="ar"/>
              </w:rPr>
              <w:t>《</w:t>
            </w:r>
            <w:r>
              <w:rPr>
                <w:rFonts w:hint="eastAsia" w:ascii="仿宋_GB2312" w:hAnsi="仿宋_GB2312" w:eastAsia="仿宋_GB2312" w:cs="仿宋_GB2312"/>
                <w:sz w:val="32"/>
                <w:szCs w:val="40"/>
                <w:lang w:val="en-US" w:eastAsia="zh-CN"/>
              </w:rPr>
              <w:t>深圳市建设工程评标专家管理实施细则》</w:t>
            </w:r>
          </w:p>
        </w:tc>
        <w:tc>
          <w:tcPr>
            <w:tcW w:w="2547" w:type="dxa"/>
            <w:noWrap w:val="0"/>
            <w:vAlign w:val="center"/>
          </w:tcPr>
          <w:p>
            <w:pPr>
              <w:keepNext w:val="0"/>
              <w:keepLines w:val="0"/>
              <w:widowControl/>
              <w:suppressLineNumbers w:val="0"/>
              <w:jc w:val="center"/>
              <w:rPr>
                <w:rFonts w:hint="eastAsia" w:ascii="仿宋_GB2312" w:hAnsi="Calibri" w:eastAsia="仿宋_GB2312" w:cs="仿宋_GB2312"/>
                <w:i w:val="0"/>
                <w:caps w:val="0"/>
                <w:spacing w:val="0"/>
                <w:kern w:val="0"/>
                <w:sz w:val="32"/>
                <w:szCs w:val="32"/>
                <w:shd w:val="clear" w:color="auto" w:fill="FFFFFF"/>
                <w:lang w:val="en-US" w:eastAsia="zh-CN" w:bidi="ar"/>
              </w:rPr>
            </w:pPr>
            <w:r>
              <w:rPr>
                <w:rFonts w:hint="eastAsia" w:ascii="仿宋_GB2312" w:hAnsi="Calibri" w:eastAsia="仿宋_GB2312" w:cs="仿宋_GB2312"/>
                <w:i w:val="0"/>
                <w:caps w:val="0"/>
                <w:spacing w:val="0"/>
                <w:kern w:val="0"/>
                <w:sz w:val="32"/>
                <w:szCs w:val="32"/>
                <w:shd w:val="clear" w:color="auto" w:fill="FFFFFF"/>
                <w:lang w:val="en-US" w:eastAsia="zh-CN" w:bidi="ar"/>
              </w:rPr>
              <w:t>建筑市场与招标投标监管处</w:t>
            </w:r>
          </w:p>
        </w:tc>
        <w:tc>
          <w:tcPr>
            <w:tcW w:w="1491" w:type="dxa"/>
            <w:noWrap w:val="0"/>
            <w:vAlign w:val="center"/>
          </w:tcPr>
          <w:p>
            <w:pPr>
              <w:keepNext w:val="0"/>
              <w:keepLines w:val="0"/>
              <w:widowControl/>
              <w:suppressLineNumbers w:val="0"/>
              <w:jc w:val="center"/>
              <w:rPr>
                <w:rFonts w:hint="eastAsia" w:ascii="仿宋_GB2312" w:hAnsi="Calibri" w:eastAsia="仿宋_GB2312" w:cs="仿宋_GB2312"/>
                <w:i w:val="0"/>
                <w:caps w:val="0"/>
                <w:spacing w:val="0"/>
                <w:kern w:val="0"/>
                <w:sz w:val="32"/>
                <w:szCs w:val="32"/>
                <w:shd w:val="clear" w:color="auto" w:fill="FFFFFF"/>
                <w:lang w:val="en-US" w:eastAsia="zh-CN" w:bidi="ar"/>
              </w:rPr>
            </w:pPr>
            <w:r>
              <w:rPr>
                <w:rFonts w:hint="eastAsia" w:ascii="仿宋_GB2312" w:hAnsi="Calibri" w:eastAsia="仿宋_GB2312" w:cs="仿宋_GB2312"/>
                <w:i w:val="0"/>
                <w:caps w:val="0"/>
                <w:spacing w:val="0"/>
                <w:kern w:val="0"/>
                <w:sz w:val="32"/>
                <w:szCs w:val="32"/>
                <w:shd w:val="clear" w:color="auto" w:fill="FFFFFF"/>
                <w:lang w:val="en-US" w:eastAsia="zh-CN" w:bidi="ar"/>
              </w:rPr>
              <w:t>1-12月</w:t>
            </w:r>
          </w:p>
        </w:tc>
        <w:tc>
          <w:tcPr>
            <w:tcW w:w="1793" w:type="dxa"/>
            <w:noWrap w:val="0"/>
            <w:vAlign w:val="center"/>
          </w:tcPr>
          <w:p>
            <w:pPr>
              <w:keepNext w:val="0"/>
              <w:keepLines w:val="0"/>
              <w:widowControl/>
              <w:suppressLineNumbers w:val="0"/>
              <w:ind w:firstLine="640" w:firstLineChars="200"/>
              <w:jc w:val="left"/>
              <w:rPr>
                <w:rFonts w:hint="eastAsia" w:ascii="仿宋_GB2312" w:hAnsi="Calibri" w:eastAsia="仿宋_GB2312" w:cs="仿宋_GB2312"/>
                <w:i w:val="0"/>
                <w:caps w:val="0"/>
                <w:spacing w:val="0"/>
                <w:kern w:val="0"/>
                <w:sz w:val="32"/>
                <w:szCs w:val="32"/>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130" w:type="dxa"/>
            <w:noWrap w:val="0"/>
            <w:vAlign w:val="center"/>
          </w:tcPr>
          <w:p>
            <w:pPr>
              <w:keepNext w:val="0"/>
              <w:keepLines w:val="0"/>
              <w:widowControl/>
              <w:suppressLineNumbers w:val="0"/>
              <w:jc w:val="center"/>
              <w:rPr>
                <w:rFonts w:hint="default" w:ascii="仿宋_GB2312" w:hAnsi="Calibri" w:eastAsia="仿宋_GB2312" w:cs="仿宋_GB2312"/>
                <w:i w:val="0"/>
                <w:caps w:val="0"/>
                <w:spacing w:val="0"/>
                <w:kern w:val="0"/>
                <w:sz w:val="32"/>
                <w:szCs w:val="32"/>
                <w:shd w:val="clear" w:color="auto" w:fill="FFFFFF"/>
                <w:lang w:val="en-US" w:eastAsia="zh-CN" w:bidi="ar"/>
              </w:rPr>
            </w:pPr>
            <w:r>
              <w:rPr>
                <w:rFonts w:hint="eastAsia" w:ascii="仿宋_GB2312" w:eastAsia="仿宋_GB2312" w:cs="仿宋_GB2312"/>
                <w:i w:val="0"/>
                <w:caps w:val="0"/>
                <w:spacing w:val="0"/>
                <w:kern w:val="0"/>
                <w:sz w:val="32"/>
                <w:szCs w:val="32"/>
                <w:shd w:val="clear" w:color="auto" w:fill="FFFFFF"/>
                <w:lang w:val="en-US" w:eastAsia="zh-CN" w:bidi="ar"/>
              </w:rPr>
              <w:t>2</w:t>
            </w:r>
          </w:p>
        </w:tc>
        <w:tc>
          <w:tcPr>
            <w:tcW w:w="6678" w:type="dxa"/>
            <w:noWrap w:val="0"/>
            <w:vAlign w:val="center"/>
          </w:tcPr>
          <w:p>
            <w:pPr>
              <w:keepNext w:val="0"/>
              <w:keepLines w:val="0"/>
              <w:widowControl/>
              <w:suppressLineNumbers w:val="0"/>
              <w:jc w:val="left"/>
              <w:rPr>
                <w:rFonts w:hint="eastAsia" w:ascii="仿宋_GB2312" w:hAnsi="Calibri" w:eastAsia="仿宋_GB2312" w:cs="仿宋_GB2312"/>
                <w:i w:val="0"/>
                <w:caps w:val="0"/>
                <w:spacing w:val="0"/>
                <w:kern w:val="0"/>
                <w:sz w:val="32"/>
                <w:szCs w:val="32"/>
                <w:shd w:val="clear" w:color="auto" w:fill="FFFFFF"/>
                <w:lang w:val="en-US" w:eastAsia="zh-CN" w:bidi="ar"/>
              </w:rPr>
            </w:pPr>
            <w:r>
              <w:rPr>
                <w:rFonts w:hint="eastAsia" w:ascii="仿宋_GB2312" w:hAnsi="Calibri" w:eastAsia="仿宋_GB2312" w:cs="仿宋_GB2312"/>
                <w:i w:val="0"/>
                <w:caps w:val="0"/>
                <w:spacing w:val="0"/>
                <w:kern w:val="0"/>
                <w:sz w:val="32"/>
                <w:szCs w:val="32"/>
                <w:shd w:val="clear" w:color="auto" w:fill="FFFFFF"/>
                <w:lang w:val="en-US" w:eastAsia="zh-CN" w:bidi="ar"/>
              </w:rPr>
              <w:t>《深圳市住房和建设局 深圳市交通运输局 深圳市水务局关于进一步加强房屋建筑和市政基础设施工程勘察设计质量管理的通知》</w:t>
            </w:r>
          </w:p>
        </w:tc>
        <w:tc>
          <w:tcPr>
            <w:tcW w:w="2547" w:type="dxa"/>
            <w:noWrap w:val="0"/>
            <w:vAlign w:val="center"/>
          </w:tcPr>
          <w:p>
            <w:pPr>
              <w:keepNext w:val="0"/>
              <w:keepLines w:val="0"/>
              <w:widowControl/>
              <w:suppressLineNumbers w:val="0"/>
              <w:jc w:val="center"/>
              <w:rPr>
                <w:rFonts w:hint="eastAsia" w:ascii="仿宋_GB2312" w:hAnsi="Calibri" w:eastAsia="仿宋_GB2312" w:cs="仿宋_GB2312"/>
                <w:i w:val="0"/>
                <w:caps w:val="0"/>
                <w:spacing w:val="0"/>
                <w:kern w:val="0"/>
                <w:sz w:val="32"/>
                <w:szCs w:val="32"/>
                <w:shd w:val="clear" w:color="auto" w:fill="FFFFFF"/>
                <w:lang w:val="en-US" w:eastAsia="zh-CN" w:bidi="ar"/>
              </w:rPr>
            </w:pPr>
            <w:r>
              <w:rPr>
                <w:rFonts w:hint="eastAsia" w:ascii="仿宋_GB2312" w:hAnsi="Calibri" w:eastAsia="仿宋_GB2312" w:cs="仿宋_GB2312"/>
                <w:i w:val="0"/>
                <w:caps w:val="0"/>
                <w:spacing w:val="0"/>
                <w:kern w:val="0"/>
                <w:sz w:val="32"/>
                <w:szCs w:val="32"/>
                <w:shd w:val="clear" w:color="auto" w:fill="FFFFFF"/>
                <w:lang w:val="en-US" w:eastAsia="zh-CN" w:bidi="ar"/>
              </w:rPr>
              <w:t>勘察设计与建设科技处</w:t>
            </w:r>
          </w:p>
        </w:tc>
        <w:tc>
          <w:tcPr>
            <w:tcW w:w="1491" w:type="dxa"/>
            <w:noWrap w:val="0"/>
            <w:vAlign w:val="center"/>
          </w:tcPr>
          <w:p>
            <w:pPr>
              <w:keepNext w:val="0"/>
              <w:keepLines w:val="0"/>
              <w:widowControl/>
              <w:suppressLineNumbers w:val="0"/>
              <w:jc w:val="center"/>
              <w:rPr>
                <w:rFonts w:hint="eastAsia" w:ascii="仿宋_GB2312" w:hAnsi="Calibri" w:eastAsia="仿宋_GB2312" w:cs="仿宋_GB2312"/>
                <w:i w:val="0"/>
                <w:caps w:val="0"/>
                <w:spacing w:val="0"/>
                <w:kern w:val="0"/>
                <w:sz w:val="32"/>
                <w:szCs w:val="32"/>
                <w:shd w:val="clear" w:color="auto" w:fill="FFFFFF"/>
                <w:lang w:val="en-US" w:eastAsia="zh-CN" w:bidi="ar"/>
              </w:rPr>
            </w:pPr>
            <w:r>
              <w:rPr>
                <w:rFonts w:hint="eastAsia" w:ascii="仿宋_GB2312" w:hAnsi="Calibri" w:eastAsia="仿宋_GB2312" w:cs="仿宋_GB2312"/>
                <w:i w:val="0"/>
                <w:caps w:val="0"/>
                <w:spacing w:val="0"/>
                <w:kern w:val="0"/>
                <w:sz w:val="32"/>
                <w:szCs w:val="32"/>
                <w:shd w:val="clear" w:color="auto" w:fill="FFFFFF"/>
                <w:lang w:val="en-US" w:eastAsia="zh-CN" w:bidi="ar"/>
              </w:rPr>
              <w:t>1-12月</w:t>
            </w:r>
          </w:p>
        </w:tc>
        <w:tc>
          <w:tcPr>
            <w:tcW w:w="1793" w:type="dxa"/>
            <w:noWrap w:val="0"/>
            <w:vAlign w:val="center"/>
          </w:tcPr>
          <w:p>
            <w:pPr>
              <w:keepNext w:val="0"/>
              <w:keepLines w:val="0"/>
              <w:widowControl/>
              <w:suppressLineNumbers w:val="0"/>
              <w:ind w:firstLine="640" w:firstLineChars="200"/>
              <w:jc w:val="left"/>
              <w:rPr>
                <w:rFonts w:hint="eastAsia" w:ascii="仿宋_GB2312" w:hAnsi="Calibri" w:eastAsia="仿宋_GB2312" w:cs="仿宋_GB2312"/>
                <w:i w:val="0"/>
                <w:caps w:val="0"/>
                <w:spacing w:val="0"/>
                <w:kern w:val="0"/>
                <w:sz w:val="32"/>
                <w:szCs w:val="32"/>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130" w:type="dxa"/>
            <w:noWrap w:val="0"/>
            <w:vAlign w:val="center"/>
          </w:tcPr>
          <w:p>
            <w:pPr>
              <w:keepNext w:val="0"/>
              <w:keepLines w:val="0"/>
              <w:widowControl/>
              <w:suppressLineNumbers w:val="0"/>
              <w:jc w:val="center"/>
              <w:rPr>
                <w:rFonts w:hint="default" w:ascii="仿宋_GB2312" w:hAnsi="Calibri" w:eastAsia="仿宋_GB2312" w:cs="仿宋_GB2312"/>
                <w:i w:val="0"/>
                <w:caps w:val="0"/>
                <w:spacing w:val="0"/>
                <w:kern w:val="0"/>
                <w:sz w:val="32"/>
                <w:szCs w:val="32"/>
                <w:shd w:val="clear" w:color="auto" w:fill="FFFFFF"/>
                <w:lang w:val="en-US" w:eastAsia="zh-CN" w:bidi="ar"/>
              </w:rPr>
            </w:pPr>
            <w:r>
              <w:rPr>
                <w:rFonts w:hint="eastAsia" w:ascii="仿宋_GB2312" w:eastAsia="仿宋_GB2312" w:cs="仿宋_GB2312"/>
                <w:i w:val="0"/>
                <w:caps w:val="0"/>
                <w:spacing w:val="0"/>
                <w:kern w:val="0"/>
                <w:sz w:val="32"/>
                <w:szCs w:val="32"/>
                <w:shd w:val="clear" w:color="auto" w:fill="FFFFFF"/>
                <w:lang w:val="en-US" w:eastAsia="zh-CN" w:bidi="ar"/>
              </w:rPr>
              <w:t>3</w:t>
            </w:r>
          </w:p>
        </w:tc>
        <w:tc>
          <w:tcPr>
            <w:tcW w:w="6678" w:type="dxa"/>
            <w:noWrap w:val="0"/>
            <w:vAlign w:val="center"/>
          </w:tcPr>
          <w:p>
            <w:pPr>
              <w:keepNext w:val="0"/>
              <w:keepLines w:val="0"/>
              <w:widowControl/>
              <w:suppressLineNumbers w:val="0"/>
              <w:jc w:val="center"/>
              <w:rPr>
                <w:rFonts w:hint="eastAsia" w:ascii="仿宋_GB2312" w:hAnsi="Calibri" w:eastAsia="仿宋_GB2312" w:cs="仿宋_GB2312"/>
                <w:i w:val="0"/>
                <w:caps w:val="0"/>
                <w:spacing w:val="0"/>
                <w:kern w:val="0"/>
                <w:sz w:val="32"/>
                <w:szCs w:val="32"/>
                <w:shd w:val="clear" w:color="auto" w:fill="FFFFFF"/>
                <w:lang w:val="en-US" w:eastAsia="zh-CN" w:bidi="ar"/>
              </w:rPr>
            </w:pPr>
            <w:r>
              <w:rPr>
                <w:rFonts w:hint="eastAsia" w:ascii="仿宋_GB2312" w:hAnsi="Calibri" w:eastAsia="仿宋_GB2312" w:cs="仿宋_GB2312"/>
                <w:i w:val="0"/>
                <w:caps w:val="0"/>
                <w:spacing w:val="0"/>
                <w:kern w:val="0"/>
                <w:sz w:val="32"/>
                <w:szCs w:val="32"/>
                <w:shd w:val="clear" w:color="auto" w:fill="FFFFFF"/>
                <w:lang w:val="en-US" w:eastAsia="zh-CN" w:bidi="ar"/>
              </w:rPr>
              <w:t>《深圳市城市建设档案查询利用规定》</w:t>
            </w:r>
          </w:p>
        </w:tc>
        <w:tc>
          <w:tcPr>
            <w:tcW w:w="2547" w:type="dxa"/>
            <w:noWrap w:val="0"/>
            <w:vAlign w:val="center"/>
          </w:tcPr>
          <w:p>
            <w:pPr>
              <w:keepNext w:val="0"/>
              <w:keepLines w:val="0"/>
              <w:widowControl/>
              <w:suppressLineNumbers w:val="0"/>
              <w:jc w:val="center"/>
              <w:rPr>
                <w:rFonts w:hint="eastAsia" w:ascii="仿宋_GB2312" w:hAnsi="Calibri" w:eastAsia="仿宋_GB2312" w:cs="仿宋_GB2312"/>
                <w:i w:val="0"/>
                <w:caps w:val="0"/>
                <w:spacing w:val="0"/>
                <w:kern w:val="0"/>
                <w:sz w:val="32"/>
                <w:szCs w:val="32"/>
                <w:shd w:val="clear" w:color="auto" w:fill="FFFFFF"/>
                <w:lang w:val="en-US" w:eastAsia="zh-CN" w:bidi="ar"/>
              </w:rPr>
            </w:pPr>
            <w:r>
              <w:rPr>
                <w:rFonts w:hint="eastAsia" w:ascii="仿宋_GB2312" w:hAnsi="Calibri" w:eastAsia="仿宋_GB2312" w:cs="仿宋_GB2312"/>
                <w:i w:val="0"/>
                <w:caps w:val="0"/>
                <w:spacing w:val="0"/>
                <w:kern w:val="0"/>
                <w:sz w:val="32"/>
                <w:szCs w:val="32"/>
                <w:shd w:val="clear" w:color="auto" w:fill="FFFFFF"/>
                <w:lang w:val="en-US" w:eastAsia="zh-CN" w:bidi="ar"/>
              </w:rPr>
              <w:t>城市建设档案馆</w:t>
            </w:r>
          </w:p>
        </w:tc>
        <w:tc>
          <w:tcPr>
            <w:tcW w:w="1491" w:type="dxa"/>
            <w:noWrap w:val="0"/>
            <w:vAlign w:val="center"/>
          </w:tcPr>
          <w:p>
            <w:pPr>
              <w:keepNext w:val="0"/>
              <w:keepLines w:val="0"/>
              <w:widowControl/>
              <w:suppressLineNumbers w:val="0"/>
              <w:jc w:val="center"/>
              <w:rPr>
                <w:rFonts w:hint="eastAsia" w:ascii="仿宋_GB2312" w:hAnsi="Calibri" w:eastAsia="仿宋_GB2312" w:cs="仿宋_GB2312"/>
                <w:i w:val="0"/>
                <w:caps w:val="0"/>
                <w:spacing w:val="0"/>
                <w:kern w:val="0"/>
                <w:sz w:val="32"/>
                <w:szCs w:val="32"/>
                <w:shd w:val="clear" w:color="auto" w:fill="FFFFFF"/>
                <w:lang w:val="en-US" w:eastAsia="zh-CN" w:bidi="ar"/>
              </w:rPr>
            </w:pPr>
            <w:r>
              <w:rPr>
                <w:rFonts w:hint="eastAsia" w:ascii="仿宋_GB2312" w:hAnsi="Calibri" w:eastAsia="仿宋_GB2312" w:cs="仿宋_GB2312"/>
                <w:i w:val="0"/>
                <w:caps w:val="0"/>
                <w:spacing w:val="0"/>
                <w:kern w:val="0"/>
                <w:sz w:val="32"/>
                <w:szCs w:val="32"/>
                <w:shd w:val="clear" w:color="auto" w:fill="FFFFFF"/>
                <w:lang w:val="en-US" w:eastAsia="zh-CN" w:bidi="ar"/>
              </w:rPr>
              <w:t>1-12月</w:t>
            </w:r>
          </w:p>
        </w:tc>
        <w:tc>
          <w:tcPr>
            <w:tcW w:w="1793" w:type="dxa"/>
            <w:noWrap w:val="0"/>
            <w:vAlign w:val="center"/>
          </w:tcPr>
          <w:p>
            <w:pPr>
              <w:keepNext w:val="0"/>
              <w:keepLines w:val="0"/>
              <w:widowControl/>
              <w:suppressLineNumbers w:val="0"/>
              <w:jc w:val="center"/>
              <w:rPr>
                <w:rFonts w:hint="default" w:ascii="仿宋_GB2312" w:hAnsi="Calibri" w:eastAsia="仿宋_GB2312" w:cs="仿宋_GB2312"/>
                <w:i w:val="0"/>
                <w:caps w:val="0"/>
                <w:spacing w:val="0"/>
                <w:kern w:val="0"/>
                <w:sz w:val="32"/>
                <w:szCs w:val="32"/>
                <w:shd w:val="clear" w:color="auto" w:fill="FFFFFF"/>
                <w:lang w:val="en" w:eastAsia="zh-CN" w:bidi="ar"/>
              </w:rPr>
            </w:pPr>
            <w:r>
              <w:rPr>
                <w:rFonts w:hint="eastAsia" w:ascii="仿宋_GB2312" w:eastAsia="仿宋_GB2312" w:cs="仿宋_GB2312"/>
                <w:i w:val="0"/>
                <w:caps w:val="0"/>
                <w:spacing w:val="0"/>
                <w:kern w:val="0"/>
                <w:sz w:val="32"/>
                <w:szCs w:val="32"/>
                <w:shd w:val="clear" w:color="auto" w:fill="FFFFFF"/>
                <w:lang w:val="en" w:eastAsia="zh-CN" w:bidi="ar"/>
              </w:rPr>
              <w:t>同时列为听证事项</w:t>
            </w:r>
          </w:p>
        </w:tc>
      </w:tr>
    </w:tbl>
    <w:p>
      <w:pPr>
        <w:keepNext w:val="0"/>
        <w:keepLines w:val="0"/>
        <w:widowControl/>
        <w:suppressLineNumbers w:val="0"/>
        <w:wordWrap w:val="0"/>
        <w:jc w:val="both"/>
        <w:rPr>
          <w:rFonts w:hint="default" w:ascii="仿宋_GB2312" w:hAnsi="仿宋_GB2312" w:eastAsia="仿宋_GB2312" w:cs="仿宋_GB2312"/>
          <w:sz w:val="32"/>
          <w:szCs w:val="40"/>
          <w:lang w:val="en-US" w:eastAsia="zh-CN"/>
        </w:rPr>
      </w:pPr>
    </w:p>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FE556"/>
    <w:rsid w:val="5CFB2713"/>
    <w:rsid w:val="667C18EF"/>
    <w:rsid w:val="75D89F07"/>
    <w:rsid w:val="B9B6B1C6"/>
    <w:rsid w:val="E4DFF161"/>
    <w:rsid w:val="EBEFDE4A"/>
    <w:rsid w:val="FF6F4D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2023-04-24T03:07:00Z</dcterms:created>
  <dc:creator>liu</dc:creator>
  <cp:lastModifiedBy>liu</cp:lastModifiedBy>
  <dcterms:modified xsi:type="dcterms:W3CDTF">2023-04-24T18:08:06Z</dcterms:modified>
  <dc:title>深圳市住房和建设局关于公布《2023年度重大行政决策事项和听证事项目录》的通知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