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79" w:lineRule="exact"/>
        <w:jc w:val="left"/>
        <w:rPr>
          <w:rFonts w:hint="eastAsia" w:ascii="黑体" w:hAnsi="黑体" w:eastAsia="黑体" w:cs="仿宋_GB2312"/>
          <w:kern w:val="0"/>
          <w:sz w:val="32"/>
          <w:szCs w:val="32"/>
          <w:highlight w:val="none"/>
        </w:rPr>
      </w:pPr>
      <w:r>
        <w:rPr>
          <w:rFonts w:hint="eastAsia" w:ascii="黑体" w:hAnsi="黑体" w:eastAsia="黑体" w:cs="仿宋_GB2312"/>
          <w:kern w:val="0"/>
          <w:sz w:val="32"/>
          <w:szCs w:val="32"/>
          <w:highlight w:val="none"/>
          <w:lang w:val="zh-TW"/>
        </w:rPr>
        <w:t>附</w:t>
      </w:r>
      <w:r>
        <w:rPr>
          <w:rFonts w:hint="eastAsia" w:ascii="黑体" w:hAnsi="黑体" w:eastAsia="黑体" w:cs="仿宋_GB2312"/>
          <w:kern w:val="0"/>
          <w:sz w:val="32"/>
          <w:szCs w:val="32"/>
          <w:highlight w:val="none"/>
        </w:rPr>
        <w:t>件</w:t>
      </w:r>
      <w:bookmarkStart w:id="0" w:name="_GoBack"/>
      <w:bookmarkEnd w:id="0"/>
    </w:p>
    <w:p>
      <w:pPr>
        <w:widowControl/>
        <w:spacing w:line="579" w:lineRule="exact"/>
        <w:jc w:val="left"/>
        <w:rPr>
          <w:rFonts w:hint="eastAsia" w:ascii="黑体" w:hAnsi="黑体" w:eastAsia="黑体" w:cs="仿宋_GB2312"/>
          <w:kern w:val="0"/>
          <w:sz w:val="32"/>
          <w:szCs w:val="32"/>
          <w:highlight w:val="none"/>
          <w:lang w:val="zh-TW"/>
        </w:rPr>
      </w:pPr>
    </w:p>
    <w:p>
      <w:pPr>
        <w:widowControl/>
        <w:spacing w:line="579" w:lineRule="exact"/>
        <w:jc w:val="center"/>
        <w:rPr>
          <w:rFonts w:hint="eastAsia" w:ascii="方正小标宋_GBK" w:hAnsi="方正小标宋_GBK" w:eastAsia="方正小标宋_GBK" w:cs="方正小标宋_GBK"/>
          <w:kern w:val="0"/>
          <w:sz w:val="44"/>
          <w:szCs w:val="44"/>
          <w:highlight w:val="none"/>
          <w:lang w:val="zh-TW" w:eastAsia="zh-TW"/>
        </w:rPr>
      </w:pPr>
      <w:r>
        <w:rPr>
          <w:rFonts w:hint="eastAsia" w:ascii="方正小标宋_GBK" w:hAnsi="方正小标宋_GBK" w:eastAsia="方正小标宋_GBK" w:cs="方正小标宋_GBK"/>
          <w:kern w:val="0"/>
          <w:sz w:val="44"/>
          <w:szCs w:val="44"/>
          <w:highlight w:val="none"/>
          <w:lang w:val="zh-TW" w:eastAsia="zh-TW"/>
        </w:rPr>
        <w:t>《深圳市202</w:t>
      </w:r>
      <w:r>
        <w:rPr>
          <w:rFonts w:hint="eastAsia" w:ascii="方正小标宋_GBK" w:hAnsi="方正小标宋_GBK" w:eastAsia="方正小标宋_GBK" w:cs="方正小标宋_GBK"/>
          <w:kern w:val="0"/>
          <w:sz w:val="44"/>
          <w:szCs w:val="44"/>
          <w:highlight w:val="none"/>
          <w:lang w:val="en-US" w:eastAsia="zh-CN"/>
        </w:rPr>
        <w:t>2</w:t>
      </w:r>
      <w:r>
        <w:rPr>
          <w:rFonts w:hint="eastAsia" w:ascii="方正小标宋_GBK" w:hAnsi="方正小标宋_GBK" w:eastAsia="方正小标宋_GBK" w:cs="方正小标宋_GBK"/>
          <w:kern w:val="0"/>
          <w:sz w:val="44"/>
          <w:szCs w:val="44"/>
          <w:highlight w:val="none"/>
          <w:lang w:val="zh-TW" w:eastAsia="zh-TW"/>
        </w:rPr>
        <w:t>年度绩效审计工作报告》反映问题及审计处理情况一览表</w:t>
      </w:r>
    </w:p>
    <w:p>
      <w:pPr>
        <w:widowControl/>
        <w:spacing w:line="579" w:lineRule="exact"/>
        <w:jc w:val="center"/>
        <w:rPr>
          <w:rFonts w:hint="eastAsia" w:ascii="方正小标宋简体" w:hAnsi="方正小标宋简体" w:eastAsia="方正小标宋简体" w:cs="方正小标宋简体"/>
          <w:kern w:val="0"/>
          <w:sz w:val="44"/>
          <w:szCs w:val="44"/>
          <w:highlight w:val="none"/>
          <w:lang w:val="zh-TW" w:eastAsia="zh-TW"/>
        </w:rPr>
      </w:pPr>
    </w:p>
    <w:tbl>
      <w:tblPr>
        <w:tblStyle w:val="3"/>
        <w:tblW w:w="15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1175"/>
        <w:gridCol w:w="834"/>
        <w:gridCol w:w="1395"/>
        <w:gridCol w:w="4961"/>
        <w:gridCol w:w="2576"/>
        <w:gridCol w:w="3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blHeader/>
          <w:jc w:val="center"/>
        </w:trPr>
        <w:tc>
          <w:tcPr>
            <w:tcW w:w="9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b w:val="0"/>
                <w:bCs/>
                <w:sz w:val="28"/>
                <w:szCs w:val="28"/>
                <w:highlight w:val="none"/>
              </w:rPr>
            </w:pPr>
            <w:r>
              <w:rPr>
                <w:rFonts w:hint="eastAsia" w:ascii="仿宋_GB2312" w:hAnsi="仿宋_GB2312" w:eastAsia="仿宋_GB2312" w:cs="仿宋_GB2312"/>
                <w:b w:val="0"/>
                <w:bCs/>
                <w:sz w:val="28"/>
                <w:szCs w:val="28"/>
                <w:highlight w:val="none"/>
              </w:rPr>
              <w:t>项目</w:t>
            </w:r>
          </w:p>
        </w:tc>
        <w:tc>
          <w:tcPr>
            <w:tcW w:w="11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b w:val="0"/>
                <w:bCs/>
                <w:sz w:val="28"/>
                <w:szCs w:val="28"/>
                <w:highlight w:val="none"/>
                <w:lang w:eastAsia="zh-CN"/>
              </w:rPr>
            </w:pPr>
            <w:r>
              <w:rPr>
                <w:rFonts w:hint="eastAsia" w:ascii="仿宋_GB2312" w:hAnsi="仿宋_GB2312" w:eastAsia="仿宋_GB2312" w:cs="仿宋_GB2312"/>
                <w:b w:val="0"/>
                <w:bCs/>
                <w:sz w:val="28"/>
                <w:szCs w:val="28"/>
                <w:highlight w:val="none"/>
                <w:lang w:eastAsia="zh-CN"/>
              </w:rPr>
              <w:t>问题</w:t>
            </w:r>
          </w:p>
        </w:tc>
        <w:tc>
          <w:tcPr>
            <w:tcW w:w="8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b w:val="0"/>
                <w:bCs/>
                <w:sz w:val="28"/>
                <w:szCs w:val="28"/>
                <w:highlight w:val="none"/>
              </w:rPr>
            </w:pPr>
            <w:r>
              <w:rPr>
                <w:rFonts w:hint="eastAsia" w:ascii="仿宋_GB2312" w:hAnsi="仿宋_GB2312" w:eastAsia="仿宋_GB2312" w:cs="仿宋_GB2312"/>
                <w:b w:val="0"/>
                <w:bCs/>
                <w:sz w:val="28"/>
                <w:szCs w:val="28"/>
                <w:highlight w:val="none"/>
              </w:rPr>
              <w:t>序号</w:t>
            </w:r>
          </w:p>
        </w:tc>
        <w:tc>
          <w:tcPr>
            <w:tcW w:w="635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b w:val="0"/>
                <w:bCs/>
                <w:sz w:val="28"/>
                <w:szCs w:val="28"/>
                <w:highlight w:val="none"/>
              </w:rPr>
            </w:pPr>
            <w:r>
              <w:rPr>
                <w:rFonts w:hint="eastAsia" w:ascii="仿宋_GB2312" w:hAnsi="仿宋_GB2312" w:eastAsia="仿宋_GB2312" w:cs="仿宋_GB2312"/>
                <w:b w:val="0"/>
                <w:bCs/>
                <w:sz w:val="28"/>
                <w:szCs w:val="28"/>
                <w:highlight w:val="none"/>
              </w:rPr>
              <w:t>内容</w:t>
            </w:r>
          </w:p>
        </w:tc>
        <w:tc>
          <w:tcPr>
            <w:tcW w:w="25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b w:val="0"/>
                <w:bCs/>
                <w:sz w:val="28"/>
                <w:szCs w:val="28"/>
                <w:highlight w:val="none"/>
              </w:rPr>
            </w:pPr>
            <w:r>
              <w:rPr>
                <w:rFonts w:hint="eastAsia" w:ascii="仿宋_GB2312" w:hAnsi="仿宋_GB2312" w:eastAsia="仿宋_GB2312" w:cs="仿宋_GB2312"/>
                <w:b w:val="0"/>
                <w:bCs/>
                <w:sz w:val="28"/>
                <w:szCs w:val="28"/>
                <w:highlight w:val="none"/>
              </w:rPr>
              <w:t>责任单位</w:t>
            </w:r>
          </w:p>
        </w:tc>
        <w:tc>
          <w:tcPr>
            <w:tcW w:w="33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b w:val="0"/>
                <w:bCs/>
                <w:sz w:val="28"/>
                <w:szCs w:val="28"/>
                <w:highlight w:val="none"/>
              </w:rPr>
            </w:pPr>
            <w:r>
              <w:rPr>
                <w:rFonts w:hint="eastAsia" w:ascii="仿宋_GB2312" w:hAnsi="仿宋_GB2312" w:eastAsia="仿宋_GB2312" w:cs="仿宋_GB2312"/>
                <w:b w:val="0"/>
                <w:bCs/>
                <w:sz w:val="28"/>
                <w:szCs w:val="28"/>
                <w:highlight w:val="none"/>
              </w:rPr>
              <w:t>审计处理情况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69" w:hRule="atLeast"/>
          <w:jc w:val="center"/>
        </w:trPr>
        <w:tc>
          <w:tcPr>
            <w:tcW w:w="927"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一</w:t>
            </w:r>
            <w:r>
              <w:rPr>
                <w:rFonts w:hint="eastAsia" w:ascii="仿宋_GB2312" w:hAnsi="仿宋_GB2312" w:eastAsia="仿宋_GB2312" w:cs="仿宋_GB2312"/>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推动优化营商环境方面</w:t>
            </w:r>
          </w:p>
        </w:tc>
        <w:tc>
          <w:tcPr>
            <w:tcW w:w="1175"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助企纾困政策部分措施未有效落实</w:t>
            </w:r>
          </w:p>
        </w:tc>
        <w:tc>
          <w:tcPr>
            <w:tcW w:w="834"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w:t>
            </w:r>
          </w:p>
        </w:tc>
        <w:tc>
          <w:tcPr>
            <w:tcW w:w="1395"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未按照政策要求制定配套文件</w:t>
            </w:r>
          </w:p>
        </w:tc>
        <w:tc>
          <w:tcPr>
            <w:tcW w:w="49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开展</w:t>
            </w:r>
            <w:r>
              <w:rPr>
                <w:rFonts w:hint="eastAsia" w:ascii="仿宋_GB2312" w:hAnsi="仿宋_GB2312" w:eastAsia="仿宋_GB2312" w:cs="仿宋_GB2312"/>
                <w:sz w:val="24"/>
                <w:szCs w:val="24"/>
                <w:highlight w:val="none"/>
              </w:rPr>
              <w:t>民办幼儿园补助审核</w:t>
            </w:r>
            <w:r>
              <w:rPr>
                <w:rFonts w:hint="eastAsia" w:ascii="仿宋_GB2312" w:hAnsi="仿宋_GB2312" w:eastAsia="仿宋_GB2312" w:cs="仿宋_GB2312"/>
                <w:sz w:val="24"/>
                <w:szCs w:val="24"/>
                <w:highlight w:val="none"/>
                <w:lang w:eastAsia="zh-CN"/>
              </w:rPr>
              <w:t>所</w:t>
            </w:r>
            <w:r>
              <w:rPr>
                <w:rFonts w:hint="eastAsia" w:ascii="仿宋_GB2312" w:hAnsi="仿宋_GB2312" w:eastAsia="仿宋_GB2312" w:cs="仿宋_GB2312"/>
                <w:sz w:val="24"/>
                <w:szCs w:val="24"/>
                <w:highlight w:val="none"/>
              </w:rPr>
              <w:t>依据的《深圳市普惠性幼儿园管理暂行办法》已于2018年超过有效期，但截至2022年10月，市教育局仍未出台新修订的办法。</w:t>
            </w:r>
          </w:p>
        </w:tc>
        <w:tc>
          <w:tcPr>
            <w:tcW w:w="2576"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市教育局</w:t>
            </w:r>
          </w:p>
        </w:tc>
        <w:tc>
          <w:tcPr>
            <w:tcW w:w="3312"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市教育局要尽快出台地方性学前教育法规，明确补助依据。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0" w:hRule="atLeast"/>
          <w:jc w:val="center"/>
        </w:trPr>
        <w:tc>
          <w:tcPr>
            <w:tcW w:w="927"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仿宋_GB2312" w:hAnsi="仿宋_GB2312" w:eastAsia="仿宋_GB2312" w:cs="仿宋_GB2312"/>
                <w:sz w:val="24"/>
                <w:highlight w:val="none"/>
              </w:rPr>
            </w:pPr>
          </w:p>
        </w:tc>
        <w:tc>
          <w:tcPr>
            <w:tcW w:w="1175"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仿宋_GB2312" w:hAnsi="仿宋_GB2312" w:eastAsia="仿宋_GB2312" w:cs="仿宋_GB2312"/>
                <w:sz w:val="24"/>
                <w:highlight w:val="none"/>
              </w:rPr>
            </w:pPr>
          </w:p>
        </w:tc>
        <w:tc>
          <w:tcPr>
            <w:tcW w:w="834" w:type="dxa"/>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szCs w:val="24"/>
                <w:highlight w:val="none"/>
                <w:lang w:val="en-US" w:eastAsia="zh-CN"/>
              </w:rPr>
              <w:t>2</w:t>
            </w:r>
          </w:p>
        </w:tc>
        <w:tc>
          <w:tcPr>
            <w:tcW w:w="1395"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仿宋_GB2312" w:hAnsi="仿宋_GB2312" w:eastAsia="仿宋_GB2312" w:cs="仿宋_GB2312"/>
                <w:sz w:val="24"/>
                <w:highlight w:val="none"/>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5家市属国企及其下属企业在制定减免房屋租金配套实施方案时自行增加限制性条款，不符合普惠性纾困扶持措施要求。</w:t>
            </w:r>
          </w:p>
        </w:tc>
        <w:tc>
          <w:tcPr>
            <w:tcW w:w="2576" w:type="dxa"/>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深圳市投资控股有限公司、深圳能源集团股份有限公司、深圳巴士集团股份有限公司、深圳国际控股有限公司、深圳市资本运营集团有限公司</w:t>
            </w:r>
          </w:p>
        </w:tc>
        <w:tc>
          <w:tcPr>
            <w:tcW w:w="3312" w:type="dxa"/>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市属国企要完善减免房屋租金实施方案，做到“应免尽免、应减尽减”。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74" w:hRule="atLeast"/>
          <w:jc w:val="center"/>
        </w:trPr>
        <w:tc>
          <w:tcPr>
            <w:tcW w:w="927"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一</w:t>
            </w:r>
            <w:r>
              <w:rPr>
                <w:rFonts w:hint="eastAsia" w:ascii="仿宋_GB2312" w:hAnsi="仿宋_GB2312" w:eastAsia="仿宋_GB2312" w:cs="仿宋_GB2312"/>
                <w:sz w:val="24"/>
                <w:szCs w:val="24"/>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b/>
                <w:sz w:val="24"/>
                <w:szCs w:val="24"/>
                <w:highlight w:val="none"/>
              </w:rPr>
            </w:pPr>
            <w:r>
              <w:rPr>
                <w:rFonts w:hint="eastAsia" w:ascii="仿宋_GB2312" w:hAnsi="仿宋_GB2312" w:eastAsia="仿宋_GB2312" w:cs="仿宋_GB2312"/>
                <w:sz w:val="24"/>
                <w:szCs w:val="24"/>
                <w:highlight w:val="none"/>
              </w:rPr>
              <w:t>推动优化营商环境方面</w:t>
            </w:r>
          </w:p>
        </w:tc>
        <w:tc>
          <w:tcPr>
            <w:tcW w:w="1175"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b/>
                <w:sz w:val="24"/>
                <w:szCs w:val="24"/>
                <w:highlight w:val="none"/>
              </w:rPr>
            </w:pPr>
            <w:r>
              <w:rPr>
                <w:rFonts w:hint="eastAsia" w:ascii="仿宋_GB2312" w:hAnsi="仿宋_GB2312" w:eastAsia="仿宋_GB2312" w:cs="仿宋_GB2312"/>
                <w:sz w:val="24"/>
                <w:szCs w:val="24"/>
                <w:highlight w:val="none"/>
              </w:rPr>
              <w:t>助企纾困政策部分措施未有效落实</w:t>
            </w:r>
          </w:p>
        </w:tc>
        <w:tc>
          <w:tcPr>
            <w:tcW w:w="834"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3</w:t>
            </w:r>
          </w:p>
        </w:tc>
        <w:tc>
          <w:tcPr>
            <w:tcW w:w="1395"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部门</w:t>
            </w:r>
            <w:r>
              <w:rPr>
                <w:rFonts w:hint="eastAsia" w:ascii="仿宋_GB2312" w:hAnsi="仿宋_GB2312" w:eastAsia="仿宋_GB2312" w:cs="仿宋_GB2312"/>
                <w:sz w:val="24"/>
                <w:szCs w:val="24"/>
                <w:highlight w:val="none"/>
              </w:rPr>
              <w:t>执行缺乏沟通协调</w:t>
            </w:r>
          </w:p>
        </w:tc>
        <w:tc>
          <w:tcPr>
            <w:tcW w:w="49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加大融资担保支持力度等2条措施的实施细则未按要求在“深i企”平台发布，主要原因是市中小企业服务局未及时与责任部门对接掌握相关制定情况。</w:t>
            </w:r>
          </w:p>
        </w:tc>
        <w:tc>
          <w:tcPr>
            <w:tcW w:w="2576"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市中小企业服务局</w:t>
            </w:r>
          </w:p>
        </w:tc>
        <w:tc>
          <w:tcPr>
            <w:tcW w:w="3312"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市中小企业服务局要会同各部门健全“深i企”纾困解难专区发布机制，方便企业及时了解惠企政策。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9" w:hRule="atLeast"/>
          <w:jc w:val="center"/>
        </w:trPr>
        <w:tc>
          <w:tcPr>
            <w:tcW w:w="927"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仿宋_GB2312" w:hAnsi="仿宋_GB2312" w:eastAsia="仿宋_GB2312" w:cs="仿宋_GB2312"/>
                <w:sz w:val="24"/>
                <w:highlight w:val="none"/>
              </w:rPr>
            </w:pPr>
          </w:p>
        </w:tc>
        <w:tc>
          <w:tcPr>
            <w:tcW w:w="1175"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仿宋_GB2312" w:hAnsi="仿宋_GB2312" w:eastAsia="仿宋_GB2312" w:cs="仿宋_GB2312"/>
                <w:sz w:val="24"/>
                <w:highlight w:val="none"/>
              </w:rPr>
            </w:pPr>
          </w:p>
        </w:tc>
        <w:tc>
          <w:tcPr>
            <w:tcW w:w="834"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szCs w:val="24"/>
                <w:highlight w:val="none"/>
                <w:lang w:val="en-US" w:eastAsia="zh-CN"/>
              </w:rPr>
              <w:t>4</w:t>
            </w:r>
          </w:p>
        </w:tc>
        <w:tc>
          <w:tcPr>
            <w:tcW w:w="1395"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仿宋_GB2312" w:hAnsi="仿宋_GB2312" w:eastAsia="仿宋_GB2312" w:cs="仿宋_GB2312"/>
                <w:sz w:val="24"/>
                <w:highlight w:val="none"/>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市交通运输局拟发放防疫消杀补贴名单中有67家企业与其他行业主管部门拟补贴名单重复，截至2022年9月底上述</w:t>
            </w:r>
            <w:r>
              <w:rPr>
                <w:rFonts w:hint="eastAsia" w:ascii="仿宋_GB2312" w:hAnsi="仿宋_GB2312" w:eastAsia="仿宋_GB2312" w:cs="仿宋_GB2312"/>
                <w:sz w:val="24"/>
                <w:szCs w:val="24"/>
                <w:highlight w:val="none"/>
                <w:lang w:val="en-US" w:eastAsia="zh-CN"/>
              </w:rPr>
              <w:t>67家</w:t>
            </w:r>
            <w:r>
              <w:rPr>
                <w:rFonts w:hint="eastAsia" w:ascii="仿宋_GB2312" w:hAnsi="仿宋_GB2312" w:eastAsia="仿宋_GB2312" w:cs="仿宋_GB2312"/>
                <w:sz w:val="24"/>
                <w:szCs w:val="24"/>
                <w:highlight w:val="none"/>
              </w:rPr>
              <w:t>企业仍未申领补贴，涉及金额141.2万元，主要原因是不同行业主管部门之间没有建立信息核查的协同联动工作机制。</w:t>
            </w:r>
          </w:p>
        </w:tc>
        <w:tc>
          <w:tcPr>
            <w:tcW w:w="2576"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市交通运输局</w:t>
            </w:r>
          </w:p>
        </w:tc>
        <w:tc>
          <w:tcPr>
            <w:tcW w:w="3312"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市交通运输局要加强与相关部门协调配合，严格按照政策要求做好审核把关，加快推进审核拨付。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4" w:hRule="atLeast"/>
          <w:jc w:val="center"/>
        </w:trPr>
        <w:tc>
          <w:tcPr>
            <w:tcW w:w="927"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一</w:t>
            </w:r>
            <w:r>
              <w:rPr>
                <w:rFonts w:hint="eastAsia" w:ascii="仿宋_GB2312" w:hAnsi="仿宋_GB2312" w:eastAsia="仿宋_GB2312" w:cs="仿宋_GB2312"/>
                <w:sz w:val="24"/>
                <w:szCs w:val="24"/>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b/>
                <w:sz w:val="24"/>
                <w:szCs w:val="24"/>
                <w:highlight w:val="none"/>
              </w:rPr>
            </w:pPr>
            <w:r>
              <w:rPr>
                <w:rFonts w:hint="eastAsia" w:ascii="仿宋_GB2312" w:hAnsi="仿宋_GB2312" w:eastAsia="仿宋_GB2312" w:cs="仿宋_GB2312"/>
                <w:sz w:val="24"/>
                <w:szCs w:val="24"/>
                <w:highlight w:val="none"/>
              </w:rPr>
              <w:t>推动优化营商环境方面</w:t>
            </w:r>
          </w:p>
        </w:tc>
        <w:tc>
          <w:tcPr>
            <w:tcW w:w="1175"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b/>
                <w:sz w:val="24"/>
                <w:szCs w:val="24"/>
                <w:highlight w:val="none"/>
              </w:rPr>
            </w:pPr>
            <w:r>
              <w:rPr>
                <w:rFonts w:hint="eastAsia" w:ascii="仿宋_GB2312" w:hAnsi="仿宋_GB2312" w:eastAsia="仿宋_GB2312" w:cs="仿宋_GB2312"/>
                <w:sz w:val="24"/>
                <w:szCs w:val="24"/>
                <w:highlight w:val="none"/>
              </w:rPr>
              <w:t>助企纾困政策部分措施未有效落实</w:t>
            </w:r>
          </w:p>
        </w:tc>
        <w:tc>
          <w:tcPr>
            <w:tcW w:w="8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5</w:t>
            </w:r>
          </w:p>
        </w:tc>
        <w:tc>
          <w:tcPr>
            <w:tcW w:w="13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部分责任单位审核监管不严</w:t>
            </w:r>
          </w:p>
        </w:tc>
        <w:tc>
          <w:tcPr>
            <w:tcW w:w="49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市发展改革委给予失信企业、已注销企业等共701家不符合条件的市场主体电费补贴121.19万元，主要原因是审核不严谨导致匹配错误、提供名单与用电系统结算户名称不完全一致、用户用电信息变更不及时。</w:t>
            </w:r>
          </w:p>
        </w:tc>
        <w:tc>
          <w:tcPr>
            <w:tcW w:w="25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b/>
                <w:sz w:val="24"/>
                <w:szCs w:val="24"/>
                <w:highlight w:val="none"/>
              </w:rPr>
            </w:pPr>
            <w:r>
              <w:rPr>
                <w:rFonts w:hint="eastAsia" w:ascii="仿宋_GB2312" w:hAnsi="仿宋_GB2312" w:eastAsia="仿宋_GB2312" w:cs="仿宋_GB2312"/>
                <w:sz w:val="24"/>
                <w:szCs w:val="24"/>
                <w:highlight w:val="none"/>
              </w:rPr>
              <w:t>市发展改革委</w:t>
            </w:r>
          </w:p>
        </w:tc>
        <w:tc>
          <w:tcPr>
            <w:tcW w:w="33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仿宋_GB2312" w:hAnsi="仿宋_GB2312" w:eastAsia="仿宋_GB2312" w:cs="仿宋_GB2312"/>
                <w:b/>
                <w:sz w:val="24"/>
                <w:szCs w:val="24"/>
                <w:highlight w:val="none"/>
              </w:rPr>
            </w:pPr>
            <w:r>
              <w:rPr>
                <w:rFonts w:hint="eastAsia" w:ascii="仿宋_GB2312" w:hAnsi="仿宋_GB2312" w:eastAsia="仿宋_GB2312" w:cs="仿宋_GB2312"/>
                <w:sz w:val="24"/>
                <w:szCs w:val="24"/>
                <w:highlight w:val="none"/>
              </w:rPr>
              <w:t>市发展改革委要严格按照政策要求做好审核把关，规范申请程序及标准，确保惠企政策“应享尽享”，严防财政资金“跑冒滴漏”。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9" w:hRule="atLeast"/>
          <w:jc w:val="center"/>
        </w:trPr>
        <w:tc>
          <w:tcPr>
            <w:tcW w:w="92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仿宋_GB2312" w:hAnsi="仿宋_GB2312" w:eastAsia="仿宋_GB2312" w:cs="仿宋_GB2312"/>
                <w:b/>
                <w:sz w:val="24"/>
                <w:szCs w:val="24"/>
                <w:highlight w:val="none"/>
              </w:rPr>
            </w:pPr>
          </w:p>
        </w:tc>
        <w:tc>
          <w:tcPr>
            <w:tcW w:w="1175"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仿宋_GB2312" w:hAnsi="仿宋_GB2312" w:eastAsia="仿宋_GB2312" w:cs="仿宋_GB2312"/>
                <w:b/>
                <w:sz w:val="24"/>
                <w:szCs w:val="24"/>
                <w:highlight w:val="none"/>
              </w:rPr>
            </w:pPr>
          </w:p>
        </w:tc>
        <w:tc>
          <w:tcPr>
            <w:tcW w:w="834"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6</w:t>
            </w:r>
          </w:p>
        </w:tc>
        <w:tc>
          <w:tcPr>
            <w:tcW w:w="1395"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部分措施未达预期效果</w:t>
            </w:r>
          </w:p>
        </w:tc>
        <w:tc>
          <w:tcPr>
            <w:tcW w:w="49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5亿元“乐购深圳”消费券实际拉动消费20.3亿元，与50亿元预期</w:t>
            </w:r>
            <w:r>
              <w:rPr>
                <w:rFonts w:hint="eastAsia" w:ascii="仿宋_GB2312" w:hAnsi="仿宋_GB2312" w:eastAsia="仿宋_GB2312" w:cs="仿宋_GB2312"/>
                <w:sz w:val="24"/>
                <w:szCs w:val="24"/>
                <w:highlight w:val="none"/>
                <w:lang w:eastAsia="zh-CN"/>
              </w:rPr>
              <w:t>目标</w:t>
            </w:r>
            <w:r>
              <w:rPr>
                <w:rFonts w:hint="eastAsia" w:ascii="仿宋_GB2312" w:hAnsi="仿宋_GB2312" w:eastAsia="仿宋_GB2312" w:cs="仿宋_GB2312"/>
                <w:sz w:val="24"/>
                <w:szCs w:val="24"/>
                <w:highlight w:val="none"/>
              </w:rPr>
              <w:t>存在差距。</w:t>
            </w:r>
          </w:p>
        </w:tc>
        <w:tc>
          <w:tcPr>
            <w:tcW w:w="2576"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b/>
                <w:sz w:val="24"/>
                <w:szCs w:val="24"/>
                <w:highlight w:val="none"/>
              </w:rPr>
            </w:pPr>
            <w:r>
              <w:rPr>
                <w:rFonts w:hint="eastAsia" w:ascii="仿宋_GB2312" w:hAnsi="仿宋_GB2312" w:eastAsia="仿宋_GB2312" w:cs="仿宋_GB2312"/>
                <w:sz w:val="24"/>
                <w:szCs w:val="24"/>
                <w:highlight w:val="none"/>
              </w:rPr>
              <w:t>市商务局</w:t>
            </w:r>
          </w:p>
        </w:tc>
        <w:tc>
          <w:tcPr>
            <w:tcW w:w="3312"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仿宋_GB2312" w:hAnsi="仿宋_GB2312" w:eastAsia="仿宋_GB2312" w:cs="仿宋_GB2312"/>
                <w:b/>
                <w:sz w:val="24"/>
                <w:szCs w:val="24"/>
                <w:highlight w:val="none"/>
              </w:rPr>
            </w:pPr>
            <w:r>
              <w:rPr>
                <w:rFonts w:hint="eastAsia" w:ascii="仿宋_GB2312" w:hAnsi="仿宋_GB2312" w:eastAsia="仿宋_GB2312" w:cs="仿宋_GB2312"/>
                <w:sz w:val="24"/>
                <w:szCs w:val="24"/>
                <w:highlight w:val="none"/>
              </w:rPr>
              <w:t>市商务局要合理评估消费券拉动效果，优化政策设计，提升精准度和乘数效应。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13" w:hRule="atLeast"/>
          <w:jc w:val="center"/>
        </w:trPr>
        <w:tc>
          <w:tcPr>
            <w:tcW w:w="927"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仿宋_GB2312" w:hAnsi="仿宋_GB2312" w:eastAsia="仿宋_GB2312" w:cs="仿宋_GB2312"/>
                <w:sz w:val="24"/>
                <w:highlight w:val="none"/>
              </w:rPr>
            </w:pPr>
          </w:p>
        </w:tc>
        <w:tc>
          <w:tcPr>
            <w:tcW w:w="1175"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仿宋_GB2312" w:hAnsi="仿宋_GB2312" w:eastAsia="仿宋_GB2312" w:cs="仿宋_GB2312"/>
                <w:sz w:val="24"/>
                <w:highlight w:val="none"/>
              </w:rPr>
            </w:pPr>
          </w:p>
        </w:tc>
        <w:tc>
          <w:tcPr>
            <w:tcW w:w="834"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szCs w:val="24"/>
                <w:highlight w:val="none"/>
                <w:lang w:val="en-US" w:eastAsia="zh-CN"/>
              </w:rPr>
              <w:t>7</w:t>
            </w:r>
          </w:p>
        </w:tc>
        <w:tc>
          <w:tcPr>
            <w:tcW w:w="1395"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仿宋_GB2312" w:hAnsi="仿宋_GB2312" w:eastAsia="仿宋_GB2312" w:cs="仿宋_GB2312"/>
                <w:sz w:val="24"/>
                <w:highlight w:val="none"/>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部分市属国企没有为符合租金减免条件的承租户减免租金，涉及市场主体36家、金额2,027.59万元。</w:t>
            </w:r>
          </w:p>
        </w:tc>
        <w:tc>
          <w:tcPr>
            <w:tcW w:w="2576" w:type="dxa"/>
            <w:tcBorders>
              <w:left w:val="single" w:color="auto" w:sz="4" w:space="0"/>
              <w:right w:val="single" w:color="auto" w:sz="4" w:space="0"/>
            </w:tcBorders>
            <w:noWrap w:val="0"/>
            <w:vAlign w:val="center"/>
          </w:tcPr>
          <w:p>
            <w:pPr>
              <w:adjustRightInd w:val="0"/>
              <w:snapToGrid w:val="0"/>
              <w:spacing w:line="360" w:lineRule="exact"/>
              <w:jc w:val="center"/>
              <w:rPr>
                <w:rFonts w:hint="eastAsia" w:ascii="仿宋_GB2312" w:hAnsi="仿宋_GB2312" w:eastAsia="仿宋_GB2312" w:cs="仿宋_GB2312"/>
                <w:kern w:val="2"/>
                <w:sz w:val="24"/>
                <w:szCs w:val="24"/>
                <w:highlight w:val="none"/>
                <w:lang w:val="en-US" w:bidi="ar-SA"/>
              </w:rPr>
            </w:pPr>
            <w:r>
              <w:rPr>
                <w:rFonts w:hint="eastAsia" w:ascii="仿宋_GB2312" w:hAnsi="仿宋_GB2312" w:eastAsia="仿宋_GB2312" w:cs="仿宋_GB2312"/>
                <w:sz w:val="24"/>
                <w:szCs w:val="24"/>
                <w:highlight w:val="none"/>
              </w:rPr>
              <w:t>深圳市投资控股有限公司、深业集团有限公司、深圳市巴士集团股份有限公司、深圳市粮食集团有限公司、深圳市农产品集团股份有限公司、深圳国际控股有限公司、深圳市特区建工集团有限公司</w:t>
            </w:r>
          </w:p>
        </w:tc>
        <w:tc>
          <w:tcPr>
            <w:tcW w:w="3312"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市属国企要</w:t>
            </w:r>
            <w:r>
              <w:rPr>
                <w:rFonts w:hint="eastAsia" w:ascii="仿宋_GB2312" w:hAnsi="仿宋_GB2312" w:eastAsia="仿宋_GB2312" w:cs="仿宋_GB2312"/>
                <w:sz w:val="24"/>
                <w:szCs w:val="24"/>
                <w:highlight w:val="none"/>
                <w:lang w:eastAsia="zh-CN"/>
              </w:rPr>
              <w:t>严格</w:t>
            </w:r>
            <w:r>
              <w:rPr>
                <w:rFonts w:hint="eastAsia" w:ascii="仿宋_GB2312" w:hAnsi="仿宋_GB2312" w:eastAsia="仿宋_GB2312" w:cs="仿宋_GB2312"/>
                <w:sz w:val="24"/>
                <w:szCs w:val="24"/>
                <w:highlight w:val="none"/>
              </w:rPr>
              <w:t>审核承租户资质，做到“应免尽免、应减尽减”。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4" w:hRule="atLeast"/>
          <w:jc w:val="center"/>
        </w:trPr>
        <w:tc>
          <w:tcPr>
            <w:tcW w:w="927" w:type="dxa"/>
            <w:vMerge w:val="restart"/>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一</w:t>
            </w:r>
            <w:r>
              <w:rPr>
                <w:rFonts w:hint="eastAsia" w:ascii="仿宋_GB2312" w:hAnsi="仿宋_GB2312" w:eastAsia="仿宋_GB2312" w:cs="仿宋_GB2312"/>
                <w:sz w:val="24"/>
                <w:szCs w:val="24"/>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推动优化营商环境方面</w:t>
            </w:r>
          </w:p>
        </w:tc>
        <w:tc>
          <w:tcPr>
            <w:tcW w:w="1175" w:type="dxa"/>
            <w:vMerge w:val="restart"/>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转供电改造工作开展不扎实</w:t>
            </w:r>
          </w:p>
        </w:tc>
        <w:tc>
          <w:tcPr>
            <w:tcW w:w="834"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8</w:t>
            </w:r>
          </w:p>
        </w:tc>
        <w:tc>
          <w:tcPr>
            <w:tcW w:w="1395" w:type="dxa"/>
            <w:vMerge w:val="restart"/>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前期工作不够深入细致</w:t>
            </w:r>
          </w:p>
        </w:tc>
        <w:tc>
          <w:tcPr>
            <w:tcW w:w="49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zh-TW" w:eastAsia="zh-CN"/>
              </w:rPr>
              <w:t>由于园区为单一用户、纳入旧改和商业用电等原因</w:t>
            </w:r>
            <w:r>
              <w:rPr>
                <w:rFonts w:hint="eastAsia" w:ascii="仿宋_GB2312" w:hAnsi="仿宋_GB2312" w:eastAsia="仿宋_GB2312" w:cs="仿宋_GB2312"/>
                <w:sz w:val="24"/>
                <w:szCs w:val="24"/>
                <w:highlight w:val="none"/>
                <w:lang w:val="zh-TW"/>
              </w:rPr>
              <w:t>，</w:t>
            </w:r>
            <w:r>
              <w:rPr>
                <w:rFonts w:hint="eastAsia" w:ascii="仿宋_GB2312" w:hAnsi="仿宋_GB2312" w:eastAsia="仿宋_GB2312" w:cs="仿宋_GB2312"/>
                <w:sz w:val="24"/>
                <w:szCs w:val="24"/>
                <w:highlight w:val="none"/>
                <w:lang w:val="zh-TW" w:eastAsia="zh-CN"/>
              </w:rPr>
              <w:t>深圳供电局</w:t>
            </w:r>
            <w:r>
              <w:rPr>
                <w:rFonts w:hint="eastAsia" w:ascii="仿宋_GB2312" w:hAnsi="仿宋_GB2312" w:eastAsia="仿宋_GB2312" w:cs="仿宋_GB2312"/>
                <w:sz w:val="24"/>
                <w:szCs w:val="24"/>
                <w:highlight w:val="none"/>
                <w:lang w:val="en-US"/>
              </w:rPr>
              <w:t>仅完成</w:t>
            </w:r>
            <w:r>
              <w:rPr>
                <w:rFonts w:hint="eastAsia" w:ascii="仿宋_GB2312" w:hAnsi="仿宋_GB2312" w:eastAsia="仿宋_GB2312" w:cs="仿宋_GB2312"/>
                <w:sz w:val="24"/>
                <w:szCs w:val="24"/>
                <w:highlight w:val="none"/>
              </w:rPr>
              <w:t>2021</w:t>
            </w:r>
            <w:r>
              <w:rPr>
                <w:rFonts w:hint="eastAsia" w:ascii="仿宋_GB2312" w:hAnsi="仿宋_GB2312" w:eastAsia="仿宋_GB2312" w:cs="仿宋_GB2312"/>
                <w:sz w:val="24"/>
                <w:szCs w:val="24"/>
                <w:highlight w:val="none"/>
                <w:lang w:val="en-US"/>
              </w:rPr>
              <w:t>年计划</w:t>
            </w:r>
            <w:r>
              <w:rPr>
                <w:rFonts w:hint="eastAsia" w:ascii="仿宋_GB2312" w:hAnsi="仿宋_GB2312" w:eastAsia="仿宋_GB2312" w:cs="仿宋_GB2312"/>
                <w:sz w:val="24"/>
                <w:szCs w:val="24"/>
                <w:highlight w:val="none"/>
                <w:lang w:val="zh-TW" w:eastAsia="zh-CN"/>
              </w:rPr>
              <w:t>改造1305个园区</w:t>
            </w:r>
            <w:r>
              <w:rPr>
                <w:rFonts w:hint="eastAsia" w:ascii="仿宋_GB2312" w:hAnsi="仿宋_GB2312" w:eastAsia="仿宋_GB2312" w:cs="仿宋_GB2312"/>
                <w:sz w:val="24"/>
                <w:szCs w:val="24"/>
                <w:highlight w:val="none"/>
                <w:lang w:val="en-US"/>
              </w:rPr>
              <w:t>任务中的</w:t>
            </w:r>
            <w:r>
              <w:rPr>
                <w:rFonts w:hint="eastAsia" w:ascii="仿宋_GB2312" w:hAnsi="仿宋_GB2312" w:eastAsia="仿宋_GB2312" w:cs="仿宋_GB2312"/>
                <w:sz w:val="24"/>
                <w:szCs w:val="24"/>
                <w:highlight w:val="none"/>
                <w:lang w:val="zh-TW" w:eastAsia="zh-CN"/>
              </w:rPr>
              <w:t>1198个</w:t>
            </w:r>
            <w:r>
              <w:rPr>
                <w:rFonts w:hint="eastAsia" w:ascii="仿宋_GB2312" w:hAnsi="仿宋_GB2312" w:eastAsia="仿宋_GB2312" w:cs="仿宋_GB2312"/>
                <w:sz w:val="24"/>
                <w:szCs w:val="24"/>
                <w:highlight w:val="none"/>
                <w:lang w:val="zh-TW"/>
              </w:rPr>
              <w:t>，</w:t>
            </w:r>
            <w:r>
              <w:rPr>
                <w:rFonts w:hint="eastAsia" w:ascii="仿宋_GB2312" w:hAnsi="仿宋_GB2312" w:eastAsia="仿宋_GB2312" w:cs="仿宋_GB2312"/>
                <w:sz w:val="24"/>
                <w:szCs w:val="24"/>
                <w:highlight w:val="none"/>
                <w:lang w:val="zh-TW" w:eastAsia="zh-CN"/>
              </w:rPr>
              <w:t>审计发现</w:t>
            </w:r>
            <w:r>
              <w:rPr>
                <w:rFonts w:hint="eastAsia" w:ascii="仿宋_GB2312" w:hAnsi="仿宋_GB2312" w:eastAsia="仿宋_GB2312" w:cs="仿宋_GB2312"/>
                <w:sz w:val="24"/>
                <w:szCs w:val="24"/>
                <w:highlight w:val="none"/>
                <w:lang w:val="en-US"/>
              </w:rPr>
              <w:t>未实施改造的</w:t>
            </w:r>
            <w:r>
              <w:rPr>
                <w:rFonts w:hint="eastAsia" w:ascii="仿宋_GB2312" w:hAnsi="仿宋_GB2312" w:eastAsia="仿宋_GB2312" w:cs="仿宋_GB2312"/>
                <w:sz w:val="24"/>
                <w:szCs w:val="24"/>
                <w:highlight w:val="none"/>
              </w:rPr>
              <w:t>107</w:t>
            </w:r>
            <w:r>
              <w:rPr>
                <w:rFonts w:hint="eastAsia" w:ascii="仿宋_GB2312" w:hAnsi="仿宋_GB2312" w:eastAsia="仿宋_GB2312" w:cs="仿宋_GB2312"/>
                <w:sz w:val="24"/>
                <w:szCs w:val="24"/>
                <w:highlight w:val="none"/>
                <w:lang w:val="en-US"/>
              </w:rPr>
              <w:t>个园区中</w:t>
            </w:r>
            <w:r>
              <w:rPr>
                <w:rFonts w:hint="eastAsia" w:ascii="仿宋_GB2312" w:hAnsi="仿宋_GB2312" w:eastAsia="仿宋_GB2312" w:cs="仿宋_GB2312"/>
                <w:sz w:val="24"/>
                <w:szCs w:val="24"/>
                <w:highlight w:val="none"/>
                <w:lang w:val="zh-TW" w:eastAsia="zh-CN"/>
              </w:rPr>
              <w:t>存在</w:t>
            </w:r>
            <w:r>
              <w:rPr>
                <w:rFonts w:hint="eastAsia" w:ascii="仿宋_GB2312" w:hAnsi="仿宋_GB2312" w:eastAsia="仿宋_GB2312" w:cs="仿宋_GB2312"/>
                <w:sz w:val="24"/>
                <w:szCs w:val="24"/>
                <w:highlight w:val="none"/>
                <w:lang w:val="en-US"/>
              </w:rPr>
              <w:t>个别</w:t>
            </w:r>
            <w:r>
              <w:rPr>
                <w:rFonts w:hint="eastAsia" w:ascii="仿宋_GB2312" w:hAnsi="仿宋_GB2312" w:eastAsia="仿宋_GB2312" w:cs="仿宋_GB2312"/>
                <w:sz w:val="24"/>
                <w:szCs w:val="24"/>
                <w:highlight w:val="none"/>
                <w:lang w:val="zh-TW" w:eastAsia="zh-CN"/>
              </w:rPr>
              <w:t>应改未改的情况。</w:t>
            </w:r>
          </w:p>
        </w:tc>
        <w:tc>
          <w:tcPr>
            <w:tcW w:w="2576"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深圳供电局、各区政府</w:t>
            </w:r>
          </w:p>
        </w:tc>
        <w:tc>
          <w:tcPr>
            <w:tcW w:w="3312" w:type="dxa"/>
            <w:vMerge w:val="restart"/>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市工业和信息化局与深圳供电局、各区政府要加强统筹配合，加快完成2022年改造任务、验收及项目结算工作，及时开展效果评价。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7" w:hRule="atLeast"/>
          <w:jc w:val="center"/>
        </w:trPr>
        <w:tc>
          <w:tcPr>
            <w:tcW w:w="92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sz w:val="24"/>
                <w:highlight w:val="none"/>
              </w:rPr>
            </w:pPr>
          </w:p>
        </w:tc>
        <w:tc>
          <w:tcPr>
            <w:tcW w:w="1175"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sz w:val="24"/>
                <w:highlight w:val="none"/>
              </w:rPr>
            </w:pPr>
          </w:p>
        </w:tc>
        <w:tc>
          <w:tcPr>
            <w:tcW w:w="834"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9</w:t>
            </w:r>
          </w:p>
        </w:tc>
        <w:tc>
          <w:tcPr>
            <w:tcW w:w="1395"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sz w:val="24"/>
                <w:highlight w:val="none"/>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深圳供电局</w:t>
            </w:r>
            <w:r>
              <w:rPr>
                <w:rFonts w:hint="eastAsia" w:ascii="仿宋_GB2312" w:hAnsi="仿宋_GB2312" w:eastAsia="仿宋_GB2312" w:cs="仿宋_GB2312"/>
                <w:sz w:val="24"/>
                <w:szCs w:val="24"/>
                <w:highlight w:val="none"/>
                <w:lang w:eastAsia="zh-CN"/>
              </w:rPr>
              <w:t>还</w:t>
            </w:r>
            <w:r>
              <w:rPr>
                <w:rFonts w:hint="eastAsia" w:ascii="仿宋_GB2312" w:hAnsi="仿宋_GB2312" w:eastAsia="仿宋_GB2312" w:cs="仿宋_GB2312"/>
                <w:sz w:val="24"/>
                <w:szCs w:val="24"/>
                <w:highlight w:val="none"/>
              </w:rPr>
              <w:t>为14个不属于改造范围的园区向市工业和信息化局申领补贴692.14万元。</w:t>
            </w:r>
          </w:p>
        </w:tc>
        <w:tc>
          <w:tcPr>
            <w:tcW w:w="2576"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深圳供电局</w:t>
            </w:r>
          </w:p>
        </w:tc>
        <w:tc>
          <w:tcPr>
            <w:tcW w:w="331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0" w:hRule="atLeast"/>
          <w:jc w:val="center"/>
        </w:trPr>
        <w:tc>
          <w:tcPr>
            <w:tcW w:w="92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sz w:val="24"/>
                <w:szCs w:val="24"/>
                <w:highlight w:val="none"/>
              </w:rPr>
            </w:pPr>
          </w:p>
        </w:tc>
        <w:tc>
          <w:tcPr>
            <w:tcW w:w="1175"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sz w:val="24"/>
                <w:szCs w:val="24"/>
                <w:highlight w:val="none"/>
              </w:rPr>
            </w:pPr>
          </w:p>
        </w:tc>
        <w:tc>
          <w:tcPr>
            <w:tcW w:w="834"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10</w:t>
            </w:r>
          </w:p>
        </w:tc>
        <w:tc>
          <w:tcPr>
            <w:tcW w:w="1395" w:type="dxa"/>
            <w:vMerge w:val="restart"/>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部分任务未在规定时间完成</w:t>
            </w:r>
          </w:p>
        </w:tc>
        <w:tc>
          <w:tcPr>
            <w:tcW w:w="49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根据实施方案要求，2022年计划改造867个园区，9月底前物资到齐、10月底前基本完工。截至2022年10月，</w:t>
            </w:r>
            <w:r>
              <w:rPr>
                <w:rFonts w:hint="eastAsia" w:ascii="仿宋_GB2312" w:hAnsi="仿宋_GB2312" w:eastAsia="仿宋_GB2312" w:cs="仿宋_GB2312"/>
                <w:sz w:val="24"/>
                <w:szCs w:val="24"/>
                <w:highlight w:val="none"/>
                <w:lang w:eastAsia="zh-CN"/>
              </w:rPr>
              <w:t>但</w:t>
            </w:r>
            <w:r>
              <w:rPr>
                <w:rFonts w:hint="eastAsia" w:ascii="仿宋_GB2312" w:hAnsi="仿宋_GB2312" w:eastAsia="仿宋_GB2312" w:cs="仿宋_GB2312"/>
                <w:sz w:val="24"/>
                <w:szCs w:val="24"/>
                <w:highlight w:val="none"/>
              </w:rPr>
              <w:t>仅有306个供电设备（设施）物资到货、158个园区完成施工。2021年改造的园区已于2022年5月完成竣工验收，但仅有4个完成结算资料编制。</w:t>
            </w:r>
          </w:p>
        </w:tc>
        <w:tc>
          <w:tcPr>
            <w:tcW w:w="2576"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市工业和信息化局、</w:t>
            </w:r>
            <w:r>
              <w:rPr>
                <w:rFonts w:hint="eastAsia" w:ascii="仿宋_GB2312" w:hAnsi="仿宋_GB2312" w:eastAsia="仿宋_GB2312" w:cs="仿宋_GB2312"/>
                <w:sz w:val="24"/>
                <w:szCs w:val="24"/>
                <w:highlight w:val="none"/>
              </w:rPr>
              <w:t>深圳供电局</w:t>
            </w:r>
            <w:r>
              <w:rPr>
                <w:rFonts w:hint="eastAsia" w:ascii="仿宋_GB2312" w:hAnsi="仿宋_GB2312" w:eastAsia="仿宋_GB2312" w:cs="仿宋_GB2312"/>
                <w:sz w:val="24"/>
                <w:szCs w:val="24"/>
                <w:highlight w:val="none"/>
                <w:lang w:eastAsia="zh-CN"/>
              </w:rPr>
              <w:t>、各区政府</w:t>
            </w:r>
          </w:p>
        </w:tc>
        <w:tc>
          <w:tcPr>
            <w:tcW w:w="331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4" w:hRule="atLeast"/>
          <w:jc w:val="center"/>
        </w:trPr>
        <w:tc>
          <w:tcPr>
            <w:tcW w:w="92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sz w:val="24"/>
                <w:highlight w:val="none"/>
              </w:rPr>
            </w:pPr>
          </w:p>
        </w:tc>
        <w:tc>
          <w:tcPr>
            <w:tcW w:w="1175"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sz w:val="24"/>
                <w:highlight w:val="none"/>
              </w:rPr>
            </w:pPr>
          </w:p>
        </w:tc>
        <w:tc>
          <w:tcPr>
            <w:tcW w:w="834"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11</w:t>
            </w:r>
          </w:p>
        </w:tc>
        <w:tc>
          <w:tcPr>
            <w:tcW w:w="1395"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sz w:val="24"/>
                <w:highlight w:val="none"/>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市工业和信息化局未对改造园区进行抽查复核，宝安区未完成效果评价工作。</w:t>
            </w:r>
          </w:p>
        </w:tc>
        <w:tc>
          <w:tcPr>
            <w:tcW w:w="2576"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市工业和信息化局、宝安区政府</w:t>
            </w:r>
          </w:p>
        </w:tc>
        <w:tc>
          <w:tcPr>
            <w:tcW w:w="331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2" w:hRule="atLeast"/>
          <w:jc w:val="center"/>
        </w:trPr>
        <w:tc>
          <w:tcPr>
            <w:tcW w:w="927" w:type="dxa"/>
            <w:vMerge w:val="restart"/>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一、</w:t>
            </w:r>
          </w:p>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sz w:val="24"/>
                <w:szCs w:val="24"/>
                <w:highlight w:val="none"/>
              </w:rPr>
              <w:t>推动优化营商环境方面</w:t>
            </w:r>
          </w:p>
        </w:tc>
        <w:tc>
          <w:tcPr>
            <w:tcW w:w="1175" w:type="dxa"/>
            <w:vMerge w:val="restart"/>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sz w:val="24"/>
                <w:szCs w:val="24"/>
                <w:highlight w:val="none"/>
              </w:rPr>
              <w:t>转供电改造工作开展不扎实</w:t>
            </w:r>
          </w:p>
        </w:tc>
        <w:tc>
          <w:tcPr>
            <w:tcW w:w="834"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12</w:t>
            </w:r>
          </w:p>
        </w:tc>
        <w:tc>
          <w:tcPr>
            <w:tcW w:w="1395" w:type="dxa"/>
            <w:vMerge w:val="restart"/>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sz w:val="24"/>
                <w:szCs w:val="24"/>
                <w:highlight w:val="none"/>
              </w:rPr>
              <w:t>运营监督管理不到位</w:t>
            </w:r>
          </w:p>
        </w:tc>
        <w:tc>
          <w:tcPr>
            <w:tcW w:w="49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深圳供电局在完成转供电改造实现抄表到户后，由于缺乏对终端实际用户有效管理，导致408.35万元电费欠缴难以追收</w:t>
            </w:r>
            <w:r>
              <w:rPr>
                <w:rFonts w:hint="eastAsia" w:ascii="仿宋_GB2312" w:hAnsi="仿宋_GB2312" w:eastAsia="仿宋_GB2312" w:cs="仿宋_GB2312"/>
                <w:sz w:val="24"/>
                <w:szCs w:val="24"/>
                <w:highlight w:val="none"/>
                <w:lang w:eastAsia="zh-CN"/>
              </w:rPr>
              <w:t>。</w:t>
            </w:r>
          </w:p>
        </w:tc>
        <w:tc>
          <w:tcPr>
            <w:tcW w:w="2576"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市工业和信息化局</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深圳供电局</w:t>
            </w:r>
            <w:r>
              <w:rPr>
                <w:rFonts w:hint="eastAsia" w:ascii="仿宋_GB2312" w:hAnsi="仿宋_GB2312" w:eastAsia="仿宋_GB2312" w:cs="仿宋_GB2312"/>
                <w:sz w:val="24"/>
                <w:szCs w:val="24"/>
                <w:highlight w:val="none"/>
                <w:lang w:eastAsia="zh-CN"/>
              </w:rPr>
              <w:t>、各区政府</w:t>
            </w:r>
          </w:p>
        </w:tc>
        <w:tc>
          <w:tcPr>
            <w:tcW w:w="3312"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市工业和信息化局与深圳供电局、各区政府要明确电费追收缴有效途径，理顺运营管理模式。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4" w:hRule="atLeast"/>
          <w:jc w:val="center"/>
        </w:trPr>
        <w:tc>
          <w:tcPr>
            <w:tcW w:w="92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sz w:val="24"/>
                <w:highlight w:val="none"/>
              </w:rPr>
            </w:pPr>
          </w:p>
        </w:tc>
        <w:tc>
          <w:tcPr>
            <w:tcW w:w="1175"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sz w:val="24"/>
                <w:highlight w:val="none"/>
              </w:rPr>
            </w:pPr>
          </w:p>
        </w:tc>
        <w:tc>
          <w:tcPr>
            <w:tcW w:w="834"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13</w:t>
            </w:r>
          </w:p>
        </w:tc>
        <w:tc>
          <w:tcPr>
            <w:tcW w:w="1395"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sz w:val="24"/>
                <w:highlight w:val="none"/>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深圳供电局对物资监管不到位，未及时在物资出入库管理系统记录调配数据，系统记录和实际使用情况存在不一致。</w:t>
            </w:r>
          </w:p>
        </w:tc>
        <w:tc>
          <w:tcPr>
            <w:tcW w:w="2576"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深圳供电局</w:t>
            </w:r>
          </w:p>
        </w:tc>
        <w:tc>
          <w:tcPr>
            <w:tcW w:w="3312"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深圳供电局要加强对</w:t>
            </w:r>
            <w:r>
              <w:rPr>
                <w:rFonts w:hint="eastAsia" w:ascii="仿宋_GB2312" w:hAnsi="仿宋_GB2312" w:eastAsia="仿宋_GB2312" w:cs="仿宋_GB2312"/>
                <w:sz w:val="24"/>
                <w:szCs w:val="24"/>
                <w:highlight w:val="none"/>
                <w:lang w:eastAsia="zh-CN"/>
              </w:rPr>
              <w:t>设备物资</w:t>
            </w:r>
            <w:r>
              <w:rPr>
                <w:rFonts w:hint="eastAsia" w:ascii="仿宋_GB2312" w:hAnsi="仿宋_GB2312" w:eastAsia="仿宋_GB2312" w:cs="仿宋_GB2312"/>
                <w:sz w:val="24"/>
                <w:szCs w:val="24"/>
                <w:highlight w:val="none"/>
              </w:rPr>
              <w:t>监管，真实、准确反映使用情况。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2" w:hRule="atLeast"/>
          <w:jc w:val="center"/>
        </w:trPr>
        <w:tc>
          <w:tcPr>
            <w:tcW w:w="92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sz w:val="24"/>
                <w:highlight w:val="none"/>
              </w:rPr>
            </w:pPr>
          </w:p>
        </w:tc>
        <w:tc>
          <w:tcPr>
            <w:tcW w:w="1175"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sz w:val="24"/>
                <w:highlight w:val="none"/>
              </w:rPr>
            </w:pPr>
          </w:p>
        </w:tc>
        <w:tc>
          <w:tcPr>
            <w:tcW w:w="834"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14</w:t>
            </w:r>
          </w:p>
        </w:tc>
        <w:tc>
          <w:tcPr>
            <w:tcW w:w="1395"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sz w:val="24"/>
                <w:szCs w:val="24"/>
                <w:highlight w:val="none"/>
              </w:rPr>
              <w:t>用电成本仍有下降空间</w:t>
            </w:r>
          </w:p>
        </w:tc>
        <w:tc>
          <w:tcPr>
            <w:tcW w:w="49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由于部分配电设备产权属于园区业主未移交至深圳供电局，其终端用户仍执行两部制分摊电价。据2022年6月电价数据测算，执行两部制电价的7918家终端用户平均用电单价，高于执行单一制电价的用户约0.1元/千瓦时，还有一定的下降空间。</w:t>
            </w:r>
          </w:p>
        </w:tc>
        <w:tc>
          <w:tcPr>
            <w:tcW w:w="2576"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各区政府、</w:t>
            </w:r>
            <w:r>
              <w:rPr>
                <w:rFonts w:hint="eastAsia" w:ascii="仿宋_GB2312" w:hAnsi="仿宋_GB2312" w:eastAsia="仿宋_GB2312" w:cs="仿宋_GB2312"/>
                <w:sz w:val="24"/>
                <w:szCs w:val="24"/>
                <w:highlight w:val="none"/>
              </w:rPr>
              <w:t>深圳供电局</w:t>
            </w:r>
          </w:p>
        </w:tc>
        <w:tc>
          <w:tcPr>
            <w:tcW w:w="3312"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各区政府要会同深圳供电局研究出台相关激励办法，提高园区业主配电设备移交意愿，推广单一制电价应用，进一步降低终端企业用电成本。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74" w:hRule="atLeast"/>
          <w:jc w:val="center"/>
        </w:trPr>
        <w:tc>
          <w:tcPr>
            <w:tcW w:w="927" w:type="dxa"/>
            <w:vMerge w:val="restart"/>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sz w:val="24"/>
                <w:szCs w:val="24"/>
                <w:highlight w:val="none"/>
                <w:lang w:eastAsia="zh-CN"/>
              </w:rPr>
              <w:t>二</w:t>
            </w:r>
            <w:r>
              <w:rPr>
                <w:rFonts w:hint="eastAsia" w:ascii="仿宋_GB2312" w:hAnsi="仿宋_GB2312" w:eastAsia="仿宋_GB2312" w:cs="仿宋_GB2312"/>
                <w:sz w:val="24"/>
                <w:szCs w:val="24"/>
                <w:highlight w:val="none"/>
              </w:rPr>
              <w:t>、促进政府有效投资方面</w:t>
            </w:r>
          </w:p>
        </w:tc>
        <w:tc>
          <w:tcPr>
            <w:tcW w:w="1175" w:type="dxa"/>
            <w:vMerge w:val="restart"/>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sz w:val="24"/>
                <w:szCs w:val="24"/>
                <w:highlight w:val="none"/>
              </w:rPr>
              <w:t>政府投资组织分配不规范</w:t>
            </w:r>
          </w:p>
        </w:tc>
        <w:tc>
          <w:tcPr>
            <w:tcW w:w="834"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15</w:t>
            </w:r>
          </w:p>
        </w:tc>
        <w:tc>
          <w:tcPr>
            <w:tcW w:w="1395" w:type="dxa"/>
            <w:vMerge w:val="restart"/>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市本级政府投资项目统筹管理不到位</w:t>
            </w:r>
          </w:p>
        </w:tc>
        <w:tc>
          <w:tcPr>
            <w:tcW w:w="49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市发展改革委作为投资主管部门，不掌握其他主管单位投资立项、资金安排及执行情况，且不同行业主管部门对其负责的投资项目的立项审批程序、概算标准、监管要求等不一致，影响政府投资项目建设的推进</w:t>
            </w:r>
            <w:r>
              <w:rPr>
                <w:rFonts w:hint="eastAsia" w:ascii="仿宋_GB2312" w:hAnsi="仿宋_GB2312" w:eastAsia="仿宋_GB2312" w:cs="仿宋_GB2312"/>
                <w:sz w:val="24"/>
                <w:szCs w:val="24"/>
                <w:highlight w:val="none"/>
                <w:lang w:val="en-US"/>
              </w:rPr>
              <w:t>进度</w:t>
            </w:r>
            <w:r>
              <w:rPr>
                <w:rFonts w:hint="eastAsia" w:ascii="仿宋_GB2312" w:hAnsi="仿宋_GB2312" w:eastAsia="仿宋_GB2312" w:cs="仿宋_GB2312"/>
                <w:sz w:val="24"/>
                <w:szCs w:val="24"/>
                <w:highlight w:val="none"/>
              </w:rPr>
              <w:t>、投资控制和绩效评价。</w:t>
            </w:r>
          </w:p>
        </w:tc>
        <w:tc>
          <w:tcPr>
            <w:tcW w:w="2576" w:type="dxa"/>
            <w:vMerge w:val="restart"/>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市发展改革委、水务局、交通运输局、财政局</w:t>
            </w:r>
          </w:p>
        </w:tc>
        <w:tc>
          <w:tcPr>
            <w:tcW w:w="3312" w:type="dxa"/>
            <w:vMerge w:val="restart"/>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市发展改革委要牵头健全我市政府投资项目管理体制，会同市财政局、水务局、交通运输局等部门进一步规范项目全流程管理，按规定及时向市人大常委会报告相关事项。</w:t>
            </w:r>
          </w:p>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8" w:hRule="atLeast"/>
          <w:jc w:val="center"/>
        </w:trPr>
        <w:tc>
          <w:tcPr>
            <w:tcW w:w="92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sz w:val="24"/>
                <w:highlight w:val="none"/>
              </w:rPr>
            </w:pPr>
          </w:p>
        </w:tc>
        <w:tc>
          <w:tcPr>
            <w:tcW w:w="1175"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sz w:val="24"/>
                <w:highlight w:val="none"/>
              </w:rPr>
            </w:pPr>
          </w:p>
        </w:tc>
        <w:tc>
          <w:tcPr>
            <w:tcW w:w="834"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16</w:t>
            </w:r>
          </w:p>
        </w:tc>
        <w:tc>
          <w:tcPr>
            <w:tcW w:w="1395"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sz w:val="24"/>
                <w:highlight w:val="none"/>
              </w:rPr>
            </w:pPr>
          </w:p>
        </w:tc>
        <w:tc>
          <w:tcPr>
            <w:tcW w:w="4961"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2020</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2021年有95个投资额大于300万元的政府投资项目通过部门财政预算安排，未通过市发展改革委投资立项，涉及资金12.76亿元。</w:t>
            </w:r>
          </w:p>
        </w:tc>
        <w:tc>
          <w:tcPr>
            <w:tcW w:w="2576"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sz w:val="24"/>
                <w:szCs w:val="24"/>
                <w:highlight w:val="none"/>
              </w:rPr>
            </w:pPr>
          </w:p>
        </w:tc>
        <w:tc>
          <w:tcPr>
            <w:tcW w:w="331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2" w:hRule="atLeast"/>
          <w:jc w:val="center"/>
        </w:trPr>
        <w:tc>
          <w:tcPr>
            <w:tcW w:w="92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sz w:val="24"/>
                <w:highlight w:val="none"/>
              </w:rPr>
            </w:pPr>
          </w:p>
        </w:tc>
        <w:tc>
          <w:tcPr>
            <w:tcW w:w="1175"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sz w:val="24"/>
                <w:highlight w:val="none"/>
              </w:rPr>
            </w:pPr>
          </w:p>
        </w:tc>
        <w:tc>
          <w:tcPr>
            <w:tcW w:w="834"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default" w:ascii="仿宋_GB2312" w:hAnsi="仿宋_GB2312" w:eastAsia="仿宋_GB2312" w:cs="仿宋_GB2312"/>
                <w:sz w:val="24"/>
                <w:szCs w:val="24"/>
                <w:highlight w:val="none"/>
                <w:lang w:eastAsia="zh-CN"/>
              </w:rPr>
            </w:pPr>
            <w:r>
              <w:rPr>
                <w:rFonts w:hint="default" w:ascii="仿宋_GB2312" w:hAnsi="仿宋_GB2312" w:eastAsia="仿宋_GB2312" w:cs="仿宋_GB2312"/>
                <w:sz w:val="24"/>
                <w:szCs w:val="24"/>
                <w:highlight w:val="none"/>
                <w:lang w:eastAsia="zh-CN"/>
              </w:rPr>
              <w:t>17</w:t>
            </w:r>
          </w:p>
        </w:tc>
        <w:tc>
          <w:tcPr>
            <w:tcW w:w="1395"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rPr>
              <w:t>履行政府投资程序存在漏洞</w:t>
            </w:r>
          </w:p>
        </w:tc>
        <w:tc>
          <w:tcPr>
            <w:tcW w:w="4961"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rPr>
              <w:t>深汕特别合作区管委会政府投资年度计划和调整方案未纳入市本级报告，也未报市人大常委会审查批准。2022年计划安排的市重点区域建设项目资金30亿元未明确具体补助分配方案。</w:t>
            </w:r>
          </w:p>
        </w:tc>
        <w:tc>
          <w:tcPr>
            <w:tcW w:w="2576"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rPr>
              <w:t>市发展改革委</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深汕</w:t>
            </w:r>
            <w:r>
              <w:rPr>
                <w:rFonts w:hint="eastAsia" w:ascii="仿宋_GB2312" w:hAnsi="仿宋_GB2312" w:eastAsia="仿宋_GB2312" w:cs="仿宋_GB2312"/>
                <w:sz w:val="24"/>
                <w:szCs w:val="24"/>
                <w:highlight w:val="none"/>
                <w:lang w:eastAsia="zh-CN"/>
              </w:rPr>
              <w:t>特别</w:t>
            </w:r>
            <w:r>
              <w:rPr>
                <w:rFonts w:hint="eastAsia" w:ascii="仿宋_GB2312" w:hAnsi="仿宋_GB2312" w:eastAsia="仿宋_GB2312" w:cs="仿宋_GB2312"/>
                <w:sz w:val="24"/>
                <w:szCs w:val="24"/>
                <w:highlight w:val="none"/>
              </w:rPr>
              <w:t>合作区</w:t>
            </w:r>
            <w:r>
              <w:rPr>
                <w:rFonts w:hint="eastAsia" w:ascii="仿宋_GB2312" w:hAnsi="仿宋_GB2312" w:eastAsia="仿宋_GB2312" w:cs="仿宋_GB2312"/>
                <w:sz w:val="24"/>
                <w:szCs w:val="24"/>
                <w:highlight w:val="none"/>
                <w:lang w:val="en-US"/>
              </w:rPr>
              <w:t>管委会</w:t>
            </w:r>
          </w:p>
        </w:tc>
        <w:tc>
          <w:tcPr>
            <w:tcW w:w="331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6" w:hRule="atLeast"/>
          <w:jc w:val="center"/>
        </w:trPr>
        <w:tc>
          <w:tcPr>
            <w:tcW w:w="927" w:type="dxa"/>
            <w:vMerge w:val="restart"/>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二</w:t>
            </w:r>
            <w:r>
              <w:rPr>
                <w:rFonts w:hint="eastAsia" w:ascii="仿宋_GB2312" w:hAnsi="仿宋_GB2312" w:eastAsia="仿宋_GB2312" w:cs="仿宋_GB2312"/>
                <w:sz w:val="24"/>
                <w:szCs w:val="24"/>
                <w:highlight w:val="none"/>
              </w:rPr>
              <w:t>、促进政府有效投资方面</w:t>
            </w:r>
          </w:p>
        </w:tc>
        <w:tc>
          <w:tcPr>
            <w:tcW w:w="1175" w:type="dxa"/>
            <w:vMerge w:val="restart"/>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政府投资组织分配不规范</w:t>
            </w:r>
          </w:p>
        </w:tc>
        <w:tc>
          <w:tcPr>
            <w:tcW w:w="834"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default"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1</w:t>
            </w:r>
            <w:r>
              <w:rPr>
                <w:rFonts w:hint="default" w:ascii="仿宋_GB2312" w:hAnsi="仿宋_GB2312" w:eastAsia="仿宋_GB2312" w:cs="仿宋_GB2312"/>
                <w:sz w:val="24"/>
                <w:szCs w:val="24"/>
                <w:highlight w:val="none"/>
                <w:lang w:eastAsia="zh-CN"/>
              </w:rPr>
              <w:t>8</w:t>
            </w:r>
          </w:p>
        </w:tc>
        <w:tc>
          <w:tcPr>
            <w:tcW w:w="1395"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政府投资项目形成产权不清晰</w:t>
            </w:r>
          </w:p>
        </w:tc>
        <w:tc>
          <w:tcPr>
            <w:tcW w:w="4961"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市发展改革委批复的项目总概算未明确项目建成后的权属、收益等事项，部分项目建成后的产权单位、运营单位和项目单位存在不一致，导致国有资产权属不清晰，不利于强化国有资产监管。</w:t>
            </w:r>
          </w:p>
        </w:tc>
        <w:tc>
          <w:tcPr>
            <w:tcW w:w="2576"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市发展改革委、</w:t>
            </w:r>
            <w:r>
              <w:rPr>
                <w:rFonts w:hint="eastAsia" w:ascii="仿宋_GB2312" w:hAnsi="仿宋_GB2312" w:eastAsia="仿宋_GB2312" w:cs="仿宋_GB2312"/>
                <w:sz w:val="24"/>
                <w:szCs w:val="24"/>
                <w:highlight w:val="none"/>
                <w:lang w:val="zh-TW"/>
              </w:rPr>
              <w:t>财政局</w:t>
            </w:r>
          </w:p>
        </w:tc>
        <w:tc>
          <w:tcPr>
            <w:tcW w:w="3312"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zh-TW"/>
              </w:rPr>
              <w:t>市发展改革委要会同市财政局进一步明晰政府投资项目建成后的权属、收益等事项，强化国有资产监管。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4" w:hRule="atLeast"/>
          <w:jc w:val="center"/>
        </w:trPr>
        <w:tc>
          <w:tcPr>
            <w:tcW w:w="92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sz w:val="24"/>
                <w:highlight w:val="none"/>
              </w:rPr>
            </w:pPr>
          </w:p>
        </w:tc>
        <w:tc>
          <w:tcPr>
            <w:tcW w:w="1175"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sz w:val="24"/>
                <w:highlight w:val="none"/>
              </w:rPr>
            </w:pPr>
          </w:p>
        </w:tc>
        <w:tc>
          <w:tcPr>
            <w:tcW w:w="834"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default" w:ascii="仿宋_GB2312" w:hAnsi="仿宋_GB2312" w:eastAsia="仿宋_GB2312" w:cs="仿宋_GB2312"/>
                <w:sz w:val="24"/>
                <w:szCs w:val="24"/>
                <w:highlight w:val="none"/>
                <w:lang w:eastAsia="zh-CN"/>
              </w:rPr>
            </w:pPr>
            <w:r>
              <w:rPr>
                <w:rFonts w:hint="default" w:ascii="仿宋_GB2312" w:hAnsi="仿宋_GB2312" w:eastAsia="仿宋_GB2312" w:cs="仿宋_GB2312"/>
                <w:sz w:val="24"/>
                <w:szCs w:val="24"/>
                <w:highlight w:val="none"/>
                <w:lang w:eastAsia="zh-CN"/>
              </w:rPr>
              <w:t>19</w:t>
            </w:r>
          </w:p>
        </w:tc>
        <w:tc>
          <w:tcPr>
            <w:tcW w:w="1395"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信息化管理水平薄弱</w:t>
            </w:r>
          </w:p>
        </w:tc>
        <w:tc>
          <w:tcPr>
            <w:tcW w:w="49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政府投资项目全流程管理信息系统中有144个项目累计下达计划数据不准、553个项目累计支付金额数据不准，主要原因是市发展改革委未及时核实、更正相关数据</w:t>
            </w:r>
            <w:r>
              <w:rPr>
                <w:rFonts w:hint="eastAsia" w:ascii="仿宋_GB2312" w:hAnsi="仿宋_GB2312" w:eastAsia="仿宋_GB2312" w:cs="仿宋_GB2312"/>
                <w:sz w:val="24"/>
                <w:szCs w:val="24"/>
                <w:highlight w:val="none"/>
                <w:lang w:eastAsia="zh-CN"/>
              </w:rPr>
              <w:t>。</w:t>
            </w:r>
          </w:p>
        </w:tc>
        <w:tc>
          <w:tcPr>
            <w:tcW w:w="2576"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市发展改革委</w:t>
            </w:r>
          </w:p>
        </w:tc>
        <w:tc>
          <w:tcPr>
            <w:tcW w:w="3312"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市发展改革委要积极探索形成共建共享、便利协同的政府投资信息化管理模式,不断提高政府投资智慧化管理水平</w:t>
            </w:r>
            <w:r>
              <w:rPr>
                <w:rFonts w:hint="eastAsia" w:ascii="仿宋_GB2312" w:hAnsi="仿宋_GB2312" w:eastAsia="仿宋_GB2312" w:cs="仿宋_GB2312"/>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8" w:hRule="atLeast"/>
          <w:jc w:val="center"/>
        </w:trPr>
        <w:tc>
          <w:tcPr>
            <w:tcW w:w="927" w:type="dxa"/>
            <w:vMerge w:val="restart"/>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sz w:val="24"/>
                <w:szCs w:val="24"/>
                <w:highlight w:val="none"/>
                <w:lang w:eastAsia="zh-CN"/>
              </w:rPr>
              <w:t>二</w:t>
            </w:r>
            <w:r>
              <w:rPr>
                <w:rFonts w:hint="eastAsia" w:ascii="仿宋_GB2312" w:hAnsi="仿宋_GB2312" w:eastAsia="仿宋_GB2312" w:cs="仿宋_GB2312"/>
                <w:sz w:val="24"/>
                <w:szCs w:val="24"/>
                <w:highlight w:val="none"/>
              </w:rPr>
              <w:t>、促进政府有效投资方面</w:t>
            </w:r>
          </w:p>
        </w:tc>
        <w:tc>
          <w:tcPr>
            <w:tcW w:w="1175"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sz w:val="24"/>
                <w:szCs w:val="24"/>
                <w:highlight w:val="none"/>
              </w:rPr>
              <w:t>政府投资组织分配不规范</w:t>
            </w:r>
          </w:p>
        </w:tc>
        <w:tc>
          <w:tcPr>
            <w:tcW w:w="834"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default"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2</w:t>
            </w:r>
            <w:r>
              <w:rPr>
                <w:rFonts w:hint="default" w:ascii="仿宋_GB2312" w:hAnsi="仿宋_GB2312" w:eastAsia="仿宋_GB2312" w:cs="仿宋_GB2312"/>
                <w:sz w:val="24"/>
                <w:szCs w:val="24"/>
                <w:highlight w:val="none"/>
                <w:lang w:eastAsia="zh-CN"/>
              </w:rPr>
              <w:t>0</w:t>
            </w:r>
          </w:p>
        </w:tc>
        <w:tc>
          <w:tcPr>
            <w:tcW w:w="1395"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未有效开展绩效评价</w:t>
            </w:r>
          </w:p>
        </w:tc>
        <w:tc>
          <w:tcPr>
            <w:tcW w:w="49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市发展改革委未按规定对绩效目标实现程度和预算执行进度实行“双监控”，且未建立科学有效的绩效评价管理体系，也没有编写2020、2021年度政府投资项目总体绩效报告。</w:t>
            </w:r>
          </w:p>
        </w:tc>
        <w:tc>
          <w:tcPr>
            <w:tcW w:w="2576"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市发展改革委</w:t>
            </w:r>
          </w:p>
        </w:tc>
        <w:tc>
          <w:tcPr>
            <w:tcW w:w="3312"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市发展改革委</w:t>
            </w:r>
            <w:r>
              <w:rPr>
                <w:rFonts w:hint="eastAsia" w:ascii="仿宋_GB2312" w:hAnsi="仿宋_GB2312" w:eastAsia="仿宋_GB2312" w:cs="仿宋_GB2312"/>
                <w:sz w:val="24"/>
                <w:szCs w:val="24"/>
                <w:highlight w:val="none"/>
                <w:lang w:eastAsia="zh-CN"/>
              </w:rPr>
              <w:t>要健全绩效管理评价体系，及时报告绩效评价结果</w:t>
            </w:r>
            <w:r>
              <w:rPr>
                <w:rFonts w:hint="eastAsia" w:ascii="仿宋_GB2312" w:hAnsi="仿宋_GB2312" w:eastAsia="仿宋_GB2312" w:cs="仿宋_GB2312"/>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4" w:hRule="atLeast"/>
          <w:jc w:val="center"/>
        </w:trPr>
        <w:tc>
          <w:tcPr>
            <w:tcW w:w="92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sz w:val="24"/>
                <w:highlight w:val="none"/>
              </w:rPr>
            </w:pPr>
          </w:p>
        </w:tc>
        <w:tc>
          <w:tcPr>
            <w:tcW w:w="1175" w:type="dxa"/>
            <w:vMerge w:val="restart"/>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sz w:val="24"/>
                <w:szCs w:val="24"/>
                <w:highlight w:val="none"/>
                <w:lang w:val="en-US"/>
              </w:rPr>
              <w:t>快速路建设管理</w:t>
            </w:r>
            <w:r>
              <w:rPr>
                <w:rFonts w:hint="eastAsia" w:ascii="仿宋_GB2312" w:hAnsi="仿宋_GB2312" w:eastAsia="仿宋_GB2312" w:cs="仿宋_GB2312"/>
                <w:sz w:val="24"/>
                <w:szCs w:val="24"/>
                <w:highlight w:val="none"/>
                <w:lang w:val="en-US" w:eastAsia="zh-CN"/>
              </w:rPr>
              <w:t>存在不足</w:t>
            </w:r>
          </w:p>
        </w:tc>
        <w:tc>
          <w:tcPr>
            <w:tcW w:w="834"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default" w:ascii="仿宋_GB2312" w:hAnsi="仿宋_GB2312" w:eastAsia="仿宋_GB2312" w:cs="仿宋_GB2312"/>
                <w:sz w:val="24"/>
                <w:szCs w:val="24"/>
                <w:highlight w:val="none"/>
                <w:lang w:eastAsia="zh-CN"/>
              </w:rPr>
            </w:pPr>
            <w:r>
              <w:rPr>
                <w:rFonts w:hint="default" w:ascii="仿宋_GB2312" w:hAnsi="仿宋_GB2312" w:eastAsia="仿宋_GB2312" w:cs="仿宋_GB2312"/>
                <w:sz w:val="24"/>
                <w:szCs w:val="24"/>
                <w:highlight w:val="none"/>
                <w:lang w:eastAsia="zh-CN"/>
              </w:rPr>
              <w:t>21</w:t>
            </w:r>
          </w:p>
        </w:tc>
        <w:tc>
          <w:tcPr>
            <w:tcW w:w="1395"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主管部门未严格落实政策要求</w:t>
            </w:r>
          </w:p>
        </w:tc>
        <w:tc>
          <w:tcPr>
            <w:tcW w:w="4961"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市交通运输局、规划和自然资源局未在7个项目方案设计审查阶段落实同步审查规定，市规划和自然资源局未公开发布方案设计审查及用地审批工作指引，无法规范辖区管理局和指导建设单位开展相关工作，导致占用过多审批资源，降低审批效率、影响项目进度。</w:t>
            </w:r>
          </w:p>
        </w:tc>
        <w:tc>
          <w:tcPr>
            <w:tcW w:w="2576"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市规划和自然资源局</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交通运输局</w:t>
            </w:r>
          </w:p>
        </w:tc>
        <w:tc>
          <w:tcPr>
            <w:tcW w:w="3312"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市规划和自然资源局要尽快发布方案设计审查及用地审批工作指引，加强政策指导，与市交通运输局同步开展方案设计审查，提高审批效率</w:t>
            </w:r>
            <w:r>
              <w:rPr>
                <w:rFonts w:hint="eastAsia" w:ascii="仿宋_GB2312" w:hAnsi="仿宋_GB2312" w:eastAsia="仿宋_GB2312" w:cs="仿宋_GB2312"/>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1" w:hRule="atLeast"/>
          <w:jc w:val="center"/>
        </w:trPr>
        <w:tc>
          <w:tcPr>
            <w:tcW w:w="92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sz w:val="24"/>
                <w:highlight w:val="none"/>
              </w:rPr>
            </w:pPr>
          </w:p>
        </w:tc>
        <w:tc>
          <w:tcPr>
            <w:tcW w:w="1175"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sz w:val="24"/>
                <w:highlight w:val="none"/>
              </w:rPr>
            </w:pPr>
          </w:p>
        </w:tc>
        <w:tc>
          <w:tcPr>
            <w:tcW w:w="834"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default"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2</w:t>
            </w:r>
            <w:r>
              <w:rPr>
                <w:rFonts w:hint="default" w:ascii="仿宋_GB2312" w:hAnsi="仿宋_GB2312" w:eastAsia="仿宋_GB2312" w:cs="仿宋_GB2312"/>
                <w:sz w:val="24"/>
                <w:szCs w:val="24"/>
                <w:highlight w:val="none"/>
                <w:lang w:eastAsia="zh-CN"/>
              </w:rPr>
              <w:t>2</w:t>
            </w:r>
          </w:p>
        </w:tc>
        <w:tc>
          <w:tcPr>
            <w:tcW w:w="1395"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部分项目未严格执行工程管理程序</w:t>
            </w:r>
          </w:p>
        </w:tc>
        <w:tc>
          <w:tcPr>
            <w:tcW w:w="49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已完工的8个项目共57份合同已竣工验收，但仍未办理工程结算手续，截至2022年6月底平均超期620天，涉及合同金额37.06亿元。主要原因是市交通运输局对于结算工作重视程度不够，承包单位履约意识不强。</w:t>
            </w:r>
          </w:p>
        </w:tc>
        <w:tc>
          <w:tcPr>
            <w:tcW w:w="2576"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市交通运输局</w:t>
            </w:r>
          </w:p>
        </w:tc>
        <w:tc>
          <w:tcPr>
            <w:tcW w:w="3312"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市交通运输局要督促承包单位按照规定及合同约定加快工程结、决算送审工作。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4" w:hRule="atLeast"/>
          <w:jc w:val="center"/>
        </w:trPr>
        <w:tc>
          <w:tcPr>
            <w:tcW w:w="927" w:type="dxa"/>
            <w:vMerge w:val="restart"/>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sz w:val="24"/>
                <w:szCs w:val="24"/>
                <w:highlight w:val="none"/>
                <w:lang w:eastAsia="zh-CN"/>
              </w:rPr>
              <w:t>二</w:t>
            </w:r>
            <w:r>
              <w:rPr>
                <w:rFonts w:hint="eastAsia" w:ascii="仿宋_GB2312" w:hAnsi="仿宋_GB2312" w:eastAsia="仿宋_GB2312" w:cs="仿宋_GB2312"/>
                <w:sz w:val="24"/>
                <w:szCs w:val="24"/>
                <w:highlight w:val="none"/>
              </w:rPr>
              <w:t>、促进政府有效投资方面</w:t>
            </w:r>
          </w:p>
        </w:tc>
        <w:tc>
          <w:tcPr>
            <w:tcW w:w="1175"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sz w:val="24"/>
                <w:szCs w:val="24"/>
                <w:highlight w:val="none"/>
                <w:lang w:val="en-US"/>
              </w:rPr>
              <w:t>快速路建设管理</w:t>
            </w:r>
            <w:r>
              <w:rPr>
                <w:rFonts w:hint="eastAsia" w:ascii="仿宋_GB2312" w:hAnsi="仿宋_GB2312" w:eastAsia="仿宋_GB2312" w:cs="仿宋_GB2312"/>
                <w:sz w:val="24"/>
                <w:szCs w:val="24"/>
                <w:highlight w:val="none"/>
                <w:lang w:val="en-US" w:eastAsia="zh-CN"/>
              </w:rPr>
              <w:t>存在不足</w:t>
            </w:r>
          </w:p>
        </w:tc>
        <w:tc>
          <w:tcPr>
            <w:tcW w:w="834"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default"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2</w:t>
            </w:r>
            <w:r>
              <w:rPr>
                <w:rFonts w:hint="default" w:ascii="仿宋_GB2312" w:hAnsi="仿宋_GB2312" w:eastAsia="仿宋_GB2312" w:cs="仿宋_GB2312"/>
                <w:sz w:val="24"/>
                <w:szCs w:val="24"/>
                <w:highlight w:val="none"/>
                <w:lang w:eastAsia="zh-CN"/>
              </w:rPr>
              <w:t>3</w:t>
            </w:r>
          </w:p>
        </w:tc>
        <w:tc>
          <w:tcPr>
            <w:tcW w:w="1395"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部分工程项目规划目标未按期完成</w:t>
            </w:r>
          </w:p>
        </w:tc>
        <w:tc>
          <w:tcPr>
            <w:tcW w:w="49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综合交通“十三五”规划已下达投资计划的项目共36个，由于市交通运输局等相关职能部门未形成合力，前期工作推进成效不足，导致仅3个项目按规划要求开工及完工，11个项目至今未开工；38个在建工程合同中有21个存在工期滞后，平均滞后425天。</w:t>
            </w:r>
          </w:p>
        </w:tc>
        <w:tc>
          <w:tcPr>
            <w:tcW w:w="2576"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highlight w:val="none"/>
              </w:rPr>
              <w:t>市交通运输局</w:t>
            </w:r>
          </w:p>
        </w:tc>
        <w:tc>
          <w:tcPr>
            <w:tcW w:w="3312"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市交通运输局要</w:t>
            </w:r>
            <w:r>
              <w:rPr>
                <w:rFonts w:hint="eastAsia" w:ascii="仿宋_GB2312" w:hAnsi="仿宋_GB2312" w:eastAsia="仿宋_GB2312" w:cs="仿宋_GB2312"/>
                <w:sz w:val="24"/>
                <w:szCs w:val="24"/>
                <w:highlight w:val="none"/>
                <w:lang w:eastAsia="zh-CN"/>
              </w:rPr>
              <w:t>会同</w:t>
            </w:r>
            <w:r>
              <w:rPr>
                <w:rFonts w:hint="eastAsia" w:ascii="仿宋_GB2312" w:hAnsi="仿宋_GB2312" w:eastAsia="仿宋_GB2312" w:cs="仿宋_GB2312"/>
                <w:sz w:val="24"/>
                <w:szCs w:val="24"/>
                <w:highlight w:val="none"/>
                <w:lang w:val="en-US"/>
              </w:rPr>
              <w:t>交通建设中心</w:t>
            </w:r>
            <w:r>
              <w:rPr>
                <w:rFonts w:hint="eastAsia" w:ascii="仿宋_GB2312" w:hAnsi="仿宋_GB2312" w:eastAsia="仿宋_GB2312" w:cs="仿宋_GB2312"/>
                <w:sz w:val="24"/>
                <w:szCs w:val="24"/>
                <w:highlight w:val="none"/>
              </w:rPr>
              <w:t>强化前期研究，加强对各承包单位监管，加快建设进度，提高工程项目建设管理水平。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6" w:hRule="atLeast"/>
          <w:jc w:val="center"/>
        </w:trPr>
        <w:tc>
          <w:tcPr>
            <w:tcW w:w="92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sz w:val="24"/>
                <w:szCs w:val="24"/>
                <w:highlight w:val="none"/>
                <w:lang w:val="en-US"/>
              </w:rPr>
            </w:pPr>
          </w:p>
        </w:tc>
        <w:tc>
          <w:tcPr>
            <w:tcW w:w="1175" w:type="dxa"/>
            <w:vMerge w:val="restart"/>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sz w:val="24"/>
                <w:szCs w:val="24"/>
                <w:highlight w:val="none"/>
                <w:lang w:val="en-US"/>
              </w:rPr>
            </w:pPr>
            <w:r>
              <w:rPr>
                <w:rFonts w:hint="eastAsia" w:ascii="仿宋_GB2312" w:hAnsi="仿宋_GB2312" w:eastAsia="仿宋_GB2312" w:cs="仿宋_GB2312"/>
                <w:sz w:val="24"/>
                <w:szCs w:val="24"/>
                <w:highlight w:val="none"/>
                <w:lang w:val="en-US"/>
              </w:rPr>
              <w:t>部分BOT模式水质净化厂建设管理不到位</w:t>
            </w:r>
          </w:p>
        </w:tc>
        <w:tc>
          <w:tcPr>
            <w:tcW w:w="834"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default"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2</w:t>
            </w:r>
            <w:r>
              <w:rPr>
                <w:rFonts w:hint="default" w:ascii="仿宋_GB2312" w:hAnsi="仿宋_GB2312" w:eastAsia="仿宋_GB2312" w:cs="仿宋_GB2312"/>
                <w:sz w:val="24"/>
                <w:szCs w:val="24"/>
                <w:highlight w:val="none"/>
                <w:lang w:eastAsia="zh-CN"/>
              </w:rPr>
              <w:t>4</w:t>
            </w:r>
          </w:p>
        </w:tc>
        <w:tc>
          <w:tcPr>
            <w:tcW w:w="1395"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部分项目工程建设程序不完备</w:t>
            </w:r>
          </w:p>
        </w:tc>
        <w:tc>
          <w:tcPr>
            <w:tcW w:w="49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有3座BOT模式水质净化厂未及时完善用地手续，13座已投入使用</w:t>
            </w:r>
            <w:r>
              <w:rPr>
                <w:rFonts w:hint="default" w:ascii="仿宋_GB2312" w:hAnsi="仿宋_GB2312" w:eastAsia="仿宋_GB2312" w:cs="仿宋_GB2312"/>
                <w:sz w:val="24"/>
                <w:szCs w:val="24"/>
                <w:highlight w:val="none"/>
              </w:rPr>
              <w:t>但</w:t>
            </w:r>
            <w:r>
              <w:rPr>
                <w:rFonts w:hint="eastAsia" w:ascii="仿宋_GB2312" w:hAnsi="仿宋_GB2312" w:eastAsia="仿宋_GB2312" w:cs="仿宋_GB2312"/>
                <w:sz w:val="24"/>
                <w:szCs w:val="24"/>
                <w:highlight w:val="none"/>
              </w:rPr>
              <w:t>未办理竣工验收，7座未按要求签订特许经营协议。主要原因是市水务局没有严格落实工程建设监管职责，未及时督促各建设运营单位完善工程建设程序。</w:t>
            </w:r>
          </w:p>
        </w:tc>
        <w:tc>
          <w:tcPr>
            <w:tcW w:w="2576"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rPr>
              <w:t>市水务局</w:t>
            </w:r>
          </w:p>
        </w:tc>
        <w:tc>
          <w:tcPr>
            <w:tcW w:w="3312"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rPr>
              <w:t>市水务局</w:t>
            </w:r>
            <w:r>
              <w:rPr>
                <w:rFonts w:hint="eastAsia" w:ascii="仿宋_GB2312" w:hAnsi="仿宋_GB2312" w:eastAsia="仿宋_GB2312" w:cs="仿宋_GB2312"/>
                <w:sz w:val="24"/>
                <w:szCs w:val="24"/>
                <w:highlight w:val="none"/>
                <w:lang w:val="en-US" w:eastAsia="zh-CN"/>
              </w:rPr>
              <w:t>要</w:t>
            </w:r>
            <w:r>
              <w:rPr>
                <w:rFonts w:hint="eastAsia" w:ascii="仿宋_GB2312" w:hAnsi="仿宋_GB2312" w:eastAsia="仿宋_GB2312" w:cs="仿宋_GB2312"/>
                <w:sz w:val="24"/>
                <w:szCs w:val="24"/>
                <w:highlight w:val="none"/>
                <w:lang w:val="en-US"/>
              </w:rPr>
              <w:t>完善BOT模式水质净化厂的建设投资监管机制，</w:t>
            </w:r>
            <w:r>
              <w:rPr>
                <w:rFonts w:hint="eastAsia" w:ascii="仿宋_GB2312" w:hAnsi="仿宋_GB2312" w:eastAsia="仿宋_GB2312" w:cs="仿宋_GB2312"/>
                <w:sz w:val="24"/>
                <w:szCs w:val="24"/>
                <w:highlight w:val="none"/>
                <w:lang w:val="zh-TW" w:eastAsia="zh-CN"/>
              </w:rPr>
              <w:t>严格履行建设监督管理职责，督促建设运营单位完善基本建设程序。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4" w:hRule="atLeast"/>
          <w:jc w:val="center"/>
        </w:trPr>
        <w:tc>
          <w:tcPr>
            <w:tcW w:w="92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sz w:val="24"/>
                <w:highlight w:val="none"/>
              </w:rPr>
            </w:pPr>
          </w:p>
        </w:tc>
        <w:tc>
          <w:tcPr>
            <w:tcW w:w="1175"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sz w:val="24"/>
                <w:highlight w:val="none"/>
              </w:rPr>
            </w:pPr>
          </w:p>
        </w:tc>
        <w:tc>
          <w:tcPr>
            <w:tcW w:w="834"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default"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2</w:t>
            </w:r>
            <w:r>
              <w:rPr>
                <w:rFonts w:hint="default" w:ascii="仿宋_GB2312" w:hAnsi="仿宋_GB2312" w:eastAsia="仿宋_GB2312" w:cs="仿宋_GB2312"/>
                <w:sz w:val="24"/>
                <w:szCs w:val="24"/>
                <w:highlight w:val="none"/>
                <w:lang w:eastAsia="zh-CN"/>
              </w:rPr>
              <w:t>5</w:t>
            </w:r>
          </w:p>
        </w:tc>
        <w:tc>
          <w:tcPr>
            <w:tcW w:w="1395"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对污水处理监测管理不到位</w:t>
            </w:r>
          </w:p>
        </w:tc>
        <w:tc>
          <w:tcPr>
            <w:tcW w:w="49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市水务局未在规定时限内全面完成水质净化厂在线监测仪器安装工作，且与污水处理在线监测系统运营方约定的水质实时监测频率未达到技术规范要求。</w:t>
            </w:r>
          </w:p>
        </w:tc>
        <w:tc>
          <w:tcPr>
            <w:tcW w:w="2576"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rPr>
              <w:t>市水务局</w:t>
            </w:r>
          </w:p>
        </w:tc>
        <w:tc>
          <w:tcPr>
            <w:tcW w:w="3312"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rPr>
              <w:t>市水务局</w:t>
            </w:r>
            <w:r>
              <w:rPr>
                <w:rFonts w:hint="eastAsia" w:ascii="仿宋_GB2312" w:hAnsi="仿宋_GB2312" w:eastAsia="仿宋_GB2312" w:cs="仿宋_GB2312"/>
                <w:sz w:val="24"/>
                <w:szCs w:val="24"/>
                <w:highlight w:val="none"/>
                <w:lang w:val="en-US" w:eastAsia="zh-CN"/>
              </w:rPr>
              <w:t>要</w:t>
            </w:r>
            <w:r>
              <w:rPr>
                <w:rFonts w:hint="eastAsia" w:ascii="仿宋_GB2312" w:hAnsi="仿宋_GB2312" w:eastAsia="仿宋_GB2312" w:cs="仿宋_GB2312"/>
                <w:sz w:val="24"/>
                <w:szCs w:val="24"/>
                <w:highlight w:val="none"/>
              </w:rPr>
              <w:t>加快落实水质指标监测仪器安装工作，加强对在线监测系统的监管</w:t>
            </w:r>
            <w:r>
              <w:rPr>
                <w:rFonts w:hint="eastAsia" w:ascii="仿宋_GB2312" w:hAnsi="仿宋_GB2312" w:eastAsia="仿宋_GB2312" w:cs="仿宋_GB2312"/>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4" w:hRule="atLeast"/>
          <w:jc w:val="center"/>
        </w:trPr>
        <w:tc>
          <w:tcPr>
            <w:tcW w:w="92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sz w:val="24"/>
                <w:highlight w:val="none"/>
              </w:rPr>
            </w:pPr>
          </w:p>
        </w:tc>
        <w:tc>
          <w:tcPr>
            <w:tcW w:w="1175"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sz w:val="24"/>
                <w:highlight w:val="none"/>
              </w:rPr>
            </w:pPr>
          </w:p>
        </w:tc>
        <w:tc>
          <w:tcPr>
            <w:tcW w:w="834"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default"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2</w:t>
            </w:r>
            <w:r>
              <w:rPr>
                <w:rFonts w:hint="default" w:ascii="仿宋_GB2312" w:hAnsi="仿宋_GB2312" w:eastAsia="仿宋_GB2312" w:cs="仿宋_GB2312"/>
                <w:sz w:val="24"/>
                <w:szCs w:val="24"/>
                <w:highlight w:val="none"/>
                <w:lang w:eastAsia="zh-CN"/>
              </w:rPr>
              <w:t>6</w:t>
            </w:r>
          </w:p>
        </w:tc>
        <w:tc>
          <w:tcPr>
            <w:tcW w:w="1395"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部分项目运行效能不佳</w:t>
            </w:r>
          </w:p>
        </w:tc>
        <w:tc>
          <w:tcPr>
            <w:tcW w:w="49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由于污水管网不完善等原因，</w:t>
            </w:r>
            <w:r>
              <w:rPr>
                <w:rFonts w:hint="eastAsia" w:ascii="仿宋_GB2312" w:hAnsi="仿宋_GB2312" w:eastAsia="仿宋_GB2312" w:cs="仿宋_GB2312"/>
                <w:sz w:val="24"/>
                <w:szCs w:val="24"/>
                <w:highlight w:val="none"/>
                <w:lang w:val="en-US" w:eastAsia="zh-CN"/>
              </w:rPr>
              <w:t>6</w:t>
            </w:r>
            <w:r>
              <w:rPr>
                <w:rFonts w:hint="eastAsia" w:ascii="仿宋_GB2312" w:hAnsi="仿宋_GB2312" w:eastAsia="仿宋_GB2312" w:cs="仿宋_GB2312"/>
                <w:sz w:val="24"/>
                <w:szCs w:val="24"/>
                <w:highlight w:val="none"/>
              </w:rPr>
              <w:t>座BOT模式水质净化厂进水BOD浓度指标低于全市污水处理提质增效目标，6座污水处理量未达到设计规模的80%，6座年度污染物削减总量未达到设计目标值的80%。</w:t>
            </w:r>
          </w:p>
        </w:tc>
        <w:tc>
          <w:tcPr>
            <w:tcW w:w="2576"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rPr>
              <w:t>市水务局</w:t>
            </w:r>
          </w:p>
        </w:tc>
        <w:tc>
          <w:tcPr>
            <w:tcW w:w="3312"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rPr>
              <w:t>市水务局</w:t>
            </w:r>
            <w:r>
              <w:rPr>
                <w:rFonts w:hint="eastAsia" w:ascii="仿宋_GB2312" w:hAnsi="仿宋_GB2312" w:eastAsia="仿宋_GB2312" w:cs="仿宋_GB2312"/>
                <w:sz w:val="24"/>
                <w:szCs w:val="24"/>
                <w:highlight w:val="none"/>
                <w:lang w:val="en-US" w:eastAsia="zh-CN"/>
              </w:rPr>
              <w:t>要</w:t>
            </w:r>
            <w:r>
              <w:rPr>
                <w:rFonts w:hint="eastAsia" w:ascii="仿宋_GB2312" w:hAnsi="仿宋_GB2312" w:eastAsia="仿宋_GB2312" w:cs="仿宋_GB2312"/>
                <w:sz w:val="24"/>
                <w:szCs w:val="24"/>
                <w:highlight w:val="none"/>
                <w:lang w:val="zh-TW"/>
              </w:rPr>
              <w:t>督促加快完善管网建设</w:t>
            </w:r>
            <w:r>
              <w:rPr>
                <w:rFonts w:hint="eastAsia" w:ascii="仿宋_GB2312" w:hAnsi="仿宋_GB2312" w:eastAsia="仿宋_GB2312" w:cs="仿宋_GB2312"/>
                <w:sz w:val="24"/>
                <w:szCs w:val="24"/>
                <w:highlight w:val="none"/>
                <w:lang w:val="zh-TW" w:eastAsia="zh-CN"/>
              </w:rPr>
              <w:t>，提高水质净化厂进水量，充分发挥水质净化厂的运行效能，提高财政资金使用效益。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1" w:hRule="atLeast"/>
          <w:jc w:val="center"/>
        </w:trPr>
        <w:tc>
          <w:tcPr>
            <w:tcW w:w="927" w:type="dxa"/>
            <w:vMerge w:val="restart"/>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sz w:val="24"/>
                <w:szCs w:val="24"/>
                <w:highlight w:val="none"/>
              </w:rPr>
              <w:t>三、提高民生服务水平方面</w:t>
            </w:r>
          </w:p>
        </w:tc>
        <w:tc>
          <w:tcPr>
            <w:tcW w:w="1175" w:type="dxa"/>
            <w:vMerge w:val="restart"/>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就业政策引领和资金管理使用有待改进</w:t>
            </w:r>
          </w:p>
        </w:tc>
        <w:tc>
          <w:tcPr>
            <w:tcW w:w="834"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default"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2</w:t>
            </w:r>
            <w:r>
              <w:rPr>
                <w:rFonts w:hint="default" w:ascii="仿宋_GB2312" w:hAnsi="仿宋_GB2312" w:eastAsia="仿宋_GB2312" w:cs="仿宋_GB2312"/>
                <w:sz w:val="24"/>
                <w:szCs w:val="24"/>
                <w:highlight w:val="none"/>
                <w:lang w:eastAsia="zh-CN"/>
              </w:rPr>
              <w:t>7</w:t>
            </w:r>
          </w:p>
        </w:tc>
        <w:tc>
          <w:tcPr>
            <w:tcW w:w="1395"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就业创业补贴部分配套措施制定不够科学完善</w:t>
            </w:r>
          </w:p>
        </w:tc>
        <w:tc>
          <w:tcPr>
            <w:tcW w:w="49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市人力资源保障局未明确16项就业创业补贴申领条件的具体社保险种，导致实际审核时依据不统一；未考虑与社保相关政策相衔接，导致在市外已参加居民养老保险、可不参加深圳职工基本养老保险的人群及相关企业无法享受6项就业创业补贴；在社保费缓缴政策下，因</w:t>
            </w:r>
            <w:r>
              <w:rPr>
                <w:rFonts w:hint="eastAsia" w:ascii="仿宋_GB2312" w:hAnsi="仿宋_GB2312" w:eastAsia="仿宋_GB2312" w:cs="仿宋_GB2312"/>
                <w:sz w:val="24"/>
                <w:szCs w:val="24"/>
                <w:highlight w:val="none"/>
                <w:lang w:val="en-US"/>
              </w:rPr>
              <w:t>未将缓缴期间社保缴费时间计入脱贫人口吸纳就业补贴社保缴费时限</w:t>
            </w:r>
            <w:r>
              <w:rPr>
                <w:rFonts w:hint="eastAsia" w:ascii="仿宋_GB2312" w:hAnsi="仿宋_GB2312" w:eastAsia="仿宋_GB2312" w:cs="仿宋_GB2312"/>
                <w:sz w:val="24"/>
                <w:szCs w:val="24"/>
                <w:highlight w:val="none"/>
              </w:rPr>
              <w:t>，导致部分企业无法享受此项补贴。</w:t>
            </w:r>
          </w:p>
        </w:tc>
        <w:tc>
          <w:tcPr>
            <w:tcW w:w="2576"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sz w:val="24"/>
                <w:szCs w:val="24"/>
                <w:highlight w:val="none"/>
                <w:lang w:val="en-US"/>
              </w:rPr>
            </w:pPr>
            <w:r>
              <w:rPr>
                <w:rFonts w:hint="eastAsia" w:ascii="仿宋_GB2312" w:hAnsi="仿宋_GB2312" w:eastAsia="仿宋_GB2312" w:cs="仿宋_GB2312"/>
                <w:sz w:val="24"/>
                <w:szCs w:val="24"/>
                <w:highlight w:val="none"/>
                <w:lang w:val="en-US"/>
              </w:rPr>
              <w:t>市人力资源保障局</w:t>
            </w:r>
          </w:p>
        </w:tc>
        <w:tc>
          <w:tcPr>
            <w:tcW w:w="3312"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sz w:val="24"/>
                <w:szCs w:val="24"/>
                <w:highlight w:val="none"/>
                <w:lang w:val="en-US"/>
              </w:rPr>
            </w:pPr>
            <w:r>
              <w:rPr>
                <w:rFonts w:hint="eastAsia" w:ascii="仿宋_GB2312" w:hAnsi="仿宋_GB2312" w:eastAsia="仿宋_GB2312" w:cs="仿宋_GB2312"/>
                <w:sz w:val="24"/>
                <w:szCs w:val="24"/>
                <w:highlight w:val="none"/>
                <w:lang w:val="en-US"/>
              </w:rPr>
              <w:t>市人力资源保障局要进一步细化完善就业创业补贴相关措施，做好政策协同衔接，确保就业创业政策精准落地。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6" w:hRule="atLeast"/>
          <w:jc w:val="center"/>
        </w:trPr>
        <w:tc>
          <w:tcPr>
            <w:tcW w:w="92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sz w:val="24"/>
                <w:highlight w:val="none"/>
              </w:rPr>
            </w:pPr>
          </w:p>
        </w:tc>
        <w:tc>
          <w:tcPr>
            <w:tcW w:w="1175"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sz w:val="24"/>
                <w:highlight w:val="none"/>
              </w:rPr>
            </w:pPr>
          </w:p>
        </w:tc>
        <w:tc>
          <w:tcPr>
            <w:tcW w:w="834"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default" w:ascii="仿宋_GB2312" w:hAnsi="仿宋_GB2312" w:eastAsia="仿宋_GB2312" w:cs="仿宋_GB2312"/>
                <w:sz w:val="24"/>
                <w:szCs w:val="24"/>
                <w:highlight w:val="none"/>
                <w:lang w:eastAsia="zh-CN"/>
              </w:rPr>
            </w:pPr>
            <w:r>
              <w:rPr>
                <w:rFonts w:hint="default" w:ascii="仿宋_GB2312" w:hAnsi="仿宋_GB2312" w:eastAsia="仿宋_GB2312" w:cs="仿宋_GB2312"/>
                <w:sz w:val="24"/>
                <w:szCs w:val="24"/>
                <w:highlight w:val="none"/>
                <w:lang w:eastAsia="zh-CN"/>
              </w:rPr>
              <w:t>28</w:t>
            </w:r>
          </w:p>
        </w:tc>
        <w:tc>
          <w:tcPr>
            <w:tcW w:w="1395" w:type="dxa"/>
            <w:vMerge w:val="restart"/>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部分补贴发放管理不到位</w:t>
            </w:r>
          </w:p>
        </w:tc>
        <w:tc>
          <w:tcPr>
            <w:tcW w:w="49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市残联未及时指导督导各区提高残疾人补贴标准，截至2022年3月，除</w:t>
            </w:r>
            <w:r>
              <w:rPr>
                <w:rFonts w:hint="eastAsia" w:ascii="仿宋_GB2312" w:hAnsi="仿宋_GB2312" w:eastAsia="仿宋_GB2312" w:cs="仿宋_GB2312"/>
                <w:sz w:val="24"/>
                <w:szCs w:val="24"/>
                <w:highlight w:val="none"/>
                <w:lang w:eastAsia="zh-CN"/>
              </w:rPr>
              <w:t>盐田、</w:t>
            </w:r>
            <w:r>
              <w:rPr>
                <w:rFonts w:hint="eastAsia" w:ascii="仿宋_GB2312" w:hAnsi="仿宋_GB2312" w:eastAsia="仿宋_GB2312" w:cs="仿宋_GB2312"/>
                <w:sz w:val="24"/>
                <w:szCs w:val="24"/>
                <w:highlight w:val="none"/>
              </w:rPr>
              <w:t>宝安区外均未落实。</w:t>
            </w:r>
          </w:p>
        </w:tc>
        <w:tc>
          <w:tcPr>
            <w:tcW w:w="2576"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sz w:val="24"/>
                <w:szCs w:val="24"/>
                <w:highlight w:val="none"/>
                <w:lang w:val="en-US"/>
              </w:rPr>
            </w:pPr>
            <w:r>
              <w:rPr>
                <w:rFonts w:hint="eastAsia" w:ascii="仿宋_GB2312" w:hAnsi="仿宋_GB2312" w:eastAsia="仿宋_GB2312" w:cs="仿宋_GB2312"/>
                <w:sz w:val="24"/>
                <w:szCs w:val="24"/>
                <w:highlight w:val="none"/>
              </w:rPr>
              <w:t>市残联</w:t>
            </w:r>
          </w:p>
        </w:tc>
        <w:tc>
          <w:tcPr>
            <w:tcW w:w="3312"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sz w:val="24"/>
                <w:szCs w:val="24"/>
                <w:highlight w:val="none"/>
                <w:lang w:val="en-US"/>
              </w:rPr>
            </w:pPr>
            <w:r>
              <w:rPr>
                <w:rFonts w:hint="eastAsia" w:ascii="仿宋_GB2312" w:hAnsi="仿宋_GB2312" w:eastAsia="仿宋_GB2312" w:cs="仿宋_GB2312"/>
                <w:sz w:val="24"/>
                <w:szCs w:val="24"/>
                <w:highlight w:val="none"/>
                <w:lang w:val="en-US"/>
              </w:rPr>
              <w:t>市残联要及时跟踪研究政策，指导各区将助残惠残政策落到实处，切实保障残疾人的合法权益。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3" w:hRule="atLeast"/>
          <w:jc w:val="center"/>
        </w:trPr>
        <w:tc>
          <w:tcPr>
            <w:tcW w:w="92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sz w:val="24"/>
                <w:highlight w:val="none"/>
              </w:rPr>
            </w:pPr>
          </w:p>
        </w:tc>
        <w:tc>
          <w:tcPr>
            <w:tcW w:w="1175"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sz w:val="24"/>
                <w:highlight w:val="none"/>
              </w:rPr>
            </w:pPr>
          </w:p>
        </w:tc>
        <w:tc>
          <w:tcPr>
            <w:tcW w:w="834"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default" w:ascii="仿宋_GB2312" w:hAnsi="仿宋_GB2312" w:eastAsia="仿宋_GB2312" w:cs="仿宋_GB2312"/>
                <w:sz w:val="24"/>
                <w:szCs w:val="24"/>
                <w:highlight w:val="none"/>
                <w:lang w:eastAsia="zh-CN"/>
              </w:rPr>
            </w:pPr>
            <w:r>
              <w:rPr>
                <w:rFonts w:hint="default" w:ascii="仿宋_GB2312" w:hAnsi="仿宋_GB2312" w:eastAsia="仿宋_GB2312" w:cs="仿宋_GB2312"/>
                <w:sz w:val="24"/>
                <w:szCs w:val="24"/>
                <w:highlight w:val="none"/>
                <w:lang w:eastAsia="zh-CN"/>
              </w:rPr>
              <w:t>29</w:t>
            </w:r>
          </w:p>
        </w:tc>
        <w:tc>
          <w:tcPr>
            <w:tcW w:w="1395"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sz w:val="24"/>
                <w:highlight w:val="none"/>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23家劳务派遣企业未按承诺将代领的脱贫人口就业补贴款</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全额划转至实际用人单位，</w:t>
            </w:r>
            <w:r>
              <w:rPr>
                <w:rFonts w:hint="eastAsia" w:ascii="仿宋_GB2312" w:hAnsi="仿宋_GB2312" w:eastAsia="仿宋_GB2312" w:cs="仿宋_GB2312"/>
                <w:sz w:val="24"/>
                <w:szCs w:val="24"/>
                <w:highlight w:val="none"/>
                <w:lang w:eastAsia="zh-CN"/>
              </w:rPr>
              <w:t>涉及资金</w:t>
            </w:r>
            <w:r>
              <w:rPr>
                <w:rFonts w:hint="eastAsia" w:ascii="仿宋_GB2312" w:hAnsi="仿宋_GB2312" w:eastAsia="仿宋_GB2312" w:cs="仿宋_GB2312"/>
                <w:sz w:val="24"/>
                <w:szCs w:val="24"/>
                <w:highlight w:val="none"/>
              </w:rPr>
              <w:t>472万元。</w:t>
            </w:r>
          </w:p>
        </w:tc>
        <w:tc>
          <w:tcPr>
            <w:tcW w:w="2576"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福田</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罗湖</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南山</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宝安</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龙岗</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光明</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坪山区</w:t>
            </w:r>
            <w:r>
              <w:rPr>
                <w:rFonts w:hint="eastAsia" w:ascii="仿宋_GB2312" w:hAnsi="仿宋_GB2312" w:eastAsia="仿宋_GB2312" w:cs="仿宋_GB2312"/>
                <w:sz w:val="24"/>
                <w:szCs w:val="24"/>
                <w:highlight w:val="none"/>
                <w:lang w:eastAsia="zh-CN"/>
              </w:rPr>
              <w:t>政府，</w:t>
            </w:r>
            <w:r>
              <w:rPr>
                <w:rFonts w:hint="eastAsia" w:ascii="仿宋_GB2312" w:hAnsi="仿宋_GB2312" w:eastAsia="仿宋_GB2312" w:cs="仿宋_GB2312"/>
                <w:sz w:val="24"/>
                <w:szCs w:val="24"/>
                <w:highlight w:val="none"/>
              </w:rPr>
              <w:t>大鹏新区</w:t>
            </w:r>
            <w:r>
              <w:rPr>
                <w:rFonts w:hint="eastAsia" w:ascii="仿宋_GB2312" w:hAnsi="仿宋_GB2312" w:eastAsia="仿宋_GB2312" w:cs="仿宋_GB2312"/>
                <w:sz w:val="24"/>
                <w:szCs w:val="24"/>
                <w:highlight w:val="none"/>
                <w:lang w:eastAsia="zh-CN"/>
              </w:rPr>
              <w:t>管委会</w:t>
            </w:r>
          </w:p>
        </w:tc>
        <w:tc>
          <w:tcPr>
            <w:tcW w:w="3312"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各区（新区）要督促相关责任单位积极落实政策要求，加大政策宣传力度，积极主动提供服务，提高补贴发放的合规性和准确性。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0" w:hRule="atLeast"/>
          <w:jc w:val="center"/>
        </w:trPr>
        <w:tc>
          <w:tcPr>
            <w:tcW w:w="927" w:type="dxa"/>
            <w:vMerge w:val="restart"/>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sz w:val="24"/>
                <w:szCs w:val="24"/>
                <w:highlight w:val="none"/>
              </w:rPr>
              <w:t>三、提高民生服务水平方面</w:t>
            </w:r>
          </w:p>
        </w:tc>
        <w:tc>
          <w:tcPr>
            <w:tcW w:w="1175"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就业政策引领和资金管理使用有待改进</w:t>
            </w:r>
          </w:p>
        </w:tc>
        <w:tc>
          <w:tcPr>
            <w:tcW w:w="834"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default"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3</w:t>
            </w:r>
            <w:r>
              <w:rPr>
                <w:rFonts w:hint="default" w:ascii="仿宋_GB2312" w:hAnsi="仿宋_GB2312" w:eastAsia="仿宋_GB2312" w:cs="仿宋_GB2312"/>
                <w:sz w:val="24"/>
                <w:szCs w:val="24"/>
                <w:highlight w:val="none"/>
                <w:lang w:eastAsia="zh-CN"/>
              </w:rPr>
              <w:t>0</w:t>
            </w:r>
          </w:p>
        </w:tc>
        <w:tc>
          <w:tcPr>
            <w:tcW w:w="1395"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部分政策落实效果不佳</w:t>
            </w:r>
          </w:p>
        </w:tc>
        <w:tc>
          <w:tcPr>
            <w:tcW w:w="49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157家符合吸纳退役军人一次性就业补贴申领条件的企业，截至2022年10月底均未获补贴，涉及退役军人164名；57家参保规模20人以上的家政企业，截至2022年9月底仅有5家申领了相关补贴。</w:t>
            </w:r>
          </w:p>
        </w:tc>
        <w:tc>
          <w:tcPr>
            <w:tcW w:w="2576"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kern w:val="2"/>
                <w:sz w:val="24"/>
                <w:szCs w:val="24"/>
                <w:highlight w:val="none"/>
                <w:lang w:val="en-US" w:bidi="ar-SA"/>
              </w:rPr>
              <w:t>市人力资源保障局</w:t>
            </w:r>
            <w:r>
              <w:rPr>
                <w:rFonts w:hint="eastAsia" w:ascii="仿宋_GB2312" w:hAnsi="仿宋_GB2312" w:eastAsia="仿宋_GB2312" w:cs="仿宋_GB2312"/>
                <w:kern w:val="2"/>
                <w:sz w:val="24"/>
                <w:szCs w:val="24"/>
                <w:highlight w:val="none"/>
                <w:lang w:val="en-US" w:eastAsia="zh-CN" w:bidi="ar-SA"/>
              </w:rPr>
              <w:t>、</w:t>
            </w:r>
            <w:r>
              <w:rPr>
                <w:rFonts w:hint="eastAsia" w:ascii="仿宋_GB2312" w:hAnsi="仿宋_GB2312" w:eastAsia="仿宋_GB2312" w:cs="仿宋_GB2312"/>
                <w:kern w:val="2"/>
                <w:sz w:val="24"/>
                <w:szCs w:val="24"/>
                <w:highlight w:val="none"/>
                <w:lang w:val="en-US" w:bidi="ar-SA"/>
              </w:rPr>
              <w:t>各区政府</w:t>
            </w:r>
          </w:p>
        </w:tc>
        <w:tc>
          <w:tcPr>
            <w:tcW w:w="3312"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市人力资源保障局和</w:t>
            </w:r>
            <w:r>
              <w:rPr>
                <w:rFonts w:hint="eastAsia" w:ascii="仿宋_GB2312" w:hAnsi="仿宋_GB2312" w:eastAsia="仿宋_GB2312" w:cs="仿宋_GB2312"/>
                <w:sz w:val="24"/>
                <w:szCs w:val="24"/>
                <w:highlight w:val="none"/>
                <w:lang w:eastAsia="zh-CN"/>
              </w:rPr>
              <w:t>各</w:t>
            </w:r>
            <w:r>
              <w:rPr>
                <w:rFonts w:hint="eastAsia" w:ascii="仿宋_GB2312" w:hAnsi="仿宋_GB2312" w:eastAsia="仿宋_GB2312" w:cs="仿宋_GB2312"/>
                <w:sz w:val="24"/>
                <w:szCs w:val="24"/>
                <w:highlight w:val="none"/>
              </w:rPr>
              <w:t>区政府</w:t>
            </w:r>
            <w:r>
              <w:rPr>
                <w:rFonts w:hint="eastAsia" w:ascii="仿宋_GB2312" w:hAnsi="仿宋_GB2312" w:eastAsia="仿宋_GB2312" w:cs="仿宋_GB2312"/>
                <w:sz w:val="24"/>
                <w:szCs w:val="24"/>
                <w:highlight w:val="none"/>
                <w:lang w:eastAsia="zh-CN"/>
              </w:rPr>
              <w:t>要</w:t>
            </w:r>
            <w:r>
              <w:rPr>
                <w:rFonts w:hint="eastAsia" w:ascii="仿宋_GB2312" w:hAnsi="仿宋_GB2312" w:eastAsia="仿宋_GB2312" w:cs="仿宋_GB2312"/>
                <w:sz w:val="24"/>
                <w:szCs w:val="24"/>
                <w:highlight w:val="none"/>
              </w:rPr>
              <w:t>加大政策宣传力度，积极主动提供服务，积极主动提供服务，提高补贴发放的合规性和准确性</w:t>
            </w:r>
            <w:r>
              <w:rPr>
                <w:rFonts w:hint="eastAsia" w:ascii="仿宋_GB2312" w:hAnsi="仿宋_GB2312" w:eastAsia="仿宋_GB2312" w:cs="仿宋_GB2312"/>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3" w:hRule="atLeast"/>
          <w:jc w:val="center"/>
        </w:trPr>
        <w:tc>
          <w:tcPr>
            <w:tcW w:w="92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sz w:val="24"/>
                <w:szCs w:val="24"/>
                <w:highlight w:val="none"/>
              </w:rPr>
            </w:pPr>
          </w:p>
        </w:tc>
        <w:tc>
          <w:tcPr>
            <w:tcW w:w="1175"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购买教育服务经费管理使用不到位</w:t>
            </w:r>
          </w:p>
        </w:tc>
        <w:tc>
          <w:tcPr>
            <w:tcW w:w="834"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default"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3</w:t>
            </w:r>
            <w:r>
              <w:rPr>
                <w:rFonts w:hint="default" w:ascii="仿宋_GB2312" w:hAnsi="仿宋_GB2312" w:eastAsia="仿宋_GB2312" w:cs="仿宋_GB2312"/>
                <w:sz w:val="24"/>
                <w:szCs w:val="24"/>
                <w:highlight w:val="none"/>
                <w:lang w:eastAsia="zh-CN"/>
              </w:rPr>
              <w:t>1</w:t>
            </w:r>
          </w:p>
        </w:tc>
        <w:tc>
          <w:tcPr>
            <w:tcW w:w="1395"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部分学校经费呈现常态化缺口</w:t>
            </w:r>
          </w:p>
        </w:tc>
        <w:tc>
          <w:tcPr>
            <w:tcW w:w="49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市教育局未根据不同类型学校情况细化生均拨款标准，18所学校也未根据实际需求制定购买教育服务年度计划，导致部分学校预算安排无法满足实际购买需求，还需市教育局安排3,782.88万元教育费附加弥补学校经费不足；有6所学校在2019年至2021年期间使用下一年度购买教育服务经费弥补当年实际经费缺口，涉及金额411.79万元。</w:t>
            </w:r>
          </w:p>
        </w:tc>
        <w:tc>
          <w:tcPr>
            <w:tcW w:w="2576"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sz w:val="24"/>
                <w:szCs w:val="24"/>
                <w:highlight w:val="none"/>
                <w:lang w:val="en-US"/>
              </w:rPr>
            </w:pPr>
            <w:r>
              <w:rPr>
                <w:rFonts w:hint="eastAsia" w:ascii="仿宋_GB2312" w:hAnsi="仿宋_GB2312" w:eastAsia="仿宋_GB2312" w:cs="仿宋_GB2312"/>
                <w:kern w:val="2"/>
                <w:sz w:val="24"/>
                <w:szCs w:val="24"/>
                <w:highlight w:val="none"/>
                <w:lang w:val="en-US" w:eastAsia="zh-CN" w:bidi="ar-SA"/>
              </w:rPr>
              <w:t>市教育局</w:t>
            </w:r>
          </w:p>
        </w:tc>
        <w:tc>
          <w:tcPr>
            <w:tcW w:w="3312"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sz w:val="24"/>
                <w:szCs w:val="24"/>
                <w:highlight w:val="none"/>
                <w:lang w:val="en-US"/>
              </w:rPr>
            </w:pPr>
            <w:r>
              <w:rPr>
                <w:rFonts w:hint="eastAsia" w:ascii="仿宋_GB2312" w:hAnsi="仿宋_GB2312" w:eastAsia="仿宋_GB2312" w:cs="仿宋_GB2312"/>
                <w:kern w:val="2"/>
                <w:sz w:val="24"/>
                <w:szCs w:val="24"/>
                <w:highlight w:val="none"/>
                <w:lang w:val="en-US" w:eastAsia="zh-CN" w:bidi="ar-SA"/>
              </w:rPr>
              <w:t>市教育局要会同市财政局进一步细化生均拨款标准，指导各公办中小学科学合理制定购买教育服务年度计划，准确编制预算，切实发挥财政资金效益</w:t>
            </w:r>
            <w:r>
              <w:rPr>
                <w:rFonts w:hint="eastAsia" w:ascii="仿宋_GB2312" w:hAnsi="仿宋_GB2312" w:eastAsia="仿宋_GB2312" w:cs="仿宋_GB2312"/>
                <w:kern w:val="2"/>
                <w:sz w:val="24"/>
                <w:szCs w:val="24"/>
                <w:highlight w:val="none"/>
                <w:lang w:val="en-US"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4" w:hRule="atLeast"/>
          <w:jc w:val="center"/>
        </w:trPr>
        <w:tc>
          <w:tcPr>
            <w:tcW w:w="927" w:type="dxa"/>
            <w:vMerge w:val="restart"/>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三、提高民生服务水平方面</w:t>
            </w:r>
          </w:p>
        </w:tc>
        <w:tc>
          <w:tcPr>
            <w:tcW w:w="1175" w:type="dxa"/>
            <w:vMerge w:val="restart"/>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购买教育服务经费管理使用不到位</w:t>
            </w:r>
          </w:p>
        </w:tc>
        <w:tc>
          <w:tcPr>
            <w:tcW w:w="834"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default"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3</w:t>
            </w:r>
            <w:r>
              <w:rPr>
                <w:rFonts w:hint="default" w:ascii="仿宋_GB2312" w:hAnsi="仿宋_GB2312" w:eastAsia="仿宋_GB2312" w:cs="仿宋_GB2312"/>
                <w:sz w:val="24"/>
                <w:szCs w:val="24"/>
                <w:highlight w:val="none"/>
                <w:lang w:eastAsia="zh-CN"/>
              </w:rPr>
              <w:t>2</w:t>
            </w:r>
          </w:p>
        </w:tc>
        <w:tc>
          <w:tcPr>
            <w:tcW w:w="1395" w:type="dxa"/>
            <w:vMerge w:val="restart"/>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学校履行主体责任不力</w:t>
            </w:r>
          </w:p>
        </w:tc>
        <w:tc>
          <w:tcPr>
            <w:tcW w:w="49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14所学校未将购买教育服务的岗位设置、人员规模、日常聘用需求和聘任结果确认等事项纳入校党组织“三重一大”议事范围。</w:t>
            </w:r>
          </w:p>
        </w:tc>
        <w:tc>
          <w:tcPr>
            <w:tcW w:w="2576" w:type="dxa"/>
            <w:vMerge w:val="restart"/>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sz w:val="24"/>
                <w:szCs w:val="24"/>
                <w:highlight w:val="none"/>
                <w:lang w:val="en-US"/>
              </w:rPr>
            </w:pPr>
            <w:r>
              <w:rPr>
                <w:rFonts w:hint="eastAsia" w:ascii="仿宋_GB2312" w:hAnsi="仿宋_GB2312" w:eastAsia="仿宋_GB2312" w:cs="仿宋_GB2312"/>
                <w:b w:val="0"/>
                <w:bCs/>
                <w:kern w:val="2"/>
                <w:sz w:val="24"/>
                <w:szCs w:val="24"/>
                <w:highlight w:val="none"/>
                <w:lang w:val="en-US" w:eastAsia="zh-CN" w:bidi="ar-SA"/>
              </w:rPr>
              <w:t>市直属中小学</w:t>
            </w:r>
          </w:p>
        </w:tc>
        <w:tc>
          <w:tcPr>
            <w:tcW w:w="3312" w:type="dxa"/>
            <w:vMerge w:val="restart"/>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sz w:val="24"/>
                <w:szCs w:val="24"/>
                <w:highlight w:val="none"/>
                <w:lang w:val="en-US"/>
              </w:rPr>
            </w:pPr>
            <w:r>
              <w:rPr>
                <w:rFonts w:hint="eastAsia" w:ascii="仿宋_GB2312" w:hAnsi="仿宋_GB2312" w:eastAsia="仿宋_GB2312" w:cs="仿宋_GB2312"/>
                <w:b w:val="0"/>
                <w:bCs/>
                <w:kern w:val="2"/>
                <w:sz w:val="24"/>
                <w:szCs w:val="24"/>
                <w:highlight w:val="none"/>
                <w:lang w:val="en-US" w:eastAsia="zh-CN" w:bidi="ar-SA"/>
              </w:rPr>
              <w:t>市直属中小学要落实好主体责任，利用信息化手段加强人员管理。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63" w:hRule="atLeast"/>
          <w:jc w:val="center"/>
        </w:trPr>
        <w:tc>
          <w:tcPr>
            <w:tcW w:w="92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sz w:val="24"/>
                <w:highlight w:val="none"/>
              </w:rPr>
            </w:pPr>
          </w:p>
        </w:tc>
        <w:tc>
          <w:tcPr>
            <w:tcW w:w="1175"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sz w:val="24"/>
                <w:highlight w:val="none"/>
              </w:rPr>
            </w:pPr>
          </w:p>
        </w:tc>
        <w:tc>
          <w:tcPr>
            <w:tcW w:w="834"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default"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3</w:t>
            </w:r>
            <w:r>
              <w:rPr>
                <w:rFonts w:hint="default" w:ascii="仿宋_GB2312" w:hAnsi="仿宋_GB2312" w:eastAsia="仿宋_GB2312" w:cs="仿宋_GB2312"/>
                <w:sz w:val="24"/>
                <w:szCs w:val="24"/>
                <w:highlight w:val="none"/>
                <w:lang w:eastAsia="zh-CN"/>
              </w:rPr>
              <w:t>3</w:t>
            </w:r>
          </w:p>
        </w:tc>
        <w:tc>
          <w:tcPr>
            <w:tcW w:w="1395"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sz w:val="24"/>
                <w:highlight w:val="none"/>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11所学校截至2021年12月，未按要求在全国教师管理信息系统登记聘用专任教师信息，不利于开展人员管理工作。</w:t>
            </w:r>
          </w:p>
        </w:tc>
        <w:tc>
          <w:tcPr>
            <w:tcW w:w="2576"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sz w:val="24"/>
                <w:szCs w:val="24"/>
                <w:highlight w:val="none"/>
              </w:rPr>
            </w:pPr>
          </w:p>
        </w:tc>
        <w:tc>
          <w:tcPr>
            <w:tcW w:w="331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35" w:hRule="atLeast"/>
          <w:jc w:val="center"/>
        </w:trPr>
        <w:tc>
          <w:tcPr>
            <w:tcW w:w="92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sz w:val="24"/>
                <w:highlight w:val="none"/>
              </w:rPr>
            </w:pPr>
          </w:p>
        </w:tc>
        <w:tc>
          <w:tcPr>
            <w:tcW w:w="1175"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sz w:val="24"/>
                <w:highlight w:val="none"/>
              </w:rPr>
            </w:pPr>
          </w:p>
        </w:tc>
        <w:tc>
          <w:tcPr>
            <w:tcW w:w="834"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default"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3</w:t>
            </w:r>
            <w:r>
              <w:rPr>
                <w:rFonts w:hint="default" w:ascii="仿宋_GB2312" w:hAnsi="仿宋_GB2312" w:eastAsia="仿宋_GB2312" w:cs="仿宋_GB2312"/>
                <w:sz w:val="24"/>
                <w:szCs w:val="24"/>
                <w:highlight w:val="none"/>
                <w:lang w:eastAsia="zh-CN"/>
              </w:rPr>
              <w:t>4</w:t>
            </w:r>
          </w:p>
        </w:tc>
        <w:tc>
          <w:tcPr>
            <w:tcW w:w="1395"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教育部门未开展绩效评价</w:t>
            </w:r>
          </w:p>
        </w:tc>
        <w:tc>
          <w:tcPr>
            <w:tcW w:w="49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市教育局未对购买教育服务经费管理使用、相关制度执行情况开展绩效评价，仅由学校对支出情况进行自评。《购买教育服务办法》已于2021年7月超过有效期，市教育局至今未开展修订工作。</w:t>
            </w:r>
          </w:p>
        </w:tc>
        <w:tc>
          <w:tcPr>
            <w:tcW w:w="2576"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rPr>
              <w:t>市教育局</w:t>
            </w:r>
          </w:p>
        </w:tc>
        <w:tc>
          <w:tcPr>
            <w:tcW w:w="3312"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rPr>
              <w:t>市教育局要</w:t>
            </w:r>
            <w:r>
              <w:rPr>
                <w:rFonts w:hint="eastAsia" w:ascii="仿宋_GB2312" w:hAnsi="仿宋_GB2312" w:eastAsia="仿宋_GB2312" w:cs="仿宋_GB2312"/>
                <w:b w:val="0"/>
                <w:bCs/>
                <w:kern w:val="2"/>
                <w:sz w:val="24"/>
                <w:szCs w:val="24"/>
                <w:highlight w:val="none"/>
                <w:lang w:val="en-US" w:eastAsia="zh-CN" w:bidi="ar-SA"/>
              </w:rPr>
              <w:t>尽快修订《购买教育服务办法》，及时对购买教育服务开展全过程监管和评价。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7" w:hRule="atLeast"/>
          <w:jc w:val="center"/>
        </w:trPr>
        <w:tc>
          <w:tcPr>
            <w:tcW w:w="927" w:type="dxa"/>
            <w:vMerge w:val="restart"/>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三、提高民生服务水平方面</w:t>
            </w:r>
          </w:p>
        </w:tc>
        <w:tc>
          <w:tcPr>
            <w:tcW w:w="1175" w:type="dxa"/>
            <w:vMerge w:val="restart"/>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部分帮扶协作政策落实还有差距</w:t>
            </w:r>
          </w:p>
        </w:tc>
        <w:tc>
          <w:tcPr>
            <w:tcW w:w="834"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default"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3</w:t>
            </w:r>
            <w:r>
              <w:rPr>
                <w:rFonts w:hint="default" w:ascii="仿宋_GB2312" w:hAnsi="仿宋_GB2312" w:eastAsia="仿宋_GB2312" w:cs="仿宋_GB2312"/>
                <w:sz w:val="24"/>
                <w:szCs w:val="24"/>
                <w:highlight w:val="none"/>
                <w:lang w:eastAsia="zh-CN"/>
              </w:rPr>
              <w:t>5</w:t>
            </w:r>
          </w:p>
        </w:tc>
        <w:tc>
          <w:tcPr>
            <w:tcW w:w="1395" w:type="dxa"/>
            <w:vMerge w:val="restart"/>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部分经费预算安排不合理</w:t>
            </w:r>
          </w:p>
        </w:tc>
        <w:tc>
          <w:tcPr>
            <w:tcW w:w="49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rPr>
              <w:t>市乡村振兴和协作交流局在编制2021年度帮扶贵州省毕节市专项资金预算时，未考虑到全省已安排资金5,000万元</w:t>
            </w:r>
            <w:r>
              <w:rPr>
                <w:rFonts w:hint="eastAsia" w:ascii="仿宋_GB2312" w:hAnsi="仿宋_GB2312" w:eastAsia="仿宋_GB2312" w:cs="仿宋_GB2312"/>
                <w:sz w:val="24"/>
                <w:szCs w:val="24"/>
                <w:highlight w:val="none"/>
                <w:lang w:eastAsia="zh-CN"/>
              </w:rPr>
              <w:t>而</w:t>
            </w:r>
            <w:r>
              <w:rPr>
                <w:rFonts w:hint="eastAsia" w:ascii="仿宋_GB2312" w:hAnsi="仿宋_GB2312" w:eastAsia="仿宋_GB2312" w:cs="仿宋_GB2312"/>
                <w:sz w:val="24"/>
                <w:szCs w:val="24"/>
                <w:highlight w:val="none"/>
              </w:rPr>
              <w:t>及时作出调减</w:t>
            </w:r>
            <w:r>
              <w:rPr>
                <w:rFonts w:hint="eastAsia" w:ascii="仿宋_GB2312" w:hAnsi="仿宋_GB2312" w:eastAsia="仿宋_GB2312" w:cs="仿宋_GB2312"/>
                <w:sz w:val="24"/>
                <w:szCs w:val="24"/>
                <w:highlight w:val="none"/>
                <w:lang w:eastAsia="zh-CN"/>
              </w:rPr>
              <w:t>。</w:t>
            </w:r>
          </w:p>
        </w:tc>
        <w:tc>
          <w:tcPr>
            <w:tcW w:w="2576" w:type="dxa"/>
            <w:vMerge w:val="restart"/>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bCs/>
                <w:sz w:val="24"/>
                <w:highlight w:val="none"/>
              </w:rPr>
              <w:t>市乡村振兴和协作交流局</w:t>
            </w:r>
            <w:r>
              <w:rPr>
                <w:rFonts w:hint="default" w:ascii="仿宋_GB2312" w:hAnsi="仿宋_GB2312" w:eastAsia="仿宋_GB2312" w:cs="仿宋_GB2312"/>
                <w:bCs/>
                <w:sz w:val="24"/>
                <w:highlight w:val="none"/>
              </w:rPr>
              <w:t>，</w:t>
            </w:r>
            <w:r>
              <w:rPr>
                <w:rFonts w:hint="eastAsia" w:ascii="仿宋_GB2312" w:hAnsi="仿宋_GB2312" w:eastAsia="仿宋_GB2312" w:cs="仿宋_GB2312"/>
                <w:sz w:val="24"/>
                <w:highlight w:val="none"/>
              </w:rPr>
              <w:t>福田、龙岗、坪山区政府</w:t>
            </w:r>
          </w:p>
        </w:tc>
        <w:tc>
          <w:tcPr>
            <w:tcW w:w="3312" w:type="dxa"/>
            <w:vMerge w:val="restart"/>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市乡村振兴和协作交流局要加强对中央衔接资金的监管，按要求及时公开财政专项扶贫资金分配结果，并根据国家、省、市工作任务及时调整专项资金预算，督促各区协作工作主管部门合理安排行政经费预算，强化财政资金绩效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7" w:hRule="atLeast"/>
          <w:jc w:val="center"/>
        </w:trPr>
        <w:tc>
          <w:tcPr>
            <w:tcW w:w="92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sz w:val="24"/>
                <w:szCs w:val="24"/>
                <w:highlight w:val="none"/>
              </w:rPr>
            </w:pPr>
          </w:p>
        </w:tc>
        <w:tc>
          <w:tcPr>
            <w:tcW w:w="1175"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sz w:val="24"/>
                <w:szCs w:val="24"/>
                <w:highlight w:val="none"/>
              </w:rPr>
            </w:pPr>
          </w:p>
        </w:tc>
        <w:tc>
          <w:tcPr>
            <w:tcW w:w="834"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default" w:ascii="仿宋_GB2312" w:hAnsi="仿宋_GB2312" w:eastAsia="仿宋_GB2312" w:cs="仿宋_GB2312"/>
                <w:sz w:val="24"/>
                <w:szCs w:val="24"/>
                <w:highlight w:val="none"/>
                <w:lang w:eastAsia="zh-CN"/>
              </w:rPr>
            </w:pPr>
            <w:r>
              <w:rPr>
                <w:rFonts w:hint="default" w:ascii="仿宋_GB2312" w:hAnsi="仿宋_GB2312" w:eastAsia="仿宋_GB2312" w:cs="仿宋_GB2312"/>
                <w:sz w:val="24"/>
                <w:szCs w:val="24"/>
                <w:highlight w:val="none"/>
                <w:lang w:eastAsia="zh-CN"/>
              </w:rPr>
              <w:t>36</w:t>
            </w:r>
          </w:p>
        </w:tc>
        <w:tc>
          <w:tcPr>
            <w:tcW w:w="1395"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sz w:val="24"/>
                <w:szCs w:val="24"/>
                <w:highlight w:val="none"/>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福田、龙岗、坪山区在2021年拨付7个县驻县挂职干部行政经费存在195.85万元结余的情况下，2022年继续安排260万元，导致行政经费截至2022年6月底累计结余353.21万元。</w:t>
            </w:r>
          </w:p>
        </w:tc>
        <w:tc>
          <w:tcPr>
            <w:tcW w:w="2576"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sz w:val="24"/>
                <w:szCs w:val="24"/>
                <w:highlight w:val="none"/>
              </w:rPr>
            </w:pPr>
          </w:p>
        </w:tc>
        <w:tc>
          <w:tcPr>
            <w:tcW w:w="331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2" w:hRule="atLeast"/>
          <w:jc w:val="center"/>
        </w:trPr>
        <w:tc>
          <w:tcPr>
            <w:tcW w:w="92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sz w:val="24"/>
                <w:szCs w:val="24"/>
                <w:highlight w:val="none"/>
              </w:rPr>
            </w:pPr>
          </w:p>
        </w:tc>
        <w:tc>
          <w:tcPr>
            <w:tcW w:w="1175"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sz w:val="24"/>
                <w:szCs w:val="24"/>
                <w:highlight w:val="none"/>
              </w:rPr>
            </w:pPr>
          </w:p>
        </w:tc>
        <w:tc>
          <w:tcPr>
            <w:tcW w:w="834"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default"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3</w:t>
            </w:r>
            <w:r>
              <w:rPr>
                <w:rFonts w:hint="default" w:ascii="仿宋_GB2312" w:hAnsi="仿宋_GB2312" w:eastAsia="仿宋_GB2312" w:cs="仿宋_GB2312"/>
                <w:sz w:val="24"/>
                <w:szCs w:val="24"/>
                <w:highlight w:val="none"/>
                <w:lang w:eastAsia="zh-CN"/>
              </w:rPr>
              <w:t>7</w:t>
            </w:r>
          </w:p>
        </w:tc>
        <w:tc>
          <w:tcPr>
            <w:tcW w:w="1395"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未按规定使用帮扶协作资金</w:t>
            </w:r>
          </w:p>
        </w:tc>
        <w:tc>
          <w:tcPr>
            <w:tcW w:w="49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市乡村振兴和协作交流局未按规定公开财政专项扶贫资金分配结果，对2021年中央财政衔接推进乡村振兴补助资金1,916万元使用情况跟踪不到位，也没有进行绩效评价。</w:t>
            </w:r>
          </w:p>
        </w:tc>
        <w:tc>
          <w:tcPr>
            <w:tcW w:w="2576"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市乡村振兴和协作交流局</w:t>
            </w:r>
          </w:p>
        </w:tc>
        <w:tc>
          <w:tcPr>
            <w:tcW w:w="331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7" w:hRule="atLeast"/>
          <w:jc w:val="center"/>
        </w:trPr>
        <w:tc>
          <w:tcPr>
            <w:tcW w:w="927" w:type="dxa"/>
            <w:vMerge w:val="restart"/>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sz w:val="24"/>
                <w:szCs w:val="24"/>
                <w:highlight w:val="none"/>
              </w:rPr>
              <w:t>三、提高民生服务水平方面</w:t>
            </w:r>
          </w:p>
        </w:tc>
        <w:tc>
          <w:tcPr>
            <w:tcW w:w="1175" w:type="dxa"/>
            <w:vMerge w:val="restart"/>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rPr>
              <w:t>部分帮扶协作政策落实还有差距</w:t>
            </w:r>
          </w:p>
        </w:tc>
        <w:tc>
          <w:tcPr>
            <w:tcW w:w="834"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default" w:ascii="仿宋_GB2312" w:hAnsi="仿宋_GB2312" w:eastAsia="仿宋_GB2312" w:cs="仿宋_GB2312"/>
                <w:sz w:val="24"/>
                <w:szCs w:val="24"/>
                <w:highlight w:val="none"/>
                <w:lang w:eastAsia="zh-CN"/>
              </w:rPr>
            </w:pPr>
            <w:r>
              <w:rPr>
                <w:rFonts w:hint="default" w:ascii="仿宋_GB2312" w:hAnsi="仿宋_GB2312" w:eastAsia="仿宋_GB2312" w:cs="仿宋_GB2312"/>
                <w:sz w:val="24"/>
                <w:szCs w:val="24"/>
                <w:highlight w:val="none"/>
                <w:lang w:eastAsia="zh-CN"/>
              </w:rPr>
              <w:t>38</w:t>
            </w:r>
          </w:p>
        </w:tc>
        <w:tc>
          <w:tcPr>
            <w:tcW w:w="1395" w:type="dxa"/>
            <w:vMerge w:val="restart"/>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rPr>
              <w:t>部分帮扶协作项目未充分发挥资金效益</w:t>
            </w:r>
          </w:p>
        </w:tc>
        <w:tc>
          <w:tcPr>
            <w:tcW w:w="49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与企业合作共建的农业综合市场项目存在烂尾风险，涉及协作资金2,000万元。</w:t>
            </w:r>
          </w:p>
        </w:tc>
        <w:tc>
          <w:tcPr>
            <w:tcW w:w="2576" w:type="dxa"/>
            <w:vMerge w:val="restart"/>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东西部协作前方工作机构</w:t>
            </w:r>
          </w:p>
        </w:tc>
        <w:tc>
          <w:tcPr>
            <w:tcW w:w="3312" w:type="dxa"/>
            <w:vMerge w:val="restart"/>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东西部协作前方工作机构</w:t>
            </w:r>
            <w:r>
              <w:rPr>
                <w:rFonts w:hint="eastAsia" w:ascii="仿宋_GB2312" w:hAnsi="仿宋_GB2312" w:eastAsia="仿宋_GB2312" w:cs="仿宋_GB2312"/>
                <w:sz w:val="24"/>
                <w:szCs w:val="24"/>
                <w:highlight w:val="none"/>
                <w:lang w:eastAsia="zh-CN"/>
              </w:rPr>
              <w:t>要</w:t>
            </w:r>
            <w:r>
              <w:rPr>
                <w:rFonts w:hint="eastAsia" w:ascii="仿宋_GB2312" w:hAnsi="仿宋_GB2312" w:eastAsia="仿宋_GB2312" w:cs="仿宋_GB2312"/>
                <w:sz w:val="24"/>
                <w:szCs w:val="24"/>
                <w:highlight w:val="none"/>
                <w:lang w:val="zh-TW" w:eastAsia="zh-TW"/>
              </w:rPr>
              <w:t>督促和指导</w:t>
            </w:r>
            <w:r>
              <w:rPr>
                <w:rFonts w:hint="eastAsia" w:ascii="仿宋_GB2312" w:hAnsi="仿宋_GB2312" w:eastAsia="仿宋_GB2312" w:cs="仿宋_GB2312"/>
                <w:sz w:val="24"/>
                <w:szCs w:val="24"/>
                <w:highlight w:val="none"/>
                <w:lang w:val="en-US"/>
              </w:rPr>
              <w:t>结对</w:t>
            </w:r>
            <w:r>
              <w:rPr>
                <w:rFonts w:hint="eastAsia" w:ascii="仿宋_GB2312" w:hAnsi="仿宋_GB2312" w:eastAsia="仿宋_GB2312" w:cs="仿宋_GB2312"/>
                <w:sz w:val="24"/>
                <w:szCs w:val="24"/>
                <w:highlight w:val="none"/>
                <w:lang w:val="zh-TW" w:eastAsia="zh-TW"/>
              </w:rPr>
              <w:t>县加强协作资金管理，推动项目规范建设、实现预期效果</w:t>
            </w:r>
            <w:r>
              <w:rPr>
                <w:rFonts w:hint="eastAsia" w:ascii="仿宋_GB2312" w:hAnsi="仿宋_GB2312" w:eastAsia="仿宋_GB2312" w:cs="仿宋_GB2312"/>
                <w:sz w:val="24"/>
                <w:szCs w:val="24"/>
                <w:highlight w:val="none"/>
                <w:lang w:val="zh-TW"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7" w:hRule="atLeast"/>
          <w:jc w:val="center"/>
        </w:trPr>
        <w:tc>
          <w:tcPr>
            <w:tcW w:w="92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sz w:val="24"/>
                <w:highlight w:val="none"/>
              </w:rPr>
            </w:pPr>
          </w:p>
        </w:tc>
        <w:tc>
          <w:tcPr>
            <w:tcW w:w="1175"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sz w:val="24"/>
                <w:highlight w:val="none"/>
              </w:rPr>
            </w:pPr>
          </w:p>
        </w:tc>
        <w:tc>
          <w:tcPr>
            <w:tcW w:w="834"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sz w:val="24"/>
                <w:highlight w:val="none"/>
                <w:lang w:eastAsia="zh-CN"/>
              </w:rPr>
            </w:pPr>
            <w:r>
              <w:rPr>
                <w:rFonts w:hint="default" w:ascii="仿宋_GB2312" w:hAnsi="仿宋_GB2312" w:eastAsia="仿宋_GB2312" w:cs="仿宋_GB2312"/>
                <w:sz w:val="24"/>
                <w:szCs w:val="24"/>
                <w:highlight w:val="none"/>
                <w:lang w:eastAsia="zh-CN"/>
              </w:rPr>
              <w:t>39</w:t>
            </w:r>
          </w:p>
        </w:tc>
        <w:tc>
          <w:tcPr>
            <w:tcW w:w="1395"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sz w:val="24"/>
                <w:highlight w:val="none"/>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2个协作项目部分建设内容因前期工作不充分，导致建成后不久被损毁或拆除，造成资金损失浪费92.74万元。</w:t>
            </w:r>
          </w:p>
        </w:tc>
        <w:tc>
          <w:tcPr>
            <w:tcW w:w="2576"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kern w:val="2"/>
                <w:sz w:val="24"/>
                <w:szCs w:val="24"/>
                <w:highlight w:val="none"/>
                <w:lang w:val="en-US" w:eastAsia="zh-CN" w:bidi="ar-SA"/>
              </w:rPr>
            </w:pPr>
          </w:p>
        </w:tc>
        <w:tc>
          <w:tcPr>
            <w:tcW w:w="331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3" w:hRule="atLeast"/>
          <w:jc w:val="center"/>
        </w:trPr>
        <w:tc>
          <w:tcPr>
            <w:tcW w:w="92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sz w:val="24"/>
                <w:highlight w:val="none"/>
              </w:rPr>
            </w:pPr>
          </w:p>
        </w:tc>
        <w:tc>
          <w:tcPr>
            <w:tcW w:w="1175"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sz w:val="24"/>
                <w:szCs w:val="24"/>
                <w:highlight w:val="none"/>
              </w:rPr>
            </w:pPr>
          </w:p>
        </w:tc>
        <w:tc>
          <w:tcPr>
            <w:tcW w:w="834"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default"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4</w:t>
            </w:r>
            <w:r>
              <w:rPr>
                <w:rFonts w:hint="default" w:ascii="仿宋_GB2312" w:hAnsi="仿宋_GB2312" w:eastAsia="仿宋_GB2312" w:cs="仿宋_GB2312"/>
                <w:sz w:val="24"/>
                <w:szCs w:val="24"/>
                <w:highlight w:val="none"/>
                <w:lang w:eastAsia="zh-CN"/>
              </w:rPr>
              <w:t>0</w:t>
            </w:r>
          </w:p>
        </w:tc>
        <w:tc>
          <w:tcPr>
            <w:tcW w:w="1395"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sz w:val="24"/>
                <w:szCs w:val="24"/>
                <w:highlight w:val="none"/>
              </w:rPr>
            </w:pPr>
          </w:p>
        </w:tc>
        <w:tc>
          <w:tcPr>
            <w:tcW w:w="4961"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由于《广东帮扶广西财政协作资金管理办法》未明确协作项目建成后的资产产权归属、投资资金到期后续用途，3个协作项目涉及1,500万元协作资金存在违规使用的风险。审计指出问题后，有关制度已作修改完善。</w:t>
            </w:r>
          </w:p>
        </w:tc>
        <w:tc>
          <w:tcPr>
            <w:tcW w:w="2576"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sz w:val="24"/>
                <w:szCs w:val="24"/>
                <w:highlight w:val="none"/>
              </w:rPr>
            </w:pPr>
          </w:p>
        </w:tc>
        <w:tc>
          <w:tcPr>
            <w:tcW w:w="331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0" w:hRule="atLeast"/>
          <w:jc w:val="center"/>
        </w:trPr>
        <w:tc>
          <w:tcPr>
            <w:tcW w:w="927" w:type="dxa"/>
            <w:vMerge w:val="restart"/>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sz w:val="24"/>
                <w:szCs w:val="24"/>
                <w:highlight w:val="none"/>
              </w:rPr>
              <w:t>三、提高民生服务水平方面</w:t>
            </w:r>
          </w:p>
        </w:tc>
        <w:tc>
          <w:tcPr>
            <w:tcW w:w="1175" w:type="dxa"/>
            <w:vMerge w:val="restart"/>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医保相关政策措施落实存在不足</w:t>
            </w:r>
          </w:p>
        </w:tc>
        <w:tc>
          <w:tcPr>
            <w:tcW w:w="834"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default" w:ascii="仿宋_GB2312" w:hAnsi="仿宋_GB2312" w:eastAsia="仿宋_GB2312" w:cs="仿宋_GB2312"/>
                <w:kern w:val="2"/>
                <w:sz w:val="24"/>
                <w:szCs w:val="24"/>
                <w:highlight w:val="none"/>
                <w:lang w:eastAsia="zh-CN" w:bidi="ar-SA"/>
              </w:rPr>
            </w:pPr>
            <w:r>
              <w:rPr>
                <w:rFonts w:hint="eastAsia" w:ascii="仿宋_GB2312" w:hAnsi="仿宋_GB2312" w:eastAsia="仿宋_GB2312" w:cs="仿宋_GB2312"/>
                <w:sz w:val="24"/>
                <w:szCs w:val="24"/>
                <w:highlight w:val="none"/>
                <w:lang w:val="en-US" w:eastAsia="zh-CN"/>
              </w:rPr>
              <w:t>4</w:t>
            </w:r>
            <w:r>
              <w:rPr>
                <w:rFonts w:hint="default" w:ascii="仿宋_GB2312" w:hAnsi="仿宋_GB2312" w:eastAsia="仿宋_GB2312" w:cs="仿宋_GB2312"/>
                <w:sz w:val="24"/>
                <w:szCs w:val="24"/>
                <w:highlight w:val="none"/>
                <w:lang w:eastAsia="zh-CN"/>
              </w:rPr>
              <w:t>1</w:t>
            </w:r>
          </w:p>
        </w:tc>
        <w:tc>
          <w:tcPr>
            <w:tcW w:w="1395"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公立医疗机构耗材在平台的采购率偏低</w:t>
            </w:r>
          </w:p>
        </w:tc>
        <w:tc>
          <w:tcPr>
            <w:tcW w:w="49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市医疗保障局委托深圳交易集团搭建、维护和运行医用耗材阳光交易和监管平台，自2020年9月启动以来，66家公立医疗机构2021年平台采购金额仅占全年采购总额的24.14%。主要原因是市医疗保障局未指导监督平台服务商及时完善运营和管理。</w:t>
            </w:r>
          </w:p>
        </w:tc>
        <w:tc>
          <w:tcPr>
            <w:tcW w:w="2576"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bCs/>
                <w:sz w:val="24"/>
                <w:highlight w:val="none"/>
                <w:lang w:val="zh-TW" w:eastAsia="zh-TW"/>
              </w:rPr>
              <w:t>市医</w:t>
            </w:r>
            <w:r>
              <w:rPr>
                <w:rFonts w:hint="eastAsia" w:ascii="仿宋_GB2312" w:hAnsi="仿宋_GB2312" w:eastAsia="仿宋_GB2312" w:cs="仿宋_GB2312"/>
                <w:bCs/>
                <w:sz w:val="24"/>
                <w:highlight w:val="none"/>
              </w:rPr>
              <w:t>疗保障</w:t>
            </w:r>
            <w:r>
              <w:rPr>
                <w:rFonts w:hint="eastAsia" w:ascii="仿宋_GB2312" w:hAnsi="仿宋_GB2312" w:eastAsia="仿宋_GB2312" w:cs="仿宋_GB2312"/>
                <w:bCs/>
                <w:sz w:val="24"/>
                <w:highlight w:val="none"/>
                <w:lang w:val="zh-TW" w:eastAsia="zh-TW"/>
              </w:rPr>
              <w:t>局</w:t>
            </w:r>
            <w:r>
              <w:rPr>
                <w:rFonts w:hint="eastAsia" w:ascii="仿宋_GB2312" w:hAnsi="仿宋_GB2312" w:eastAsia="仿宋_GB2312" w:cs="仿宋_GB2312"/>
                <w:bCs/>
                <w:sz w:val="24"/>
                <w:highlight w:val="none"/>
                <w:lang w:val="zh-TW"/>
              </w:rPr>
              <w:t>、</w:t>
            </w:r>
            <w:r>
              <w:rPr>
                <w:rFonts w:hint="eastAsia" w:ascii="仿宋_GB2312" w:hAnsi="仿宋_GB2312" w:eastAsia="仿宋_GB2312" w:cs="仿宋_GB2312"/>
                <w:bCs/>
                <w:sz w:val="24"/>
                <w:highlight w:val="none"/>
              </w:rPr>
              <w:t>深圳交易集团</w:t>
            </w:r>
          </w:p>
        </w:tc>
        <w:tc>
          <w:tcPr>
            <w:tcW w:w="3312"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bCs/>
                <w:sz w:val="24"/>
                <w:highlight w:val="none"/>
                <w:lang w:val="zh-TW" w:eastAsia="zh-TW"/>
              </w:rPr>
              <w:t>市医</w:t>
            </w:r>
            <w:r>
              <w:rPr>
                <w:rFonts w:hint="eastAsia" w:ascii="仿宋_GB2312" w:hAnsi="仿宋_GB2312" w:eastAsia="仿宋_GB2312" w:cs="仿宋_GB2312"/>
                <w:bCs/>
                <w:sz w:val="24"/>
                <w:highlight w:val="none"/>
              </w:rPr>
              <w:t>疗保障</w:t>
            </w:r>
            <w:r>
              <w:rPr>
                <w:rFonts w:hint="eastAsia" w:ascii="仿宋_GB2312" w:hAnsi="仿宋_GB2312" w:eastAsia="仿宋_GB2312" w:cs="仿宋_GB2312"/>
                <w:bCs/>
                <w:sz w:val="24"/>
                <w:highlight w:val="none"/>
                <w:lang w:val="zh-TW" w:eastAsia="zh-TW"/>
              </w:rPr>
              <w:t>局</w:t>
            </w:r>
            <w:r>
              <w:rPr>
                <w:rFonts w:hint="eastAsia" w:ascii="仿宋_GB2312" w:hAnsi="仿宋_GB2312" w:eastAsia="仿宋_GB2312" w:cs="仿宋_GB2312"/>
                <w:bCs/>
                <w:sz w:val="24"/>
                <w:highlight w:val="none"/>
              </w:rPr>
              <w:t>要督促深圳交易集团做好</w:t>
            </w:r>
            <w:r>
              <w:rPr>
                <w:rFonts w:hint="eastAsia" w:ascii="仿宋_GB2312" w:hAnsi="仿宋_GB2312" w:eastAsia="仿宋_GB2312" w:cs="仿宋_GB2312"/>
                <w:bCs/>
                <w:sz w:val="24"/>
                <w:highlight w:val="none"/>
                <w:lang w:val="zh-TW" w:eastAsia="zh-TW"/>
              </w:rPr>
              <w:t>医用耗材阳光交易和监管平台</w:t>
            </w:r>
            <w:r>
              <w:rPr>
                <w:rFonts w:hint="eastAsia" w:ascii="仿宋_GB2312" w:hAnsi="仿宋_GB2312" w:eastAsia="仿宋_GB2312" w:cs="仿宋_GB2312"/>
                <w:bCs/>
                <w:sz w:val="24"/>
                <w:highlight w:val="none"/>
              </w:rPr>
              <w:t>的</w:t>
            </w:r>
            <w:r>
              <w:rPr>
                <w:rFonts w:hint="eastAsia" w:ascii="仿宋_GB2312" w:hAnsi="仿宋_GB2312" w:eastAsia="仿宋_GB2312" w:cs="仿宋_GB2312"/>
                <w:bCs/>
                <w:sz w:val="24"/>
                <w:highlight w:val="none"/>
                <w:lang w:val="zh-TW" w:eastAsia="zh-TW"/>
              </w:rPr>
              <w:t>运</w:t>
            </w:r>
            <w:r>
              <w:rPr>
                <w:rFonts w:hint="eastAsia" w:ascii="仿宋_GB2312" w:hAnsi="仿宋_GB2312" w:eastAsia="仿宋_GB2312" w:cs="仿宋_GB2312"/>
                <w:bCs/>
                <w:sz w:val="24"/>
                <w:highlight w:val="none"/>
              </w:rPr>
              <w:t>维</w:t>
            </w:r>
            <w:r>
              <w:rPr>
                <w:rFonts w:hint="eastAsia" w:ascii="仿宋_GB2312" w:hAnsi="仿宋_GB2312" w:eastAsia="仿宋_GB2312" w:cs="仿宋_GB2312"/>
                <w:bCs/>
                <w:sz w:val="24"/>
                <w:highlight w:val="none"/>
                <w:lang w:val="zh-TW" w:eastAsia="zh-TW"/>
              </w:rPr>
              <w:t>，切实推进医用耗材阳光交易工作</w:t>
            </w:r>
            <w:r>
              <w:rPr>
                <w:rFonts w:hint="eastAsia" w:ascii="仿宋_GB2312" w:hAnsi="仿宋_GB2312" w:eastAsia="仿宋_GB2312" w:cs="仿宋_GB2312"/>
                <w:bCs/>
                <w:sz w:val="24"/>
                <w:highlight w:val="none"/>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0" w:hRule="atLeast"/>
          <w:jc w:val="center"/>
        </w:trPr>
        <w:tc>
          <w:tcPr>
            <w:tcW w:w="92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sz w:val="24"/>
                <w:szCs w:val="24"/>
                <w:highlight w:val="none"/>
              </w:rPr>
            </w:pPr>
          </w:p>
        </w:tc>
        <w:tc>
          <w:tcPr>
            <w:tcW w:w="1175"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sz w:val="24"/>
                <w:szCs w:val="24"/>
                <w:highlight w:val="none"/>
              </w:rPr>
            </w:pPr>
          </w:p>
        </w:tc>
        <w:tc>
          <w:tcPr>
            <w:tcW w:w="834"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default" w:ascii="仿宋_GB2312" w:hAnsi="仿宋_GB2312" w:eastAsia="仿宋_GB2312" w:cs="仿宋_GB2312"/>
                <w:kern w:val="2"/>
                <w:sz w:val="24"/>
                <w:szCs w:val="24"/>
                <w:highlight w:val="none"/>
                <w:lang w:eastAsia="zh-CN" w:bidi="ar-SA"/>
              </w:rPr>
            </w:pPr>
            <w:r>
              <w:rPr>
                <w:rFonts w:hint="eastAsia" w:ascii="仿宋_GB2312" w:hAnsi="仿宋_GB2312" w:eastAsia="仿宋_GB2312" w:cs="仿宋_GB2312"/>
                <w:sz w:val="24"/>
                <w:szCs w:val="24"/>
                <w:highlight w:val="none"/>
                <w:lang w:val="en-US" w:eastAsia="zh-CN"/>
              </w:rPr>
              <w:t>4</w:t>
            </w:r>
            <w:r>
              <w:rPr>
                <w:rFonts w:hint="default" w:ascii="仿宋_GB2312" w:hAnsi="仿宋_GB2312" w:eastAsia="仿宋_GB2312" w:cs="仿宋_GB2312"/>
                <w:sz w:val="24"/>
                <w:szCs w:val="24"/>
                <w:highlight w:val="none"/>
                <w:lang w:eastAsia="zh-CN"/>
              </w:rPr>
              <w:t>2</w:t>
            </w:r>
          </w:p>
        </w:tc>
        <w:tc>
          <w:tcPr>
            <w:tcW w:w="1395"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rPr>
              <w:t>部分医保自助设备使用率偏低</w:t>
            </w:r>
          </w:p>
        </w:tc>
        <w:tc>
          <w:tcPr>
            <w:tcW w:w="49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市医疗保险基金管理中心于2020年，分两次共采购178台医保自助设备。2021年，30台设备平均每台每月办理业务2.8单；截至2022年5月20日，市医疗保险基金管理中心仍未根据其闲置状态动态调整自助设备布局。</w:t>
            </w:r>
          </w:p>
        </w:tc>
        <w:tc>
          <w:tcPr>
            <w:tcW w:w="2576"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kern w:val="2"/>
                <w:sz w:val="24"/>
                <w:szCs w:val="24"/>
                <w:highlight w:val="none"/>
                <w:lang w:val="zh-TW" w:eastAsia="zh-TW" w:bidi="ar-SA"/>
              </w:rPr>
            </w:pPr>
            <w:r>
              <w:rPr>
                <w:rFonts w:hint="eastAsia" w:ascii="仿宋_GB2312" w:hAnsi="仿宋_GB2312" w:eastAsia="仿宋_GB2312" w:cs="仿宋_GB2312"/>
                <w:bCs/>
                <w:sz w:val="24"/>
                <w:highlight w:val="none"/>
                <w:lang w:val="zh-TW" w:eastAsia="zh-TW"/>
              </w:rPr>
              <w:t>市医</w:t>
            </w:r>
            <w:r>
              <w:rPr>
                <w:rFonts w:hint="eastAsia" w:ascii="仿宋_GB2312" w:hAnsi="仿宋_GB2312" w:eastAsia="仿宋_GB2312" w:cs="仿宋_GB2312"/>
                <w:bCs/>
                <w:sz w:val="24"/>
                <w:highlight w:val="none"/>
              </w:rPr>
              <w:t>疗保障</w:t>
            </w:r>
            <w:r>
              <w:rPr>
                <w:rFonts w:hint="eastAsia" w:ascii="仿宋_GB2312" w:hAnsi="仿宋_GB2312" w:eastAsia="仿宋_GB2312" w:cs="仿宋_GB2312"/>
                <w:bCs/>
                <w:sz w:val="24"/>
                <w:highlight w:val="none"/>
                <w:lang w:val="zh-TW" w:eastAsia="zh-TW"/>
              </w:rPr>
              <w:t>局</w:t>
            </w:r>
          </w:p>
        </w:tc>
        <w:tc>
          <w:tcPr>
            <w:tcW w:w="3312"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kern w:val="2"/>
                <w:sz w:val="24"/>
                <w:szCs w:val="24"/>
                <w:highlight w:val="none"/>
                <w:lang w:val="zh-TW" w:eastAsia="zh-TW" w:bidi="ar-SA"/>
              </w:rPr>
            </w:pPr>
            <w:r>
              <w:rPr>
                <w:rFonts w:hint="eastAsia" w:ascii="仿宋_GB2312" w:hAnsi="仿宋_GB2312" w:eastAsia="仿宋_GB2312" w:cs="仿宋_GB2312"/>
                <w:bCs/>
                <w:sz w:val="24"/>
                <w:highlight w:val="none"/>
                <w:lang w:val="zh-TW" w:eastAsia="zh-TW"/>
              </w:rPr>
              <w:t>市医</w:t>
            </w:r>
            <w:r>
              <w:rPr>
                <w:rFonts w:hint="eastAsia" w:ascii="仿宋_GB2312" w:hAnsi="仿宋_GB2312" w:eastAsia="仿宋_GB2312" w:cs="仿宋_GB2312"/>
                <w:bCs/>
                <w:sz w:val="24"/>
                <w:highlight w:val="none"/>
              </w:rPr>
              <w:t>疗保障</w:t>
            </w:r>
            <w:r>
              <w:rPr>
                <w:rFonts w:hint="eastAsia" w:ascii="仿宋_GB2312" w:hAnsi="仿宋_GB2312" w:eastAsia="仿宋_GB2312" w:cs="仿宋_GB2312"/>
                <w:bCs/>
                <w:sz w:val="24"/>
                <w:highlight w:val="none"/>
                <w:lang w:val="zh-TW" w:eastAsia="zh-TW"/>
              </w:rPr>
              <w:t>局</w:t>
            </w:r>
            <w:r>
              <w:rPr>
                <w:rFonts w:hint="eastAsia" w:ascii="仿宋_GB2312" w:hAnsi="仿宋_GB2312" w:eastAsia="仿宋_GB2312" w:cs="仿宋_GB2312"/>
                <w:bCs/>
                <w:sz w:val="24"/>
                <w:highlight w:val="none"/>
              </w:rPr>
              <w:t>要合理优化布局自助服务设备，提升医保服务下沉基层的质量。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0" w:hRule="atLeast"/>
          <w:jc w:val="center"/>
        </w:trPr>
        <w:tc>
          <w:tcPr>
            <w:tcW w:w="927"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rPr>
              <w:t>三、提高民生服务水平方面</w:t>
            </w:r>
          </w:p>
        </w:tc>
        <w:tc>
          <w:tcPr>
            <w:tcW w:w="1175"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医保相关政策措施落实存在不足</w:t>
            </w:r>
          </w:p>
        </w:tc>
        <w:tc>
          <w:tcPr>
            <w:tcW w:w="834"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default" w:ascii="仿宋_GB2312" w:hAnsi="仿宋_GB2312" w:eastAsia="仿宋_GB2312" w:cs="仿宋_GB2312"/>
                <w:kern w:val="2"/>
                <w:sz w:val="24"/>
                <w:szCs w:val="24"/>
                <w:highlight w:val="none"/>
                <w:lang w:eastAsia="zh-CN" w:bidi="ar-SA"/>
              </w:rPr>
            </w:pPr>
            <w:r>
              <w:rPr>
                <w:rFonts w:hint="eastAsia" w:ascii="仿宋_GB2312" w:hAnsi="仿宋_GB2312" w:eastAsia="仿宋_GB2312" w:cs="仿宋_GB2312"/>
                <w:kern w:val="2"/>
                <w:sz w:val="24"/>
                <w:szCs w:val="24"/>
                <w:highlight w:val="none"/>
                <w:lang w:val="en-US" w:eastAsia="zh-CN" w:bidi="ar-SA"/>
              </w:rPr>
              <w:t>4</w:t>
            </w:r>
            <w:r>
              <w:rPr>
                <w:rFonts w:hint="default" w:ascii="仿宋_GB2312" w:hAnsi="仿宋_GB2312" w:eastAsia="仿宋_GB2312" w:cs="仿宋_GB2312"/>
                <w:kern w:val="2"/>
                <w:sz w:val="24"/>
                <w:szCs w:val="24"/>
                <w:highlight w:val="none"/>
                <w:lang w:eastAsia="zh-CN" w:bidi="ar-SA"/>
              </w:rPr>
              <w:t>3</w:t>
            </w:r>
          </w:p>
        </w:tc>
        <w:tc>
          <w:tcPr>
            <w:tcW w:w="1395"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rPr>
              <w:t>部分医保服务社区网点利用率低</w:t>
            </w:r>
          </w:p>
        </w:tc>
        <w:tc>
          <w:tcPr>
            <w:tcW w:w="49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2021年，全市区、街道、社区等基层服务网点共受理141,773宗医保经办业务，其中在社区网点办理4,871宗，仅占比3.44%；全年无业务量的网点448个，占比67.17%；业务量在1至12宗的网点100个，占比14.99%，影响财政资金使用效益。</w:t>
            </w:r>
          </w:p>
        </w:tc>
        <w:tc>
          <w:tcPr>
            <w:tcW w:w="2576"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kern w:val="2"/>
                <w:sz w:val="24"/>
                <w:szCs w:val="24"/>
                <w:highlight w:val="none"/>
                <w:lang w:val="zh-TW" w:eastAsia="zh-TW" w:bidi="ar-SA"/>
              </w:rPr>
            </w:pPr>
            <w:r>
              <w:rPr>
                <w:rFonts w:hint="eastAsia" w:ascii="仿宋_GB2312" w:hAnsi="仿宋_GB2312" w:eastAsia="仿宋_GB2312" w:cs="仿宋_GB2312"/>
                <w:bCs/>
                <w:sz w:val="24"/>
                <w:highlight w:val="none"/>
                <w:lang w:val="zh-TW" w:eastAsia="zh-TW"/>
              </w:rPr>
              <w:t>市医</w:t>
            </w:r>
            <w:r>
              <w:rPr>
                <w:rFonts w:hint="eastAsia" w:ascii="仿宋_GB2312" w:hAnsi="仿宋_GB2312" w:eastAsia="仿宋_GB2312" w:cs="仿宋_GB2312"/>
                <w:bCs/>
                <w:sz w:val="24"/>
                <w:highlight w:val="none"/>
              </w:rPr>
              <w:t>疗保障</w:t>
            </w:r>
            <w:r>
              <w:rPr>
                <w:rFonts w:hint="eastAsia" w:ascii="仿宋_GB2312" w:hAnsi="仿宋_GB2312" w:eastAsia="仿宋_GB2312" w:cs="仿宋_GB2312"/>
                <w:bCs/>
                <w:sz w:val="24"/>
                <w:highlight w:val="none"/>
                <w:lang w:val="zh-TW" w:eastAsia="zh-TW"/>
              </w:rPr>
              <w:t>局</w:t>
            </w:r>
          </w:p>
        </w:tc>
        <w:tc>
          <w:tcPr>
            <w:tcW w:w="3312"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kern w:val="2"/>
                <w:sz w:val="24"/>
                <w:szCs w:val="24"/>
                <w:highlight w:val="none"/>
                <w:lang w:val="zh-TW" w:eastAsia="zh-TW" w:bidi="ar-SA"/>
              </w:rPr>
            </w:pPr>
            <w:r>
              <w:rPr>
                <w:rFonts w:hint="eastAsia" w:ascii="仿宋_GB2312" w:hAnsi="仿宋_GB2312" w:eastAsia="仿宋_GB2312" w:cs="仿宋_GB2312"/>
                <w:bCs/>
                <w:sz w:val="24"/>
                <w:highlight w:val="none"/>
                <w:lang w:val="zh-TW" w:eastAsia="zh-TW"/>
              </w:rPr>
              <w:t>市医</w:t>
            </w:r>
            <w:r>
              <w:rPr>
                <w:rFonts w:hint="eastAsia" w:ascii="仿宋_GB2312" w:hAnsi="仿宋_GB2312" w:eastAsia="仿宋_GB2312" w:cs="仿宋_GB2312"/>
                <w:bCs/>
                <w:sz w:val="24"/>
                <w:highlight w:val="none"/>
              </w:rPr>
              <w:t>疗保障</w:t>
            </w:r>
            <w:r>
              <w:rPr>
                <w:rFonts w:hint="eastAsia" w:ascii="仿宋_GB2312" w:hAnsi="仿宋_GB2312" w:eastAsia="仿宋_GB2312" w:cs="仿宋_GB2312"/>
                <w:bCs/>
                <w:sz w:val="24"/>
                <w:highlight w:val="none"/>
                <w:lang w:val="zh-TW" w:eastAsia="zh-TW"/>
              </w:rPr>
              <w:t>局</w:t>
            </w:r>
            <w:r>
              <w:rPr>
                <w:rFonts w:hint="eastAsia" w:ascii="仿宋_GB2312" w:hAnsi="仿宋_GB2312" w:eastAsia="仿宋_GB2312" w:cs="仿宋_GB2312"/>
                <w:bCs/>
                <w:sz w:val="24"/>
                <w:highlight w:val="none"/>
              </w:rPr>
              <w:t>要合理优化布局社区服务网点，提升医保服务下沉基层的质量。</w:t>
            </w:r>
          </w:p>
        </w:tc>
      </w:tr>
    </w:tbl>
    <w:p/>
    <w:sectPr>
      <w:pgSz w:w="16838" w:h="11906" w:orient="landscape"/>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4YmNhZmY3NDJiY2Q0NDAyY2I4OGI2YzFlM2Q5N2YifQ=="/>
  </w:docVars>
  <w:rsids>
    <w:rsidRoot w:val="3E6941D7"/>
    <w:rsid w:val="3E6941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0"/>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6242</Words>
  <Characters>6579</Characters>
  <Lines>0</Lines>
  <Paragraphs>0</Paragraphs>
  <TotalTime>1</TotalTime>
  <ScaleCrop>false</ScaleCrop>
  <LinksUpToDate>false</LinksUpToDate>
  <CharactersWithSpaces>6579</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2022-12-27T09:51:00Z</dcterms:created>
  <dc:creator>Yang 矒</dc:creator>
  <cp:lastModifiedBy>Yang 矒</cp:lastModifiedBy>
  <dcterms:modified xsi:type="dcterms:W3CDTF">2022-12-27T09:54:09Z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0004B4343D63434AB3C92415C99FA291</vt:lpwstr>
  </property>
</Properties>
</file>