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r>
        <w:rPr>
          <w:rFonts w:hint="eastAsia" w:ascii="仿宋_GB2312" w:eastAsia="仿宋_GB2312"/>
          <w:b/>
          <w:sz w:val="32"/>
          <w:szCs w:val="32"/>
        </w:rPr>
        <w:t>附件1</w:t>
      </w:r>
    </w:p>
    <w:p>
      <w:pPr>
        <w:jc w:val="center"/>
        <w:rPr>
          <w:rFonts w:hint="eastAsia" w:ascii="仿宋_GB2312" w:eastAsia="仿宋_GB2312"/>
          <w:b/>
          <w:sz w:val="32"/>
          <w:szCs w:val="32"/>
        </w:rPr>
      </w:pPr>
      <w:r>
        <w:rPr>
          <w:rFonts w:hint="eastAsia" w:ascii="仿宋_GB2312" w:eastAsia="仿宋_GB2312"/>
          <w:b/>
          <w:bCs/>
          <w:sz w:val="32"/>
          <w:szCs w:val="32"/>
        </w:rPr>
        <w:t>202</w:t>
      </w:r>
      <w:r>
        <w:rPr>
          <w:rFonts w:hint="eastAsia" w:ascii="仿宋_GB2312" w:eastAsia="仿宋_GB2312"/>
          <w:b/>
          <w:bCs/>
          <w:sz w:val="32"/>
          <w:szCs w:val="32"/>
          <w:lang w:val="en-US" w:eastAsia="zh-CN"/>
        </w:rPr>
        <w:t>2</w:t>
      </w:r>
      <w:r>
        <w:rPr>
          <w:rFonts w:hint="eastAsia" w:ascii="仿宋_GB2312" w:eastAsia="仿宋_GB2312"/>
          <w:b/>
          <w:bCs/>
          <w:sz w:val="32"/>
          <w:szCs w:val="32"/>
        </w:rPr>
        <w:t>年</w:t>
      </w:r>
      <w:r>
        <w:rPr>
          <w:rFonts w:hint="eastAsia" w:ascii="仿宋_GB2312" w:eastAsia="仿宋_GB2312"/>
          <w:b/>
          <w:bCs/>
          <w:sz w:val="32"/>
          <w:szCs w:val="32"/>
          <w:lang w:eastAsia="zh-CN"/>
        </w:rPr>
        <w:t>市级体育赛事防疫工作人员配餐服务</w:t>
      </w:r>
      <w:r>
        <w:rPr>
          <w:rFonts w:hint="eastAsia" w:ascii="仿宋_GB2312" w:eastAsia="仿宋_GB2312"/>
          <w:b/>
          <w:bCs/>
          <w:sz w:val="32"/>
          <w:szCs w:val="32"/>
        </w:rPr>
        <w:t>项目</w:t>
      </w:r>
    </w:p>
    <w:p>
      <w:pPr>
        <w:jc w:val="center"/>
        <w:rPr>
          <w:rFonts w:hint="eastAsia" w:ascii="仿宋_GB2312" w:eastAsia="仿宋_GB2312"/>
          <w:b/>
          <w:sz w:val="32"/>
          <w:szCs w:val="32"/>
        </w:rPr>
      </w:pPr>
      <w:r>
        <w:rPr>
          <w:rFonts w:hint="eastAsia" w:ascii="仿宋_GB2312" w:eastAsia="仿宋_GB2312"/>
          <w:b/>
          <w:sz w:val="32"/>
          <w:szCs w:val="32"/>
        </w:rPr>
        <w:t>评审评分表</w:t>
      </w:r>
    </w:p>
    <w:tbl>
      <w:tblPr>
        <w:tblStyle w:val="4"/>
        <w:tblpPr w:leftFromText="180" w:rightFromText="180" w:vertAnchor="text" w:horzAnchor="margin" w:tblpXSpec="center" w:tblpY="249"/>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78"/>
        <w:gridCol w:w="692"/>
        <w:gridCol w:w="501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617" w:type="dxa"/>
            <w:vAlign w:val="center"/>
          </w:tcPr>
          <w:p>
            <w:pPr>
              <w:jc w:val="center"/>
              <w:rPr>
                <w:rFonts w:hint="eastAsia"/>
                <w:szCs w:val="21"/>
              </w:rPr>
            </w:pPr>
            <w:r>
              <w:rPr>
                <w:rFonts w:hint="eastAsia"/>
                <w:szCs w:val="21"/>
              </w:rPr>
              <w:t>序号</w:t>
            </w:r>
          </w:p>
        </w:tc>
        <w:tc>
          <w:tcPr>
            <w:tcW w:w="1078" w:type="dxa"/>
            <w:vAlign w:val="center"/>
          </w:tcPr>
          <w:p>
            <w:pPr>
              <w:jc w:val="center"/>
              <w:rPr>
                <w:rFonts w:hint="eastAsia"/>
                <w:szCs w:val="21"/>
              </w:rPr>
            </w:pPr>
            <w:r>
              <w:rPr>
                <w:rFonts w:hint="eastAsia"/>
                <w:szCs w:val="21"/>
              </w:rPr>
              <w:t>评分因素</w:t>
            </w:r>
          </w:p>
        </w:tc>
        <w:tc>
          <w:tcPr>
            <w:tcW w:w="692" w:type="dxa"/>
            <w:vAlign w:val="center"/>
          </w:tcPr>
          <w:p>
            <w:pPr>
              <w:jc w:val="center"/>
              <w:rPr>
                <w:rFonts w:hint="eastAsia"/>
                <w:szCs w:val="21"/>
              </w:rPr>
            </w:pPr>
            <w:r>
              <w:rPr>
                <w:rFonts w:hint="eastAsia"/>
                <w:szCs w:val="21"/>
              </w:rPr>
              <w:t>分值</w:t>
            </w:r>
          </w:p>
        </w:tc>
        <w:tc>
          <w:tcPr>
            <w:tcW w:w="5018" w:type="dxa"/>
            <w:vAlign w:val="center"/>
          </w:tcPr>
          <w:p>
            <w:pPr>
              <w:jc w:val="center"/>
              <w:rPr>
                <w:rFonts w:hint="eastAsia"/>
                <w:szCs w:val="21"/>
              </w:rPr>
            </w:pPr>
            <w:r>
              <w:rPr>
                <w:rFonts w:hint="eastAsia"/>
                <w:szCs w:val="21"/>
              </w:rPr>
              <w:t>评 价 内 容</w:t>
            </w:r>
          </w:p>
        </w:tc>
        <w:tc>
          <w:tcPr>
            <w:tcW w:w="1788"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7" w:type="dxa"/>
            <w:vMerge w:val="restart"/>
            <w:vAlign w:val="center"/>
          </w:tcPr>
          <w:p>
            <w:pPr>
              <w:jc w:val="center"/>
              <w:rPr>
                <w:rFonts w:hint="eastAsia"/>
                <w:szCs w:val="21"/>
              </w:rPr>
            </w:pPr>
            <w:r>
              <w:rPr>
                <w:rFonts w:hint="eastAsia"/>
                <w:szCs w:val="21"/>
              </w:rPr>
              <w:t>一</w:t>
            </w:r>
          </w:p>
        </w:tc>
        <w:tc>
          <w:tcPr>
            <w:tcW w:w="1078" w:type="dxa"/>
            <w:vMerge w:val="restart"/>
            <w:vAlign w:val="center"/>
          </w:tcPr>
          <w:p>
            <w:pPr>
              <w:jc w:val="center"/>
              <w:rPr>
                <w:rFonts w:hint="eastAsia"/>
                <w:szCs w:val="21"/>
              </w:rPr>
            </w:pPr>
            <w:r>
              <w:rPr>
                <w:rFonts w:hint="eastAsia"/>
                <w:szCs w:val="21"/>
              </w:rPr>
              <w:t>投标报价</w:t>
            </w:r>
          </w:p>
        </w:tc>
        <w:tc>
          <w:tcPr>
            <w:tcW w:w="692" w:type="dxa"/>
            <w:vMerge w:val="restart"/>
            <w:vAlign w:val="center"/>
          </w:tcPr>
          <w:p>
            <w:pPr>
              <w:jc w:val="center"/>
              <w:rPr>
                <w:szCs w:val="21"/>
              </w:rPr>
            </w:pPr>
            <w:r>
              <w:rPr>
                <w:rFonts w:hint="eastAsia"/>
                <w:szCs w:val="21"/>
              </w:rPr>
              <w:t>20</w:t>
            </w:r>
          </w:p>
        </w:tc>
        <w:tc>
          <w:tcPr>
            <w:tcW w:w="501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Cs w:val="21"/>
              </w:rPr>
            </w:pPr>
            <w:r>
              <w:rPr>
                <w:rFonts w:hint="eastAsia"/>
                <w:szCs w:val="21"/>
              </w:rPr>
              <w:t>综合评分法中的价格分统一采用低价优先法计算，即满足招标文件要求且投标价格最低的投标报价为评标基准价，其价格分为满分。其他投标人的价格分统一按照下列公式计算：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
                <w:szCs w:val="21"/>
              </w:rPr>
              <w:t>投标报价得分=（评标基准</w:t>
            </w:r>
            <w:r>
              <w:rPr>
                <w:rFonts w:hint="eastAsia" w:ascii="宋体" w:hAnsi="宋体"/>
                <w:b/>
                <w:szCs w:val="21"/>
              </w:rPr>
              <w:t>价/</w:t>
            </w:r>
            <w:r>
              <w:rPr>
                <w:rFonts w:hint="eastAsia"/>
                <w:b/>
                <w:szCs w:val="21"/>
              </w:rPr>
              <w:t>投标报价</w:t>
            </w:r>
            <w:r>
              <w:rPr>
                <w:rFonts w:hint="eastAsia" w:ascii="宋体" w:hAnsi="宋体"/>
                <w:b/>
                <w:szCs w:val="21"/>
              </w:rPr>
              <w:t>）×</w:t>
            </w:r>
            <w:r>
              <w:rPr>
                <w:rFonts w:hint="eastAsia"/>
                <w:b/>
                <w:szCs w:val="21"/>
              </w:rPr>
              <w:t>分值，得分精确到小数点后两位</w:t>
            </w:r>
          </w:p>
        </w:tc>
        <w:tc>
          <w:tcPr>
            <w:tcW w:w="1788" w:type="dxa"/>
            <w:vAlign w:val="center"/>
          </w:tcPr>
          <w:p>
            <w:pPr>
              <w:widowControl/>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报价</w:t>
            </w:r>
            <w:r>
              <w:rPr>
                <w:rFonts w:hint="eastAsia" w:ascii="仿宋_GB2312" w:hAnsi="宋体" w:eastAsia="仿宋_GB2312" w:cs="宋体"/>
                <w:color w:val="000000"/>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17" w:type="dxa"/>
            <w:vMerge w:val="continue"/>
            <w:vAlign w:val="center"/>
          </w:tcPr>
          <w:p>
            <w:pPr>
              <w:jc w:val="center"/>
              <w:rPr>
                <w:rFonts w:hint="eastAsia"/>
                <w:szCs w:val="21"/>
              </w:rPr>
            </w:pPr>
          </w:p>
        </w:tc>
        <w:tc>
          <w:tcPr>
            <w:tcW w:w="1078" w:type="dxa"/>
            <w:vMerge w:val="continue"/>
            <w:vAlign w:val="center"/>
          </w:tcPr>
          <w:p>
            <w:pPr>
              <w:jc w:val="center"/>
              <w:rPr>
                <w:rFonts w:hint="eastAsia"/>
                <w:szCs w:val="21"/>
              </w:rPr>
            </w:pPr>
          </w:p>
        </w:tc>
        <w:tc>
          <w:tcPr>
            <w:tcW w:w="692" w:type="dxa"/>
            <w:vMerge w:val="continue"/>
            <w:vAlign w:val="center"/>
          </w:tcPr>
          <w:p>
            <w:pPr>
              <w:jc w:val="center"/>
              <w:rPr>
                <w:rFonts w:hint="eastAsia"/>
                <w:szCs w:val="21"/>
              </w:rPr>
            </w:pPr>
          </w:p>
        </w:tc>
        <w:tc>
          <w:tcPr>
            <w:tcW w:w="50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Cs w:val="21"/>
              </w:rPr>
            </w:pPr>
          </w:p>
        </w:tc>
        <w:tc>
          <w:tcPr>
            <w:tcW w:w="1788" w:type="dxa"/>
            <w:vAlign w:val="center"/>
          </w:tcPr>
          <w:p>
            <w:pP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vAlign w:val="center"/>
          </w:tcPr>
          <w:p>
            <w:pPr>
              <w:jc w:val="center"/>
              <w:rPr>
                <w:rFonts w:hint="eastAsia"/>
                <w:b/>
                <w:szCs w:val="21"/>
              </w:rPr>
            </w:pPr>
            <w:r>
              <w:rPr>
                <w:rFonts w:hint="eastAsia"/>
                <w:b/>
                <w:szCs w:val="21"/>
              </w:rPr>
              <w:t>二</w:t>
            </w:r>
          </w:p>
        </w:tc>
        <w:tc>
          <w:tcPr>
            <w:tcW w:w="1078" w:type="dxa"/>
            <w:vAlign w:val="center"/>
          </w:tcPr>
          <w:p>
            <w:pPr>
              <w:jc w:val="center"/>
              <w:rPr>
                <w:rFonts w:hint="eastAsia"/>
                <w:szCs w:val="21"/>
              </w:rPr>
            </w:pPr>
            <w:r>
              <w:rPr>
                <w:rFonts w:hint="eastAsia"/>
                <w:szCs w:val="21"/>
              </w:rPr>
              <w:t>商务部分</w:t>
            </w:r>
          </w:p>
        </w:tc>
        <w:tc>
          <w:tcPr>
            <w:tcW w:w="692" w:type="dxa"/>
            <w:vAlign w:val="center"/>
          </w:tcPr>
          <w:p>
            <w:pPr>
              <w:jc w:val="center"/>
              <w:rPr>
                <w:rFonts w:hint="eastAsia"/>
                <w:szCs w:val="21"/>
              </w:rPr>
            </w:pPr>
            <w:r>
              <w:rPr>
                <w:rFonts w:hint="default"/>
                <w:szCs w:val="21"/>
                <w:lang w:val="en" w:eastAsia="zh-CN"/>
              </w:rPr>
              <w:t>1</w:t>
            </w:r>
            <w:r>
              <w:rPr>
                <w:rFonts w:hint="eastAsia"/>
                <w:szCs w:val="21"/>
              </w:rPr>
              <w:t>0</w:t>
            </w:r>
          </w:p>
        </w:tc>
        <w:tc>
          <w:tcPr>
            <w:tcW w:w="50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
                <w:szCs w:val="21"/>
              </w:rPr>
              <w:t>同类项目案例（</w:t>
            </w:r>
            <w:r>
              <w:rPr>
                <w:rFonts w:hint="eastAsia"/>
                <w:b/>
                <w:szCs w:val="21"/>
                <w:lang w:val="en-US" w:eastAsia="zh-CN"/>
              </w:rPr>
              <w:t>1</w:t>
            </w:r>
            <w:r>
              <w:rPr>
                <w:rFonts w:hint="eastAsia"/>
                <w:b/>
                <w:szCs w:val="21"/>
              </w:rPr>
              <w:t>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szCs w:val="21"/>
              </w:rPr>
            </w:pPr>
            <w:r>
              <w:rPr>
                <w:rFonts w:hint="eastAsia"/>
                <w:bCs/>
                <w:szCs w:val="21"/>
              </w:rPr>
              <w:t>提供近</w:t>
            </w:r>
            <w:r>
              <w:rPr>
                <w:rFonts w:hint="eastAsia"/>
                <w:bCs/>
                <w:szCs w:val="21"/>
                <w:highlight w:val="none"/>
                <w:lang w:eastAsia="zh-CN"/>
              </w:rPr>
              <w:t>三</w:t>
            </w:r>
            <w:r>
              <w:rPr>
                <w:rFonts w:hint="eastAsia"/>
                <w:bCs/>
                <w:szCs w:val="21"/>
                <w:highlight w:val="none"/>
              </w:rPr>
              <w:t>年内（从201</w:t>
            </w:r>
            <w:r>
              <w:rPr>
                <w:rFonts w:hint="eastAsia"/>
                <w:bCs/>
                <w:szCs w:val="21"/>
                <w:highlight w:val="none"/>
                <w:lang w:eastAsia="zh-CN"/>
              </w:rPr>
              <w:t>9</w:t>
            </w:r>
            <w:r>
              <w:rPr>
                <w:rFonts w:hint="eastAsia"/>
                <w:bCs/>
                <w:szCs w:val="21"/>
                <w:highlight w:val="none"/>
              </w:rPr>
              <w:t>年</w:t>
            </w:r>
            <w:r>
              <w:rPr>
                <w:rFonts w:hint="eastAsia"/>
                <w:bCs/>
                <w:szCs w:val="21"/>
                <w:highlight w:val="none"/>
                <w:lang w:val="en-US" w:eastAsia="zh-CN"/>
              </w:rPr>
              <w:t>5</w:t>
            </w:r>
            <w:r>
              <w:rPr>
                <w:rFonts w:hint="eastAsia"/>
                <w:bCs/>
                <w:szCs w:val="21"/>
                <w:highlight w:val="none"/>
              </w:rPr>
              <w:t>月1日起至今）</w:t>
            </w:r>
            <w:r>
              <w:rPr>
                <w:rFonts w:hint="eastAsia"/>
                <w:bCs/>
                <w:szCs w:val="21"/>
                <w:highlight w:val="none"/>
                <w:lang w:eastAsia="zh-CN"/>
              </w:rPr>
              <w:t>，</w:t>
            </w:r>
            <w:r>
              <w:rPr>
                <w:sz w:val="21"/>
                <w:szCs w:val="21"/>
              </w:rPr>
              <w:t>承担过</w:t>
            </w:r>
            <w:r>
              <w:rPr>
                <w:rFonts w:hint="eastAsia" w:ascii="宋体" w:hAnsi="宋体" w:cs="宋体"/>
                <w:color w:val="auto"/>
                <w:szCs w:val="21"/>
              </w:rPr>
              <w:t>与本项目模式一致的</w:t>
            </w:r>
            <w:r>
              <w:rPr>
                <w:rFonts w:hint="eastAsia"/>
                <w:sz w:val="21"/>
                <w:szCs w:val="21"/>
                <w:lang w:eastAsia="zh-CN"/>
              </w:rPr>
              <w:t>配送餐类</w:t>
            </w:r>
            <w:r>
              <w:rPr>
                <w:sz w:val="21"/>
                <w:szCs w:val="21"/>
              </w:rPr>
              <w:t>项目业绩</w:t>
            </w:r>
            <w:r>
              <w:rPr>
                <w:rFonts w:hint="eastAsia" w:ascii="宋体" w:hAnsi="宋体" w:cs="宋体"/>
                <w:color w:val="auto"/>
                <w:szCs w:val="21"/>
              </w:rPr>
              <w:t>（要求配餐经验）</w:t>
            </w:r>
            <w:r>
              <w:rPr>
                <w:rFonts w:hint="eastAsia"/>
                <w:bCs/>
                <w:szCs w:val="21"/>
              </w:rPr>
              <w:t>。每项得</w:t>
            </w:r>
            <w:r>
              <w:rPr>
                <w:rFonts w:hint="eastAsia"/>
                <w:bCs/>
                <w:szCs w:val="21"/>
                <w:lang w:val="en-US" w:eastAsia="zh-CN"/>
              </w:rPr>
              <w:t>5</w:t>
            </w:r>
            <w:r>
              <w:rPr>
                <w:rFonts w:hint="eastAsia"/>
                <w:bCs/>
                <w:szCs w:val="21"/>
              </w:rPr>
              <w:t>分，最高</w:t>
            </w:r>
            <w:r>
              <w:rPr>
                <w:rFonts w:hint="eastAsia"/>
                <w:bCs/>
                <w:szCs w:val="21"/>
                <w:lang w:val="en-US" w:eastAsia="zh-CN"/>
              </w:rPr>
              <w:t>1</w:t>
            </w:r>
            <w:r>
              <w:rPr>
                <w:rFonts w:hint="eastAsia"/>
                <w:bCs/>
                <w:szCs w:val="21"/>
              </w:rPr>
              <w:t>0分。</w:t>
            </w:r>
            <w:r>
              <w:rPr>
                <w:sz w:val="21"/>
                <w:szCs w:val="21"/>
              </w:rPr>
              <w:t>证明文件：投标人提供项目业绩合同关键页扫描件。未提供或提供不清晰导致无法判断的，不得分。</w:t>
            </w:r>
          </w:p>
        </w:tc>
        <w:tc>
          <w:tcPr>
            <w:tcW w:w="1788" w:type="dxa"/>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17" w:type="dxa"/>
            <w:vMerge w:val="restart"/>
            <w:vAlign w:val="center"/>
          </w:tcPr>
          <w:p>
            <w:pPr>
              <w:jc w:val="center"/>
              <w:rPr>
                <w:rFonts w:hint="eastAsia"/>
                <w:b/>
                <w:szCs w:val="21"/>
              </w:rPr>
            </w:pPr>
            <w:r>
              <w:rPr>
                <w:rFonts w:hint="eastAsia"/>
                <w:b/>
                <w:szCs w:val="21"/>
              </w:rPr>
              <w:t>三</w:t>
            </w:r>
          </w:p>
        </w:tc>
        <w:tc>
          <w:tcPr>
            <w:tcW w:w="1078" w:type="dxa"/>
            <w:vMerge w:val="restart"/>
            <w:vAlign w:val="center"/>
          </w:tcPr>
          <w:p>
            <w:pPr>
              <w:jc w:val="center"/>
              <w:rPr>
                <w:rFonts w:hint="eastAsia"/>
                <w:szCs w:val="21"/>
              </w:rPr>
            </w:pPr>
            <w:r>
              <w:rPr>
                <w:rFonts w:hint="eastAsia"/>
                <w:szCs w:val="21"/>
              </w:rPr>
              <w:t>技术部分</w:t>
            </w:r>
          </w:p>
        </w:tc>
        <w:tc>
          <w:tcPr>
            <w:tcW w:w="692" w:type="dxa"/>
            <w:vMerge w:val="restart"/>
            <w:vAlign w:val="center"/>
          </w:tcPr>
          <w:p>
            <w:pPr>
              <w:jc w:val="center"/>
              <w:rPr>
                <w:rFonts w:hint="eastAsia"/>
                <w:szCs w:val="21"/>
              </w:rPr>
            </w:pPr>
            <w:r>
              <w:rPr>
                <w:rFonts w:hint="default"/>
                <w:szCs w:val="21"/>
                <w:lang w:val="en" w:eastAsia="zh-CN"/>
              </w:rPr>
              <w:t>7</w:t>
            </w:r>
            <w:r>
              <w:rPr>
                <w:rFonts w:hint="eastAsia"/>
                <w:szCs w:val="21"/>
              </w:rPr>
              <w:t>0</w:t>
            </w:r>
          </w:p>
        </w:tc>
        <w:tc>
          <w:tcPr>
            <w:tcW w:w="501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firstLine="0"/>
              <w:jc w:val="left"/>
              <w:textAlignment w:val="auto"/>
              <w:rPr>
                <w:rFonts w:hint="eastAsia"/>
                <w:b/>
                <w:szCs w:val="21"/>
              </w:rPr>
            </w:pPr>
            <w:r>
              <w:rPr>
                <w:rFonts w:hint="eastAsia"/>
                <w:b/>
                <w:szCs w:val="21"/>
              </w:rPr>
              <w:t>实施方案（</w:t>
            </w:r>
            <w:r>
              <w:rPr>
                <w:rFonts w:hint="eastAsia"/>
                <w:b/>
                <w:szCs w:val="21"/>
                <w:lang w:val="en-US" w:eastAsia="zh-CN"/>
              </w:rPr>
              <w:t>2</w:t>
            </w:r>
            <w:r>
              <w:rPr>
                <w:rFonts w:hint="eastAsia"/>
                <w:b/>
                <w:szCs w:val="21"/>
              </w:rPr>
              <w:t>0分）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投标人针对本项目的需求制定（包括但不限于各岗位职责、食品安全管理制度、工作人员管理及培训方案、工作考核细则、食品卫生管理方案、食品安全保障方案、食品留样制度</w:t>
            </w:r>
            <w:r>
              <w:rPr>
                <w:rFonts w:hint="eastAsia" w:ascii="宋体" w:hAnsi="宋体" w:cs="宋体"/>
                <w:color w:val="auto"/>
                <w:szCs w:val="21"/>
                <w:lang w:eastAsia="zh-CN"/>
              </w:rPr>
              <w:t>、食品运输配送</w:t>
            </w:r>
            <w:r>
              <w:rPr>
                <w:rFonts w:hint="eastAsia" w:ascii="宋体" w:hAnsi="宋体" w:cs="宋体"/>
                <w:color w:val="auto"/>
                <w:szCs w:val="21"/>
              </w:rPr>
              <w:t>等）。包括上述内容得</w:t>
            </w:r>
            <w:r>
              <w:rPr>
                <w:rFonts w:hint="eastAsia" w:ascii="宋体" w:hAnsi="宋体" w:cs="宋体"/>
                <w:color w:val="auto"/>
                <w:szCs w:val="21"/>
                <w:lang w:val="en-US" w:eastAsia="zh-CN"/>
              </w:rPr>
              <w:t>10</w:t>
            </w:r>
            <w:r>
              <w:rPr>
                <w:rFonts w:hint="eastAsia" w:ascii="宋体" w:hAnsi="宋体" w:cs="宋体"/>
                <w:color w:val="auto"/>
                <w:szCs w:val="21"/>
                <w:lang w:eastAsia="zh-CN"/>
              </w:rPr>
              <w:t>分</w:t>
            </w:r>
            <w:r>
              <w:rPr>
                <w:rFonts w:hint="eastAsia" w:ascii="宋体" w:hAnsi="宋体" w:cs="宋体"/>
                <w:color w:val="auto"/>
                <w:szCs w:val="21"/>
              </w:rPr>
              <w:t>，在此基础上进行横向比较打分：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（1）整体实施方案内容全面；</w:t>
            </w:r>
            <w:r>
              <w:rPr>
                <w:rFonts w:hint="eastAsia" w:ascii="宋体" w:hAnsi="宋体" w:cs="宋体"/>
                <w:color w:val="auto"/>
                <w:szCs w:val="21"/>
              </w:rPr>
              <w:br w:type="textWrapping"/>
            </w:r>
            <w:r>
              <w:rPr>
                <w:rFonts w:hint="eastAsia" w:ascii="宋体" w:hAnsi="宋体" w:cs="宋体"/>
                <w:color w:val="auto"/>
                <w:szCs w:val="21"/>
              </w:rPr>
              <w:t>（2）整体实施方案内容具体，表达清晰、完整、严谨；</w:t>
            </w:r>
            <w:r>
              <w:rPr>
                <w:rFonts w:hint="eastAsia" w:ascii="宋体" w:hAnsi="宋体" w:cs="宋体"/>
                <w:color w:val="auto"/>
                <w:szCs w:val="21"/>
              </w:rPr>
              <w:br w:type="textWrapping"/>
            </w:r>
            <w:r>
              <w:rPr>
                <w:rFonts w:hint="eastAsia" w:ascii="宋体" w:hAnsi="宋体" w:cs="宋体"/>
                <w:color w:val="auto"/>
                <w:szCs w:val="21"/>
              </w:rPr>
              <w:t>（3）整体实施方案内容针对性强；</w:t>
            </w:r>
            <w:r>
              <w:rPr>
                <w:rFonts w:hint="eastAsia" w:ascii="宋体" w:hAnsi="宋体" w:cs="宋体"/>
                <w:color w:val="auto"/>
                <w:szCs w:val="21"/>
              </w:rPr>
              <w:br w:type="textWrapping"/>
            </w:r>
            <w:r>
              <w:rPr>
                <w:rFonts w:hint="eastAsia" w:ascii="宋体" w:hAnsi="宋体" w:cs="宋体"/>
                <w:color w:val="auto"/>
                <w:szCs w:val="21"/>
              </w:rPr>
              <w:t>（4）整体实施方案内容先进，科学合理；</w:t>
            </w:r>
            <w:r>
              <w:rPr>
                <w:rFonts w:hint="eastAsia" w:ascii="宋体" w:hAnsi="宋体" w:cs="宋体"/>
                <w:color w:val="auto"/>
                <w:szCs w:val="21"/>
              </w:rPr>
              <w:br w:type="textWrapping"/>
            </w:r>
            <w:r>
              <w:rPr>
                <w:rFonts w:hint="eastAsia" w:ascii="宋体" w:hAnsi="宋体" w:cs="宋体"/>
                <w:color w:val="auto"/>
                <w:szCs w:val="21"/>
              </w:rPr>
              <w:t>（5）整体实施方案内容可操作性强；</w:t>
            </w:r>
          </w:p>
          <w:p>
            <w:pPr>
              <w:spacing w:line="320" w:lineRule="exact"/>
              <w:jc w:val="left"/>
              <w:rPr>
                <w:rFonts w:hint="eastAsia"/>
                <w:bCs/>
                <w:szCs w:val="21"/>
              </w:rPr>
            </w:pPr>
            <w:r>
              <w:rPr>
                <w:rFonts w:hint="eastAsia" w:ascii="宋体" w:hAnsi="宋体" w:cs="宋体"/>
                <w:color w:val="auto"/>
                <w:szCs w:val="21"/>
              </w:rPr>
              <w:t>满足以上五项要求得</w:t>
            </w:r>
            <w:r>
              <w:rPr>
                <w:rFonts w:hint="eastAsia" w:ascii="宋体" w:hAnsi="宋体" w:cs="宋体"/>
                <w:color w:val="auto"/>
                <w:szCs w:val="21"/>
                <w:lang w:val="en-US" w:eastAsia="zh-CN"/>
              </w:rPr>
              <w:t>10</w:t>
            </w:r>
            <w:r>
              <w:rPr>
                <w:rFonts w:hint="eastAsia" w:ascii="宋体" w:hAnsi="宋体" w:cs="宋体"/>
                <w:color w:val="auto"/>
                <w:szCs w:val="21"/>
              </w:rPr>
              <w:t>分，满足以上三至四项要求得</w:t>
            </w:r>
            <w:r>
              <w:rPr>
                <w:rFonts w:hint="eastAsia" w:ascii="宋体" w:hAnsi="宋体" w:cs="宋体"/>
                <w:color w:val="auto"/>
                <w:szCs w:val="21"/>
                <w:lang w:val="en-US" w:eastAsia="zh-CN"/>
              </w:rPr>
              <w:t>6</w:t>
            </w:r>
            <w:r>
              <w:rPr>
                <w:rFonts w:hint="eastAsia" w:ascii="宋体" w:hAnsi="宋体" w:cs="宋体"/>
                <w:color w:val="auto"/>
                <w:szCs w:val="21"/>
              </w:rPr>
              <w:t>分，满足以上两项要求</w:t>
            </w:r>
            <w:r>
              <w:rPr>
                <w:rFonts w:hint="eastAsia" w:ascii="宋体" w:hAnsi="宋体" w:cs="宋体"/>
                <w:color w:val="auto"/>
                <w:szCs w:val="21"/>
                <w:lang w:val="en-US" w:eastAsia="zh-CN"/>
              </w:rPr>
              <w:t>4</w:t>
            </w:r>
            <w:r>
              <w:rPr>
                <w:rFonts w:hint="eastAsia" w:ascii="宋体" w:hAnsi="宋体" w:cs="宋体"/>
                <w:color w:val="auto"/>
                <w:szCs w:val="21"/>
              </w:rPr>
              <w:t>分，其它情况不得分。</w:t>
            </w:r>
          </w:p>
        </w:tc>
        <w:tc>
          <w:tcPr>
            <w:tcW w:w="1788" w:type="dxa"/>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17" w:type="dxa"/>
            <w:vMerge w:val="continue"/>
            <w:vAlign w:val="center"/>
          </w:tcPr>
          <w:p>
            <w:pPr>
              <w:jc w:val="center"/>
              <w:rPr>
                <w:rFonts w:hint="eastAsia"/>
                <w:b/>
                <w:szCs w:val="21"/>
              </w:rPr>
            </w:pPr>
          </w:p>
        </w:tc>
        <w:tc>
          <w:tcPr>
            <w:tcW w:w="1078" w:type="dxa"/>
            <w:vMerge w:val="continue"/>
            <w:vAlign w:val="center"/>
          </w:tcPr>
          <w:p>
            <w:pPr>
              <w:jc w:val="center"/>
              <w:rPr>
                <w:rFonts w:hint="eastAsia"/>
                <w:szCs w:val="21"/>
              </w:rPr>
            </w:pPr>
          </w:p>
        </w:tc>
        <w:tc>
          <w:tcPr>
            <w:tcW w:w="692" w:type="dxa"/>
            <w:vMerge w:val="continue"/>
            <w:vAlign w:val="center"/>
          </w:tcPr>
          <w:p>
            <w:pPr>
              <w:jc w:val="center"/>
              <w:rPr>
                <w:rFonts w:hint="eastAsia"/>
                <w:szCs w:val="21"/>
              </w:rPr>
            </w:pPr>
          </w:p>
        </w:tc>
        <w:tc>
          <w:tcPr>
            <w:tcW w:w="5018" w:type="dxa"/>
            <w:vAlign w:val="center"/>
          </w:tcPr>
          <w:p>
            <w:pPr>
              <w:autoSpaceDN w:val="0"/>
              <w:spacing w:line="320" w:lineRule="exact"/>
              <w:jc w:val="both"/>
              <w:textAlignment w:val="center"/>
              <w:rPr>
                <w:rFonts w:hint="eastAsia" w:eastAsia="宋体"/>
                <w:b/>
                <w:szCs w:val="21"/>
              </w:rPr>
            </w:pPr>
            <w:r>
              <w:rPr>
                <w:rFonts w:hint="eastAsia" w:ascii="宋体" w:hAnsi="宋体"/>
                <w:b/>
                <w:bCs w:val="0"/>
              </w:rPr>
              <w:t>2、</w:t>
            </w:r>
            <w:r>
              <w:rPr>
                <w:rFonts w:hint="eastAsia" w:ascii="宋体" w:hAnsi="宋体" w:cs="宋体"/>
                <w:b/>
                <w:bCs w:val="0"/>
                <w:color w:val="auto"/>
                <w:szCs w:val="21"/>
              </w:rPr>
              <w:t>服务条款偏离情况</w:t>
            </w:r>
            <w:r>
              <w:rPr>
                <w:rFonts w:hint="eastAsia" w:eastAsia="宋体"/>
                <w:b/>
                <w:bCs w:val="0"/>
                <w:szCs w:val="21"/>
              </w:rPr>
              <w:t>（</w:t>
            </w:r>
            <w:r>
              <w:rPr>
                <w:rFonts w:hint="eastAsia" w:eastAsia="宋体"/>
                <w:b/>
                <w:bCs w:val="0"/>
                <w:szCs w:val="21"/>
                <w:lang w:val="en-US" w:eastAsia="zh-CN"/>
              </w:rPr>
              <w:t>5</w:t>
            </w:r>
            <w:r>
              <w:rPr>
                <w:rFonts w:hint="eastAsia" w:eastAsia="宋体"/>
                <w:b/>
                <w:bCs w:val="0"/>
                <w:szCs w:val="21"/>
              </w:rPr>
              <w:t>分）</w:t>
            </w:r>
          </w:p>
          <w:p>
            <w:pPr>
              <w:snapToGrid w:val="0"/>
              <w:spacing w:line="360" w:lineRule="auto"/>
              <w:ind w:firstLine="210" w:firstLineChars="100"/>
              <w:rPr>
                <w:rFonts w:ascii="宋体" w:hAnsi="宋体" w:cs="宋体"/>
                <w:color w:val="auto"/>
                <w:szCs w:val="21"/>
              </w:rPr>
            </w:pPr>
            <w:r>
              <w:rPr>
                <w:rFonts w:hint="eastAsia" w:ascii="宋体" w:hAnsi="宋体" w:cs="宋体"/>
                <w:color w:val="auto"/>
                <w:szCs w:val="21"/>
              </w:rPr>
              <w:t>投标人应如实</w:t>
            </w:r>
            <w:r>
              <w:rPr>
                <w:rFonts w:hint="eastAsia" w:ascii="宋体" w:hAnsi="宋体" w:cs="宋体"/>
                <w:color w:val="auto"/>
                <w:szCs w:val="21"/>
                <w:lang w:eastAsia="zh-CN"/>
              </w:rPr>
              <w:t>承诺对服务要求（共</w:t>
            </w:r>
            <w:r>
              <w:rPr>
                <w:rFonts w:hint="eastAsia" w:ascii="宋体" w:hAnsi="宋体" w:cs="宋体"/>
                <w:color w:val="auto"/>
                <w:szCs w:val="21"/>
                <w:lang w:val="en-US" w:eastAsia="zh-CN"/>
              </w:rPr>
              <w:t>9项</w:t>
            </w:r>
            <w:r>
              <w:rPr>
                <w:rFonts w:hint="eastAsia" w:ascii="宋体" w:hAnsi="宋体" w:cs="宋体"/>
                <w:color w:val="auto"/>
                <w:szCs w:val="21"/>
                <w:lang w:eastAsia="zh-CN"/>
              </w:rPr>
              <w:t>）的响应</w:t>
            </w:r>
            <w:r>
              <w:rPr>
                <w:rFonts w:hint="eastAsia" w:ascii="宋体" w:hAnsi="宋体" w:cs="宋体"/>
                <w:color w:val="auto"/>
                <w:szCs w:val="21"/>
              </w:rPr>
              <w:t xml:space="preserve">，评审委员会根据响应情况进行打分。各项技术参数指标及要求全部满足的得满分。 </w:t>
            </w:r>
          </w:p>
          <w:p>
            <w:pPr>
              <w:snapToGrid w:val="0"/>
              <w:spacing w:line="360" w:lineRule="auto"/>
              <w:rPr>
                <w:rFonts w:ascii="宋体" w:hAnsi="宋体" w:cs="宋体"/>
                <w:color w:val="auto"/>
                <w:szCs w:val="21"/>
              </w:rPr>
            </w:pPr>
            <w:r>
              <w:rPr>
                <w:rFonts w:hint="eastAsia" w:ascii="宋体" w:hAnsi="宋体" w:cs="宋体"/>
                <w:color w:val="auto"/>
                <w:szCs w:val="21"/>
              </w:rPr>
              <w:t>所有技术参数满足要求，得</w:t>
            </w:r>
            <w:r>
              <w:rPr>
                <w:rFonts w:hint="eastAsia" w:ascii="宋体" w:hAnsi="宋体" w:cs="宋体"/>
                <w:color w:val="auto"/>
                <w:szCs w:val="21"/>
                <w:lang w:val="en-US" w:eastAsia="zh-CN"/>
              </w:rPr>
              <w:t>5</w:t>
            </w:r>
            <w:r>
              <w:rPr>
                <w:rFonts w:hint="eastAsia" w:ascii="宋体" w:hAnsi="宋体" w:cs="宋体"/>
                <w:color w:val="auto"/>
                <w:szCs w:val="21"/>
              </w:rPr>
              <w:t>分；</w:t>
            </w:r>
          </w:p>
          <w:p>
            <w:pPr>
              <w:snapToGrid w:val="0"/>
              <w:spacing w:line="360" w:lineRule="auto"/>
              <w:rPr>
                <w:rFonts w:ascii="宋体" w:hAnsi="宋体" w:cs="宋体"/>
                <w:color w:val="auto"/>
                <w:szCs w:val="21"/>
              </w:rPr>
            </w:pPr>
            <w:r>
              <w:rPr>
                <w:rFonts w:hint="eastAsia" w:ascii="宋体" w:hAnsi="宋体" w:cs="宋体"/>
                <w:color w:val="auto"/>
                <w:szCs w:val="21"/>
              </w:rPr>
              <w:t>负偏离的项数为1-2项范围内，得</w:t>
            </w:r>
            <w:r>
              <w:rPr>
                <w:rFonts w:hint="eastAsia" w:ascii="宋体" w:hAnsi="宋体" w:cs="宋体"/>
                <w:color w:val="auto"/>
                <w:szCs w:val="21"/>
                <w:lang w:val="en-US" w:eastAsia="zh-CN"/>
              </w:rPr>
              <w:t>2</w:t>
            </w:r>
            <w:r>
              <w:rPr>
                <w:rFonts w:hint="eastAsia" w:ascii="宋体" w:hAnsi="宋体" w:cs="宋体"/>
                <w:color w:val="auto"/>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宋体"/>
                <w:bCs/>
                <w:szCs w:val="21"/>
                <w:lang w:eastAsia="zh-CN"/>
              </w:rPr>
            </w:pPr>
            <w:r>
              <w:rPr>
                <w:rFonts w:hint="eastAsia" w:ascii="宋体" w:hAnsi="宋体" w:cs="宋体"/>
                <w:color w:val="auto"/>
                <w:szCs w:val="21"/>
              </w:rPr>
              <w:t xml:space="preserve">负偏离的项数超过2项，不得分0 </w:t>
            </w:r>
          </w:p>
        </w:tc>
        <w:tc>
          <w:tcPr>
            <w:tcW w:w="1788" w:type="dxa"/>
            <w:vAlign w:val="center"/>
          </w:tcPr>
          <w:p>
            <w:pPr>
              <w:widowControl/>
              <w:jc w:val="center"/>
              <w:rPr>
                <w:rFonts w:hint="default" w:ascii="仿宋_GB2312" w:hAnsi="宋体" w:eastAsia="仿宋_GB2312"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7" w:type="dxa"/>
            <w:vMerge w:val="continue"/>
            <w:vAlign w:val="center"/>
          </w:tcPr>
          <w:p>
            <w:pPr>
              <w:jc w:val="center"/>
              <w:rPr>
                <w:rFonts w:hint="eastAsia"/>
                <w:b/>
                <w:szCs w:val="21"/>
              </w:rPr>
            </w:pPr>
          </w:p>
        </w:tc>
        <w:tc>
          <w:tcPr>
            <w:tcW w:w="1078" w:type="dxa"/>
            <w:vMerge w:val="continue"/>
            <w:vAlign w:val="center"/>
          </w:tcPr>
          <w:p>
            <w:pPr>
              <w:jc w:val="center"/>
              <w:rPr>
                <w:rFonts w:hint="eastAsia"/>
                <w:szCs w:val="21"/>
              </w:rPr>
            </w:pPr>
          </w:p>
        </w:tc>
        <w:tc>
          <w:tcPr>
            <w:tcW w:w="692" w:type="dxa"/>
            <w:vMerge w:val="continue"/>
            <w:vAlign w:val="center"/>
          </w:tcPr>
          <w:p>
            <w:pPr>
              <w:jc w:val="center"/>
              <w:rPr>
                <w:rFonts w:hint="eastAsia"/>
                <w:szCs w:val="21"/>
              </w:rPr>
            </w:pPr>
          </w:p>
        </w:tc>
        <w:tc>
          <w:tcPr>
            <w:tcW w:w="5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b/>
                <w:szCs w:val="21"/>
              </w:rPr>
            </w:pPr>
            <w:r>
              <w:rPr>
                <w:rFonts w:hint="eastAsia"/>
                <w:b/>
                <w:szCs w:val="21"/>
                <w:lang w:val="en-US" w:eastAsia="zh-CN"/>
              </w:rPr>
              <w:t>3、</w:t>
            </w:r>
            <w:r>
              <w:rPr>
                <w:rFonts w:hint="eastAsia" w:eastAsia="宋体"/>
                <w:b/>
                <w:szCs w:val="21"/>
              </w:rPr>
              <w:t>资质认证（</w:t>
            </w:r>
            <w:r>
              <w:rPr>
                <w:rFonts w:hint="eastAsia" w:eastAsia="宋体"/>
                <w:b/>
                <w:szCs w:val="21"/>
                <w:lang w:val="en-US" w:eastAsia="zh-CN"/>
              </w:rPr>
              <w:t>2</w:t>
            </w:r>
            <w:r>
              <w:rPr>
                <w:b/>
                <w:szCs w:val="21"/>
              </w:rPr>
              <w:t>0</w:t>
            </w:r>
            <w:r>
              <w:rPr>
                <w:rFonts w:hint="eastAsia"/>
                <w:b/>
                <w:szCs w:val="21"/>
              </w:rPr>
              <w:t>分）</w:t>
            </w:r>
          </w:p>
          <w:p>
            <w:pPr>
              <w:numPr>
                <w:ilvl w:val="0"/>
                <w:numId w:val="2"/>
              </w:numPr>
              <w:adjustRightInd w:val="0"/>
              <w:snapToGrid w:val="0"/>
              <w:spacing w:line="360" w:lineRule="auto"/>
              <w:rPr>
                <w:rFonts w:ascii="宋体" w:hAnsi="宋体" w:cs="宋体"/>
                <w:color w:val="auto"/>
                <w:szCs w:val="21"/>
              </w:rPr>
            </w:pPr>
            <w:r>
              <w:rPr>
                <w:rFonts w:hint="eastAsia" w:ascii="宋体" w:hAnsi="宋体" w:cs="宋体"/>
                <w:color w:val="auto"/>
                <w:szCs w:val="21"/>
              </w:rPr>
              <w:t>具有有效期内ISO22000食品安全管理体系认证；</w:t>
            </w:r>
          </w:p>
          <w:p>
            <w:pPr>
              <w:pStyle w:val="3"/>
              <w:numPr>
                <w:ilvl w:val="0"/>
                <w:numId w:val="2"/>
              </w:numPr>
              <w:snapToGrid w:val="0"/>
              <w:spacing w:line="360" w:lineRule="auto"/>
              <w:ind w:firstLine="0"/>
              <w:rPr>
                <w:rFonts w:ascii="宋体" w:hAnsi="宋体" w:cs="宋体"/>
                <w:color w:val="auto"/>
                <w:szCs w:val="21"/>
              </w:rPr>
            </w:pPr>
            <w:r>
              <w:rPr>
                <w:rFonts w:hint="eastAsia" w:ascii="宋体" w:hAnsi="宋体" w:cs="宋体"/>
                <w:color w:val="auto"/>
                <w:szCs w:val="21"/>
              </w:rPr>
              <w:t>具有有效期内质量管理体系认证；</w:t>
            </w:r>
            <w:bookmarkStart w:id="0" w:name="_GoBack"/>
            <w:bookmarkEnd w:id="0"/>
          </w:p>
          <w:p>
            <w:pPr>
              <w:pStyle w:val="3"/>
              <w:numPr>
                <w:ilvl w:val="0"/>
                <w:numId w:val="2"/>
              </w:numPr>
              <w:snapToGrid w:val="0"/>
              <w:spacing w:line="360" w:lineRule="auto"/>
              <w:ind w:firstLine="0"/>
              <w:rPr>
                <w:rFonts w:ascii="宋体" w:hAnsi="宋体" w:cs="宋体"/>
                <w:color w:val="auto"/>
                <w:szCs w:val="21"/>
              </w:rPr>
            </w:pPr>
            <w:r>
              <w:rPr>
                <w:rFonts w:hint="eastAsia" w:ascii="宋体" w:hAnsi="宋体" w:cs="宋体"/>
                <w:color w:val="auto"/>
                <w:szCs w:val="21"/>
              </w:rPr>
              <w:t>具有有效期内危害分析与关键控制点</w:t>
            </w:r>
            <w:r>
              <w:rPr>
                <w:rFonts w:hint="eastAsia" w:ascii="宋体" w:hAnsi="宋体" w:cs="宋体"/>
                <w:color w:val="auto"/>
                <w:szCs w:val="21"/>
                <w:lang w:bidi="en-US"/>
              </w:rPr>
              <w:t xml:space="preserve">（HACCP </w:t>
            </w:r>
            <w:r>
              <w:rPr>
                <w:rFonts w:hint="eastAsia" w:ascii="宋体" w:hAnsi="宋体" w:cs="宋体"/>
                <w:color w:val="auto"/>
                <w:szCs w:val="21"/>
              </w:rPr>
              <w:t>）体系认证；</w:t>
            </w:r>
          </w:p>
          <w:p>
            <w:pPr>
              <w:pStyle w:val="3"/>
              <w:numPr>
                <w:ilvl w:val="0"/>
                <w:numId w:val="2"/>
              </w:numPr>
              <w:snapToGrid w:val="0"/>
              <w:spacing w:line="360" w:lineRule="auto"/>
              <w:ind w:firstLine="0"/>
              <w:rPr>
                <w:rFonts w:ascii="宋体" w:hAnsi="宋体" w:cs="宋体"/>
                <w:color w:val="auto"/>
                <w:szCs w:val="21"/>
              </w:rPr>
            </w:pPr>
            <w:r>
              <w:rPr>
                <w:rFonts w:hint="eastAsia" w:ascii="宋体" w:hAnsi="宋体" w:cs="宋体"/>
                <w:color w:val="auto"/>
                <w:szCs w:val="21"/>
              </w:rPr>
              <w:t>具有有效期内环境管理体系认证；</w:t>
            </w:r>
          </w:p>
          <w:p>
            <w:pPr>
              <w:pStyle w:val="3"/>
              <w:numPr>
                <w:ilvl w:val="0"/>
                <w:numId w:val="2"/>
              </w:numPr>
              <w:snapToGrid w:val="0"/>
              <w:spacing w:line="360" w:lineRule="auto"/>
              <w:ind w:firstLine="0"/>
              <w:rPr>
                <w:rFonts w:ascii="宋体" w:hAnsi="宋体" w:cs="宋体"/>
                <w:color w:val="auto"/>
                <w:szCs w:val="21"/>
              </w:rPr>
            </w:pPr>
            <w:r>
              <w:rPr>
                <w:rFonts w:hint="eastAsia" w:ascii="宋体" w:hAnsi="宋体" w:cs="宋体"/>
                <w:color w:val="auto"/>
                <w:szCs w:val="21"/>
              </w:rPr>
              <w:t>具有有效期内职业健康安全管理体系认证；</w:t>
            </w:r>
          </w:p>
          <w:p>
            <w:pPr>
              <w:adjustRightInd w:val="0"/>
              <w:snapToGrid w:val="0"/>
              <w:spacing w:line="360" w:lineRule="auto"/>
              <w:rPr>
                <w:rFonts w:ascii="宋体" w:hAnsi="宋体" w:cs="宋体"/>
                <w:color w:val="auto"/>
                <w:szCs w:val="21"/>
              </w:rPr>
            </w:pPr>
            <w:r>
              <w:rPr>
                <w:rFonts w:hint="eastAsia" w:ascii="宋体" w:hAnsi="宋体" w:cs="宋体"/>
                <w:color w:val="auto"/>
                <w:szCs w:val="21"/>
              </w:rPr>
              <w:t>每提供1项得</w:t>
            </w:r>
            <w:r>
              <w:rPr>
                <w:rFonts w:hint="eastAsia" w:ascii="宋体" w:hAnsi="宋体" w:cs="宋体"/>
                <w:color w:val="auto"/>
                <w:szCs w:val="21"/>
                <w:lang w:val="en-US" w:eastAsia="zh-CN"/>
              </w:rPr>
              <w:t>4</w:t>
            </w:r>
            <w:r>
              <w:rPr>
                <w:rFonts w:hint="eastAsia" w:ascii="宋体" w:hAnsi="宋体" w:cs="宋体"/>
                <w:color w:val="auto"/>
                <w:szCs w:val="21"/>
              </w:rPr>
              <w:t>分，最高得</w:t>
            </w:r>
            <w:r>
              <w:rPr>
                <w:rFonts w:hint="eastAsia" w:ascii="宋体" w:hAnsi="宋体" w:cs="宋体"/>
                <w:color w:val="auto"/>
                <w:szCs w:val="21"/>
                <w:lang w:val="en-US" w:eastAsia="zh-CN"/>
              </w:rPr>
              <w:t>20</w:t>
            </w:r>
            <w:r>
              <w:rPr>
                <w:rFonts w:hint="eastAsia" w:ascii="宋体" w:hAnsi="宋体" w:cs="宋体"/>
                <w:color w:val="auto"/>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1"/>
                <w:szCs w:val="21"/>
              </w:rPr>
            </w:pPr>
            <w:r>
              <w:rPr>
                <w:rFonts w:hint="eastAsia" w:ascii="宋体" w:hAnsi="宋体" w:cs="宋体"/>
                <w:color w:val="auto"/>
                <w:szCs w:val="21"/>
              </w:rPr>
              <w:t>注：须提供有效并通过年审合格的证书复印件及国家认证认可监督管理委员会官方网站（www.cnca.gov.cn）或相关网站查询截图加盖投标人公章，未按要求提供或提供不清晰导致专家无法判断的不得分。</w:t>
            </w:r>
          </w:p>
        </w:tc>
        <w:tc>
          <w:tcPr>
            <w:tcW w:w="1788" w:type="dxa"/>
            <w:vAlign w:val="center"/>
          </w:tcPr>
          <w:p>
            <w:pPr>
              <w:widowControl/>
              <w:jc w:val="center"/>
              <w:rPr>
                <w:rFonts w:hint="default" w:ascii="仿宋_GB2312" w:hAnsi="宋体" w:eastAsia="仿宋_GB2312"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17" w:type="dxa"/>
            <w:vMerge w:val="continue"/>
            <w:vAlign w:val="center"/>
          </w:tcPr>
          <w:p>
            <w:pPr>
              <w:jc w:val="center"/>
              <w:rPr>
                <w:rFonts w:hint="eastAsia"/>
                <w:b/>
                <w:szCs w:val="21"/>
              </w:rPr>
            </w:pPr>
          </w:p>
        </w:tc>
        <w:tc>
          <w:tcPr>
            <w:tcW w:w="1078" w:type="dxa"/>
            <w:vMerge w:val="continue"/>
            <w:vAlign w:val="center"/>
          </w:tcPr>
          <w:p>
            <w:pPr>
              <w:jc w:val="center"/>
              <w:rPr>
                <w:rFonts w:hint="eastAsia"/>
                <w:szCs w:val="21"/>
              </w:rPr>
            </w:pPr>
          </w:p>
        </w:tc>
        <w:tc>
          <w:tcPr>
            <w:tcW w:w="692" w:type="dxa"/>
            <w:vMerge w:val="continue"/>
            <w:vAlign w:val="center"/>
          </w:tcPr>
          <w:p>
            <w:pPr>
              <w:jc w:val="center"/>
              <w:rPr>
                <w:rFonts w:hint="eastAsia"/>
                <w:szCs w:val="21"/>
              </w:rPr>
            </w:pPr>
          </w:p>
        </w:tc>
        <w:tc>
          <w:tcPr>
            <w:tcW w:w="5018" w:type="dxa"/>
            <w:vAlign w:val="center"/>
          </w:tcPr>
          <w:p>
            <w:pPr>
              <w:autoSpaceDN w:val="0"/>
              <w:spacing w:line="320" w:lineRule="exact"/>
              <w:jc w:val="both"/>
              <w:textAlignment w:val="center"/>
              <w:rPr>
                <w:b/>
                <w:bCs/>
              </w:rPr>
            </w:pPr>
            <w:r>
              <w:rPr>
                <w:rFonts w:hint="eastAsia"/>
                <w:b/>
                <w:bCs/>
                <w:lang w:val="en-US" w:eastAsia="zh-CN"/>
              </w:rPr>
              <w:t>4、</w:t>
            </w:r>
            <w:r>
              <w:rPr>
                <w:rFonts w:hint="eastAsia"/>
                <w:b/>
                <w:bCs/>
              </w:rPr>
              <w:t>食品安全保险（</w:t>
            </w:r>
            <w:r>
              <w:rPr>
                <w:rFonts w:hint="eastAsia"/>
                <w:b/>
                <w:bCs/>
                <w:lang w:val="en-US" w:eastAsia="zh-CN"/>
              </w:rPr>
              <w:t>10</w:t>
            </w:r>
            <w:r>
              <w:rPr>
                <w:rFonts w:hint="eastAsia"/>
                <w:b/>
                <w:bCs/>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rPr>
            </w:pPr>
            <w:r>
              <w:rPr>
                <w:rFonts w:hint="eastAsia"/>
              </w:rPr>
              <w:t>投标人购买的有效期内的食品安全责任险：</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rPr>
            </w:pPr>
            <w:r>
              <w:rPr>
                <w:rFonts w:hint="eastAsia"/>
              </w:rPr>
              <w:t>A.保额500万以上（含500万）得</w:t>
            </w:r>
            <w:r>
              <w:rPr>
                <w:rFonts w:hint="eastAsia"/>
                <w:lang w:val="en-US" w:eastAsia="zh-CN"/>
              </w:rPr>
              <w:t>10</w:t>
            </w:r>
            <w:r>
              <w:rPr>
                <w:rFonts w:hint="eastAsia"/>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rPr>
            </w:pPr>
            <w:r>
              <w:rPr>
                <w:rFonts w:hint="eastAsia"/>
              </w:rPr>
              <w:t>B.保额500万以下（不含500万）得</w:t>
            </w:r>
            <w:r>
              <w:rPr>
                <w:rFonts w:hint="eastAsia"/>
                <w:lang w:val="en-US" w:eastAsia="zh-CN"/>
              </w:rPr>
              <w:t>8</w:t>
            </w:r>
            <w:r>
              <w:rPr>
                <w:rFonts w:hint="eastAsia"/>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rPr>
            </w:pPr>
            <w:r>
              <w:rPr>
                <w:rFonts w:hint="eastAsia"/>
              </w:rPr>
              <w:t>C.无食品安全责任险保险不得分。</w:t>
            </w:r>
          </w:p>
          <w:p>
            <w:pPr>
              <w:pStyle w:val="2"/>
              <w:rPr>
                <w:rFonts w:hint="eastAsia"/>
              </w:rPr>
            </w:pPr>
            <w:r>
              <w:rPr>
                <w:rFonts w:hint="eastAsia" w:ascii="Times New Roman" w:hAnsi="Times New Roman" w:cs="Times New Roman"/>
                <w:b w:val="0"/>
                <w:bCs w:val="0"/>
                <w:color w:val="auto"/>
                <w:sz w:val="21"/>
                <w:szCs w:val="22"/>
              </w:rPr>
              <w:t>注：须提供投标人在该项目招标公告公示之前购买食品安全责任险、公众责任险有效期内的保单复印件和购买发票复印件，未按要求提供或提供不清晰导致专家无法判断的不得分。</w:t>
            </w:r>
          </w:p>
        </w:tc>
        <w:tc>
          <w:tcPr>
            <w:tcW w:w="1788" w:type="dxa"/>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17" w:type="dxa"/>
            <w:vMerge w:val="continue"/>
            <w:vAlign w:val="center"/>
          </w:tcPr>
          <w:p>
            <w:pPr>
              <w:jc w:val="center"/>
              <w:rPr>
                <w:rFonts w:hint="eastAsia"/>
                <w:b/>
                <w:szCs w:val="21"/>
              </w:rPr>
            </w:pPr>
          </w:p>
        </w:tc>
        <w:tc>
          <w:tcPr>
            <w:tcW w:w="1078" w:type="dxa"/>
            <w:vMerge w:val="continue"/>
            <w:vAlign w:val="center"/>
          </w:tcPr>
          <w:p>
            <w:pPr>
              <w:jc w:val="center"/>
              <w:rPr>
                <w:rFonts w:hint="eastAsia"/>
                <w:szCs w:val="21"/>
              </w:rPr>
            </w:pPr>
          </w:p>
        </w:tc>
        <w:tc>
          <w:tcPr>
            <w:tcW w:w="692" w:type="dxa"/>
            <w:vMerge w:val="continue"/>
            <w:vAlign w:val="center"/>
          </w:tcPr>
          <w:p>
            <w:pPr>
              <w:jc w:val="center"/>
              <w:rPr>
                <w:rFonts w:hint="eastAsia"/>
                <w:szCs w:val="21"/>
              </w:rPr>
            </w:pPr>
          </w:p>
        </w:tc>
        <w:tc>
          <w:tcPr>
            <w:tcW w:w="5018" w:type="dxa"/>
            <w:vAlign w:val="center"/>
          </w:tcPr>
          <w:p>
            <w:pPr>
              <w:autoSpaceDN/>
              <w:adjustRightInd w:val="0"/>
              <w:snapToGrid w:val="0"/>
              <w:spacing w:line="360" w:lineRule="auto"/>
              <w:jc w:val="both"/>
              <w:textAlignment w:val="auto"/>
              <w:rPr>
                <w:rFonts w:hint="eastAsia" w:eastAsia="宋体"/>
                <w:b/>
                <w:bCs w:val="0"/>
                <w:szCs w:val="21"/>
              </w:rPr>
            </w:pPr>
            <w:r>
              <w:rPr>
                <w:rFonts w:hint="eastAsia" w:eastAsia="宋体"/>
                <w:b/>
                <w:bCs w:val="0"/>
                <w:szCs w:val="21"/>
                <w:lang w:val="en-US" w:eastAsia="zh-CN"/>
              </w:rPr>
              <w:t>5、</w:t>
            </w:r>
            <w:r>
              <w:rPr>
                <w:rFonts w:hint="eastAsia" w:ascii="宋体" w:hAnsi="宋体" w:cs="宋体"/>
                <w:b/>
                <w:bCs w:val="0"/>
                <w:color w:val="auto"/>
                <w:szCs w:val="21"/>
              </w:rPr>
              <w:t>岗位人员资质</w:t>
            </w:r>
            <w:r>
              <w:rPr>
                <w:rFonts w:hint="eastAsia"/>
                <w:b/>
                <w:bCs w:val="0"/>
                <w:szCs w:val="21"/>
              </w:rPr>
              <w:t>（</w:t>
            </w:r>
            <w:r>
              <w:rPr>
                <w:rFonts w:hint="eastAsia"/>
                <w:b/>
                <w:bCs w:val="0"/>
                <w:szCs w:val="21"/>
                <w:lang w:val="en-US" w:eastAsia="zh-CN"/>
              </w:rPr>
              <w:t>5</w:t>
            </w:r>
            <w:r>
              <w:rPr>
                <w:rFonts w:hint="eastAsia"/>
                <w:b/>
                <w:bCs w:val="0"/>
                <w:szCs w:val="21"/>
              </w:rPr>
              <w:t>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岗位人员均需具有有效期内的健康证，不满足该前提要求，本项不得分。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1. 每提供一个公共营养师证，得</w:t>
            </w:r>
            <w:r>
              <w:rPr>
                <w:rFonts w:hint="eastAsia" w:ascii="宋体" w:hAnsi="宋体" w:cs="宋体"/>
                <w:color w:val="auto"/>
                <w:szCs w:val="21"/>
                <w:lang w:val="en-US" w:eastAsia="zh-CN"/>
              </w:rPr>
              <w:t>2</w:t>
            </w:r>
            <w:r>
              <w:rPr>
                <w:rFonts w:hint="eastAsia" w:ascii="宋体" w:hAnsi="宋体" w:cs="宋体"/>
                <w:color w:val="auto"/>
                <w:szCs w:val="21"/>
              </w:rPr>
              <w:t>分，本项最高得</w:t>
            </w:r>
            <w:r>
              <w:rPr>
                <w:rFonts w:hint="eastAsia" w:ascii="宋体" w:hAnsi="宋体" w:cs="宋体"/>
                <w:color w:val="auto"/>
                <w:szCs w:val="21"/>
                <w:lang w:val="en-US" w:eastAsia="zh-CN"/>
              </w:rPr>
              <w:t>2</w:t>
            </w:r>
            <w:r>
              <w:rPr>
                <w:rFonts w:hint="eastAsia" w:ascii="宋体" w:hAnsi="宋体" w:cs="宋体"/>
                <w:color w:val="auto"/>
                <w:szCs w:val="21"/>
              </w:rPr>
              <w:t>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2. 每提供一个三级（高级）厨师或面点师证的，得</w:t>
            </w:r>
            <w:r>
              <w:rPr>
                <w:rFonts w:hint="eastAsia" w:ascii="宋体" w:hAnsi="宋体" w:cs="宋体"/>
                <w:color w:val="auto"/>
                <w:szCs w:val="21"/>
                <w:lang w:val="en-US" w:eastAsia="zh-CN"/>
              </w:rPr>
              <w:t>3</w:t>
            </w:r>
            <w:r>
              <w:rPr>
                <w:rFonts w:hint="eastAsia" w:ascii="宋体" w:hAnsi="宋体" w:cs="宋体"/>
                <w:color w:val="auto"/>
                <w:szCs w:val="21"/>
              </w:rPr>
              <w:t>分，本项最高得</w:t>
            </w:r>
            <w:r>
              <w:rPr>
                <w:rFonts w:hint="eastAsia" w:ascii="宋体" w:hAnsi="宋体" w:cs="宋体"/>
                <w:color w:val="auto"/>
                <w:szCs w:val="21"/>
                <w:lang w:val="en-US" w:eastAsia="zh-CN"/>
              </w:rPr>
              <w:t>3</w:t>
            </w:r>
            <w:r>
              <w:rPr>
                <w:rFonts w:hint="eastAsia" w:ascii="宋体" w:hAnsi="宋体" w:cs="宋体"/>
                <w:color w:val="auto"/>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Cs w:val="21"/>
                <w:lang w:eastAsia="zh-CN"/>
              </w:rPr>
            </w:pPr>
            <w:r>
              <w:rPr>
                <w:rFonts w:hint="eastAsia" w:ascii="宋体" w:hAnsi="宋体" w:cs="宋体"/>
                <w:color w:val="auto"/>
                <w:szCs w:val="21"/>
              </w:rPr>
              <w:t>注：须提供证书复印件并加盖投标人公章、</w:t>
            </w:r>
            <w:r>
              <w:rPr>
                <w:rFonts w:hint="eastAsia"/>
                <w:color w:val="auto"/>
                <w:lang w:val="en-US" w:eastAsia="zh-CN"/>
              </w:rPr>
              <w:t>劳动合同（聘用合同）</w:t>
            </w:r>
            <w:r>
              <w:rPr>
                <w:rFonts w:hint="eastAsia" w:ascii="宋体" w:hAnsi="宋体" w:cs="宋体"/>
                <w:color w:val="auto"/>
                <w:szCs w:val="21"/>
              </w:rPr>
              <w:t>复印件加盖投标人公章。</w:t>
            </w:r>
          </w:p>
        </w:tc>
        <w:tc>
          <w:tcPr>
            <w:tcW w:w="1788" w:type="dxa"/>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17" w:type="dxa"/>
            <w:vMerge w:val="continue"/>
            <w:vAlign w:val="center"/>
          </w:tcPr>
          <w:p>
            <w:pPr>
              <w:jc w:val="center"/>
              <w:rPr>
                <w:rFonts w:hint="eastAsia"/>
                <w:b/>
                <w:szCs w:val="21"/>
              </w:rPr>
            </w:pPr>
          </w:p>
        </w:tc>
        <w:tc>
          <w:tcPr>
            <w:tcW w:w="1078" w:type="dxa"/>
            <w:vMerge w:val="continue"/>
            <w:vAlign w:val="center"/>
          </w:tcPr>
          <w:p>
            <w:pPr>
              <w:jc w:val="center"/>
              <w:rPr>
                <w:rFonts w:hint="eastAsia"/>
                <w:szCs w:val="21"/>
              </w:rPr>
            </w:pPr>
          </w:p>
        </w:tc>
        <w:tc>
          <w:tcPr>
            <w:tcW w:w="692" w:type="dxa"/>
            <w:vMerge w:val="continue"/>
            <w:vAlign w:val="center"/>
          </w:tcPr>
          <w:p>
            <w:pPr>
              <w:jc w:val="center"/>
              <w:rPr>
                <w:rFonts w:hint="eastAsia"/>
                <w:szCs w:val="21"/>
              </w:rPr>
            </w:pPr>
          </w:p>
        </w:tc>
        <w:tc>
          <w:tcPr>
            <w:tcW w:w="5018" w:type="dxa"/>
            <w:vAlign w:val="center"/>
          </w:tcPr>
          <w:p>
            <w:pPr>
              <w:autoSpaceDN w:val="0"/>
              <w:spacing w:line="320" w:lineRule="exact"/>
              <w:jc w:val="both"/>
              <w:textAlignment w:val="center"/>
              <w:rPr>
                <w:rFonts w:hint="eastAsia" w:eastAsia="宋体"/>
                <w:b/>
                <w:szCs w:val="21"/>
              </w:rPr>
            </w:pPr>
            <w:r>
              <w:rPr>
                <w:rFonts w:hint="eastAsia" w:eastAsia="宋体"/>
                <w:b/>
                <w:szCs w:val="21"/>
                <w:lang w:val="en-US" w:eastAsia="zh-CN"/>
              </w:rPr>
              <w:t>6、</w:t>
            </w:r>
            <w:r>
              <w:rPr>
                <w:rFonts w:hint="eastAsia" w:eastAsia="宋体"/>
                <w:b/>
                <w:szCs w:val="21"/>
              </w:rPr>
              <w:t>应急预案</w:t>
            </w:r>
            <w:r>
              <w:rPr>
                <w:rFonts w:hint="eastAsia"/>
                <w:b/>
                <w:szCs w:val="21"/>
              </w:rPr>
              <w:t>（</w:t>
            </w:r>
            <w:r>
              <w:rPr>
                <w:rFonts w:hint="eastAsia"/>
                <w:b/>
                <w:szCs w:val="21"/>
                <w:lang w:val="en-US" w:eastAsia="zh-CN"/>
              </w:rPr>
              <w:t>10</w:t>
            </w:r>
            <w:r>
              <w:rPr>
                <w:rFonts w:hint="eastAsia"/>
                <w:b/>
                <w:szCs w:val="21"/>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宋体"/>
                <w:szCs w:val="21"/>
              </w:rPr>
            </w:pPr>
            <w:r>
              <w:rPr>
                <w:rFonts w:hint="eastAsia" w:eastAsia="宋体"/>
                <w:sz w:val="21"/>
                <w:szCs w:val="21"/>
                <w:lang w:eastAsia="zh-CN"/>
              </w:rPr>
              <w:t>投</w:t>
            </w:r>
            <w:r>
              <w:rPr>
                <w:rFonts w:hint="eastAsia" w:eastAsia="宋体"/>
                <w:sz w:val="21"/>
                <w:szCs w:val="21"/>
              </w:rPr>
              <w:t>标人必须提供食品卫生安全管理应急预案、食物中毒应急预案、防止食材未能及时送达应急预案，根据投标人提供应急预案进行横向比较。</w:t>
            </w:r>
          </w:p>
        </w:tc>
        <w:tc>
          <w:tcPr>
            <w:tcW w:w="1788" w:type="dxa"/>
            <w:vAlign w:val="center"/>
          </w:tcPr>
          <w:p>
            <w:pPr>
              <w:widowControl/>
              <w:jc w:val="center"/>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405" w:type="dxa"/>
            <w:gridSpan w:val="4"/>
            <w:vAlign w:val="center"/>
          </w:tcPr>
          <w:p>
            <w:pPr>
              <w:jc w:val="center"/>
              <w:rPr>
                <w:rFonts w:hint="eastAsia" w:ascii="黑体" w:eastAsia="黑体"/>
                <w:sz w:val="32"/>
                <w:szCs w:val="32"/>
              </w:rPr>
            </w:pPr>
            <w:r>
              <w:rPr>
                <w:rFonts w:hint="eastAsia" w:ascii="黑体" w:eastAsia="黑体"/>
                <w:sz w:val="32"/>
                <w:szCs w:val="32"/>
              </w:rPr>
              <w:t>评分合计</w:t>
            </w:r>
          </w:p>
        </w:tc>
        <w:tc>
          <w:tcPr>
            <w:tcW w:w="1788" w:type="dxa"/>
            <w:vAlign w:val="center"/>
          </w:tcPr>
          <w:p>
            <w:pPr>
              <w:widowControl/>
              <w:jc w:val="center"/>
              <w:rPr>
                <w:rFonts w:hint="eastAsia" w:ascii="宋体" w:hAnsi="宋体" w:cs="宋体"/>
                <w:color w:val="000000"/>
                <w:kern w:val="0"/>
                <w:sz w:val="28"/>
                <w:szCs w:val="28"/>
              </w:rPr>
            </w:pPr>
          </w:p>
        </w:tc>
      </w:tr>
    </w:tbl>
    <w:p>
      <w:pPr>
        <w:ind w:right="420"/>
        <w:rPr>
          <w:rFonts w:hint="eastAsia"/>
          <w:sz w:val="28"/>
          <w:szCs w:val="28"/>
        </w:rPr>
      </w:pPr>
      <w:r>
        <w:rPr>
          <w:rFonts w:hint="eastAsia"/>
          <w:b/>
          <w:sz w:val="28"/>
          <w:szCs w:val="28"/>
        </w:rPr>
        <w:t>评分员签名：                              日期：</w:t>
      </w:r>
    </w:p>
    <w:p>
      <w:pPr>
        <w:ind w:firstLine="1699" w:firstLineChars="531"/>
        <w:jc w:val="left"/>
        <w:rPr>
          <w:rFonts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500000000000000"/>
    <w:charset w:val="88"/>
    <w:family w:val="roman"/>
    <w:pitch w:val="default"/>
    <w:sig w:usb0="00000000" w:usb1="00000000" w:usb2="00000016" w:usb3="00000000" w:csb0="001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BB09D"/>
    <w:multiLevelType w:val="singleLevel"/>
    <w:tmpl w:val="934BB09D"/>
    <w:lvl w:ilvl="0" w:tentative="0">
      <w:start w:val="1"/>
      <w:numFmt w:val="decimal"/>
      <w:suff w:val="nothing"/>
      <w:lvlText w:val="（%1）"/>
      <w:lvlJc w:val="left"/>
    </w:lvl>
  </w:abstractNum>
  <w:abstractNum w:abstractNumId="1">
    <w:nsid w:val="7D921022"/>
    <w:multiLevelType w:val="multilevel"/>
    <w:tmpl w:val="7D9210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ZWIwZDkzZDVmZTgyNmUzMDQyOTA5NmE0YzhiODQifQ=="/>
  </w:docVars>
  <w:rsids>
    <w:rsidRoot w:val="1A5459AE"/>
    <w:rsid w:val="1A5459AE"/>
    <w:rsid w:val="1DC61ED5"/>
    <w:rsid w:val="5DD691A0"/>
    <w:rsid w:val="67E35BB3"/>
    <w:rsid w:val="797B8369"/>
    <w:rsid w:val="7DF7C03F"/>
    <w:rsid w:val="ABBBDF4E"/>
    <w:rsid w:val="B5BF04AB"/>
    <w:rsid w:val="BD7F3CF2"/>
    <w:rsid w:val="CEFCF913"/>
    <w:rsid w:val="FBFF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bCs/>
      <w:sz w:val="24"/>
    </w:rPr>
  </w:style>
  <w:style w:type="paragraph" w:styleId="3">
    <w:name w:val="Normal Indent"/>
    <w:basedOn w:val="1"/>
    <w:qFormat/>
    <w:uiPriority w:val="0"/>
    <w:pPr>
      <w:ind w:firstLine="420"/>
    </w:pPr>
    <w:rPr>
      <w:szCs w:val="20"/>
    </w:rPr>
  </w:style>
  <w:style w:type="character" w:customStyle="1" w:styleId="6">
    <w:name w:val="MSG_EN_FONT_STYLE_NAME_TEMPLATE_ROLE_NUMBER MSG_EN_FONT_STYLE_NAME_BY_ROLE_RUNNING_TITLE 2 + MSG_EN_FONT_STYLE_MODIFER_SIZE 13"/>
    <w:basedOn w:val="5"/>
    <w:qFormat/>
    <w:uiPriority w:val="0"/>
    <w:rPr>
      <w:rFonts w:ascii="PMingLiU" w:hAnsi="PMingLiU" w:eastAsia="PMingLiU" w:cs="PMingLiU"/>
      <w:color w:val="000000"/>
      <w:spacing w:val="0"/>
      <w:w w:val="100"/>
      <w:position w:val="0"/>
      <w:sz w:val="26"/>
      <w:szCs w:val="26"/>
      <w:shd w:val="clear" w:color="auto" w:fill="FFFFFF"/>
      <w:lang w:val="zh-CN" w:eastAsia="zh-CN" w:bidi="zh-CN"/>
    </w:rPr>
  </w:style>
  <w:style w:type="paragraph" w:customStyle="1" w:styleId="7">
    <w:name w:val="MSG_EN_FONT_STYLE_NAME_TEMPLATE_ROLE_NUMBER MSG_EN_FONT_STYLE_NAME_BY_ROLE_TEXT 11"/>
    <w:basedOn w:val="1"/>
    <w:qFormat/>
    <w:uiPriority w:val="0"/>
    <w:pPr>
      <w:shd w:val="clear" w:color="auto" w:fill="FFFFFF"/>
      <w:spacing w:line="490" w:lineRule="exact"/>
      <w:jc w:val="left"/>
    </w:pPr>
    <w:rPr>
      <w:rFonts w:ascii="PMingLiU" w:hAnsi="PMingLiU" w:eastAsia="PMingLiU" w:cs="PMingLiU"/>
      <w:spacing w:val="3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1099</Words>
  <Characters>1126</Characters>
  <Lines>0</Lines>
  <Paragraphs>0</Paragraphs>
  <TotalTime>9</TotalTime>
  <ScaleCrop>false</ScaleCrop>
  <LinksUpToDate>false</LinksUpToDate>
  <CharactersWithSpaces>1165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2022-06-08T15:37:00Z</dcterms:created>
  <dc:creator>RedmiBook</dc:creator>
  <cp:lastModifiedBy>wtjxdn</cp:lastModifiedBy>
  <dcterms:modified xsi:type="dcterms:W3CDTF">2022-11-21T14:09:00Z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4D7385DEBA4547299CF34BDED90B1540</vt:lpwstr>
  </property>
</Properties>
</file>